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x ANNUAL REPORT 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OF THE SECURITIES EXCHANGE ACT OF 1934</w:t>
      </w:r>
    </w:p>
    <w:p>
      <w:pPr>
        <w:jc w:val="center"/>
        <w:spacing w:after="0"/>
        <w:rPr>
          <w:sz w:val="20"/>
          <w:szCs w:val="20"/>
          <w:color w:val="auto"/>
        </w:rPr>
      </w:pPr>
      <w:r>
        <w:rPr>
          <w:rFonts w:ascii="Arial" w:cs="Arial" w:eastAsia="Arial" w:hAnsi="Arial"/>
          <w:sz w:val="21"/>
          <w:szCs w:val="21"/>
          <w:color w:val="auto"/>
        </w:rPr>
        <w:t xml:space="preserve">For the fiscal year ended </w:t>
      </w:r>
      <w:r>
        <w:rPr>
          <w:rFonts w:ascii="Arial" w:cs="Arial" w:eastAsia="Arial" w:hAnsi="Arial"/>
          <w:sz w:val="21"/>
          <w:szCs w:val="21"/>
          <w:u w:val="single" w:color="auto"/>
          <w:color w:val="auto"/>
        </w:rPr>
        <w:t>December 31, 2018</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OR</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o TRANSITION REPORT PURSUANT TO SECTION 13 OR 15(d)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OF THE SECURITIES EXCHANGE ACT OF 1934</w:t>
      </w:r>
    </w:p>
    <w:p>
      <w:pPr>
        <w:spacing w:after="0" w:line="2" w:lineRule="exact"/>
        <w:rPr>
          <w:sz w:val="24"/>
          <w:szCs w:val="24"/>
          <w:color w:val="auto"/>
        </w:rPr>
      </w:pPr>
    </w:p>
    <w:p>
      <w:pPr>
        <w:jc w:val="right"/>
        <w:ind w:right="4220"/>
        <w:spacing w:after="0"/>
        <w:tabs>
          <w:tab w:leader="none" w:pos="4380" w:val="left"/>
        </w:tabs>
        <w:rPr>
          <w:sz w:val="20"/>
          <w:szCs w:val="20"/>
          <w:color w:val="auto"/>
        </w:rPr>
      </w:pPr>
      <w:r>
        <w:rPr>
          <w:rFonts w:ascii="Arial" w:cs="Arial" w:eastAsia="Arial" w:hAnsi="Arial"/>
          <w:sz w:val="21"/>
          <w:szCs w:val="21"/>
          <w:color w:val="auto"/>
        </w:rPr>
        <w:t>For the transition period from</w:t>
      </w:r>
      <w:r>
        <w:rPr>
          <w:sz w:val="20"/>
          <w:szCs w:val="20"/>
          <w:color w:val="auto"/>
        </w:rPr>
        <w:tab/>
      </w:r>
      <w:r>
        <w:rPr>
          <w:rFonts w:ascii="Arial" w:cs="Arial" w:eastAsia="Arial" w:hAnsi="Arial"/>
          <w:sz w:val="21"/>
          <w:szCs w:val="21"/>
          <w:color w:val="auto"/>
        </w:rPr>
        <w:t>to</w:t>
      </w:r>
    </w:p>
    <w:p>
      <w:pPr>
        <w:spacing w:after="0" w:line="2" w:lineRule="exact"/>
        <w:rPr>
          <w:sz w:val="24"/>
          <w:szCs w:val="24"/>
          <w:color w:val="auto"/>
        </w:rPr>
      </w:pPr>
    </w:p>
    <w:p>
      <w:pPr>
        <w:jc w:val="right"/>
        <w:ind w:right="4200"/>
        <w:spacing w:after="0"/>
        <w:rPr>
          <w:sz w:val="20"/>
          <w:szCs w:val="20"/>
          <w:color w:val="auto"/>
        </w:rPr>
      </w:pPr>
      <w:r>
        <w:rPr>
          <w:rFonts w:ascii="Arial" w:cs="Arial" w:eastAsia="Arial" w:hAnsi="Arial"/>
          <w:sz w:val="21"/>
          <w:szCs w:val="21"/>
          <w:color w:val="auto"/>
        </w:rPr>
        <w:t xml:space="preserve">Commission file number </w:t>
      </w:r>
      <w:r>
        <w:rPr>
          <w:rFonts w:ascii="Arial" w:cs="Arial" w:eastAsia="Arial" w:hAnsi="Arial"/>
          <w:sz w:val="21"/>
          <w:szCs w:val="21"/>
          <w:u w:val="single" w:color="auto"/>
          <w:color w:val="auto"/>
        </w:rPr>
        <w:t>1-8974</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55"/>
          <w:szCs w:val="55"/>
          <w:b w:val="1"/>
          <w:bCs w:val="1"/>
          <w:color w:val="auto"/>
        </w:rPr>
        <w:t>Honeywell International Inc.</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(Exact name of registrant as specified in its charter)</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Delaware</w:t>
            </w:r>
          </w:p>
        </w:tc>
        <w:tc>
          <w:tcPr>
            <w:tcW w:w="320" w:type="dxa"/>
            <w:vAlign w:val="bottom"/>
          </w:tcPr>
          <w:p>
            <w:pPr>
              <w:spacing w:after="0"/>
              <w:rPr>
                <w:sz w:val="18"/>
                <w:szCs w:val="18"/>
                <w:color w:val="auto"/>
              </w:rPr>
            </w:pPr>
          </w:p>
        </w:tc>
        <w:tc>
          <w:tcPr>
            <w:tcW w:w="5560" w:type="dxa"/>
            <w:vAlign w:val="bottom"/>
            <w:tcBorders>
              <w:bottom w:val="single" w:sz="8" w:color="auto"/>
            </w:tcBorders>
          </w:tcPr>
          <w:p>
            <w:pPr>
              <w:jc w:val="right"/>
              <w:ind w:right="2163"/>
              <w:spacing w:after="0"/>
              <w:rPr>
                <w:sz w:val="20"/>
                <w:szCs w:val="20"/>
                <w:color w:val="auto"/>
              </w:rPr>
            </w:pPr>
            <w:r>
              <w:rPr>
                <w:rFonts w:ascii="Arial" w:cs="Arial" w:eastAsia="Arial" w:hAnsi="Arial"/>
                <w:sz w:val="19"/>
                <w:szCs w:val="19"/>
                <w:color w:val="auto"/>
              </w:rPr>
              <w:t>22-2640650</w:t>
            </w:r>
          </w:p>
        </w:tc>
      </w:tr>
      <w:tr>
        <w:trPr>
          <w:trHeight w:val="223"/>
        </w:trPr>
        <w:tc>
          <w:tcPr>
            <w:tcW w:w="5860" w:type="dxa"/>
            <w:vAlign w:val="bottom"/>
            <w:gridSpan w:val="2"/>
          </w:tcPr>
          <w:p>
            <w:pPr>
              <w:jc w:val="center"/>
              <w:ind w:right="320"/>
              <w:spacing w:after="0"/>
              <w:rPr>
                <w:sz w:val="20"/>
                <w:szCs w:val="20"/>
                <w:color w:val="auto"/>
              </w:rPr>
            </w:pPr>
            <w:r>
              <w:rPr>
                <w:rFonts w:ascii="Arial" w:cs="Arial" w:eastAsia="Arial" w:hAnsi="Arial"/>
                <w:sz w:val="19"/>
                <w:szCs w:val="19"/>
                <w:color w:val="auto"/>
              </w:rPr>
              <w:t>(State or other jurisdiction of</w:t>
            </w:r>
          </w:p>
        </w:tc>
        <w:tc>
          <w:tcPr>
            <w:tcW w:w="5560" w:type="dxa"/>
            <w:vAlign w:val="bottom"/>
          </w:tcPr>
          <w:p>
            <w:pPr>
              <w:jc w:val="center"/>
              <w:spacing w:after="0"/>
              <w:rPr>
                <w:sz w:val="20"/>
                <w:szCs w:val="20"/>
                <w:color w:val="auto"/>
              </w:rPr>
            </w:pPr>
            <w:r>
              <w:rPr>
                <w:rFonts w:ascii="Arial" w:cs="Arial" w:eastAsia="Arial" w:hAnsi="Arial"/>
                <w:sz w:val="19"/>
                <w:szCs w:val="19"/>
                <w:color w:val="auto"/>
              </w:rPr>
              <w:t>(I.R.S. Employer</w:t>
            </w:r>
          </w:p>
        </w:tc>
      </w:tr>
      <w:tr>
        <w:trPr>
          <w:trHeight w:val="216"/>
        </w:trPr>
        <w:tc>
          <w:tcPr>
            <w:tcW w:w="5860" w:type="dxa"/>
            <w:vAlign w:val="bottom"/>
            <w:gridSpan w:val="2"/>
          </w:tcPr>
          <w:p>
            <w:pPr>
              <w:jc w:val="center"/>
              <w:ind w:right="300"/>
              <w:spacing w:after="0" w:line="216" w:lineRule="exact"/>
              <w:rPr>
                <w:sz w:val="20"/>
                <w:szCs w:val="20"/>
                <w:color w:val="auto"/>
              </w:rPr>
            </w:pPr>
            <w:r>
              <w:rPr>
                <w:rFonts w:ascii="Arial" w:cs="Arial" w:eastAsia="Arial" w:hAnsi="Arial"/>
                <w:sz w:val="19"/>
                <w:szCs w:val="19"/>
                <w:color w:val="auto"/>
              </w:rPr>
              <w:t>incorporation or organization)</w:t>
            </w:r>
          </w:p>
        </w:tc>
        <w:tc>
          <w:tcPr>
            <w:tcW w:w="5560" w:type="dxa"/>
            <w:vAlign w:val="bottom"/>
          </w:tcPr>
          <w:p>
            <w:pPr>
              <w:jc w:val="center"/>
              <w:spacing w:after="0" w:line="216" w:lineRule="exact"/>
              <w:rPr>
                <w:sz w:val="20"/>
                <w:szCs w:val="20"/>
                <w:color w:val="auto"/>
              </w:rPr>
            </w:pPr>
            <w:r>
              <w:rPr>
                <w:rFonts w:ascii="Arial" w:cs="Arial" w:eastAsia="Arial" w:hAnsi="Arial"/>
                <w:sz w:val="19"/>
                <w:szCs w:val="19"/>
                <w:color w:val="auto"/>
              </w:rPr>
              <w:t>Identification No.)</w:t>
            </w:r>
          </w:p>
        </w:tc>
      </w:tr>
      <w:tr>
        <w:trPr>
          <w:trHeight w:val="216"/>
        </w:trPr>
        <w:tc>
          <w:tcPr>
            <w:tcW w:w="5860" w:type="dxa"/>
            <w:vAlign w:val="bottom"/>
            <w:gridSpan w:val="2"/>
          </w:tcPr>
          <w:p>
            <w:pPr>
              <w:jc w:val="center"/>
              <w:ind w:right="320"/>
              <w:spacing w:after="0" w:line="216" w:lineRule="exact"/>
              <w:rPr>
                <w:sz w:val="20"/>
                <w:szCs w:val="20"/>
                <w:color w:val="auto"/>
              </w:rPr>
            </w:pPr>
            <w:r>
              <w:rPr>
                <w:rFonts w:ascii="Arial" w:cs="Arial" w:eastAsia="Arial" w:hAnsi="Arial"/>
                <w:sz w:val="19"/>
                <w:szCs w:val="19"/>
                <w:color w:val="auto"/>
              </w:rPr>
              <w:t>115 Tabor Road</w:t>
            </w:r>
          </w:p>
        </w:tc>
        <w:tc>
          <w:tcPr>
            <w:tcW w:w="5560" w:type="dxa"/>
            <w:vAlign w:val="bottom"/>
          </w:tcPr>
          <w:p>
            <w:pPr>
              <w:spacing w:after="0"/>
              <w:rPr>
                <w:sz w:val="18"/>
                <w:szCs w:val="18"/>
                <w:color w:val="auto"/>
              </w:rPr>
            </w:pPr>
          </w:p>
        </w:tc>
      </w:tr>
      <w:tr>
        <w:trPr>
          <w:trHeight w:val="216"/>
        </w:trPr>
        <w:tc>
          <w:tcPr>
            <w:tcW w:w="55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9"/>
                <w:szCs w:val="19"/>
                <w:color w:val="auto"/>
              </w:rPr>
              <w:t>Morris Plains, New Jersey</w:t>
            </w:r>
          </w:p>
        </w:tc>
        <w:tc>
          <w:tcPr>
            <w:tcW w:w="320" w:type="dxa"/>
            <w:vAlign w:val="bottom"/>
          </w:tcPr>
          <w:p>
            <w:pPr>
              <w:spacing w:after="0"/>
              <w:rPr>
                <w:sz w:val="18"/>
                <w:szCs w:val="18"/>
                <w:color w:val="auto"/>
              </w:rPr>
            </w:pPr>
          </w:p>
        </w:tc>
        <w:tc>
          <w:tcPr>
            <w:tcW w:w="5560" w:type="dxa"/>
            <w:vAlign w:val="bottom"/>
            <w:tcBorders>
              <w:bottom w:val="single" w:sz="8" w:color="auto"/>
            </w:tcBorders>
          </w:tcPr>
          <w:p>
            <w:pPr>
              <w:jc w:val="right"/>
              <w:ind w:right="2403"/>
              <w:spacing w:after="0" w:line="216" w:lineRule="exact"/>
              <w:rPr>
                <w:sz w:val="20"/>
                <w:szCs w:val="20"/>
                <w:color w:val="auto"/>
              </w:rPr>
            </w:pPr>
            <w:r>
              <w:rPr>
                <w:rFonts w:ascii="Arial" w:cs="Arial" w:eastAsia="Arial" w:hAnsi="Arial"/>
                <w:sz w:val="19"/>
                <w:szCs w:val="19"/>
                <w:color w:val="auto"/>
              </w:rPr>
              <w:t>07950</w:t>
            </w:r>
          </w:p>
        </w:tc>
      </w:tr>
      <w:tr>
        <w:trPr>
          <w:trHeight w:val="268"/>
        </w:trPr>
        <w:tc>
          <w:tcPr>
            <w:tcW w:w="5860" w:type="dxa"/>
            <w:vAlign w:val="bottom"/>
            <w:gridSpan w:val="2"/>
          </w:tcPr>
          <w:p>
            <w:pPr>
              <w:jc w:val="center"/>
              <w:ind w:right="300"/>
              <w:spacing w:after="0"/>
              <w:rPr>
                <w:sz w:val="20"/>
                <w:szCs w:val="20"/>
                <w:color w:val="auto"/>
              </w:rPr>
            </w:pPr>
            <w:r>
              <w:rPr>
                <w:rFonts w:ascii="Arial" w:cs="Arial" w:eastAsia="Arial" w:hAnsi="Arial"/>
                <w:sz w:val="19"/>
                <w:szCs w:val="19"/>
                <w:color w:val="auto"/>
              </w:rPr>
              <w:t>(Address of principal executive offices)</w:t>
            </w:r>
          </w:p>
        </w:tc>
        <w:tc>
          <w:tcPr>
            <w:tcW w:w="5560" w:type="dxa"/>
            <w:vAlign w:val="bottom"/>
          </w:tcPr>
          <w:p>
            <w:pPr>
              <w:jc w:val="center"/>
              <w:spacing w:after="0"/>
              <w:rPr>
                <w:sz w:val="20"/>
                <w:szCs w:val="20"/>
                <w:color w:val="auto"/>
              </w:rPr>
            </w:pPr>
            <w:r>
              <w:rPr>
                <w:rFonts w:ascii="Arial" w:cs="Arial" w:eastAsia="Arial" w:hAnsi="Arial"/>
                <w:sz w:val="19"/>
                <w:szCs w:val="19"/>
                <w:color w:val="auto"/>
              </w:rPr>
              <w:t>(Zip Code)</w:t>
            </w:r>
          </w:p>
        </w:tc>
      </w:tr>
      <w:tr>
        <w:trPr>
          <w:trHeight w:val="324"/>
        </w:trPr>
        <w:tc>
          <w:tcPr>
            <w:tcW w:w="5860" w:type="dxa"/>
            <w:vAlign w:val="bottom"/>
            <w:gridSpan w:val="2"/>
          </w:tcPr>
          <w:p>
            <w:pPr>
              <w:spacing w:after="0"/>
              <w:rPr>
                <w:sz w:val="20"/>
                <w:szCs w:val="20"/>
                <w:color w:val="auto"/>
              </w:rPr>
            </w:pPr>
            <w:r>
              <w:rPr>
                <w:rFonts w:ascii="Arial" w:cs="Arial" w:eastAsia="Arial" w:hAnsi="Arial"/>
                <w:sz w:val="19"/>
                <w:szCs w:val="19"/>
                <w:color w:val="auto"/>
              </w:rPr>
              <w:t>Registrant’s telephone number, including area code (973) 455-2000</w:t>
            </w:r>
          </w:p>
        </w:tc>
        <w:tc>
          <w:tcPr>
            <w:tcW w:w="5560" w:type="dxa"/>
            <w:vAlign w:val="bottom"/>
          </w:tcPr>
          <w:p>
            <w:pPr>
              <w:spacing w:after="0"/>
              <w:rPr>
                <w:sz w:val="24"/>
                <w:szCs w:val="24"/>
                <w:color w:val="auto"/>
              </w:rPr>
            </w:pPr>
          </w:p>
        </w:tc>
      </w:tr>
      <w:tr>
        <w:trPr>
          <w:trHeight w:val="324"/>
        </w:trPr>
        <w:tc>
          <w:tcPr>
            <w:tcW w:w="5860" w:type="dxa"/>
            <w:vAlign w:val="bottom"/>
            <w:gridSpan w:val="2"/>
          </w:tcPr>
          <w:p>
            <w:pPr>
              <w:spacing w:after="0"/>
              <w:rPr>
                <w:sz w:val="20"/>
                <w:szCs w:val="20"/>
                <w:color w:val="auto"/>
              </w:rPr>
            </w:pPr>
            <w:r>
              <w:rPr>
                <w:rFonts w:ascii="Arial" w:cs="Arial" w:eastAsia="Arial" w:hAnsi="Arial"/>
                <w:sz w:val="19"/>
                <w:szCs w:val="19"/>
                <w:color w:val="auto"/>
              </w:rPr>
              <w:t>Securities registered pursuant to Section 12(b) of the Act:</w:t>
            </w:r>
          </w:p>
        </w:tc>
        <w:tc>
          <w:tcPr>
            <w:tcW w:w="5560" w:type="dxa"/>
            <w:vAlign w:val="bottom"/>
          </w:tcPr>
          <w:p>
            <w:pPr>
              <w:spacing w:after="0"/>
              <w:rPr>
                <w:sz w:val="24"/>
                <w:szCs w:val="24"/>
                <w:color w:val="auto"/>
              </w:rPr>
            </w:pPr>
          </w:p>
        </w:tc>
      </w:tr>
      <w:tr>
        <w:trPr>
          <w:trHeight w:val="226"/>
        </w:trPr>
        <w:tc>
          <w:tcPr>
            <w:tcW w:w="5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Arial" w:cs="Arial" w:eastAsia="Arial" w:hAnsi="Arial"/>
                <w:sz w:val="19"/>
                <w:szCs w:val="19"/>
                <w:color w:val="auto"/>
              </w:rPr>
              <w:t>Name of Each Exchange</w:t>
            </w:r>
          </w:p>
        </w:tc>
      </w:tr>
      <w:tr>
        <w:trPr>
          <w:trHeight w:val="216"/>
        </w:trPr>
        <w:tc>
          <w:tcPr>
            <w:tcW w:w="55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9"/>
                <w:szCs w:val="19"/>
                <w:color w:val="auto"/>
              </w:rPr>
              <w:t>Title of Each Class</w:t>
            </w:r>
          </w:p>
        </w:tc>
        <w:tc>
          <w:tcPr>
            <w:tcW w:w="320" w:type="dxa"/>
            <w:vAlign w:val="bottom"/>
          </w:tcPr>
          <w:p>
            <w:pPr>
              <w:spacing w:after="0"/>
              <w:rPr>
                <w:sz w:val="18"/>
                <w:szCs w:val="18"/>
                <w:color w:val="auto"/>
              </w:rPr>
            </w:pPr>
          </w:p>
        </w:tc>
        <w:tc>
          <w:tcPr>
            <w:tcW w:w="55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9"/>
                <w:szCs w:val="19"/>
                <w:color w:val="auto"/>
              </w:rPr>
              <w:t>on Which Registered</w:t>
            </w:r>
          </w:p>
        </w:tc>
      </w:tr>
      <w:tr>
        <w:trPr>
          <w:trHeight w:val="268"/>
        </w:trPr>
        <w:tc>
          <w:tcPr>
            <w:tcW w:w="5860" w:type="dxa"/>
            <w:vAlign w:val="bottom"/>
            <w:gridSpan w:val="2"/>
          </w:tcPr>
          <w:p>
            <w:pPr>
              <w:spacing w:after="0"/>
              <w:rPr>
                <w:sz w:val="20"/>
                <w:szCs w:val="20"/>
                <w:color w:val="auto"/>
              </w:rPr>
            </w:pPr>
            <w:r>
              <w:rPr>
                <w:rFonts w:ascii="Arial" w:cs="Arial" w:eastAsia="Arial" w:hAnsi="Arial"/>
                <w:sz w:val="19"/>
                <w:szCs w:val="19"/>
                <w:color w:val="auto"/>
              </w:rPr>
              <w:t>Common Stock, par value $1 per share*</w:t>
            </w:r>
          </w:p>
        </w:tc>
        <w:tc>
          <w:tcPr>
            <w:tcW w:w="5560" w:type="dxa"/>
            <w:vAlign w:val="bottom"/>
          </w:tcPr>
          <w:p>
            <w:pPr>
              <w:jc w:val="center"/>
              <w:spacing w:after="0"/>
              <w:rPr>
                <w:sz w:val="20"/>
                <w:szCs w:val="20"/>
                <w:color w:val="auto"/>
              </w:rPr>
            </w:pPr>
            <w:r>
              <w:rPr>
                <w:rFonts w:ascii="Arial" w:cs="Arial" w:eastAsia="Arial" w:hAnsi="Arial"/>
                <w:sz w:val="19"/>
                <w:szCs w:val="19"/>
                <w:color w:val="auto"/>
              </w:rPr>
              <w:t>New York Stock Exchange</w:t>
            </w:r>
          </w:p>
        </w:tc>
      </w:tr>
      <w:tr>
        <w:trPr>
          <w:trHeight w:val="243"/>
        </w:trPr>
        <w:tc>
          <w:tcPr>
            <w:tcW w:w="5860" w:type="dxa"/>
            <w:vAlign w:val="bottom"/>
            <w:gridSpan w:val="2"/>
          </w:tcPr>
          <w:p>
            <w:pPr>
              <w:spacing w:after="0"/>
              <w:rPr>
                <w:sz w:val="20"/>
                <w:szCs w:val="20"/>
                <w:color w:val="auto"/>
              </w:rPr>
            </w:pPr>
            <w:r>
              <w:rPr>
                <w:rFonts w:ascii="Arial" w:cs="Arial" w:eastAsia="Arial" w:hAnsi="Arial"/>
                <w:sz w:val="19"/>
                <w:szCs w:val="19"/>
                <w:color w:val="auto"/>
              </w:rPr>
              <w:t>0.650% Senior Notes due 2020</w:t>
            </w:r>
          </w:p>
        </w:tc>
        <w:tc>
          <w:tcPr>
            <w:tcW w:w="5560" w:type="dxa"/>
            <w:vAlign w:val="bottom"/>
          </w:tcPr>
          <w:p>
            <w:pPr>
              <w:jc w:val="center"/>
              <w:spacing w:after="0"/>
              <w:rPr>
                <w:sz w:val="20"/>
                <w:szCs w:val="20"/>
                <w:color w:val="auto"/>
              </w:rPr>
            </w:pPr>
            <w:r>
              <w:rPr>
                <w:rFonts w:ascii="Arial" w:cs="Arial" w:eastAsia="Arial" w:hAnsi="Arial"/>
                <w:sz w:val="19"/>
                <w:szCs w:val="19"/>
                <w:color w:val="auto"/>
              </w:rPr>
              <w:t>New York Stock Exchange</w:t>
            </w:r>
          </w:p>
        </w:tc>
      </w:tr>
      <w:tr>
        <w:trPr>
          <w:trHeight w:val="243"/>
        </w:trPr>
        <w:tc>
          <w:tcPr>
            <w:tcW w:w="5860" w:type="dxa"/>
            <w:vAlign w:val="bottom"/>
            <w:gridSpan w:val="2"/>
          </w:tcPr>
          <w:p>
            <w:pPr>
              <w:spacing w:after="0"/>
              <w:rPr>
                <w:sz w:val="20"/>
                <w:szCs w:val="20"/>
                <w:color w:val="auto"/>
              </w:rPr>
            </w:pPr>
            <w:r>
              <w:rPr>
                <w:rFonts w:ascii="Arial" w:cs="Arial" w:eastAsia="Arial" w:hAnsi="Arial"/>
                <w:sz w:val="19"/>
                <w:szCs w:val="19"/>
                <w:color w:val="auto"/>
              </w:rPr>
              <w:t>1.300% Senior Notes due 2023</w:t>
            </w:r>
          </w:p>
        </w:tc>
        <w:tc>
          <w:tcPr>
            <w:tcW w:w="5560" w:type="dxa"/>
            <w:vAlign w:val="bottom"/>
          </w:tcPr>
          <w:p>
            <w:pPr>
              <w:jc w:val="center"/>
              <w:spacing w:after="0"/>
              <w:rPr>
                <w:sz w:val="20"/>
                <w:szCs w:val="20"/>
                <w:color w:val="auto"/>
              </w:rPr>
            </w:pPr>
            <w:r>
              <w:rPr>
                <w:rFonts w:ascii="Arial" w:cs="Arial" w:eastAsia="Arial" w:hAnsi="Arial"/>
                <w:sz w:val="19"/>
                <w:szCs w:val="19"/>
                <w:color w:val="auto"/>
              </w:rPr>
              <w:t>New York Stock Exchange</w:t>
            </w:r>
          </w:p>
        </w:tc>
      </w:tr>
      <w:tr>
        <w:trPr>
          <w:trHeight w:val="243"/>
        </w:trPr>
        <w:tc>
          <w:tcPr>
            <w:tcW w:w="5860" w:type="dxa"/>
            <w:vAlign w:val="bottom"/>
            <w:gridSpan w:val="2"/>
          </w:tcPr>
          <w:p>
            <w:pPr>
              <w:spacing w:after="0"/>
              <w:rPr>
                <w:sz w:val="20"/>
                <w:szCs w:val="20"/>
                <w:color w:val="auto"/>
              </w:rPr>
            </w:pPr>
            <w:r>
              <w:rPr>
                <w:rFonts w:ascii="Arial" w:cs="Arial" w:eastAsia="Arial" w:hAnsi="Arial"/>
                <w:sz w:val="19"/>
                <w:szCs w:val="19"/>
                <w:color w:val="auto"/>
              </w:rPr>
              <w:t>2.250% Senior Notes due 2028</w:t>
            </w:r>
          </w:p>
        </w:tc>
        <w:tc>
          <w:tcPr>
            <w:tcW w:w="5560" w:type="dxa"/>
            <w:vAlign w:val="bottom"/>
          </w:tcPr>
          <w:p>
            <w:pPr>
              <w:jc w:val="center"/>
              <w:spacing w:after="0"/>
              <w:rPr>
                <w:sz w:val="20"/>
                <w:szCs w:val="20"/>
                <w:color w:val="auto"/>
              </w:rPr>
            </w:pPr>
            <w:r>
              <w:rPr>
                <w:rFonts w:ascii="Arial" w:cs="Arial" w:eastAsia="Arial" w:hAnsi="Arial"/>
                <w:sz w:val="19"/>
                <w:szCs w:val="19"/>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97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7" w:lineRule="exact"/>
        <w:rPr>
          <w:sz w:val="24"/>
          <w:szCs w:val="24"/>
          <w:color w:val="auto"/>
        </w:rPr>
      </w:pPr>
    </w:p>
    <w:p>
      <w:pPr>
        <w:ind w:right="5680" w:firstLine="27"/>
        <w:spacing w:after="0" w:line="348" w:lineRule="auto"/>
        <w:tabs>
          <w:tab w:leader="none" w:pos="189"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common stock is also listed on the London Stock Exchange. Securities registered pursuant to Section 12(g) of the Act: None</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Indicate by check mark if the Registrant is a well-known seasoned issuer, as defined in Rule 405 of the Securities Act. Yes x No o</w:t>
      </w:r>
    </w:p>
    <w:p>
      <w:pPr>
        <w:spacing w:after="0" w:line="132" w:lineRule="exact"/>
        <w:rPr>
          <w:sz w:val="24"/>
          <w:szCs w:val="24"/>
          <w:color w:val="auto"/>
        </w:rPr>
      </w:pPr>
    </w:p>
    <w:p>
      <w:pPr>
        <w:ind w:right="280"/>
        <w:spacing w:after="0" w:line="253" w:lineRule="auto"/>
        <w:rPr>
          <w:sz w:val="20"/>
          <w:szCs w:val="20"/>
          <w:color w:val="auto"/>
        </w:rPr>
      </w:pPr>
      <w:r>
        <w:rPr>
          <w:rFonts w:ascii="Arial" w:cs="Arial" w:eastAsia="Arial" w:hAnsi="Arial"/>
          <w:sz w:val="19"/>
          <w:szCs w:val="19"/>
          <w:color w:val="auto"/>
        </w:rPr>
        <w:t>Indicate by check mark if the Registrant is not required to file reports pursuant to Section 13 or Section 15(d) of the Exchange Act. Yes o No x</w:t>
      </w:r>
    </w:p>
    <w:p>
      <w:pPr>
        <w:spacing w:after="0" w:line="93" w:lineRule="exact"/>
        <w:rPr>
          <w:sz w:val="24"/>
          <w:szCs w:val="24"/>
          <w:color w:val="auto"/>
        </w:rPr>
      </w:pPr>
    </w:p>
    <w:p>
      <w:pPr>
        <w:ind w:right="380"/>
        <w:spacing w:after="0" w:line="245"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01" w:lineRule="exact"/>
        <w:rPr>
          <w:sz w:val="24"/>
          <w:szCs w:val="24"/>
          <w:color w:val="auto"/>
        </w:rPr>
      </w:pPr>
    </w:p>
    <w:p>
      <w:pPr>
        <w:ind w:right="280"/>
        <w:spacing w:after="0" w:line="245" w:lineRule="auto"/>
        <w:rPr>
          <w:sz w:val="20"/>
          <w:szCs w:val="20"/>
          <w:color w:val="auto"/>
        </w:rPr>
      </w:pPr>
      <w:r>
        <w:rPr>
          <w:rFonts w:ascii="Arial" w:cs="Arial" w:eastAsia="Arial" w:hAnsi="Arial"/>
          <w:sz w:val="19"/>
          <w:szCs w:val="19"/>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01" w:lineRule="exact"/>
        <w:rPr>
          <w:sz w:val="24"/>
          <w:szCs w:val="24"/>
          <w:color w:val="auto"/>
        </w:rPr>
      </w:pPr>
    </w:p>
    <w:p>
      <w:pPr>
        <w:ind w:right="80"/>
        <w:spacing w:after="0" w:line="245" w:lineRule="auto"/>
        <w:rPr>
          <w:sz w:val="20"/>
          <w:szCs w:val="20"/>
          <w:color w:val="auto"/>
        </w:rPr>
      </w:pPr>
      <w:r>
        <w:rPr>
          <w:rFonts w:ascii="Arial" w:cs="Arial" w:eastAsia="Arial" w:hAnsi="Arial"/>
          <w:sz w:val="19"/>
          <w:szCs w:val="19"/>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01" w:lineRule="exact"/>
        <w:rPr>
          <w:sz w:val="24"/>
          <w:szCs w:val="24"/>
          <w:color w:val="auto"/>
        </w:rPr>
      </w:pPr>
    </w:p>
    <w:p>
      <w:pPr>
        <w:ind w:right="60"/>
        <w:spacing w:after="0" w:line="245"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pacing w:after="0" w:line="74" w:lineRule="exact"/>
        <w:rPr>
          <w:sz w:val="24"/>
          <w:szCs w:val="24"/>
          <w:color w:val="auto"/>
        </w:rPr>
      </w:pPr>
    </w:p>
    <w:p>
      <w:pPr>
        <w:ind w:right="2440"/>
        <w:spacing w:after="0" w:line="378" w:lineRule="auto"/>
        <w:rPr>
          <w:sz w:val="20"/>
          <w:szCs w:val="20"/>
          <w:color w:val="auto"/>
        </w:rPr>
      </w:pPr>
      <w:r>
        <w:rPr>
          <w:rFonts w:ascii="Arial" w:cs="Arial" w:eastAsia="Arial" w:hAnsi="Arial"/>
          <w:sz w:val="19"/>
          <w:szCs w:val="19"/>
          <w:color w:val="auto"/>
        </w:rPr>
        <w:t>Large accelerated filer x Accelerated filer o Non-accelerated filer o Smaller reporting company o Emerging growth company o</w:t>
      </w:r>
    </w:p>
    <w:p>
      <w:pPr>
        <w:ind w:right="460"/>
        <w:spacing w:after="0" w:line="253"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pursuant to section 13(a) of the Exchange Act. o</w:t>
      </w:r>
    </w:p>
    <w:p>
      <w:pPr>
        <w:spacing w:after="0" w:line="66"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a shell company (as defined in Rule 12b-2 of the Act). Yes o No x</w:t>
      </w:r>
    </w:p>
    <w:p>
      <w:pPr>
        <w:spacing w:after="0" w:line="132" w:lineRule="exact"/>
        <w:rPr>
          <w:sz w:val="24"/>
          <w:szCs w:val="24"/>
          <w:color w:val="auto"/>
        </w:rPr>
      </w:pPr>
    </w:p>
    <w:p>
      <w:pPr>
        <w:ind w:right="260"/>
        <w:spacing w:after="0" w:line="253" w:lineRule="auto"/>
        <w:rPr>
          <w:sz w:val="20"/>
          <w:szCs w:val="20"/>
          <w:color w:val="auto"/>
        </w:rPr>
      </w:pPr>
      <w:r>
        <w:rPr>
          <w:rFonts w:ascii="Arial" w:cs="Arial" w:eastAsia="Arial" w:hAnsi="Arial"/>
          <w:sz w:val="19"/>
          <w:szCs w:val="19"/>
          <w:color w:val="auto"/>
        </w:rPr>
        <w:t>The aggregate market value of the voting stock held by nonaffiliates of the Registrant was approximately $107.6 billion at June 30, 2018.</w:t>
      </w:r>
    </w:p>
    <w:p>
      <w:pPr>
        <w:spacing w:after="0" w:line="80" w:lineRule="exact"/>
        <w:rPr>
          <w:sz w:val="24"/>
          <w:szCs w:val="24"/>
          <w:color w:val="auto"/>
        </w:rPr>
      </w:pPr>
    </w:p>
    <w:p>
      <w:pPr>
        <w:spacing w:after="0"/>
        <w:rPr>
          <w:sz w:val="20"/>
          <w:szCs w:val="20"/>
          <w:color w:val="auto"/>
        </w:rPr>
      </w:pPr>
      <w:r>
        <w:rPr>
          <w:rFonts w:ascii="Arial" w:cs="Arial" w:eastAsia="Arial" w:hAnsi="Arial"/>
          <w:sz w:val="19"/>
          <w:szCs w:val="19"/>
          <w:color w:val="auto"/>
        </w:rPr>
        <w:t>There were 729,085,890 shares of Common Stock outstanding at January 25, 2019.</w:t>
      </w:r>
    </w:p>
    <w:p>
      <w:pPr>
        <w:sectPr>
          <w:pgSz w:w="11900" w:h="16838" w:orient="portrait"/>
          <w:cols w:equalWidth="0" w:num="1">
            <w:col w:w="11420"/>
          </w:cols>
          <w:pgMar w:left="240" w:top="675"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9"/>
          <w:szCs w:val="19"/>
          <w:u w:val="single" w:color="auto"/>
          <w:color w:val="auto"/>
        </w:rPr>
        <w:t>Documents Incorporated by Reference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Part III: Proxy Statement for Annual Meeting of Shareowners to be held April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109855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144145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313690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TABLE OF CONTENTS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Item</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210"/>
        </w:trPr>
        <w:tc>
          <w:tcPr>
            <w:tcW w:w="1320" w:type="dxa"/>
            <w:vAlign w:val="bottom"/>
            <w:gridSpan w:val="3"/>
          </w:tcPr>
          <w:p>
            <w:pPr>
              <w:spacing w:after="0" w:line="210" w:lineRule="exact"/>
              <w:rPr>
                <w:sz w:val="20"/>
                <w:szCs w:val="20"/>
                <w:color w:val="auto"/>
              </w:rPr>
            </w:pPr>
            <w:r>
              <w:rPr>
                <w:rFonts w:ascii="Arial" w:cs="Arial" w:eastAsia="Arial" w:hAnsi="Arial"/>
                <w:sz w:val="19"/>
                <w:szCs w:val="19"/>
                <w:color w:val="auto"/>
              </w:rPr>
              <w:t>Part I</w:t>
            </w:r>
          </w:p>
        </w:tc>
        <w:tc>
          <w:tcPr>
            <w:tcW w:w="880" w:type="dxa"/>
            <w:vAlign w:val="bottom"/>
            <w:gridSpan w:val="2"/>
          </w:tcPr>
          <w:p>
            <w:pPr>
              <w:jc w:val="right"/>
              <w:ind w:right="280"/>
              <w:spacing w:after="0" w:line="210" w:lineRule="exact"/>
              <w:rPr>
                <w:sz w:val="20"/>
                <w:szCs w:val="20"/>
                <w:color w:val="auto"/>
              </w:rPr>
            </w:pPr>
            <w:r>
              <w:rPr>
                <w:rFonts w:ascii="Arial" w:cs="Arial" w:eastAsia="Arial" w:hAnsi="Arial"/>
                <w:sz w:val="19"/>
                <w:szCs w:val="19"/>
                <w:color w:val="auto"/>
              </w:rPr>
              <w:t>1.</w:t>
            </w:r>
          </w:p>
        </w:tc>
        <w:tc>
          <w:tcPr>
            <w:tcW w:w="800" w:type="dxa"/>
            <w:vAlign w:val="bottom"/>
            <w:tcBorders>
              <w:bottom w:val="single" w:sz="8" w:color="0000EE"/>
            </w:tcBorders>
            <w:gridSpan w:val="2"/>
          </w:tcPr>
          <w:p>
            <w:pPr>
              <w:spacing w:after="0" w:line="210" w:lineRule="exact"/>
              <w:rPr>
                <w:rFonts w:ascii="Arial" w:cs="Arial" w:eastAsia="Arial" w:hAnsi="Arial"/>
                <w:sz w:val="19"/>
                <w:szCs w:val="19"/>
                <w:color w:val="0000EE"/>
              </w:rPr>
            </w:pPr>
            <w:hyperlink w:anchor="page4">
              <w:r>
                <w:rPr>
                  <w:rFonts w:ascii="Arial" w:cs="Arial" w:eastAsia="Arial" w:hAnsi="Arial"/>
                  <w:sz w:val="19"/>
                  <w:szCs w:val="19"/>
                  <w:color w:val="0000EE"/>
                </w:rPr>
                <w:t>Business</w:t>
              </w:r>
            </w:hyperlink>
          </w:p>
        </w:tc>
        <w:tc>
          <w:tcPr>
            <w:tcW w:w="8040" w:type="dxa"/>
            <w:vAlign w:val="bottom"/>
            <w:gridSpan w:val="21"/>
          </w:tcPr>
          <w:p>
            <w:pPr>
              <w:spacing w:after="0"/>
              <w:rPr>
                <w:sz w:val="18"/>
                <w:szCs w:val="18"/>
                <w:color w:val="auto"/>
              </w:rPr>
            </w:pPr>
          </w:p>
        </w:tc>
        <w:tc>
          <w:tcPr>
            <w:tcW w:w="380" w:type="dxa"/>
            <w:vAlign w:val="bottom"/>
          </w:tcPr>
          <w:p>
            <w:pPr>
              <w:jc w:val="right"/>
              <w:spacing w:after="0" w:line="210" w:lineRule="exact"/>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9"/>
                <w:szCs w:val="19"/>
                <w:color w:val="auto"/>
              </w:rPr>
              <w:t>1A.</w:t>
            </w:r>
          </w:p>
        </w:tc>
        <w:tc>
          <w:tcPr>
            <w:tcW w:w="8840" w:type="dxa"/>
            <w:vAlign w:val="bottom"/>
            <w:gridSpan w:val="23"/>
          </w:tcPr>
          <w:p>
            <w:pPr>
              <w:spacing w:after="0"/>
              <w:rPr>
                <w:rFonts w:ascii="Arial" w:cs="Arial" w:eastAsia="Arial" w:hAnsi="Arial"/>
                <w:sz w:val="19"/>
                <w:szCs w:val="19"/>
                <w:color w:val="0000EE"/>
              </w:rPr>
            </w:pPr>
            <w:hyperlink w:anchor="page8">
              <w:r>
                <w:rPr>
                  <w:rFonts w:ascii="Arial" w:cs="Arial" w:eastAsia="Arial" w:hAnsi="Arial"/>
                  <w:sz w:val="19"/>
                  <w:szCs w:val="19"/>
                  <w:color w:val="0000EE"/>
                </w:rPr>
                <w:t>Executive Officers of the Registrant</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3040" w:type="dxa"/>
            <w:vAlign w:val="bottom"/>
            <w:tcBorders>
              <w:top w:val="single" w:sz="8" w:color="0000EE"/>
            </w:tcBorders>
            <w:gridSpan w:val="12"/>
          </w:tcPr>
          <w:p>
            <w:pPr>
              <w:spacing w:after="0"/>
              <w:rPr>
                <w:rFonts w:ascii="Arial" w:cs="Arial" w:eastAsia="Arial" w:hAnsi="Arial"/>
                <w:sz w:val="19"/>
                <w:szCs w:val="19"/>
                <w:color w:val="0000EE"/>
              </w:rPr>
            </w:pPr>
            <w:hyperlink w:anchor="page8">
              <w:r>
                <w:rPr>
                  <w:rFonts w:ascii="Arial" w:cs="Arial" w:eastAsia="Arial" w:hAnsi="Arial"/>
                  <w:sz w:val="19"/>
                  <w:szCs w:val="19"/>
                  <w:color w:val="0000EE"/>
                </w:rPr>
                <w:t>Risk Factors</w:t>
              </w:r>
            </w:hyperlink>
          </w:p>
        </w:tc>
        <w:tc>
          <w:tcPr>
            <w:tcW w:w="5800" w:type="dxa"/>
            <w:vAlign w:val="bottom"/>
            <w:gridSpan w:val="11"/>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9"/>
                <w:szCs w:val="19"/>
                <w:color w:val="auto"/>
              </w:rPr>
              <w:t>1B.</w:t>
            </w:r>
          </w:p>
        </w:tc>
        <w:tc>
          <w:tcPr>
            <w:tcW w:w="3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440" w:type="dxa"/>
            <w:vAlign w:val="bottom"/>
            <w:tcBorders>
              <w:bottom w:val="single" w:sz="8" w:color="0000EE"/>
            </w:tcBorders>
            <w:gridSpan w:val="11"/>
          </w:tcPr>
          <w:p>
            <w:pPr>
              <w:spacing w:after="0"/>
              <w:rPr>
                <w:rFonts w:ascii="Arial" w:cs="Arial" w:eastAsia="Arial" w:hAnsi="Arial"/>
                <w:sz w:val="19"/>
                <w:szCs w:val="19"/>
                <w:color w:val="0000EE"/>
              </w:rPr>
            </w:pPr>
            <w:hyperlink w:anchor="page16">
              <w:r>
                <w:rPr>
                  <w:rFonts w:ascii="Arial" w:cs="Arial" w:eastAsia="Arial" w:hAnsi="Arial"/>
                  <w:sz w:val="19"/>
                  <w:szCs w:val="19"/>
                  <w:color w:val="0000EE"/>
                </w:rPr>
                <w:t>Unresolved Staff Comments</w:t>
              </w:r>
            </w:hyperlink>
          </w:p>
        </w:tc>
        <w:tc>
          <w:tcPr>
            <w:tcW w:w="6400" w:type="dxa"/>
            <w:vAlign w:val="bottom"/>
            <w:gridSpan w:val="12"/>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2.</w:t>
            </w:r>
          </w:p>
        </w:tc>
        <w:tc>
          <w:tcPr>
            <w:tcW w:w="900" w:type="dxa"/>
            <w:vAlign w:val="bottom"/>
            <w:tcBorders>
              <w:bottom w:val="single" w:sz="8" w:color="0000EE"/>
            </w:tcBorders>
            <w:gridSpan w:val="3"/>
          </w:tcPr>
          <w:p>
            <w:pPr>
              <w:spacing w:after="0"/>
              <w:rPr>
                <w:rFonts w:ascii="Arial" w:cs="Arial" w:eastAsia="Arial" w:hAnsi="Arial"/>
                <w:sz w:val="19"/>
                <w:szCs w:val="19"/>
                <w:color w:val="0000EE"/>
              </w:rPr>
            </w:pPr>
            <w:hyperlink w:anchor="page16">
              <w:r>
                <w:rPr>
                  <w:rFonts w:ascii="Arial" w:cs="Arial" w:eastAsia="Arial" w:hAnsi="Arial"/>
                  <w:sz w:val="19"/>
                  <w:szCs w:val="19"/>
                  <w:color w:val="0000EE"/>
                </w:rPr>
                <w:t>Properties</w:t>
              </w:r>
            </w:hyperlink>
          </w:p>
        </w:tc>
        <w:tc>
          <w:tcPr>
            <w:tcW w:w="7940" w:type="dxa"/>
            <w:vAlign w:val="bottom"/>
            <w:gridSpan w:val="20"/>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3.</w:t>
            </w:r>
          </w:p>
        </w:tc>
        <w:tc>
          <w:tcPr>
            <w:tcW w:w="1620" w:type="dxa"/>
            <w:vAlign w:val="bottom"/>
            <w:tcBorders>
              <w:bottom w:val="single" w:sz="8" w:color="0000EE"/>
            </w:tcBorders>
            <w:gridSpan w:val="6"/>
          </w:tcPr>
          <w:p>
            <w:pPr>
              <w:spacing w:after="0"/>
              <w:rPr>
                <w:rFonts w:ascii="Arial" w:cs="Arial" w:eastAsia="Arial" w:hAnsi="Arial"/>
                <w:sz w:val="19"/>
                <w:szCs w:val="19"/>
                <w:color w:val="0000EE"/>
              </w:rPr>
            </w:pPr>
            <w:hyperlink w:anchor="page16">
              <w:r>
                <w:rPr>
                  <w:rFonts w:ascii="Arial" w:cs="Arial" w:eastAsia="Arial" w:hAnsi="Arial"/>
                  <w:sz w:val="19"/>
                  <w:szCs w:val="19"/>
                  <w:color w:val="0000EE"/>
                </w:rPr>
                <w:t>Legal Proceedings</w:t>
              </w:r>
            </w:hyperlink>
          </w:p>
        </w:tc>
        <w:tc>
          <w:tcPr>
            <w:tcW w:w="7220" w:type="dxa"/>
            <w:vAlign w:val="bottom"/>
            <w:gridSpan w:val="17"/>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4.</w:t>
            </w:r>
          </w:p>
        </w:tc>
        <w:tc>
          <w:tcPr>
            <w:tcW w:w="8840" w:type="dxa"/>
            <w:vAlign w:val="bottom"/>
            <w:gridSpan w:val="23"/>
          </w:tcPr>
          <w:p>
            <w:pPr>
              <w:spacing w:after="0"/>
              <w:rPr>
                <w:rFonts w:ascii="Arial" w:cs="Arial" w:eastAsia="Arial" w:hAnsi="Arial"/>
                <w:sz w:val="19"/>
                <w:szCs w:val="19"/>
                <w:color w:val="0000EE"/>
              </w:rPr>
            </w:pPr>
            <w:hyperlink w:anchor="page16">
              <w:r>
                <w:rPr>
                  <w:rFonts w:ascii="Arial" w:cs="Arial" w:eastAsia="Arial" w:hAnsi="Arial"/>
                  <w:sz w:val="19"/>
                  <w:szCs w:val="19"/>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3"/>
          </w:tcPr>
          <w:p>
            <w:pPr>
              <w:spacing w:after="0" w:line="196" w:lineRule="exact"/>
              <w:rPr>
                <w:sz w:val="20"/>
                <w:szCs w:val="20"/>
                <w:color w:val="auto"/>
              </w:rPr>
            </w:pPr>
            <w:r>
              <w:rPr>
                <w:rFonts w:ascii="Arial" w:cs="Arial" w:eastAsia="Arial" w:hAnsi="Arial"/>
                <w:sz w:val="19"/>
                <w:szCs w:val="19"/>
                <w:color w:val="auto"/>
              </w:rPr>
              <w:t>Part II.</w:t>
            </w:r>
          </w:p>
        </w:tc>
        <w:tc>
          <w:tcPr>
            <w:tcW w:w="880" w:type="dxa"/>
            <w:vAlign w:val="bottom"/>
            <w:gridSpan w:val="2"/>
          </w:tcPr>
          <w:p>
            <w:pPr>
              <w:jc w:val="right"/>
              <w:ind w:right="280"/>
              <w:spacing w:after="0" w:line="196" w:lineRule="exact"/>
              <w:rPr>
                <w:sz w:val="20"/>
                <w:szCs w:val="20"/>
                <w:color w:val="auto"/>
              </w:rPr>
            </w:pPr>
            <w:r>
              <w:rPr>
                <w:rFonts w:ascii="Arial" w:cs="Arial" w:eastAsia="Arial" w:hAnsi="Arial"/>
                <w:sz w:val="19"/>
                <w:szCs w:val="19"/>
                <w:color w:val="auto"/>
              </w:rPr>
              <w:t>5.</w:t>
            </w:r>
          </w:p>
        </w:tc>
        <w:tc>
          <w:tcPr>
            <w:tcW w:w="8080" w:type="dxa"/>
            <w:vAlign w:val="bottom"/>
            <w:tcBorders>
              <w:bottom w:val="single" w:sz="8" w:color="0000EE"/>
            </w:tcBorders>
            <w:gridSpan w:val="22"/>
          </w:tcPr>
          <w:p>
            <w:pPr>
              <w:spacing w:after="0" w:line="196" w:lineRule="exact"/>
              <w:rPr>
                <w:rFonts w:ascii="Arial" w:cs="Arial" w:eastAsia="Arial" w:hAnsi="Arial"/>
                <w:sz w:val="19"/>
                <w:szCs w:val="19"/>
                <w:color w:val="0000EE"/>
              </w:rPr>
            </w:pPr>
            <w:hyperlink w:anchor="page17">
              <w:r>
                <w:rPr>
                  <w:rFonts w:ascii="Arial" w:cs="Arial" w:eastAsia="Arial" w:hAnsi="Arial"/>
                  <w:sz w:val="19"/>
                  <w:szCs w:val="19"/>
                  <w:color w:val="0000EE"/>
                </w:rPr>
                <w:t>Market for Registrant’s Common Equity, Related Stockholder Matters and Issuer Purchases of</w:t>
              </w:r>
            </w:hyperlink>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9"/>
                <w:szCs w:val="19"/>
                <w:color w:val="auto"/>
              </w:rPr>
              <w:t>6.</w:t>
            </w:r>
          </w:p>
        </w:tc>
        <w:tc>
          <w:tcPr>
            <w:tcW w:w="36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rFonts w:ascii="Arial" w:cs="Arial" w:eastAsia="Arial" w:hAnsi="Arial"/>
                <w:sz w:val="19"/>
                <w:szCs w:val="19"/>
                <w:color w:val="0000EE"/>
              </w:rPr>
            </w:pPr>
            <w:hyperlink w:anchor="page17">
              <w:r>
                <w:rPr>
                  <w:rFonts w:ascii="Arial" w:cs="Arial" w:eastAsia="Arial" w:hAnsi="Arial"/>
                  <w:sz w:val="19"/>
                  <w:szCs w:val="19"/>
                  <w:color w:val="0000EE"/>
                </w:rPr>
                <w:t>Equity Securities</w:t>
              </w:r>
            </w:hyperlink>
          </w:p>
        </w:tc>
        <w:tc>
          <w:tcPr>
            <w:tcW w:w="702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080" w:type="dxa"/>
            <w:vAlign w:val="bottom"/>
            <w:tcBorders>
              <w:bottom w:val="single" w:sz="8" w:color="0000EE"/>
            </w:tcBorders>
            <w:gridSpan w:val="9"/>
          </w:tcPr>
          <w:p>
            <w:pPr>
              <w:spacing w:after="0"/>
              <w:rPr>
                <w:rFonts w:ascii="Arial" w:cs="Arial" w:eastAsia="Arial" w:hAnsi="Arial"/>
                <w:sz w:val="19"/>
                <w:szCs w:val="19"/>
                <w:color w:val="0000EE"/>
              </w:rPr>
            </w:pPr>
            <w:hyperlink w:anchor="page19">
              <w:r>
                <w:rPr>
                  <w:rFonts w:ascii="Arial" w:cs="Arial" w:eastAsia="Arial" w:hAnsi="Arial"/>
                  <w:sz w:val="19"/>
                  <w:szCs w:val="19"/>
                  <w:color w:val="0000EE"/>
                </w:rPr>
                <w:t>Selected Financial Data</w:t>
              </w:r>
            </w:hyperlink>
          </w:p>
        </w:tc>
        <w:tc>
          <w:tcPr>
            <w:tcW w:w="6760" w:type="dxa"/>
            <w:vAlign w:val="bottom"/>
            <w:gridSpan w:val="14"/>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7.</w:t>
            </w:r>
          </w:p>
        </w:tc>
        <w:tc>
          <w:tcPr>
            <w:tcW w:w="7640" w:type="dxa"/>
            <w:vAlign w:val="bottom"/>
            <w:tcBorders>
              <w:bottom w:val="single" w:sz="8" w:color="0000EE"/>
            </w:tcBorders>
            <w:gridSpan w:val="19"/>
          </w:tcPr>
          <w:p>
            <w:pPr>
              <w:spacing w:after="0"/>
              <w:rPr>
                <w:rFonts w:ascii="Arial" w:cs="Arial" w:eastAsia="Arial" w:hAnsi="Arial"/>
                <w:sz w:val="19"/>
                <w:szCs w:val="19"/>
                <w:color w:val="0000EE"/>
              </w:rPr>
            </w:pPr>
            <w:hyperlink w:anchor="page20">
              <w:r>
                <w:rPr>
                  <w:rFonts w:ascii="Arial" w:cs="Arial" w:eastAsia="Arial" w:hAnsi="Arial"/>
                  <w:sz w:val="19"/>
                  <w:szCs w:val="19"/>
                  <w:color w:val="0000EE"/>
                </w:rPr>
                <w:t>Management’s Discussion and Analysis of Financial Condition and Results of Operations</w:t>
              </w:r>
            </w:hyperlink>
          </w:p>
        </w:tc>
        <w:tc>
          <w:tcPr>
            <w:tcW w:w="1200" w:type="dxa"/>
            <w:vAlign w:val="bottom"/>
            <w:gridSpan w:val="4"/>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7A.</w:t>
            </w:r>
          </w:p>
        </w:tc>
        <w:tc>
          <w:tcPr>
            <w:tcW w:w="8840" w:type="dxa"/>
            <w:vAlign w:val="bottom"/>
            <w:gridSpan w:val="23"/>
          </w:tcPr>
          <w:p>
            <w:pPr>
              <w:spacing w:after="0"/>
              <w:rPr>
                <w:rFonts w:ascii="Arial" w:cs="Arial" w:eastAsia="Arial" w:hAnsi="Arial"/>
                <w:sz w:val="19"/>
                <w:szCs w:val="19"/>
                <w:color w:val="0000EE"/>
              </w:rPr>
            </w:pPr>
            <w:hyperlink w:anchor="page38">
              <w:r>
                <w:rPr>
                  <w:rFonts w:ascii="Arial" w:cs="Arial" w:eastAsia="Arial" w:hAnsi="Arial"/>
                  <w:sz w:val="19"/>
                  <w:szCs w:val="19"/>
                  <w:color w:val="0000EE"/>
                </w:rPr>
                <w:t>Quantitative and Qualitative Disclosures About Market Risks</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8.</w:t>
            </w:r>
          </w:p>
        </w:tc>
        <w:tc>
          <w:tcPr>
            <w:tcW w:w="4020" w:type="dxa"/>
            <w:vAlign w:val="bottom"/>
            <w:tcBorders>
              <w:top w:val="single" w:sz="8" w:color="0000EE"/>
              <w:bottom w:val="single" w:sz="8" w:color="0000EE"/>
            </w:tcBorders>
            <w:gridSpan w:val="15"/>
          </w:tcPr>
          <w:p>
            <w:pPr>
              <w:spacing w:after="0"/>
              <w:rPr>
                <w:rFonts w:ascii="Arial" w:cs="Arial" w:eastAsia="Arial" w:hAnsi="Arial"/>
                <w:sz w:val="19"/>
                <w:szCs w:val="19"/>
                <w:color w:val="0000EE"/>
              </w:rPr>
            </w:pPr>
            <w:hyperlink w:anchor="page39">
              <w:r>
                <w:rPr>
                  <w:rFonts w:ascii="Arial" w:cs="Arial" w:eastAsia="Arial" w:hAnsi="Arial"/>
                  <w:sz w:val="19"/>
                  <w:szCs w:val="19"/>
                  <w:color w:val="0000EE"/>
                </w:rPr>
                <w:t>Financial Statements and Supplementary Data</w:t>
              </w:r>
            </w:hyperlink>
          </w:p>
        </w:tc>
        <w:tc>
          <w:tcPr>
            <w:tcW w:w="1160" w:type="dxa"/>
            <w:vAlign w:val="bottom"/>
            <w:tcBorders>
              <w:top w:val="single" w:sz="8" w:color="0000EE"/>
            </w:tcBorders>
            <w:gridSpan w:val="3"/>
          </w:tcPr>
          <w:p>
            <w:pPr>
              <w:spacing w:after="0"/>
              <w:rPr>
                <w:sz w:val="19"/>
                <w:szCs w:val="19"/>
                <w:color w:val="auto"/>
              </w:rPr>
            </w:pPr>
          </w:p>
        </w:tc>
        <w:tc>
          <w:tcPr>
            <w:tcW w:w="3660" w:type="dxa"/>
            <w:vAlign w:val="bottom"/>
            <w:gridSpan w:val="5"/>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9.</w:t>
            </w:r>
          </w:p>
        </w:tc>
        <w:tc>
          <w:tcPr>
            <w:tcW w:w="7700" w:type="dxa"/>
            <w:vAlign w:val="bottom"/>
            <w:tcBorders>
              <w:bottom w:val="single" w:sz="8" w:color="0000EE"/>
            </w:tcBorders>
            <w:gridSpan w:val="20"/>
          </w:tcPr>
          <w:p>
            <w:pPr>
              <w:spacing w:after="0"/>
              <w:rPr>
                <w:rFonts w:ascii="Arial" w:cs="Arial" w:eastAsia="Arial" w:hAnsi="Arial"/>
                <w:sz w:val="19"/>
                <w:szCs w:val="19"/>
                <w:color w:val="0000EE"/>
              </w:rPr>
            </w:pPr>
            <w:hyperlink w:anchor="page99">
              <w:r>
                <w:rPr>
                  <w:rFonts w:ascii="Arial" w:cs="Arial" w:eastAsia="Arial" w:hAnsi="Arial"/>
                  <w:sz w:val="19"/>
                  <w:szCs w:val="19"/>
                  <w:color w:val="0000EE"/>
                </w:rPr>
                <w:t>Changes in and Disagreements with Accountants on Accounting and Financial Disclosure</w:t>
              </w:r>
            </w:hyperlink>
          </w:p>
        </w:tc>
        <w:tc>
          <w:tcPr>
            <w:tcW w:w="1140" w:type="dxa"/>
            <w:vAlign w:val="bottom"/>
            <w:gridSpan w:val="3"/>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9A.</w:t>
            </w:r>
          </w:p>
        </w:tc>
        <w:tc>
          <w:tcPr>
            <w:tcW w:w="2160" w:type="dxa"/>
            <w:vAlign w:val="bottom"/>
            <w:tcBorders>
              <w:bottom w:val="single" w:sz="8" w:color="0000EE"/>
            </w:tcBorders>
            <w:gridSpan w:val="10"/>
          </w:tcPr>
          <w:p>
            <w:pPr>
              <w:spacing w:after="0"/>
              <w:rPr>
                <w:rFonts w:ascii="Arial" w:cs="Arial" w:eastAsia="Arial" w:hAnsi="Arial"/>
                <w:sz w:val="19"/>
                <w:szCs w:val="19"/>
                <w:color w:val="0000EE"/>
              </w:rPr>
            </w:pPr>
            <w:hyperlink w:anchor="page99">
              <w:r>
                <w:rPr>
                  <w:rFonts w:ascii="Arial" w:cs="Arial" w:eastAsia="Arial" w:hAnsi="Arial"/>
                  <w:sz w:val="19"/>
                  <w:szCs w:val="19"/>
                  <w:color w:val="0000EE"/>
                </w:rPr>
                <w:t>Controls and Procedures</w:t>
              </w:r>
            </w:hyperlink>
          </w:p>
        </w:tc>
        <w:tc>
          <w:tcPr>
            <w:tcW w:w="6680" w:type="dxa"/>
            <w:vAlign w:val="bottom"/>
            <w:gridSpan w:val="13"/>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9B.</w:t>
            </w:r>
          </w:p>
        </w:tc>
        <w:tc>
          <w:tcPr>
            <w:tcW w:w="1520" w:type="dxa"/>
            <w:vAlign w:val="bottom"/>
            <w:tcBorders>
              <w:bottom w:val="single" w:sz="8" w:color="0000EE"/>
            </w:tcBorders>
            <w:gridSpan w:val="5"/>
          </w:tcPr>
          <w:p>
            <w:pPr>
              <w:spacing w:after="0"/>
              <w:rPr>
                <w:rFonts w:ascii="Arial" w:cs="Arial" w:eastAsia="Arial" w:hAnsi="Arial"/>
                <w:sz w:val="19"/>
                <w:szCs w:val="19"/>
                <w:color w:val="0000EE"/>
              </w:rPr>
            </w:pPr>
            <w:hyperlink w:anchor="page99">
              <w:r>
                <w:rPr>
                  <w:rFonts w:ascii="Arial" w:cs="Arial" w:eastAsia="Arial" w:hAnsi="Arial"/>
                  <w:sz w:val="19"/>
                  <w:szCs w:val="19"/>
                  <w:color w:val="0000EE"/>
                </w:rPr>
                <w:t>Other Information</w:t>
              </w:r>
            </w:hyperlink>
          </w:p>
        </w:tc>
        <w:tc>
          <w:tcPr>
            <w:tcW w:w="7320" w:type="dxa"/>
            <w:vAlign w:val="bottom"/>
            <w:gridSpan w:val="18"/>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96</w:t>
            </w:r>
          </w:p>
        </w:tc>
        <w:tc>
          <w:tcPr>
            <w:tcW w:w="0" w:type="dxa"/>
            <w:vAlign w:val="bottom"/>
          </w:tcPr>
          <w:p>
            <w:pPr>
              <w:spacing w:after="0"/>
              <w:rPr>
                <w:sz w:val="1"/>
                <w:szCs w:val="1"/>
                <w:color w:val="auto"/>
              </w:rPr>
            </w:pPr>
          </w:p>
        </w:tc>
      </w:tr>
      <w:tr>
        <w:trPr>
          <w:trHeight w:val="223"/>
        </w:trPr>
        <w:tc>
          <w:tcPr>
            <w:tcW w:w="1320" w:type="dxa"/>
            <w:vAlign w:val="bottom"/>
            <w:gridSpan w:val="3"/>
          </w:tcPr>
          <w:p>
            <w:pPr>
              <w:spacing w:after="0"/>
              <w:rPr>
                <w:sz w:val="20"/>
                <w:szCs w:val="20"/>
                <w:color w:val="auto"/>
              </w:rPr>
            </w:pPr>
            <w:r>
              <w:rPr>
                <w:rFonts w:ascii="Arial" w:cs="Arial" w:eastAsia="Arial" w:hAnsi="Arial"/>
                <w:sz w:val="19"/>
                <w:szCs w:val="19"/>
                <w:color w:val="auto"/>
              </w:rPr>
              <w:t>Part III.</w:t>
            </w: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10.</w:t>
            </w:r>
          </w:p>
        </w:tc>
        <w:tc>
          <w:tcPr>
            <w:tcW w:w="4260" w:type="dxa"/>
            <w:vAlign w:val="bottom"/>
            <w:tcBorders>
              <w:bottom w:val="single" w:sz="8" w:color="0000EE"/>
            </w:tcBorders>
            <w:gridSpan w:val="17"/>
          </w:tcPr>
          <w:p>
            <w:pPr>
              <w:spacing w:after="0"/>
              <w:rPr>
                <w:rFonts w:ascii="Arial" w:cs="Arial" w:eastAsia="Arial" w:hAnsi="Arial"/>
                <w:sz w:val="19"/>
                <w:szCs w:val="19"/>
                <w:color w:val="0000EE"/>
              </w:rPr>
            </w:pPr>
            <w:hyperlink w:anchor="page101">
              <w:r>
                <w:rPr>
                  <w:rFonts w:ascii="Arial" w:cs="Arial" w:eastAsia="Arial" w:hAnsi="Arial"/>
                  <w:sz w:val="19"/>
                  <w:szCs w:val="19"/>
                  <w:color w:val="0000EE"/>
                </w:rPr>
                <w:t>Directors and Executive Officers of the Registrant</w:t>
              </w:r>
            </w:hyperlink>
          </w:p>
        </w:tc>
        <w:tc>
          <w:tcPr>
            <w:tcW w:w="4580" w:type="dxa"/>
            <w:vAlign w:val="bottom"/>
            <w:gridSpan w:val="6"/>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11.</w:t>
            </w:r>
          </w:p>
        </w:tc>
        <w:tc>
          <w:tcPr>
            <w:tcW w:w="2160" w:type="dxa"/>
            <w:vAlign w:val="bottom"/>
            <w:tcBorders>
              <w:bottom w:val="single" w:sz="8" w:color="0000EE"/>
            </w:tcBorders>
            <w:gridSpan w:val="10"/>
          </w:tcPr>
          <w:p>
            <w:pPr>
              <w:spacing w:after="0"/>
              <w:rPr>
                <w:rFonts w:ascii="Arial" w:cs="Arial" w:eastAsia="Arial" w:hAnsi="Arial"/>
                <w:sz w:val="19"/>
                <w:szCs w:val="19"/>
                <w:color w:val="0000EE"/>
              </w:rPr>
            </w:pPr>
            <w:hyperlink w:anchor="page101">
              <w:r>
                <w:rPr>
                  <w:rFonts w:ascii="Arial" w:cs="Arial" w:eastAsia="Arial" w:hAnsi="Arial"/>
                  <w:sz w:val="19"/>
                  <w:szCs w:val="19"/>
                  <w:color w:val="0000EE"/>
                </w:rPr>
                <w:t>Executive Compensation</w:t>
              </w:r>
            </w:hyperlink>
          </w:p>
        </w:tc>
        <w:tc>
          <w:tcPr>
            <w:tcW w:w="6680" w:type="dxa"/>
            <w:vAlign w:val="bottom"/>
            <w:gridSpan w:val="13"/>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280"/>
              <w:spacing w:after="0" w:line="196" w:lineRule="exact"/>
              <w:rPr>
                <w:sz w:val="20"/>
                <w:szCs w:val="20"/>
                <w:color w:val="auto"/>
              </w:rPr>
            </w:pPr>
            <w:r>
              <w:rPr>
                <w:rFonts w:ascii="Arial" w:cs="Arial" w:eastAsia="Arial" w:hAnsi="Arial"/>
                <w:sz w:val="19"/>
                <w:szCs w:val="19"/>
                <w:color w:val="auto"/>
              </w:rPr>
              <w:t>12.</w:t>
            </w:r>
          </w:p>
        </w:tc>
        <w:tc>
          <w:tcPr>
            <w:tcW w:w="8840" w:type="dxa"/>
            <w:vAlign w:val="bottom"/>
            <w:gridSpan w:val="23"/>
          </w:tcPr>
          <w:p>
            <w:pPr>
              <w:spacing w:after="0" w:line="196" w:lineRule="exact"/>
              <w:rPr>
                <w:rFonts w:ascii="Arial" w:cs="Arial" w:eastAsia="Arial" w:hAnsi="Arial"/>
                <w:sz w:val="19"/>
                <w:szCs w:val="19"/>
                <w:color w:val="0000EE"/>
              </w:rPr>
            </w:pPr>
            <w:hyperlink w:anchor="page101">
              <w:r>
                <w:rPr>
                  <w:rFonts w:ascii="Arial" w:cs="Arial" w:eastAsia="Arial" w:hAnsi="Arial"/>
                  <w:sz w:val="19"/>
                  <w:szCs w:val="19"/>
                  <w:color w:val="0000EE"/>
                </w:rPr>
                <w:t>Security Ownership of Certain Beneficial Owners and Management and Related Stockholder</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9"/>
                <w:szCs w:val="19"/>
                <w:color w:val="auto"/>
              </w:rPr>
              <w:t>13.</w:t>
            </w:r>
          </w:p>
        </w:tc>
        <w:tc>
          <w:tcPr>
            <w:tcW w:w="360" w:type="dxa"/>
            <w:vAlign w:val="bottom"/>
            <w:tcBorders>
              <w:top w:val="single" w:sz="8" w:color="0000EE"/>
            </w:tcBorders>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9"/>
                <w:szCs w:val="19"/>
                <w:color w:val="0000EE"/>
              </w:rPr>
            </w:pPr>
            <w:hyperlink w:anchor="page101">
              <w:r>
                <w:rPr>
                  <w:rFonts w:ascii="Arial" w:cs="Arial" w:eastAsia="Arial" w:hAnsi="Arial"/>
                  <w:sz w:val="19"/>
                  <w:szCs w:val="19"/>
                  <w:color w:val="0000EE"/>
                </w:rPr>
                <w:t>Matters</w:t>
              </w:r>
            </w:hyperlink>
          </w:p>
        </w:tc>
        <w:tc>
          <w:tcPr>
            <w:tcW w:w="6860" w:type="dxa"/>
            <w:vAlign w:val="bottom"/>
            <w:tcBorders>
              <w:top w:val="single" w:sz="8" w:color="0000EE"/>
            </w:tcBorders>
            <w:gridSpan w:val="17"/>
          </w:tcPr>
          <w:p>
            <w:pPr>
              <w:spacing w:after="0"/>
              <w:rPr>
                <w:sz w:val="17"/>
                <w:szCs w:val="17"/>
                <w:color w:val="auto"/>
              </w:rPr>
            </w:pPr>
          </w:p>
        </w:tc>
        <w:tc>
          <w:tcPr>
            <w:tcW w:w="90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9"/>
                <w:szCs w:val="19"/>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840" w:type="dxa"/>
            <w:vAlign w:val="bottom"/>
            <w:gridSpan w:val="23"/>
          </w:tcPr>
          <w:p>
            <w:pPr>
              <w:spacing w:after="0"/>
              <w:rPr>
                <w:rFonts w:ascii="Arial" w:cs="Arial" w:eastAsia="Arial" w:hAnsi="Arial"/>
                <w:sz w:val="19"/>
                <w:szCs w:val="19"/>
                <w:color w:val="0000EE"/>
              </w:rPr>
            </w:pPr>
            <w:hyperlink w:anchor="page103">
              <w:r>
                <w:rPr>
                  <w:rFonts w:ascii="Arial" w:cs="Arial" w:eastAsia="Arial" w:hAnsi="Arial"/>
                  <w:sz w:val="19"/>
                  <w:szCs w:val="19"/>
                  <w:color w:val="0000EE"/>
                </w:rPr>
                <w:t>Certain Relationships and Related Transactions</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14.</w:t>
            </w:r>
          </w:p>
        </w:tc>
        <w:tc>
          <w:tcPr>
            <w:tcW w:w="4100" w:type="dxa"/>
            <w:vAlign w:val="bottom"/>
            <w:tcBorders>
              <w:top w:val="single" w:sz="8" w:color="0000EE"/>
            </w:tcBorders>
            <w:gridSpan w:val="16"/>
          </w:tcPr>
          <w:p>
            <w:pPr>
              <w:spacing w:after="0"/>
              <w:rPr>
                <w:rFonts w:ascii="Arial" w:cs="Arial" w:eastAsia="Arial" w:hAnsi="Arial"/>
                <w:sz w:val="19"/>
                <w:szCs w:val="19"/>
                <w:color w:val="0000EE"/>
              </w:rPr>
            </w:pPr>
            <w:hyperlink w:anchor="page103">
              <w:r>
                <w:rPr>
                  <w:rFonts w:ascii="Arial" w:cs="Arial" w:eastAsia="Arial" w:hAnsi="Arial"/>
                  <w:sz w:val="19"/>
                  <w:szCs w:val="19"/>
                  <w:color w:val="0000EE"/>
                </w:rPr>
                <w:t>Principal Accounting Fees and Services</w:t>
              </w:r>
            </w:hyperlink>
          </w:p>
        </w:tc>
        <w:tc>
          <w:tcPr>
            <w:tcW w:w="4740" w:type="dxa"/>
            <w:vAlign w:val="bottom"/>
            <w:gridSpan w:val="7"/>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spacing w:after="0"/>
              <w:rPr>
                <w:sz w:val="20"/>
                <w:szCs w:val="20"/>
                <w:color w:val="auto"/>
              </w:rPr>
            </w:pPr>
            <w:r>
              <w:rPr>
                <w:rFonts w:ascii="Arial" w:cs="Arial" w:eastAsia="Arial" w:hAnsi="Arial"/>
                <w:sz w:val="19"/>
                <w:szCs w:val="19"/>
                <w:color w:val="auto"/>
              </w:rPr>
              <w:t>Part IV.</w:t>
            </w: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9"/>
                <w:szCs w:val="19"/>
                <w:color w:val="auto"/>
              </w:rPr>
              <w:t>15.</w:t>
            </w:r>
          </w:p>
        </w:tc>
        <w:tc>
          <w:tcPr>
            <w:tcW w:w="1800" w:type="dxa"/>
            <w:vAlign w:val="bottom"/>
            <w:gridSpan w:val="7"/>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4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gridSpan w:val="3"/>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3800" w:type="dxa"/>
            <w:vAlign w:val="bottom"/>
            <w:tcBorders>
              <w:bottom w:val="single" w:sz="8" w:color="0000EE"/>
            </w:tcBorders>
            <w:gridSpan w:val="14"/>
          </w:tcPr>
          <w:p>
            <w:pPr>
              <w:spacing w:after="0"/>
              <w:rPr>
                <w:rFonts w:ascii="Arial" w:cs="Arial" w:eastAsia="Arial" w:hAnsi="Arial"/>
                <w:sz w:val="19"/>
                <w:szCs w:val="19"/>
                <w:color w:val="0000EE"/>
              </w:rPr>
            </w:pPr>
            <w:hyperlink w:anchor="page104">
              <w:r>
                <w:rPr>
                  <w:rFonts w:ascii="Arial" w:cs="Arial" w:eastAsia="Arial" w:hAnsi="Arial"/>
                  <w:sz w:val="19"/>
                  <w:szCs w:val="19"/>
                  <w:color w:val="0000EE"/>
                </w:rPr>
                <w:t>Exhibits and Financial Statement Schedules</w:t>
              </w:r>
            </w:hyperlink>
          </w:p>
        </w:tc>
        <w:tc>
          <w:tcPr>
            <w:tcW w:w="5040" w:type="dxa"/>
            <w:vAlign w:val="bottom"/>
            <w:gridSpan w:val="9"/>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vMerge w:val="restart"/>
          </w:tcPr>
          <w:p>
            <w:pPr>
              <w:spacing w:after="0"/>
              <w:rPr>
                <w:rFonts w:ascii="Arial" w:cs="Arial" w:eastAsia="Arial" w:hAnsi="Arial"/>
                <w:sz w:val="19"/>
                <w:szCs w:val="19"/>
                <w:color w:val="0000EE"/>
                <w:w w:val="99"/>
              </w:rPr>
            </w:pPr>
            <w:hyperlink w:anchor="page111">
              <w:r>
                <w:rPr>
                  <w:rFonts w:ascii="Arial" w:cs="Arial" w:eastAsia="Arial" w:hAnsi="Arial"/>
                  <w:sz w:val="19"/>
                  <w:szCs w:val="19"/>
                  <w:color w:val="0000EE"/>
                  <w:w w:val="99"/>
                </w:rPr>
                <w:t>Signatures</w:t>
              </w:r>
            </w:hyperlink>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16.</w:t>
            </w:r>
          </w:p>
        </w:tc>
        <w:tc>
          <w:tcPr>
            <w:tcW w:w="8840" w:type="dxa"/>
            <w:vAlign w:val="bottom"/>
            <w:gridSpan w:val="23"/>
          </w:tcPr>
          <w:p>
            <w:pPr>
              <w:spacing w:after="0"/>
              <w:rPr>
                <w:rFonts w:ascii="Arial" w:cs="Arial" w:eastAsia="Arial" w:hAnsi="Arial"/>
                <w:sz w:val="19"/>
                <w:szCs w:val="19"/>
                <w:color w:val="0000EE"/>
              </w:rPr>
            </w:pPr>
            <w:hyperlink w:anchor="page104">
              <w:r>
                <w:rPr>
                  <w:rFonts w:ascii="Arial" w:cs="Arial" w:eastAsia="Arial" w:hAnsi="Arial"/>
                  <w:sz w:val="19"/>
                  <w:szCs w:val="19"/>
                  <w:color w:val="0000EE"/>
                </w:rPr>
                <w:t>Form 10-K Summary</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101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20" w:type="dxa"/>
            <w:vAlign w:val="bottom"/>
            <w:tcBorders>
              <w:bottom w:val="single" w:sz="8" w:color="0000EE"/>
            </w:tcBorders>
            <w:vMerge w:val="continue"/>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right"/>
              <w:spacing w:after="0" w:line="190" w:lineRule="exact"/>
              <w:rPr>
                <w:sz w:val="20"/>
                <w:szCs w:val="20"/>
                <w:color w:val="auto"/>
              </w:rPr>
            </w:pPr>
            <w:r>
              <w:rPr>
                <w:rFonts w:ascii="Arial" w:cs="Arial" w:eastAsia="Arial" w:hAnsi="Arial"/>
                <w:sz w:val="19"/>
                <w:szCs w:val="19"/>
                <w:color w:val="auto"/>
              </w:rPr>
              <w:t>108</w:t>
            </w:r>
          </w:p>
        </w:tc>
        <w:tc>
          <w:tcPr>
            <w:tcW w:w="0" w:type="dxa"/>
            <w:vAlign w:val="bottom"/>
          </w:tcPr>
          <w:p>
            <w:pPr>
              <w:spacing w:after="0"/>
              <w:rPr>
                <w:sz w:val="1"/>
                <w:szCs w:val="1"/>
                <w:color w:val="auto"/>
              </w:rPr>
            </w:pPr>
          </w:p>
        </w:tc>
      </w:tr>
      <w:tr>
        <w:trPr>
          <w:trHeight w:val="260"/>
        </w:trPr>
        <w:tc>
          <w:tcPr>
            <w:tcW w:w="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3"/>
          <w:szCs w:val="23"/>
          <w:b w:val="1"/>
          <w:bCs w:val="1"/>
          <w:color w:val="auto"/>
        </w:rPr>
        <w:t>PART I.</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Business</w:t>
      </w:r>
    </w:p>
    <w:p>
      <w:pPr>
        <w:spacing w:after="0" w:line="147" w:lineRule="exact"/>
        <w:rPr>
          <w:sz w:val="20"/>
          <w:szCs w:val="20"/>
          <w:color w:val="auto"/>
        </w:rPr>
      </w:pPr>
    </w:p>
    <w:p>
      <w:pPr>
        <w:ind w:right="120" w:firstLine="357"/>
        <w:spacing w:after="0"/>
        <w:rPr>
          <w:sz w:val="20"/>
          <w:szCs w:val="20"/>
          <w:color w:val="auto"/>
        </w:rPr>
      </w:pPr>
      <w:r>
        <w:rPr>
          <w:rFonts w:ascii="Arial" w:cs="Arial" w:eastAsia="Arial" w:hAnsi="Arial"/>
          <w:sz w:val="19"/>
          <w:szCs w:val="19"/>
          <w:color w:val="auto"/>
        </w:rPr>
        <w:t>Honeywell International Inc. (“Honeywell” or “the Company”) invents and commercializes technologies that address some of the world’s most critical challenges around energy, safety, security, productivity and global urbanization. As a diversified technology and manufacturing company, we are uniquely positioned to blend physical products with software to serve customers worldwide with aerospace products and services, energy efficient products and solutions for businesses, specialty chemicals, electronic and advanced materials, process technology for refining and petrochemicals, and productivity, sensing, safety and security technologies for buildings and industries. Our products and solutions enable a safer, more comfortable and more productive world, enhancing the quality of life of people around the globe. Honeywell was incorporated in Delaware in 1985.</w:t>
      </w:r>
    </w:p>
    <w:p>
      <w:pPr>
        <w:spacing w:after="0" w:line="91"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Our Annual Report on Form 10-K, Quarterly Reports on Form 10-Q, Current Reports on Form 8-K and any amendments to those reports, are available free of charge on our website (www.honeywell.com) under the heading Investor Relations (see SEC Filings and Reports) immediately after they are filed with, or furnished to, the Securities and Exchange Commission (SEC). In addition, in this Annual Report on Form 10-K, the Company incorporates by reference certain information from parts of its Proxy Statement for the 2019 Annual Meeting of Stockholders, which we expect to file with the SEC on or about March 14, 2019, and which will also be available free of charge on our website.</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Major Businesses</w:t>
      </w:r>
    </w:p>
    <w:p>
      <w:pPr>
        <w:spacing w:after="0" w:line="130" w:lineRule="exact"/>
        <w:rPr>
          <w:sz w:val="20"/>
          <w:szCs w:val="20"/>
          <w:color w:val="auto"/>
        </w:rPr>
      </w:pPr>
    </w:p>
    <w:p>
      <w:pPr>
        <w:ind w:right="100" w:firstLine="357"/>
        <w:spacing w:after="0" w:line="241" w:lineRule="auto"/>
        <w:rPr>
          <w:sz w:val="20"/>
          <w:szCs w:val="20"/>
          <w:color w:val="auto"/>
        </w:rPr>
      </w:pPr>
      <w:r>
        <w:rPr>
          <w:rFonts w:ascii="Arial" w:cs="Arial" w:eastAsia="Arial" w:hAnsi="Arial"/>
          <w:sz w:val="19"/>
          <w:szCs w:val="19"/>
          <w:color w:val="auto"/>
        </w:rPr>
        <w:t>On October 1, 2018, the Company completed the spin-off of its Transportation Systems business, formerly part of Aerospace, and on October 29, 2018, the Company completed the spin-off of its Homes and Global Distribution business, formerly part of Home and Building Technologies. Therefore, as of the end of 2018, those businesses were no longer part of the Company. Following the spin-off of the Homes and Global Distribution business, the Home and Building Technologies segment was renamed Honeywell Building Technologies. The major products/services, customers/uses and key competitors of each of our segments are:</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Aerospace</w:t>
      </w:r>
    </w:p>
    <w:p>
      <w:pPr>
        <w:spacing w:after="0" w:line="130"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Aerospace is a leading global supplier of products, software and services for aircrafts that it sells to original equipment manufacturers (OEM) and other customers in a variety of end markets including: 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and connected solutions and data services for the aftermarket.</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Honeywell Building Technologies</w:t>
      </w:r>
    </w:p>
    <w:p>
      <w:pPr>
        <w:spacing w:after="0" w:line="130"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Honeywell Building Technologies is a leading global provider of products, software, solutions and technologies that enable commercial building owners and occupants to 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remote patient monitoring systems; and installation, maintenance and upgrades of systems that keep buildings safe, comfortable and productive.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Performance Materials and Technologies</w:t>
      </w:r>
    </w:p>
    <w:p>
      <w:pPr>
        <w:spacing w:after="0" w:line="130"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Performance Materials and Technologies is a global leader in developing and manufacturing high-quality performance chemicals and materials, process technologies and automation solutions.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Process Solutions is a pioneer in automation control, instrumentation, advanced software and related services for the oil and gas, refining, pulp and paper, industrial power generation, chemicals and petrochemicals, biofuels, life sciences, and metals, minerals and mining industries. Through its smart energy business, Process Solutions also enables utilities and distribution companies to deploy advanced capabilities that transform operations, improve reliability and environmental sustainability, and better serve customers. Advanced Materials manufactures a wide variety of high-performance products, including fluorocarbons, hydrofluoroolefins, specialty films, waxes, additives, advanced fibers, customized research chemicals and intermediates, and electronic materials and chemicals.</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Safety and Productivity Solutions</w:t>
      </w:r>
    </w:p>
    <w:p>
      <w:pPr>
        <w:spacing w:after="0" w:line="130" w:lineRule="exact"/>
        <w:rPr>
          <w:sz w:val="20"/>
          <w:szCs w:val="20"/>
          <w:color w:val="auto"/>
        </w:rPr>
      </w:pPr>
    </w:p>
    <w:p>
      <w:pPr>
        <w:ind w:right="40" w:firstLine="357"/>
        <w:spacing w:after="0"/>
        <w:rPr>
          <w:sz w:val="20"/>
          <w:szCs w:val="20"/>
          <w:color w:val="auto"/>
        </w:rPr>
      </w:pPr>
      <w:r>
        <w:rPr>
          <w:rFonts w:ascii="Arial" w:cs="Arial" w:eastAsia="Arial" w:hAnsi="Arial"/>
          <w:sz w:val="19"/>
          <w:szCs w:val="19"/>
          <w:color w:val="auto"/>
        </w:rPr>
        <w:t>Safety and Productivity Solutions is a leading global provider of products, software and connected solutions to customers around the globe that improve productivity, workplace safety and asset performance. Safety products include personal protection equipment, apparel, gear, and footwear designed for work, play and outdoor activities; gas detection technology; and cloud-based notification and emergency messaging. Productivity Solutions products and services include mobile devices and software for computing, data collection and thermal printing; supply chain and warehouse automation equipment, software and solutions; custom-engineered sensors, switches and controls for sensing and productivity solutions; and software-based data and asset management productivity solutions.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are subject to competition in substantially all product and service areas. Some of our key competitors are:</w:t>
      </w:r>
    </w:p>
    <w:p>
      <w:pPr>
        <w:spacing w:after="0" w:line="92" w:lineRule="exact"/>
        <w:rPr>
          <w:sz w:val="20"/>
          <w:szCs w:val="20"/>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Aerospace: Garmin, Thales, Safran and United Technologies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Honeywell Building Technologies: Emerson Electric, Itron, Johnson Controls, Schneider Electric and Siemens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Performance Materials and Technologies: Albemarle, BASF, DowDupont, Emerson Electric and Sinopec</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Safety and Productivity Solutions: 3M, Mine Safety Appliances (MSA), Kion Group, TE Connectivity and Zebra Technologies</w:t>
      </w:r>
    </w:p>
    <w:p>
      <w:pPr>
        <w:spacing w:after="0" w:line="119" w:lineRule="exact"/>
        <w:rPr>
          <w:sz w:val="20"/>
          <w:szCs w:val="20"/>
          <w:color w:val="auto"/>
        </w:rPr>
      </w:pPr>
    </w:p>
    <w:p>
      <w:pPr>
        <w:ind w:right="40" w:firstLine="357"/>
        <w:spacing w:after="0"/>
        <w:rPr>
          <w:sz w:val="20"/>
          <w:szCs w:val="20"/>
          <w:color w:val="auto"/>
        </w:rPr>
      </w:pPr>
      <w:r>
        <w:rPr>
          <w:rFonts w:ascii="Arial" w:cs="Arial" w:eastAsia="Arial" w:hAnsi="Arial"/>
          <w:sz w:val="19"/>
          <w:szCs w:val="19"/>
          <w:color w:val="auto"/>
        </w:rPr>
        <w:t>Our businesses compete on a variety of factors such as price, quality, reliability, delivery, customer service, performance, applied technology, product innovation and product recognition. Brand identity, service to customers and quality are important competitive factors for our products and services, and there is considerable price competition. Other competitive factors include breadth of product line, research and development efforts and technical and managerial capability. While our competitive position varies among our products and services, we believe we are a significant competitor in each of our major product and service classes. Many of our competitors have substantial financial resources and significant technological capabilities. In addition, some of our products compete with the captive component divisions of OEMs.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Aerospace Sales</w:t>
      </w:r>
    </w:p>
    <w:p>
      <w:pPr>
        <w:spacing w:after="0" w:line="130" w:lineRule="exact"/>
        <w:rPr>
          <w:sz w:val="20"/>
          <w:szCs w:val="20"/>
          <w:color w:val="auto"/>
        </w:rPr>
      </w:pPr>
    </w:p>
    <w:p>
      <w:pPr>
        <w:ind w:right="240" w:firstLine="357"/>
        <w:spacing w:after="0" w:line="245" w:lineRule="auto"/>
        <w:rPr>
          <w:sz w:val="20"/>
          <w:szCs w:val="20"/>
          <w:color w:val="auto"/>
        </w:rPr>
      </w:pPr>
      <w:r>
        <w:rPr>
          <w:rFonts w:ascii="Arial" w:cs="Arial" w:eastAsia="Arial" w:hAnsi="Arial"/>
          <w:sz w:val="19"/>
          <w:szCs w:val="19"/>
          <w:color w:val="auto"/>
        </w:rPr>
        <w:t>Our Aerospace segment sales were 37%, 36% and 38% of our total sales in 2018, 2017 and 2016. Our sales to commercial aerospace OEMs were 7%, 6% and 6% of our total sales in 2018, 2017 and 2016. In addition, our sales to commercial aftermarket customers of aerospace products and services were 13%, 13% and 12% of our total sales in 2018, 2017 and 2016.</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color w:val="auto"/>
        </w:rPr>
        <w:t>U.S. Government Sales</w:t>
      </w:r>
    </w:p>
    <w:p>
      <w:pPr>
        <w:spacing w:after="0" w:line="130"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Sales to the U.S. Government (principally by Aerospace), acting through its various departments and agencies and through prime contractors, amounted to $3,403 million, $3,203 million and $3,330 million in 2018, 2017 and 2016, which included sales to the U.S. Department of Defense, as a prime contractor and subcontractor, of $2,832 million, $2,546 million and $2,647 million in 2018, 2017 and 2016. We do not expect our overall operating results to be significantly affected by any proposed changes in 2019 federal defense spending due principally to the varied mix of the government programs which impact us (OEMs’ production, engineering development programs, aftermarket spares and repairs and overhaul programs), as well as our diversified commercial businesses.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Backlog</w:t>
      </w:r>
    </w:p>
    <w:p>
      <w:pPr>
        <w:spacing w:after="0" w:line="130" w:lineRule="exact"/>
        <w:rPr>
          <w:sz w:val="20"/>
          <w:szCs w:val="20"/>
          <w:color w:val="auto"/>
        </w:rPr>
      </w:pPr>
    </w:p>
    <w:p>
      <w:pPr>
        <w:ind w:right="40" w:firstLine="357"/>
        <w:spacing w:after="0" w:line="241" w:lineRule="auto"/>
        <w:rPr>
          <w:sz w:val="20"/>
          <w:szCs w:val="20"/>
          <w:color w:val="auto"/>
        </w:rPr>
      </w:pPr>
      <w:r>
        <w:rPr>
          <w:rFonts w:ascii="Arial" w:cs="Arial" w:eastAsia="Arial" w:hAnsi="Arial"/>
          <w:sz w:val="19"/>
          <w:szCs w:val="19"/>
          <w:color w:val="auto"/>
        </w:rPr>
        <w:t>Our backlog represents the estimated remaining value of work to be performed under firm contracts. Starting in 2018 following the adoption of the new revenue recognition standard, backlog is equal to our remaining performance obligations under the contracts that meet the new guidance on revenue from contracts with customers as discussed in Note 7 to the Consolidated Financial Statements. Backlog was $24,850 million and $17,690 million at December 31, 2018 and 2017. We expect to recognize approximately 56% of our remaining performance obligations as revenue in 2019, and the remaining balance thereafter.</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International Operations</w:t>
      </w:r>
    </w:p>
    <w:p>
      <w:pPr>
        <w:spacing w:after="0" w:line="130" w:lineRule="exact"/>
        <w:rPr>
          <w:sz w:val="20"/>
          <w:szCs w:val="20"/>
          <w:color w:val="auto"/>
        </w:rPr>
      </w:pPr>
    </w:p>
    <w:p>
      <w:pPr>
        <w:ind w:right="60" w:firstLine="357"/>
        <w:spacing w:after="0" w:line="242" w:lineRule="auto"/>
        <w:rPr>
          <w:sz w:val="20"/>
          <w:szCs w:val="20"/>
          <w:color w:val="auto"/>
        </w:rPr>
      </w:pPr>
      <w:r>
        <w:rPr>
          <w:rFonts w:ascii="Arial" w:cs="Arial" w:eastAsia="Arial" w:hAnsi="Arial"/>
          <w:sz w:val="19"/>
          <w:szCs w:val="19"/>
          <w:color w:val="auto"/>
        </w:rPr>
        <w:t>We are engaged in manufacturing, sales, service and research and development (R&amp;D) globally. U.S. exports and non-U.S. manufactured products are significant to our operations. U.S. exports comprised 13% of our total sales in 2018, 12% in 2017 and 13% in 2016. Non-U.S. manufactured products and services, mainly in Europe and Asia, were 43% of our total sales in 2018, 44% in 2017 and 43% in 2016.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6"/>
                <w:szCs w:val="16"/>
                <w:b w:val="1"/>
                <w:bCs w:val="1"/>
                <w:color w:val="auto"/>
              </w:rPr>
              <w:t>Year Ended December 31, 2018</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5"/>
        </w:trPr>
        <w:tc>
          <w:tcPr>
            <w:tcW w:w="5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8"/>
              </w:rPr>
              <w:t>Honeywell</w:t>
            </w:r>
          </w:p>
        </w:tc>
        <w:tc>
          <w:tcPr>
            <w:tcW w:w="300" w:type="dxa"/>
            <w:vAlign w:val="bottom"/>
          </w:tcPr>
          <w:p>
            <w:pPr>
              <w:spacing w:after="0"/>
              <w:rPr>
                <w:sz w:val="13"/>
                <w:szCs w:val="13"/>
                <w:color w:val="auto"/>
              </w:rPr>
            </w:pPr>
          </w:p>
        </w:tc>
        <w:tc>
          <w:tcPr>
            <w:tcW w:w="1280" w:type="dxa"/>
            <w:vAlign w:val="bottom"/>
          </w:tcPr>
          <w:p>
            <w:pPr>
              <w:ind w:left="140"/>
              <w:spacing w:after="0" w:line="155" w:lineRule="exact"/>
              <w:rPr>
                <w:sz w:val="20"/>
                <w:szCs w:val="20"/>
                <w:color w:val="auto"/>
              </w:rPr>
            </w:pPr>
            <w:r>
              <w:rPr>
                <w:rFonts w:ascii="Arial" w:cs="Arial" w:eastAsia="Arial" w:hAnsi="Arial"/>
                <w:sz w:val="16"/>
                <w:szCs w:val="16"/>
                <w:b w:val="1"/>
                <w:bCs w:val="1"/>
                <w:color w:val="auto"/>
              </w:rPr>
              <w:t>Performance</w:t>
            </w:r>
          </w:p>
        </w:tc>
        <w:tc>
          <w:tcPr>
            <w:tcW w:w="30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8"/>
              </w:rPr>
              <w:t>Safety and</w:t>
            </w:r>
          </w:p>
        </w:tc>
      </w:tr>
      <w:tr>
        <w:trPr>
          <w:trHeight w:val="176"/>
        </w:trPr>
        <w:tc>
          <w:tcPr>
            <w:tcW w:w="5520" w:type="dxa"/>
            <w:vAlign w:val="bottom"/>
          </w:tcPr>
          <w:p>
            <w:pPr>
              <w:ind w:left="1200"/>
              <w:spacing w:after="0" w:line="176" w:lineRule="exact"/>
              <w:rPr>
                <w:sz w:val="20"/>
                <w:szCs w:val="20"/>
                <w:color w:val="auto"/>
              </w:rPr>
            </w:pPr>
            <w:r>
              <w:rPr>
                <w:rFonts w:ascii="Arial" w:cs="Arial" w:eastAsia="Arial" w:hAnsi="Arial"/>
                <w:sz w:val="16"/>
                <w:szCs w:val="16"/>
                <w:b w:val="1"/>
                <w:bCs w:val="1"/>
                <w:color w:val="auto"/>
              </w:rPr>
              <w:t>Manufactured Products and Systems and</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6"/>
              </w:rPr>
              <w:t>Building</w:t>
            </w:r>
          </w:p>
        </w:tc>
        <w:tc>
          <w:tcPr>
            <w:tcW w:w="300" w:type="dxa"/>
            <w:vAlign w:val="bottom"/>
          </w:tcPr>
          <w:p>
            <w:pPr>
              <w:spacing w:after="0"/>
              <w:rPr>
                <w:sz w:val="15"/>
                <w:szCs w:val="15"/>
                <w:color w:val="auto"/>
              </w:rPr>
            </w:pPr>
          </w:p>
        </w:tc>
        <w:tc>
          <w:tcPr>
            <w:tcW w:w="1280" w:type="dxa"/>
            <w:vAlign w:val="bottom"/>
          </w:tcPr>
          <w:p>
            <w:pPr>
              <w:ind w:left="120"/>
              <w:spacing w:after="0" w:line="176" w:lineRule="exact"/>
              <w:rPr>
                <w:sz w:val="20"/>
                <w:szCs w:val="20"/>
                <w:color w:val="auto"/>
              </w:rPr>
            </w:pPr>
            <w:r>
              <w:rPr>
                <w:rFonts w:ascii="Arial" w:cs="Arial" w:eastAsia="Arial" w:hAnsi="Arial"/>
                <w:sz w:val="16"/>
                <w:szCs w:val="16"/>
                <w:b w:val="1"/>
                <w:bCs w:val="1"/>
                <w:color w:val="auto"/>
              </w:rPr>
              <w:t>Materials and</w:t>
            </w:r>
          </w:p>
        </w:tc>
        <w:tc>
          <w:tcPr>
            <w:tcW w:w="30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Productivity</w:t>
            </w:r>
          </w:p>
        </w:tc>
      </w:tr>
      <w:tr>
        <w:trPr>
          <w:trHeight w:val="190"/>
        </w:trPr>
        <w:tc>
          <w:tcPr>
            <w:tcW w:w="5520" w:type="dxa"/>
            <w:vAlign w:val="bottom"/>
            <w:tcBorders>
              <w:bottom w:val="single" w:sz="8" w:color="auto"/>
            </w:tcBorders>
          </w:tcPr>
          <w:p>
            <w:pPr>
              <w:ind w:left="1920"/>
              <w:spacing w:after="0"/>
              <w:rPr>
                <w:sz w:val="20"/>
                <w:szCs w:val="20"/>
                <w:color w:val="auto"/>
              </w:rPr>
            </w:pPr>
            <w:r>
              <w:rPr>
                <w:rFonts w:ascii="Arial" w:cs="Arial" w:eastAsia="Arial" w:hAnsi="Arial"/>
                <w:sz w:val="16"/>
                <w:szCs w:val="16"/>
                <w:b w:val="1"/>
                <w:bCs w:val="1"/>
                <w:color w:val="auto"/>
              </w:rPr>
              <w:t>Performance of Services</w:t>
            </w:r>
          </w:p>
        </w:tc>
        <w:tc>
          <w:tcPr>
            <w:tcW w:w="300" w:type="dxa"/>
            <w:vAlign w:val="bottom"/>
          </w:tcPr>
          <w:p>
            <w:pPr>
              <w:spacing w:after="0"/>
              <w:rPr>
                <w:sz w:val="16"/>
                <w:szCs w:val="16"/>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Aerospace</w:t>
            </w:r>
          </w:p>
        </w:tc>
        <w:tc>
          <w:tcPr>
            <w:tcW w:w="3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Technologies</w:t>
            </w:r>
          </w:p>
        </w:tc>
        <w:tc>
          <w:tcPr>
            <w:tcW w:w="300" w:type="dxa"/>
            <w:vAlign w:val="bottom"/>
          </w:tcPr>
          <w:p>
            <w:pPr>
              <w:spacing w:after="0"/>
              <w:rPr>
                <w:sz w:val="16"/>
                <w:szCs w:val="16"/>
                <w:color w:val="auto"/>
              </w:rPr>
            </w:pP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Technologies</w:t>
            </w:r>
          </w:p>
        </w:tc>
        <w:tc>
          <w:tcPr>
            <w:tcW w:w="3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Solutions</w:t>
            </w:r>
          </w:p>
        </w:tc>
      </w:tr>
      <w:tr>
        <w:trPr>
          <w:trHeight w:val="237"/>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3"/>
          </w:tcPr>
          <w:p>
            <w:pPr>
              <w:jc w:val="right"/>
              <w:ind w:right="441"/>
              <w:spacing w:after="0"/>
              <w:rPr>
                <w:sz w:val="20"/>
                <w:szCs w:val="20"/>
                <w:color w:val="auto"/>
              </w:rPr>
            </w:pPr>
            <w:r>
              <w:rPr>
                <w:rFonts w:ascii="Arial" w:cs="Arial" w:eastAsia="Arial" w:hAnsi="Arial"/>
                <w:sz w:val="16"/>
                <w:szCs w:val="16"/>
                <w:b w:val="1"/>
                <w:bCs w:val="1"/>
                <w:color w:val="auto"/>
              </w:rPr>
              <w:t>(% of Segment Sales)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3"/>
        </w:trPr>
        <w:tc>
          <w:tcPr>
            <w:tcW w:w="5520" w:type="dxa"/>
            <w:vAlign w:val="bottom"/>
            <w:shd w:val="clear" w:color="auto" w:fill="E5FFFF"/>
          </w:tcPr>
          <w:p>
            <w:pPr>
              <w:spacing w:after="0"/>
              <w:rPr>
                <w:sz w:val="20"/>
                <w:szCs w:val="20"/>
                <w:color w:val="auto"/>
              </w:rPr>
            </w:pPr>
            <w:r>
              <w:rPr>
                <w:rFonts w:ascii="Arial" w:cs="Arial" w:eastAsia="Arial" w:hAnsi="Arial"/>
                <w:sz w:val="19"/>
                <w:szCs w:val="19"/>
                <w:color w:val="auto"/>
              </w:rPr>
              <w:t>U.S. Exports</w:t>
            </w:r>
          </w:p>
        </w:tc>
        <w:tc>
          <w:tcPr>
            <w:tcW w:w="128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21%</w:t>
            </w:r>
          </w:p>
        </w:tc>
        <w:tc>
          <w:tcPr>
            <w:tcW w:w="1560" w:type="dxa"/>
            <w:vAlign w:val="bottom"/>
            <w:gridSpan w:val="2"/>
            <w:shd w:val="clear" w:color="auto" w:fill="E5FFFF"/>
          </w:tcPr>
          <w:p>
            <w:pPr>
              <w:jc w:val="right"/>
              <w:ind w:right="261"/>
              <w:spacing w:after="0"/>
              <w:rPr>
                <w:sz w:val="20"/>
                <w:szCs w:val="20"/>
                <w:color w:val="auto"/>
              </w:rPr>
            </w:pPr>
            <w:r>
              <w:rPr>
                <w:rFonts w:ascii="Arial" w:cs="Arial" w:eastAsia="Arial" w:hAnsi="Arial"/>
                <w:sz w:val="19"/>
                <w:szCs w:val="19"/>
                <w:color w:val="auto"/>
              </w:rPr>
              <w:t>1%</w:t>
            </w:r>
          </w:p>
        </w:tc>
        <w:tc>
          <w:tcPr>
            <w:tcW w:w="1580" w:type="dxa"/>
            <w:vAlign w:val="bottom"/>
            <w:gridSpan w:val="2"/>
            <w:shd w:val="clear" w:color="auto" w:fill="E5FFFF"/>
          </w:tcPr>
          <w:p>
            <w:pPr>
              <w:jc w:val="right"/>
              <w:ind w:right="281"/>
              <w:spacing w:after="0"/>
              <w:rPr>
                <w:sz w:val="20"/>
                <w:szCs w:val="20"/>
                <w:color w:val="auto"/>
              </w:rPr>
            </w:pPr>
            <w:r>
              <w:rPr>
                <w:rFonts w:ascii="Arial" w:cs="Arial" w:eastAsia="Arial" w:hAnsi="Arial"/>
                <w:sz w:val="19"/>
                <w:szCs w:val="19"/>
                <w:color w:val="auto"/>
              </w:rPr>
              <w:t>16%</w:t>
            </w:r>
          </w:p>
        </w:tc>
        <w:tc>
          <w:tcPr>
            <w:tcW w:w="14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3%</w:t>
            </w:r>
          </w:p>
        </w:tc>
      </w:tr>
      <w:tr>
        <w:trPr>
          <w:trHeight w:val="261"/>
        </w:trPr>
        <w:tc>
          <w:tcPr>
            <w:tcW w:w="5520" w:type="dxa"/>
            <w:vAlign w:val="bottom"/>
          </w:tcPr>
          <w:p>
            <w:pPr>
              <w:spacing w:after="0"/>
              <w:rPr>
                <w:sz w:val="20"/>
                <w:szCs w:val="20"/>
                <w:color w:val="auto"/>
              </w:rPr>
            </w:pPr>
            <w:r>
              <w:rPr>
                <w:rFonts w:ascii="Arial" w:cs="Arial" w:eastAsia="Arial" w:hAnsi="Arial"/>
                <w:sz w:val="19"/>
                <w:szCs w:val="19"/>
                <w:color w:val="auto"/>
              </w:rPr>
              <w:t>Non-U.S.</w:t>
            </w:r>
          </w:p>
        </w:tc>
        <w:tc>
          <w:tcPr>
            <w:tcW w:w="1280" w:type="dxa"/>
            <w:vAlign w:val="bottom"/>
            <w:gridSpan w:val="2"/>
          </w:tcPr>
          <w:p>
            <w:pPr>
              <w:jc w:val="right"/>
              <w:ind w:right="161"/>
              <w:spacing w:after="0"/>
              <w:rPr>
                <w:sz w:val="20"/>
                <w:szCs w:val="20"/>
                <w:color w:val="auto"/>
              </w:rPr>
            </w:pPr>
            <w:r>
              <w:rPr>
                <w:rFonts w:ascii="Arial" w:cs="Arial" w:eastAsia="Arial" w:hAnsi="Arial"/>
                <w:sz w:val="19"/>
                <w:szCs w:val="19"/>
                <w:color w:val="auto"/>
              </w:rPr>
              <w:t>31%</w:t>
            </w:r>
          </w:p>
        </w:tc>
        <w:tc>
          <w:tcPr>
            <w:tcW w:w="1560" w:type="dxa"/>
            <w:vAlign w:val="bottom"/>
            <w:gridSpan w:val="2"/>
          </w:tcPr>
          <w:p>
            <w:pPr>
              <w:jc w:val="right"/>
              <w:ind w:right="261"/>
              <w:spacing w:after="0"/>
              <w:rPr>
                <w:sz w:val="20"/>
                <w:szCs w:val="20"/>
                <w:color w:val="auto"/>
              </w:rPr>
            </w:pPr>
            <w:r>
              <w:rPr>
                <w:rFonts w:ascii="Arial" w:cs="Arial" w:eastAsia="Arial" w:hAnsi="Arial"/>
                <w:sz w:val="19"/>
                <w:szCs w:val="19"/>
                <w:color w:val="auto"/>
              </w:rPr>
              <w:t>52%</w:t>
            </w:r>
          </w:p>
        </w:tc>
        <w:tc>
          <w:tcPr>
            <w:tcW w:w="1580" w:type="dxa"/>
            <w:vAlign w:val="bottom"/>
            <w:gridSpan w:val="2"/>
          </w:tcPr>
          <w:p>
            <w:pPr>
              <w:jc w:val="right"/>
              <w:ind w:right="281"/>
              <w:spacing w:after="0"/>
              <w:rPr>
                <w:sz w:val="20"/>
                <w:szCs w:val="20"/>
                <w:color w:val="auto"/>
              </w:rPr>
            </w:pPr>
            <w:r>
              <w:rPr>
                <w:rFonts w:ascii="Arial" w:cs="Arial" w:eastAsia="Arial" w:hAnsi="Arial"/>
                <w:sz w:val="19"/>
                <w:szCs w:val="19"/>
                <w:color w:val="auto"/>
              </w:rPr>
              <w:t>55%</w:t>
            </w:r>
          </w:p>
        </w:tc>
        <w:tc>
          <w:tcPr>
            <w:tcW w:w="1480" w:type="dxa"/>
            <w:vAlign w:val="bottom"/>
            <w:gridSpan w:val="2"/>
          </w:tcPr>
          <w:p>
            <w:pPr>
              <w:jc w:val="right"/>
              <w:ind w:right="241"/>
              <w:spacing w:after="0"/>
              <w:rPr>
                <w:sz w:val="20"/>
                <w:szCs w:val="20"/>
                <w:color w:val="auto"/>
              </w:rPr>
            </w:pPr>
            <w:r>
              <w:rPr>
                <w:rFonts w:ascii="Arial" w:cs="Arial" w:eastAsia="Arial" w:hAnsi="Arial"/>
                <w:sz w:val="19"/>
                <w:szCs w:val="19"/>
                <w:color w:val="auto"/>
              </w:rPr>
              <w:t>40%</w:t>
            </w:r>
          </w:p>
        </w:tc>
      </w:tr>
    </w:tbl>
    <w:p>
      <w:pPr>
        <w:spacing w:after="0" w:line="91" w:lineRule="exact"/>
        <w:rPr>
          <w:sz w:val="20"/>
          <w:szCs w:val="20"/>
          <w:color w:val="auto"/>
        </w:rPr>
      </w:pPr>
    </w:p>
    <w:p>
      <w:pPr>
        <w:ind w:right="1120" w:firstLine="357"/>
        <w:spacing w:after="0" w:line="253" w:lineRule="auto"/>
        <w:rPr>
          <w:sz w:val="20"/>
          <w:szCs w:val="20"/>
          <w:color w:val="auto"/>
        </w:rPr>
      </w:pPr>
      <w:r>
        <w:rPr>
          <w:rFonts w:ascii="Arial" w:cs="Arial" w:eastAsia="Arial" w:hAnsi="Arial"/>
          <w:sz w:val="19"/>
          <w:szCs w:val="19"/>
          <w:color w:val="auto"/>
        </w:rPr>
        <w:t>Information related to risks attendant to our foreign operations is included in Item 1A. Risk Factors under the caption “Macroeconomic and Industry Risks.”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Raw Materials</w:t>
      </w:r>
    </w:p>
    <w:p>
      <w:pPr>
        <w:spacing w:after="0" w:line="130" w:lineRule="exact"/>
        <w:rPr>
          <w:sz w:val="20"/>
          <w:szCs w:val="20"/>
          <w:color w:val="auto"/>
        </w:rPr>
      </w:pPr>
    </w:p>
    <w:p>
      <w:pPr>
        <w:ind w:right="320" w:firstLine="357"/>
        <w:spacing w:after="0" w:line="245" w:lineRule="auto"/>
        <w:rPr>
          <w:sz w:val="20"/>
          <w:szCs w:val="20"/>
          <w:color w:val="auto"/>
        </w:rPr>
      </w:pPr>
      <w:r>
        <w:rPr>
          <w:rFonts w:ascii="Arial" w:cs="Arial" w:eastAsia="Arial" w:hAnsi="Arial"/>
          <w:sz w:val="19"/>
          <w:szCs w:val="19"/>
          <w:color w:val="auto"/>
        </w:rPr>
        <w:t>The principal raw materials used in our operations are generally readily available. Although we occasionally experience disruption in raw materials supply, we experienced no significant problems in the purchase of key raw materials or commodities in 2018. We are not dependent on any one supplier for a material amount of our raw materials.</w:t>
      </w:r>
    </w:p>
    <w:p>
      <w:pPr>
        <w:spacing w:after="0" w:line="87" w:lineRule="exact"/>
        <w:rPr>
          <w:sz w:val="20"/>
          <w:szCs w:val="20"/>
          <w:color w:val="auto"/>
        </w:rPr>
      </w:pPr>
    </w:p>
    <w:p>
      <w:pPr>
        <w:ind w:right="500" w:firstLine="357"/>
        <w:spacing w:after="0" w:line="241" w:lineRule="auto"/>
        <w:rPr>
          <w:sz w:val="20"/>
          <w:szCs w:val="20"/>
          <w:color w:val="auto"/>
        </w:rPr>
      </w:pPr>
      <w:r>
        <w:rPr>
          <w:rFonts w:ascii="Arial" w:cs="Arial" w:eastAsia="Arial" w:hAnsi="Arial"/>
          <w:sz w:val="19"/>
          <w:szCs w:val="19"/>
          <w:color w:val="auto"/>
        </w:rPr>
        <w:t>The costs of certain key raw materials, including R240, copper, fluorspar, tungsten salts, ethylene, and perchloroethylene in Performance Materials and Technologies and nickel, steel, titanium and other metals in Aerospace, are expected to continue to fluctuate. We will continue to attempt to offset raw material cost increases with formula or long-term supply agreements, price increases and hedging activities where feasible. We do not presently anticipate that a shortage of raw materials will cause any material adverse impacts during 2019.</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t>Patents, Trademarks, Licenses and Distribution Rights</w:t>
      </w:r>
    </w:p>
    <w:p>
      <w:pPr>
        <w:spacing w:after="0" w:line="130" w:lineRule="exact"/>
        <w:rPr>
          <w:sz w:val="20"/>
          <w:szCs w:val="20"/>
          <w:color w:val="auto"/>
        </w:rPr>
      </w:pPr>
    </w:p>
    <w:p>
      <w:pPr>
        <w:jc w:val="both"/>
        <w:ind w:right="80" w:firstLine="357"/>
        <w:spacing w:after="0" w:line="241" w:lineRule="auto"/>
        <w:rPr>
          <w:sz w:val="20"/>
          <w:szCs w:val="20"/>
          <w:color w:val="auto"/>
        </w:rPr>
      </w:pPr>
      <w:r>
        <w:rPr>
          <w:rFonts w:ascii="Arial" w:cs="Arial" w:eastAsia="Arial" w:hAnsi="Arial"/>
          <w:sz w:val="19"/>
          <w:szCs w:val="19"/>
          <w:color w:val="auto"/>
        </w:rPr>
        <w:t>Our segments are not dependent upon any single patent or related group of patents, or any licenses or distribution rights. In our judgment, our intellectual property rights are adequate for the conduct of our business. We believe that, in the aggregate, the rights under our patents, trademarks and licenses are generally important to our operations, but we do not consider any individual patent, trademark or any licensing or distribution rights related to a specific process or product to be of material importance in relation to our total business.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w:t>
      </w:r>
    </w:p>
    <w:p>
      <w:pPr>
        <w:spacing w:after="0" w:line="130"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We are subject to various federal, state, local and foreign government requirements regarding protection of human health and the environment. We believe that, as a general matter, our policies, practices and procedures are properly designed to prevent unreasonable risk of environmental damage, and of resulting financial liability, in connection with our business. Some risk of environmental damage is, however, inherent in some of our operations and products, as it is with other companies engaged in similar businesses.</w:t>
      </w:r>
    </w:p>
    <w:p>
      <w:pPr>
        <w:spacing w:after="0" w:line="78"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We are and have been engaged in the handling, manufacturing, use and disposal of many substances classified as hazardous by one or more regulatory agencies. We believe that, as a general matter, our policies, practices and procedures are properly designed to prevent unreasonable risk of environmental damage and personal injury, and that our handling, manufacture, use and disposal of these substances are in accord with environmental and safety laws and regulations. It is also possible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spacing w:after="0" w:line="91"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Among other environmental requirements, we are subject to the federal Superfund and similar state and foreign laws and regulations, under which we have been designated as a potentially responsible party that may be liable for cleanup costs associated with current and former operating sites and various hazardous waste sites, some of which are on the U.S. Environmental Protection Agency’s National Priority List. Although there is a possibility that a responsible party might have to bear more than its proportional share of the cleanup costs if it is unable to obtain appropriate contribution from other responsible parties, we do not anticipate having to bear significantly more than our proportional share in multi-party situations taken as a whole.</w:t>
      </w:r>
    </w:p>
    <w:p>
      <w:pPr>
        <w:spacing w:after="0" w:line="94"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color w:val="auto"/>
        </w:rPr>
        <w:t>We do not believe that existing or pending climate change legislation, regulation, or international treaties or accords are reasonably likely to have a material effect in the foreseeable future on the Company’s business or markets that it serves, nor on its results of operations, capital expenditures, earnings, competitive position or financial standing. We will continue to monitor emerging developments in this area.</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Employees</w:t>
      </w:r>
    </w:p>
    <w:p>
      <w:pPr>
        <w:spacing w:after="0" w:line="130" w:lineRule="exact"/>
        <w:rPr>
          <w:sz w:val="20"/>
          <w:szCs w:val="20"/>
          <w:color w:val="auto"/>
        </w:rPr>
      </w:pPr>
    </w:p>
    <w:p>
      <w:pPr>
        <w:ind w:right="380" w:firstLine="357"/>
        <w:spacing w:after="0" w:line="253" w:lineRule="auto"/>
        <w:rPr>
          <w:sz w:val="20"/>
          <w:szCs w:val="20"/>
          <w:color w:val="auto"/>
        </w:rPr>
      </w:pPr>
      <w:r>
        <w:rPr>
          <w:rFonts w:ascii="Arial" w:cs="Arial" w:eastAsia="Arial" w:hAnsi="Arial"/>
          <w:sz w:val="19"/>
          <w:szCs w:val="19"/>
          <w:color w:val="auto"/>
        </w:rPr>
        <w:t>We have approximately 114,000 employees at December 31, 2018, of whom approximately 44,000 are located in the United States.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5" w:right="25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Executive Officers of the Registrant</w:t>
      </w:r>
    </w:p>
    <w:p>
      <w:pPr>
        <w:spacing w:after="0" w:line="130" w:lineRule="exact"/>
        <w:rPr>
          <w:sz w:val="20"/>
          <w:szCs w:val="20"/>
          <w:color w:val="auto"/>
        </w:rPr>
      </w:pPr>
    </w:p>
    <w:p>
      <w:pPr>
        <w:ind w:right="720" w:firstLine="357"/>
        <w:spacing w:after="0" w:line="246" w:lineRule="auto"/>
        <w:rPr>
          <w:sz w:val="20"/>
          <w:szCs w:val="20"/>
          <w:color w:val="auto"/>
        </w:rPr>
      </w:pPr>
      <w:r>
        <w:rPr>
          <w:rFonts w:ascii="Arial" w:cs="Arial" w:eastAsia="Arial" w:hAnsi="Arial"/>
          <w:sz w:val="19"/>
          <w:szCs w:val="19"/>
          <w:color w:val="auto"/>
        </w:rPr>
        <w:t>The executive officers of Honeywell, listed as follows, are elected annually by the Board of Directors. There are no family relationships among them.</w:t>
      </w:r>
    </w:p>
    <w:tbl>
      <w:tblPr>
        <w:tblLayout w:type="fixed"/>
        <w:tblInd w:w="0" w:type="dxa"/>
        <w:tblCellMar>
          <w:top w:w="0" w:type="dxa"/>
          <w:left w:w="0" w:type="dxa"/>
          <w:bottom w:w="0" w:type="dxa"/>
          <w:right w:w="0" w:type="dxa"/>
        </w:tblCellMar>
      </w:tblPr>
      <w:tr>
        <w:trPr>
          <w:trHeight w:val="172"/>
        </w:trPr>
        <w:tc>
          <w:tcPr>
            <w:tcW w:w="384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98"/>
              </w:rPr>
              <w:t>Name, Age,</w:t>
            </w:r>
          </w:p>
        </w:tc>
        <w:tc>
          <w:tcPr>
            <w:tcW w:w="300" w:type="dxa"/>
            <w:vAlign w:val="bottom"/>
          </w:tcPr>
          <w:p>
            <w:pPr>
              <w:spacing w:after="0"/>
              <w:rPr>
                <w:sz w:val="14"/>
                <w:szCs w:val="14"/>
                <w:color w:val="auto"/>
              </w:rPr>
            </w:pPr>
          </w:p>
        </w:tc>
        <w:tc>
          <w:tcPr>
            <w:tcW w:w="7280" w:type="dxa"/>
            <w:vAlign w:val="bottom"/>
          </w:tcPr>
          <w:p>
            <w:pPr>
              <w:spacing w:after="0"/>
              <w:rPr>
                <w:sz w:val="14"/>
                <w:szCs w:val="14"/>
                <w:color w:val="auto"/>
              </w:rPr>
            </w:pPr>
          </w:p>
        </w:tc>
      </w:tr>
      <w:tr>
        <w:trPr>
          <w:trHeight w:val="176"/>
        </w:trPr>
        <w:tc>
          <w:tcPr>
            <w:tcW w:w="3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Date First</w:t>
            </w:r>
          </w:p>
        </w:tc>
        <w:tc>
          <w:tcPr>
            <w:tcW w:w="300" w:type="dxa"/>
            <w:vAlign w:val="bottom"/>
          </w:tcPr>
          <w:p>
            <w:pPr>
              <w:spacing w:after="0"/>
              <w:rPr>
                <w:sz w:val="15"/>
                <w:szCs w:val="15"/>
                <w:color w:val="auto"/>
              </w:rPr>
            </w:pPr>
          </w:p>
        </w:tc>
        <w:tc>
          <w:tcPr>
            <w:tcW w:w="7280" w:type="dxa"/>
            <w:vAlign w:val="bottom"/>
          </w:tcPr>
          <w:p>
            <w:pPr>
              <w:spacing w:after="0"/>
              <w:rPr>
                <w:sz w:val="15"/>
                <w:szCs w:val="15"/>
                <w:color w:val="auto"/>
              </w:rPr>
            </w:pPr>
          </w:p>
        </w:tc>
      </w:tr>
      <w:tr>
        <w:trPr>
          <w:trHeight w:val="176"/>
        </w:trPr>
        <w:tc>
          <w:tcPr>
            <w:tcW w:w="3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Elected an</w:t>
            </w:r>
          </w:p>
        </w:tc>
        <w:tc>
          <w:tcPr>
            <w:tcW w:w="300" w:type="dxa"/>
            <w:vAlign w:val="bottom"/>
          </w:tcPr>
          <w:p>
            <w:pPr>
              <w:spacing w:after="0"/>
              <w:rPr>
                <w:sz w:val="15"/>
                <w:szCs w:val="15"/>
                <w:color w:val="auto"/>
              </w:rPr>
            </w:pPr>
          </w:p>
        </w:tc>
        <w:tc>
          <w:tcPr>
            <w:tcW w:w="7280" w:type="dxa"/>
            <w:vAlign w:val="bottom"/>
          </w:tcPr>
          <w:p>
            <w:pPr>
              <w:spacing w:after="0"/>
              <w:rPr>
                <w:sz w:val="15"/>
                <w:szCs w:val="15"/>
                <w:color w:val="auto"/>
              </w:rPr>
            </w:pPr>
          </w:p>
        </w:tc>
      </w:tr>
      <w:tr>
        <w:trPr>
          <w:trHeight w:val="190"/>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Executive Officer</w:t>
            </w:r>
          </w:p>
        </w:tc>
        <w:tc>
          <w:tcPr>
            <w:tcW w:w="300" w:type="dxa"/>
            <w:vAlign w:val="bottom"/>
          </w:tcPr>
          <w:p>
            <w:pPr>
              <w:spacing w:after="0"/>
              <w:rPr>
                <w:sz w:val="16"/>
                <w:szCs w:val="16"/>
                <w:color w:val="auto"/>
              </w:rPr>
            </w:pPr>
          </w:p>
        </w:tc>
        <w:tc>
          <w:tcPr>
            <w:tcW w:w="7280" w:type="dxa"/>
            <w:vAlign w:val="bottom"/>
            <w:tcBorders>
              <w:bottom w:val="single" w:sz="8" w:color="auto"/>
            </w:tcBorders>
          </w:tcPr>
          <w:p>
            <w:pPr>
              <w:ind w:left="2840"/>
              <w:spacing w:after="0"/>
              <w:rPr>
                <w:sz w:val="20"/>
                <w:szCs w:val="20"/>
                <w:color w:val="auto"/>
              </w:rPr>
            </w:pPr>
            <w:r>
              <w:rPr>
                <w:rFonts w:ascii="Arial" w:cs="Arial" w:eastAsia="Arial" w:hAnsi="Arial"/>
                <w:sz w:val="16"/>
                <w:szCs w:val="16"/>
                <w:b w:val="1"/>
                <w:bCs w:val="1"/>
                <w:color w:val="auto"/>
              </w:rPr>
              <w:t>Business Experience</w:t>
            </w:r>
          </w:p>
        </w:tc>
      </w:tr>
      <w:tr>
        <w:trPr>
          <w:trHeight w:val="192"/>
        </w:trPr>
        <w:tc>
          <w:tcPr>
            <w:tcW w:w="3840" w:type="dxa"/>
            <w:vAlign w:val="bottom"/>
          </w:tcPr>
          <w:p>
            <w:pPr>
              <w:jc w:val="center"/>
              <w:spacing w:after="0" w:line="192" w:lineRule="exact"/>
              <w:rPr>
                <w:sz w:val="20"/>
                <w:szCs w:val="20"/>
                <w:color w:val="auto"/>
              </w:rPr>
            </w:pPr>
            <w:r>
              <w:rPr>
                <w:rFonts w:ascii="Arial" w:cs="Arial" w:eastAsia="Arial" w:hAnsi="Arial"/>
                <w:sz w:val="18"/>
                <w:szCs w:val="18"/>
                <w:color w:val="auto"/>
              </w:rPr>
              <w:t>Darius Adamczyk, 53</w:t>
            </w:r>
          </w:p>
        </w:tc>
        <w:tc>
          <w:tcPr>
            <w:tcW w:w="300" w:type="dxa"/>
            <w:vAlign w:val="bottom"/>
          </w:tcPr>
          <w:p>
            <w:pPr>
              <w:spacing w:after="0"/>
              <w:rPr>
                <w:sz w:val="16"/>
                <w:szCs w:val="16"/>
                <w:color w:val="auto"/>
              </w:rPr>
            </w:pPr>
          </w:p>
        </w:tc>
        <w:tc>
          <w:tcPr>
            <w:tcW w:w="7280" w:type="dxa"/>
            <w:vAlign w:val="bottom"/>
          </w:tcPr>
          <w:p>
            <w:pPr>
              <w:spacing w:after="0" w:line="192" w:lineRule="exact"/>
              <w:rPr>
                <w:sz w:val="20"/>
                <w:szCs w:val="20"/>
                <w:color w:val="auto"/>
              </w:rPr>
            </w:pPr>
            <w:r>
              <w:rPr>
                <w:rFonts w:ascii="Arial" w:cs="Arial" w:eastAsia="Arial" w:hAnsi="Arial"/>
                <w:sz w:val="18"/>
                <w:szCs w:val="18"/>
                <w:color w:val="auto"/>
              </w:rPr>
              <w:t>Chairman of the Board and Chief Executive Officer since April 2018. President and Chief</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2017</w:t>
            </w:r>
            <w:r>
              <w:rPr>
                <w:rFonts w:ascii="Arial" w:cs="Arial" w:eastAsia="Arial" w:hAnsi="Arial"/>
                <w:sz w:val="10"/>
                <w:szCs w:val="10"/>
                <w:color w:val="auto"/>
              </w:rPr>
              <w:t>(a)</w:t>
            </w: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Executive Officer from April 2017 to April 2018. Chief Operating Officer from April 2016</w:t>
            </w:r>
          </w:p>
        </w:tc>
      </w:tr>
      <w:tr>
        <w:trPr>
          <w:trHeight w:val="203"/>
        </w:trPr>
        <w:tc>
          <w:tcPr>
            <w:tcW w:w="3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to March 2017. President and Chief Executive Officer Performance Materials and</w:t>
            </w:r>
          </w:p>
        </w:tc>
      </w:tr>
      <w:tr>
        <w:trPr>
          <w:trHeight w:val="203"/>
        </w:trPr>
        <w:tc>
          <w:tcPr>
            <w:tcW w:w="3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Technologies from April 2014 to April 2016. President of Honeywell Process Solutions</w:t>
            </w:r>
          </w:p>
        </w:tc>
      </w:tr>
      <w:tr>
        <w:trPr>
          <w:trHeight w:val="203"/>
        </w:trPr>
        <w:tc>
          <w:tcPr>
            <w:tcW w:w="3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from April 2012 to April 2014.</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Que Thanh Dallara, 45</w:t>
            </w:r>
          </w:p>
        </w:tc>
        <w:tc>
          <w:tcPr>
            <w:tcW w:w="75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President and Chief Executive Officer Connected Enterprise since October 2018. Vice</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2018</w:t>
            </w: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President and Chief Commercial Officer from January 2017 to October 2018.</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Rajeev Gautam, 66</w:t>
            </w:r>
          </w:p>
        </w:tc>
        <w:tc>
          <w:tcPr>
            <w:tcW w:w="75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President and Chief Executive Officer Performance Materials and Technologies since</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2016</w:t>
            </w: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April 2016. President of Honeywell UOP from January 2009 to April 2016.</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Mark R. James, 57</w:t>
            </w:r>
          </w:p>
        </w:tc>
        <w:tc>
          <w:tcPr>
            <w:tcW w:w="75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Senior Vice President Human Resources, Security and Communications since November</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2007</w:t>
            </w:r>
          </w:p>
        </w:tc>
        <w:tc>
          <w:tcPr>
            <w:tcW w:w="758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2007.</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Vimal Kapur, 53</w:t>
            </w:r>
          </w:p>
        </w:tc>
        <w:tc>
          <w:tcPr>
            <w:tcW w:w="75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President and Chief Executive Officer Honeywell Building Technologies since May 2018.</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2018</w:t>
            </w: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President of Honeywell Process Solutions from 2014 to May 2018.</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Gregory P. Lewis, 51</w:t>
            </w:r>
          </w:p>
        </w:tc>
        <w:tc>
          <w:tcPr>
            <w:tcW w:w="75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Senior Vice President and Chief Financial Officer since August 2018. Vice President of</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2018</w:t>
            </w: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Enterprise Information Management from October 2016 to April 2018, prior to being</w:t>
            </w:r>
          </w:p>
        </w:tc>
      </w:tr>
      <w:tr>
        <w:trPr>
          <w:trHeight w:val="203"/>
        </w:trPr>
        <w:tc>
          <w:tcPr>
            <w:tcW w:w="3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named Vice President, Corporate Finance in May 2018. Chief Financial Officer of</w:t>
            </w:r>
          </w:p>
        </w:tc>
      </w:tr>
      <w:tr>
        <w:trPr>
          <w:trHeight w:val="203"/>
        </w:trPr>
        <w:tc>
          <w:tcPr>
            <w:tcW w:w="3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Automation and Control Solutions from April 2013 to September 2016.</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Anne T. Madden, 54</w:t>
            </w:r>
          </w:p>
        </w:tc>
        <w:tc>
          <w:tcPr>
            <w:tcW w:w="75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Senior Vice President and General Counsel since October 2017. Also Corporate</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2017</w:t>
            </w: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Secretary since February 2018. Vice President of Corporate Development and Global</w:t>
            </w:r>
          </w:p>
        </w:tc>
      </w:tr>
      <w:tr>
        <w:trPr>
          <w:trHeight w:val="203"/>
        </w:trPr>
        <w:tc>
          <w:tcPr>
            <w:tcW w:w="3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Head of M&amp;A from January 2002 to October 2017.</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Timothy O. Mahoney, 62</w:t>
            </w:r>
          </w:p>
        </w:tc>
        <w:tc>
          <w:tcPr>
            <w:tcW w:w="75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President and Chief Executive Officer Aerospace since September 2009.</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2009</w:t>
            </w:r>
          </w:p>
        </w:tc>
        <w:tc>
          <w:tcPr>
            <w:tcW w:w="30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Krishna Mikkilineni, 59</w:t>
            </w:r>
          </w:p>
        </w:tc>
        <w:tc>
          <w:tcPr>
            <w:tcW w:w="75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Senior Vice President Engineering and Information Technology since April 2013.</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2010</w:t>
            </w:r>
            <w:r>
              <w:rPr>
                <w:rFonts w:ascii="Arial" w:cs="Arial" w:eastAsia="Arial" w:hAnsi="Arial"/>
                <w:sz w:val="10"/>
                <w:szCs w:val="10"/>
                <w:color w:val="auto"/>
              </w:rPr>
              <w:t>(b)</w:t>
            </w:r>
          </w:p>
        </w:tc>
        <w:tc>
          <w:tcPr>
            <w:tcW w:w="30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w w:val="99"/>
              </w:rPr>
              <w:t>John F. Waldron, 43</w:t>
            </w:r>
          </w:p>
        </w:tc>
        <w:tc>
          <w:tcPr>
            <w:tcW w:w="75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President and Chief Executive Officer, Safety and Productivity Solutions since July 2016.</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2016</w:t>
            </w: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President of Sensing and Productivity Solutions from July 2015 to July 2016. President</w:t>
            </w:r>
          </w:p>
        </w:tc>
      </w:tr>
      <w:tr>
        <w:trPr>
          <w:trHeight w:val="220"/>
        </w:trPr>
        <w:tc>
          <w:tcPr>
            <w:tcW w:w="3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80" w:type="dxa"/>
            <w:vAlign w:val="bottom"/>
          </w:tcPr>
          <w:p>
            <w:pPr>
              <w:ind w:left="220"/>
              <w:spacing w:after="0"/>
              <w:rPr>
                <w:sz w:val="20"/>
                <w:szCs w:val="20"/>
                <w:color w:val="auto"/>
              </w:rPr>
            </w:pPr>
            <w:r>
              <w:rPr>
                <w:rFonts w:ascii="Arial" w:cs="Arial" w:eastAsia="Arial" w:hAnsi="Arial"/>
                <w:sz w:val="18"/>
                <w:szCs w:val="18"/>
                <w:color w:val="auto"/>
              </w:rPr>
              <w:t>of Scanning and Mobility from April 2012 to July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97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420" w:hanging="338"/>
        <w:spacing w:after="0"/>
        <w:tabs>
          <w:tab w:leader="none" w:pos="420" w:val="left"/>
        </w:tabs>
        <w:numPr>
          <w:ilvl w:val="0"/>
          <w:numId w:val="3"/>
        </w:numPr>
        <w:rPr>
          <w:rFonts w:ascii="Arial" w:cs="Arial" w:eastAsia="Arial" w:hAnsi="Arial"/>
          <w:sz w:val="19"/>
          <w:szCs w:val="19"/>
          <w:color w:val="auto"/>
        </w:rPr>
      </w:pPr>
      <w:r>
        <w:rPr>
          <w:rFonts w:ascii="Arial" w:cs="Arial" w:eastAsia="Arial" w:hAnsi="Arial"/>
          <w:sz w:val="19"/>
          <w:szCs w:val="19"/>
          <w:color w:val="auto"/>
        </w:rPr>
        <w:t>Also a Director.</w:t>
      </w:r>
    </w:p>
    <w:p>
      <w:pPr>
        <w:ind w:left="420" w:hanging="338"/>
        <w:spacing w:after="0"/>
        <w:tabs>
          <w:tab w:leader="none" w:pos="420" w:val="left"/>
        </w:tabs>
        <w:numPr>
          <w:ilvl w:val="0"/>
          <w:numId w:val="3"/>
        </w:numPr>
        <w:rPr>
          <w:rFonts w:ascii="Arial" w:cs="Arial" w:eastAsia="Arial" w:hAnsi="Arial"/>
          <w:sz w:val="19"/>
          <w:szCs w:val="19"/>
          <w:color w:val="auto"/>
        </w:rPr>
      </w:pPr>
      <w:r>
        <w:rPr>
          <w:rFonts w:ascii="Arial" w:cs="Arial" w:eastAsia="Arial" w:hAnsi="Arial"/>
          <w:sz w:val="19"/>
          <w:szCs w:val="19"/>
          <w:color w:val="auto"/>
        </w:rPr>
        <w:t>Mr. Mikkilineni will retire from the Company effective April 30, 2019.</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Statement About Forward-Looking Statements</w:t>
      </w:r>
    </w:p>
    <w:p>
      <w:pPr>
        <w:spacing w:after="0" w:line="130" w:lineRule="exact"/>
        <w:rPr>
          <w:sz w:val="20"/>
          <w:szCs w:val="20"/>
          <w:color w:val="auto"/>
        </w:rPr>
      </w:pPr>
    </w:p>
    <w:p>
      <w:pPr>
        <w:ind w:right="80" w:firstLine="357"/>
        <w:spacing w:after="0" w:line="245" w:lineRule="auto"/>
        <w:rPr>
          <w:sz w:val="20"/>
          <w:szCs w:val="20"/>
          <w:color w:val="auto"/>
        </w:rPr>
      </w:pPr>
      <w:r>
        <w:rPr>
          <w:rFonts w:ascii="Arial" w:cs="Arial" w:eastAsia="Arial" w:hAnsi="Arial"/>
          <w:sz w:val="19"/>
          <w:szCs w:val="19"/>
          <w:color w:val="auto"/>
        </w:rPr>
        <w:t>We describe many of the trends and other factors that drive our business and future results in Item 7. Management’s Discussion and Analysis of Financial Condition and Results of Operations and in other parts of this report (including this Item 1A). Such discussions contain forward-looking statements within the meaning of Section 21E of the Securities Exchange Act of 1934.</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8" w:name="page9"/>
    <w:bookmarkEnd w:id="8"/>
    <w:p>
      <w:pPr>
        <w:ind w:right="60" w:firstLine="357"/>
        <w:spacing w:after="0"/>
        <w:rPr>
          <w:sz w:val="20"/>
          <w:szCs w:val="20"/>
          <w:color w:val="auto"/>
        </w:rPr>
      </w:pPr>
      <w:r>
        <w:rPr>
          <w:rFonts w:ascii="Arial" w:cs="Arial" w:eastAsia="Arial" w:hAnsi="Arial"/>
          <w:sz w:val="19"/>
          <w:szCs w:val="19"/>
          <w:color w:val="auto"/>
        </w:rPr>
        <w:t>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that can affect our performance in both the near-and long-term. These forward-looking statements should be considered in light of the information included in this Form 10-K, including, in particular, the factors discussed below. These factors may be revised or supplemented in subsequent reports on Forms 10-Q and 8-K.</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Factors</w:t>
      </w:r>
    </w:p>
    <w:p>
      <w:pPr>
        <w:spacing w:after="0" w:line="130" w:lineRule="exact"/>
        <w:rPr>
          <w:sz w:val="20"/>
          <w:szCs w:val="20"/>
          <w:color w:val="auto"/>
        </w:rPr>
      </w:pPr>
    </w:p>
    <w:p>
      <w:pPr>
        <w:jc w:val="both"/>
        <w:ind w:right="300" w:firstLine="357"/>
        <w:spacing w:after="0" w:line="253" w:lineRule="auto"/>
        <w:rPr>
          <w:sz w:val="20"/>
          <w:szCs w:val="20"/>
          <w:color w:val="auto"/>
        </w:rPr>
      </w:pPr>
      <w:r>
        <w:rPr>
          <w:rFonts w:ascii="Arial" w:cs="Arial" w:eastAsia="Arial" w:hAnsi="Arial"/>
          <w:sz w:val="19"/>
          <w:szCs w:val="19"/>
          <w:color w:val="auto"/>
        </w:rPr>
        <w:t>Our business, operating results, cash flows and financial condition are subject to the principal risks and uncertainties set forth below, any one of which could cause our actual results to vary materially from recent results or from our anticipated future results.</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Macroeconomic and Industry Risks</w:t>
      </w:r>
    </w:p>
    <w:p>
      <w:pPr>
        <w:spacing w:after="0" w:line="187" w:lineRule="exact"/>
        <w:rPr>
          <w:sz w:val="20"/>
          <w:szCs w:val="20"/>
          <w:color w:val="auto"/>
        </w:rPr>
      </w:pPr>
    </w:p>
    <w:p>
      <w:pPr>
        <w:ind w:right="240"/>
        <w:spacing w:after="0" w:line="280" w:lineRule="auto"/>
        <w:rPr>
          <w:sz w:val="20"/>
          <w:szCs w:val="20"/>
          <w:color w:val="auto"/>
        </w:rPr>
      </w:pPr>
      <w:r>
        <w:rPr>
          <w:rFonts w:ascii="Arial" w:cs="Arial" w:eastAsia="Arial" w:hAnsi="Arial"/>
          <w:sz w:val="19"/>
          <w:szCs w:val="19"/>
          <w:b w:val="1"/>
          <w:bCs w:val="1"/>
          <w:i w:val="1"/>
          <w:iCs w:val="1"/>
          <w:color w:val="auto"/>
        </w:rPr>
        <w:t>Industry and economic conditions may adversely affect the markets and operating conditions of our customers, which in turn can affect demand for our products and services and our results of operations.</w:t>
      </w:r>
    </w:p>
    <w:p>
      <w:pPr>
        <w:spacing w:after="0" w:line="3" w:lineRule="exact"/>
        <w:rPr>
          <w:sz w:val="20"/>
          <w:szCs w:val="20"/>
          <w:color w:val="auto"/>
        </w:rPr>
      </w:pPr>
    </w:p>
    <w:p>
      <w:pPr>
        <w:ind w:left="540" w:right="80" w:hanging="168"/>
        <w:spacing w:after="0" w:line="242"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b w:val="1"/>
          <w:bCs w:val="1"/>
          <w:i w:val="1"/>
          <w:iCs w:val="1"/>
          <w:color w:val="auto"/>
        </w:rPr>
        <w:t>Aerospace</w:t>
      </w:r>
      <w:r>
        <w:rPr>
          <w:rFonts w:ascii="Arial" w:cs="Arial" w:eastAsia="Arial" w:hAnsi="Arial"/>
          <w:sz w:val="19"/>
          <w:szCs w:val="19"/>
          <w:color w:val="auto"/>
        </w:rPr>
        <w:t>—Operating results of Aerospace are directly tied to cyclical industry and economic conditions, as well as changes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customer buying patterns of aftermarket parts, supplier stability, factory transitions and global supply chain capacity constraints that may lead to shortages of crucial components. The operating results of our Commercial Aviation business unit may be adversely affected by downturns in the global demand for air travel which impacts new aircraft production or the delay or cancellation of new aircraft orders, delays in launch schedules for new aircraft, the retirement of aircraft and global flying hours, which impact air transport, regional, business and general aviation aircraft utilization rates. Operating results could also be impacted by changes in overall trends related to end market demand for the product portfolio, as well as, new entrants and non-traditional players entering the market. Operating results in our Defense and Space business unit may be affected by the mix of U.S. and foreign government appropriations for defense and space programs and by compliance risks. Results may also be impacted by the potential introduction of counterfeit parts into our global supply chain.</w:t>
      </w:r>
    </w:p>
    <w:p>
      <w:pPr>
        <w:spacing w:after="0" w:line="52" w:lineRule="exact"/>
        <w:rPr>
          <w:rFonts w:ascii="Arial" w:cs="Arial" w:eastAsia="Arial" w:hAnsi="Arial"/>
          <w:sz w:val="19"/>
          <w:szCs w:val="19"/>
          <w:color w:val="auto"/>
        </w:rPr>
      </w:pPr>
    </w:p>
    <w:p>
      <w:pPr>
        <w:ind w:left="540" w:hanging="168"/>
        <w:spacing w:after="0" w:line="251"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b w:val="1"/>
          <w:bCs w:val="1"/>
          <w:i w:val="1"/>
          <w:iCs w:val="1"/>
          <w:color w:val="auto"/>
        </w:rPr>
        <w:t>Honeywell Building Technologies</w:t>
      </w:r>
      <w:r>
        <w:rPr>
          <w:rFonts w:ascii="Arial" w:cs="Arial" w:eastAsia="Arial" w:hAnsi="Arial"/>
          <w:sz w:val="19"/>
          <w:szCs w:val="19"/>
          <w:color w:val="auto"/>
        </w:rPr>
        <w:t>—Operating results may be adversely impacted by downturns in the level of global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commercial construction activity (including retrofits and upgrades), lower capital spending and operating expenditures on building projects, less industrial plant expansion, changes in the competitive landscape including new market entrants and new technologies, and fluctuations in inventory levels in distribution channels.</w:t>
      </w:r>
    </w:p>
    <w:p>
      <w:pPr>
        <w:spacing w:after="0" w:line="44" w:lineRule="exact"/>
        <w:rPr>
          <w:rFonts w:ascii="Arial" w:cs="Arial" w:eastAsia="Arial" w:hAnsi="Arial"/>
          <w:sz w:val="19"/>
          <w:szCs w:val="19"/>
          <w:color w:val="auto"/>
        </w:rPr>
      </w:pPr>
    </w:p>
    <w:p>
      <w:pPr>
        <w:ind w:left="540" w:hanging="168"/>
        <w:spacing w:after="0" w:line="246"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b w:val="1"/>
          <w:bCs w:val="1"/>
          <w:i w:val="1"/>
          <w:iCs w:val="1"/>
          <w:color w:val="auto"/>
        </w:rPr>
        <w:t>Performance Materials and Technologies</w:t>
      </w:r>
      <w:r>
        <w:rPr>
          <w:rFonts w:ascii="Arial" w:cs="Arial" w:eastAsia="Arial" w:hAnsi="Arial"/>
          <w:sz w:val="19"/>
          <w:szCs w:val="19"/>
          <w:color w:val="auto"/>
        </w:rPr>
        <w:t>—Operating results may be adversely impacted by downturns in capacity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utilization for chemical, industrial, refining, petrochemical and semiconductor plants, our customers’ availability of capital for refinery construction and expansion, raw material demand and supply volatility, product commoditization, and our ability to maximize our facilities’ production capacity and minimize downtime. In particular, the volatility in oil and natural gas prices have and will continue to impact our customers’ operating levels and capital spending and thus demand for our products and services.</w:t>
      </w:r>
    </w:p>
    <w:p>
      <w:pPr>
        <w:spacing w:after="0" w:line="271" w:lineRule="exact"/>
        <w:rPr>
          <w:rFonts w:ascii="Arial" w:cs="Arial" w:eastAsia="Arial" w:hAnsi="Arial"/>
          <w:sz w:val="19"/>
          <w:szCs w:val="19"/>
          <w:color w:val="auto"/>
        </w:rPr>
      </w:pPr>
    </w:p>
    <w:p>
      <w:pPr>
        <w:ind w:left="540" w:right="80" w:hanging="168"/>
        <w:spacing w:after="0" w:line="251"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b w:val="1"/>
          <w:bCs w:val="1"/>
          <w:i w:val="1"/>
          <w:iCs w:val="1"/>
          <w:color w:val="auto"/>
        </w:rPr>
        <w:t>Safety and Productivity Solutions</w:t>
      </w:r>
      <w:r>
        <w:rPr>
          <w:rFonts w:ascii="Arial" w:cs="Arial" w:eastAsia="Arial" w:hAnsi="Arial"/>
          <w:sz w:val="19"/>
          <w:szCs w:val="19"/>
          <w:color w:val="auto"/>
        </w:rPr>
        <w:t>—Operating results may be adversely impacted by downturns in the level of global capital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spending and operating expenditures, including in the oil and gas industry, reduced investments in process automation, safety monitoring, and plant capacity utilization initiatives, fluctuations in retail markets, lower customer demand due to the failure to anticipate and respond to overall trends related to end market demand, changes in the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1" w:right="259" w:bottom="1440" w:gutter="0" w:footer="0" w:header="0"/>
        </w:sectPr>
      </w:pPr>
    </w:p>
    <w:bookmarkStart w:id="9" w:name="page10"/>
    <w:bookmarkEnd w:id="9"/>
    <w:p>
      <w:pPr>
        <w:ind w:left="520" w:right="200"/>
        <w:spacing w:after="0" w:line="253" w:lineRule="auto"/>
        <w:rPr>
          <w:sz w:val="20"/>
          <w:szCs w:val="20"/>
          <w:color w:val="auto"/>
        </w:rPr>
      </w:pPr>
      <w:r>
        <w:rPr>
          <w:rFonts w:ascii="Arial" w:cs="Arial" w:eastAsia="Arial" w:hAnsi="Arial"/>
          <w:sz w:val="19"/>
          <w:szCs w:val="19"/>
          <w:color w:val="auto"/>
        </w:rPr>
        <w:t>competitive landscape including new market entrants and technology that may lead to product commoditization, and adverse industry economic conditions, all of which could result in lower market share, reduced selling prices and lower margins.</w:t>
      </w:r>
    </w:p>
    <w:p>
      <w:pPr>
        <w:spacing w:after="0" w:line="272" w:lineRule="exact"/>
        <w:rPr>
          <w:sz w:val="20"/>
          <w:szCs w:val="20"/>
          <w:color w:val="auto"/>
        </w:rPr>
      </w:pPr>
    </w:p>
    <w:p>
      <w:pPr>
        <w:ind w:right="160"/>
        <w:spacing w:after="0" w:line="280" w:lineRule="auto"/>
        <w:rPr>
          <w:sz w:val="20"/>
          <w:szCs w:val="20"/>
          <w:color w:val="auto"/>
        </w:rPr>
      </w:pPr>
      <w:r>
        <w:rPr>
          <w:rFonts w:ascii="Arial" w:cs="Arial" w:eastAsia="Arial" w:hAnsi="Arial"/>
          <w:sz w:val="19"/>
          <w:szCs w:val="19"/>
          <w:b w:val="1"/>
          <w:bCs w:val="1"/>
          <w:i w:val="1"/>
          <w:iCs w:val="1"/>
          <w:color w:val="auto"/>
        </w:rPr>
        <w:t>An increasing percentage of our sales and operations is in non-U.S. jurisdictions and is subject to the economic, political, regulatory, foreign exchange and other risks of international operations.</w:t>
      </w:r>
    </w:p>
    <w:p>
      <w:pPr>
        <w:spacing w:after="0" w:line="54"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Our international operations, including U.S. exports, represent more than half of the Company’s sales. Risks related to international operations include exchange control regulations, wage and price controls, antitrust regulations, employment regulations, foreign investment laws, import, export and other trade restrictions (such as sanctions and embargoes), violations by our employees of anti-corruption laws (despite our efforts to mitigate these risks), changes in regulations regarding transactions with state-owned enterprises, nationalization of private enterprises, acts of terrorism, and our ability to hire and maintain qualified staff and maintain the safety of our employees in these regions. Instability and uncertainties arising from the global geopolitical environment, and the evolving international and domestic political, regulatory and economic landscape, the potential for changes in global trade policies including sanctions and trade barriers, trends such as populism, economic nationalism and negative sentiment toward multinational companies, and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92" w:lineRule="exact"/>
        <w:rPr>
          <w:sz w:val="20"/>
          <w:szCs w:val="20"/>
          <w:color w:val="auto"/>
        </w:rPr>
      </w:pPr>
    </w:p>
    <w:p>
      <w:pPr>
        <w:ind w:right="160" w:firstLine="357"/>
        <w:spacing w:after="0" w:line="245" w:lineRule="auto"/>
        <w:rPr>
          <w:sz w:val="20"/>
          <w:szCs w:val="20"/>
          <w:color w:val="auto"/>
        </w:rPr>
      </w:pPr>
      <w:r>
        <w:rPr>
          <w:rFonts w:ascii="Arial" w:cs="Arial" w:eastAsia="Arial" w:hAnsi="Arial"/>
          <w:sz w:val="19"/>
          <w:szCs w:val="19"/>
          <w:color w:val="auto"/>
        </w:rPr>
        <w:t>While it is currently not known what the final outcome and full terms of the United Kingdom’s future relationship with the European Union will be, it is possible that there will be greater restrictions on imports and exports between the United Kingdom and other countries, including the United States, increased tariffs on U.K. imports and exports, and increased regulatory complexities.</w:t>
      </w:r>
    </w:p>
    <w:p>
      <w:pPr>
        <w:spacing w:after="0" w:line="87" w:lineRule="exact"/>
        <w:rPr>
          <w:sz w:val="20"/>
          <w:szCs w:val="20"/>
          <w:color w:val="auto"/>
        </w:rPr>
      </w:pPr>
    </w:p>
    <w:p>
      <w:pPr>
        <w:ind w:right="60" w:firstLine="357"/>
        <w:spacing w:after="0" w:line="241" w:lineRule="auto"/>
        <w:rPr>
          <w:sz w:val="20"/>
          <w:szCs w:val="20"/>
          <w:color w:val="auto"/>
        </w:rPr>
      </w:pPr>
      <w:r>
        <w:rPr>
          <w:rFonts w:ascii="Arial" w:cs="Arial" w:eastAsia="Arial" w:hAnsi="Arial"/>
          <w:sz w:val="19"/>
          <w:szCs w:val="19"/>
          <w:color w:val="auto"/>
        </w:rPr>
        <w:t>Existing free trade laws and regulations, such as the North American Free Trade Agreement, or any successor agreement, provide certain beneficial duties and tariffs for qualifying imports and exports. Changes in laws or policies governing the terms of foreign trade, and in particular increased trade restrictions, tariffs or taxes on imports from countries where we manufacture products or from where we import products or raw materials, either directly or through our suppliers, could have an impact on our competitive position and financial results.</w:t>
      </w:r>
    </w:p>
    <w:p>
      <w:pPr>
        <w:spacing w:after="0" w:line="78" w:lineRule="exact"/>
        <w:rPr>
          <w:sz w:val="20"/>
          <w:szCs w:val="20"/>
          <w:color w:val="auto"/>
        </w:rPr>
      </w:pPr>
    </w:p>
    <w:p>
      <w:pPr>
        <w:ind w:right="100" w:firstLine="357"/>
        <w:spacing w:after="0"/>
        <w:rPr>
          <w:sz w:val="20"/>
          <w:szCs w:val="20"/>
          <w:color w:val="auto"/>
        </w:rPr>
      </w:pPr>
      <w:r>
        <w:rPr>
          <w:rFonts w:ascii="Arial" w:cs="Arial" w:eastAsia="Arial" w:hAnsi="Arial"/>
          <w:sz w:val="19"/>
          <w:szCs w:val="19"/>
          <w:color w:val="auto"/>
        </w:rPr>
        <w:t>Operating outside of the United States also exposes us to foreign exchange risk, which we monitor and seek to reduce through hedging activities. However, foreign exchange hedging activities bear a financial cost and may not always be available to us or be successful in eliminating such volatility. Finally, we generate significant amounts of cash outside of the United States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Honeywell to financial loss.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Risks related to our defined benefit pension plans may adversely impact our results of operations and cash flow.</w:t>
      </w:r>
    </w:p>
    <w:p>
      <w:pPr>
        <w:spacing w:after="0" w:line="130" w:lineRule="exact"/>
        <w:rPr>
          <w:sz w:val="20"/>
          <w:szCs w:val="20"/>
          <w:color w:val="auto"/>
        </w:rPr>
      </w:pPr>
    </w:p>
    <w:p>
      <w:pPr>
        <w:ind w:right="220" w:firstLine="357"/>
        <w:spacing w:after="0"/>
        <w:rPr>
          <w:sz w:val="20"/>
          <w:szCs w:val="20"/>
          <w:color w:val="auto"/>
        </w:rPr>
      </w:pPr>
      <w:r>
        <w:rPr>
          <w:rFonts w:ascii="Arial" w:cs="Arial" w:eastAsia="Arial" w:hAnsi="Arial"/>
          <w:sz w:val="19"/>
          <w:szCs w:val="19"/>
          <w:color w:val="auto"/>
        </w:rPr>
        <w:t>Significant changes in actual investment return on pension assets, discount rates, and other factors could adversely affect our results of operations and require cash pension contributions in future periods. Changes in discount rates and actual asset returns different than our anticipated asset returns can result in significant non-cash actuarial gains or losses which we record in the fourth quarter of each fiscal year, and, if applicable, in any quarter in which an interim re-measurement is triggered. With regard to cash pension contributions, funding requirements for our pension plans are largely dependent upon interest rates, actual investment returns on pension assets and the impact of legislative or regulatory changes related to pension funding obligations.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53" w:right="259" w:bottom="1440" w:gutter="0" w:footer="0" w:header="0"/>
        </w:sectPr>
      </w:pPr>
    </w:p>
    <w:bookmarkStart w:id="10" w:name="page11"/>
    <w:bookmarkEnd w:id="10"/>
    <w:p>
      <w:pPr>
        <w:spacing w:after="0"/>
        <w:rPr>
          <w:sz w:val="20"/>
          <w:szCs w:val="20"/>
          <w:color w:val="auto"/>
        </w:rPr>
      </w:pPr>
      <w:r>
        <w:rPr>
          <w:rFonts w:ascii="Arial" w:cs="Arial" w:eastAsia="Arial" w:hAnsi="Arial"/>
          <w:sz w:val="19"/>
          <w:szCs w:val="19"/>
          <w:b w:val="1"/>
          <w:bCs w:val="1"/>
          <w:u w:val="single" w:color="auto"/>
          <w:color w:val="auto"/>
        </w:rPr>
        <w:t>Operational Risks</w:t>
      </w:r>
    </w:p>
    <w:p>
      <w:pPr>
        <w:spacing w:after="0" w:line="173" w:lineRule="exact"/>
        <w:rPr>
          <w:sz w:val="20"/>
          <w:szCs w:val="20"/>
          <w:color w:val="auto"/>
        </w:rPr>
      </w:pPr>
    </w:p>
    <w:p>
      <w:pPr>
        <w:spacing w:after="0" w:line="258" w:lineRule="auto"/>
        <w:rPr>
          <w:sz w:val="20"/>
          <w:szCs w:val="20"/>
          <w:color w:val="auto"/>
        </w:rPr>
      </w:pPr>
      <w:r>
        <w:rPr>
          <w:rFonts w:ascii="Arial" w:cs="Arial" w:eastAsia="Arial" w:hAnsi="Arial"/>
          <w:sz w:val="19"/>
          <w:szCs w:val="19"/>
          <w:b w:val="1"/>
          <w:bCs w:val="1"/>
          <w:i w:val="1"/>
          <w:iCs w:val="1"/>
          <w:color w:val="auto"/>
        </w:rPr>
        <w:t>Raw material price fluctuations, the ability of key suppliers to meet quality and delivery requirements, or catastrophic events can increase the cost of our products and services, impact our ability to meet commitments to customers and cause us to incur significant liabilities.</w:t>
      </w:r>
    </w:p>
    <w:p>
      <w:pPr>
        <w:spacing w:after="0" w:line="76"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The cost of raw materials is a key element in the cost of our products, particularly in Performance Materials and Technologies (R240, copper, fluorspar, tungsten salts, ethylene, and perchloroethylene) and in Aerospace (nickel, steel, titanium and other metals). Our inability to offset material price inflation through increased prices to customers, formula or long-term fixed price contracts with suppliers, productivity actions or through commodity hedges could adversely affect our results of operations.</w:t>
      </w:r>
    </w:p>
    <w:p>
      <w:pPr>
        <w:spacing w:after="0" w:line="91" w:lineRule="exact"/>
        <w:rPr>
          <w:sz w:val="20"/>
          <w:szCs w:val="20"/>
          <w:color w:val="auto"/>
        </w:rPr>
      </w:pPr>
    </w:p>
    <w:p>
      <w:pPr>
        <w:ind w:right="160" w:firstLine="357"/>
        <w:spacing w:after="0"/>
        <w:rPr>
          <w:sz w:val="20"/>
          <w:szCs w:val="20"/>
          <w:color w:val="auto"/>
        </w:rPr>
      </w:pPr>
      <w:r>
        <w:rPr>
          <w:rFonts w:ascii="Arial" w:cs="Arial" w:eastAsia="Arial" w:hAnsi="Arial"/>
          <w:sz w:val="19"/>
          <w:szCs w:val="19"/>
          <w:color w:val="auto"/>
        </w:rPr>
        <w:t>Many major components, product equipment items and raw materials, particularly in Aerospace,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may have in the future. Our ability to manage inventory and meet delivery requirements may be constrained by our suppliers’ inability to scale production and adjust delivery of long-lead time products during times of volatile demand. Our inability to fill our supply needs would jeopardize our ability to fulfill obligations under commercial and government contracts, which could, in turn, result in reduced sales and profits, contract penalties or terminations, and damage to customer relationships.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be unable to successfully execute or effectively integrate acquisitions, and divestitures may not occur as planned.</w:t>
      </w:r>
    </w:p>
    <w:p>
      <w:pPr>
        <w:spacing w:after="0" w:line="130"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We regularly review our portfolio of businesses and pursue growth through acquisitions and seek to divest non-core businesses. We may not be able to complete transactions on favorable terms, on a timely basis, or at all, and during integration we may discover cybersecurity and compliance issues. In addition, our results of operations and cash flows may be adversely impacted by (i) the failure of acquired businesses to meet or exceed expected returns, including risk of impairment; (ii) the failure to integrate multiple acquired businesses into Honeywell simultaneously and on schedule and/or to achieve expected synergies; (iii) the inability to dispose of non-core assets and businesses on satisfactory terms and conditions; (iv) the discovery of unanticipated liabilities, labor relations difficulties or other problems in acquired businesses for which we lack contractual protections, insurance or indemnities, or with regard to divested businesses, claims by purchasers to whom we have provided contractual indemnification and (v) the inability to collect on the indemnification and reimbursement agreements entered into with our spin-offs, Garrett Motion Inc. and Resideo Technologies, Inc.</w:t>
      </w:r>
    </w:p>
    <w:p>
      <w:pPr>
        <w:spacing w:after="0" w:line="200" w:lineRule="exact"/>
        <w:rPr>
          <w:sz w:val="20"/>
          <w:szCs w:val="20"/>
          <w:color w:val="auto"/>
        </w:rPr>
      </w:pPr>
    </w:p>
    <w:p>
      <w:pPr>
        <w:spacing w:after="0" w:line="281" w:lineRule="exact"/>
        <w:rPr>
          <w:sz w:val="20"/>
          <w:szCs w:val="20"/>
          <w:color w:val="auto"/>
        </w:rPr>
      </w:pPr>
    </w:p>
    <w:p>
      <w:pPr>
        <w:ind w:right="560"/>
        <w:spacing w:after="0" w:line="280" w:lineRule="auto"/>
        <w:rPr>
          <w:sz w:val="20"/>
          <w:szCs w:val="20"/>
          <w:color w:val="auto"/>
        </w:rPr>
      </w:pPr>
      <w:r>
        <w:rPr>
          <w:rFonts w:ascii="Arial" w:cs="Arial" w:eastAsia="Arial" w:hAnsi="Arial"/>
          <w:sz w:val="19"/>
          <w:szCs w:val="19"/>
          <w:b w:val="1"/>
          <w:bCs w:val="1"/>
          <w:i w:val="1"/>
          <w:iCs w:val="1"/>
          <w:color w:val="auto"/>
        </w:rPr>
        <w:t>Our future growth is largely dependent upon our ability to develop new technologies and introduce new products that achieve market acceptance in increasingly competitive markets with acceptable margins.</w:t>
      </w:r>
    </w:p>
    <w:p>
      <w:pPr>
        <w:spacing w:after="0" w:line="54" w:lineRule="exact"/>
        <w:rPr>
          <w:sz w:val="20"/>
          <w:szCs w:val="20"/>
          <w:color w:val="auto"/>
        </w:rPr>
      </w:pPr>
    </w:p>
    <w:p>
      <w:pPr>
        <w:ind w:right="80" w:firstLine="357"/>
        <w:spacing w:after="0" w:line="239" w:lineRule="auto"/>
        <w:rPr>
          <w:sz w:val="20"/>
          <w:szCs w:val="20"/>
          <w:color w:val="auto"/>
        </w:rPr>
      </w:pPr>
      <w:r>
        <w:rPr>
          <w:rFonts w:ascii="Arial" w:cs="Arial" w:eastAsia="Arial" w:hAnsi="Arial"/>
          <w:sz w:val="19"/>
          <w:szCs w:val="19"/>
          <w:color w:val="auto"/>
        </w:rPr>
        <w:t>Our future growth rate depends upon a number of factors, including our ability to (i) identify and evolve with emerging technological and broader industry trends in our target end-markets, (ii) develop and maintain competitive products, (iii) defend our market share against an ever-expanding number of competitors including many new and non-traditional competitors, (iv) enhance our products by adding innovative features that differentiate our products from those of our competitors and prevent commoditization of our products, (v) develop, manufacture and bring compelling new products to market quickly and cost-effectively, (vi) monitor disruptive technologies and business models, (vii) achieve sufficient return on investment for new products introduced based on capital expenditures and research and development spending, (viii) respond to changes in overall trends related to end market demand, and (x) attract, develop and retain individuals with the requisite technical expertise and understanding of customers’ needs to develop new technologies and introduce new products. Competitors may also develop after-market services and parts for our products which attract customers and adversely affect our return on investment for new products.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11" w:name="page12"/>
    <w:bookmarkEnd w:id="11"/>
    <w:p>
      <w:pPr>
        <w:jc w:val="both"/>
        <w:ind w:right="60" w:firstLine="357"/>
        <w:spacing w:after="0" w:line="245" w:lineRule="auto"/>
        <w:rPr>
          <w:sz w:val="20"/>
          <w:szCs w:val="20"/>
          <w:color w:val="auto"/>
        </w:rPr>
      </w:pPr>
      <w:r>
        <w:rPr>
          <w:rFonts w:ascii="Arial" w:cs="Arial" w:eastAsia="Arial" w:hAnsi="Arial"/>
          <w:sz w:val="19"/>
          <w:szCs w:val="19"/>
          <w:color w:val="auto"/>
        </w:rPr>
        <w:t>The failure of our technologies or products to gain market acceptance due to more attractive offerings by our competitors or the failure to address any of the above factors could significantly reduce our revenues and adversely affect our competitive standing and prospects.</w:t>
      </w:r>
    </w:p>
    <w:p>
      <w:pPr>
        <w:spacing w:after="0" w:line="279"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b w:val="1"/>
          <w:bCs w:val="1"/>
          <w:i w:val="1"/>
          <w:iCs w:val="1"/>
          <w:color w:val="auto"/>
        </w:rPr>
        <w:t>Failure to increase productivity through sustainable operational improvements, as well as an inability to successfully execute repositioning projects or to effectively manage our workforce, may reduce our profitability or adversely impact our businesses.</w:t>
      </w:r>
    </w:p>
    <w:p>
      <w:pPr>
        <w:spacing w:after="0" w:line="76"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Our profitability and margin growth are dependent upon our ability to drive sustainable improvements. In addition, we seek productivity and cost savings benefits through repositioning actions and projects, such as consolidation of manufacturing facilities, transitions to cost-competitive regions and product line rationalizations. Risks associated with these actions include delays in execution of the planned initiatives, additional unexpected costs, realization of fewer than estimated productivity improvements and adverse effects on employee morale. We may not realize the full operational or financial benefits we expect, the recognition of these benefits may be delayed and these actions may potentially disrupt our operations. In addition, organizational changes, increased attrition, failure to create and implement a succession plan for key Company positions, not retaining key talent, inability to attract new employees with unique skills, labor relations difficulties, or workforce stoppage could have a material adverse effect on our business, reputation, financial position and results of operations.</w:t>
      </w:r>
    </w:p>
    <w:p>
      <w:pPr>
        <w:spacing w:after="0" w:line="273" w:lineRule="exact"/>
        <w:rPr>
          <w:sz w:val="20"/>
          <w:szCs w:val="20"/>
          <w:color w:val="auto"/>
        </w:rPr>
      </w:pPr>
    </w:p>
    <w:p>
      <w:pPr>
        <w:ind w:right="60"/>
        <w:spacing w:after="0" w:line="280" w:lineRule="auto"/>
        <w:rPr>
          <w:sz w:val="20"/>
          <w:szCs w:val="20"/>
          <w:color w:val="auto"/>
        </w:rPr>
      </w:pPr>
      <w:r>
        <w:rPr>
          <w:rFonts w:ascii="Arial" w:cs="Arial" w:eastAsia="Arial" w:hAnsi="Arial"/>
          <w:sz w:val="19"/>
          <w:szCs w:val="19"/>
          <w:b w:val="1"/>
          <w:bCs w:val="1"/>
          <w:i w:val="1"/>
          <w:iCs w:val="1"/>
          <w:color w:val="auto"/>
        </w:rPr>
        <w:t>As a supplier to the U.S. Government, we are subject to unique risks, such as the right of the U.S. Government to terminate contracts for convenience and to conduct audits and investigations of our operations and performance.</w:t>
      </w:r>
    </w:p>
    <w:p>
      <w:pPr>
        <w:spacing w:after="0" w:line="54"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U.S. Government contracts are subject to termination by the government, either for the convenience of the government or for our failure to perform consistent with the terms of the applicable contract. Our contracts with the U.S. Government are also subject to government audits that may recommend downward price adjustments and other changes. When appropriate and prudent, we have made adjustments and paid voluntary refunds in the past and may do so in the future.</w:t>
      </w:r>
    </w:p>
    <w:p>
      <w:pPr>
        <w:spacing w:after="0" w:line="91"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We are also subject to government investigations of business practices and compliance with government procurement regulations. If, as a result of any such investigation or other government investigations (including investigation of violations of certain environmental, employment or export laws), Honeywell or one of its businesses were found to have violated applicable law, then it could be suspended from bidding on or receiving awards of new government contracts, suspended from contract performance pending the completion of legal proceedings and/or have its export privileges suspended.</w:t>
      </w:r>
    </w:p>
    <w:p>
      <w:pPr>
        <w:spacing w:after="0" w:line="284" w:lineRule="exact"/>
        <w:rPr>
          <w:sz w:val="20"/>
          <w:szCs w:val="20"/>
          <w:color w:val="auto"/>
        </w:rPr>
      </w:pPr>
    </w:p>
    <w:p>
      <w:pPr>
        <w:ind w:right="800"/>
        <w:spacing w:after="0" w:line="280" w:lineRule="auto"/>
        <w:rPr>
          <w:sz w:val="20"/>
          <w:szCs w:val="20"/>
          <w:color w:val="auto"/>
        </w:rPr>
      </w:pPr>
      <w:r>
        <w:rPr>
          <w:rFonts w:ascii="Arial" w:cs="Arial" w:eastAsia="Arial" w:hAnsi="Arial"/>
          <w:sz w:val="19"/>
          <w:szCs w:val="19"/>
          <w:b w:val="1"/>
          <w:bCs w:val="1"/>
          <w:i w:val="1"/>
          <w:iCs w:val="1"/>
          <w:color w:val="auto"/>
        </w:rPr>
        <w:t>Our operations and the prior operations of predecessor companies expose us to the risk of material environmental liabilities.</w:t>
      </w:r>
    </w:p>
    <w:p>
      <w:pPr>
        <w:spacing w:after="0" w:line="54" w:lineRule="exact"/>
        <w:rPr>
          <w:sz w:val="20"/>
          <w:szCs w:val="20"/>
          <w:color w:val="auto"/>
        </w:rPr>
      </w:pPr>
    </w:p>
    <w:p>
      <w:pPr>
        <w:ind w:right="40" w:firstLine="357"/>
        <w:spacing w:after="0" w:line="238" w:lineRule="auto"/>
        <w:rPr>
          <w:sz w:val="20"/>
          <w:szCs w:val="20"/>
          <w:color w:val="auto"/>
        </w:rPr>
      </w:pPr>
      <w:r>
        <w:rPr>
          <w:rFonts w:ascii="Arial" w:cs="Arial" w:eastAsia="Arial" w:hAnsi="Arial"/>
          <w:sz w:val="19"/>
          <w:szCs w:val="19"/>
          <w:color w:val="auto"/>
        </w:rPr>
        <w:t>Mainly because of past operations and operations of predecessor companies, we are subject to potentially material liabilities related to the remediation of environmental hazards and to claims of personal injuries or property damages that may be caused by hazardous substance releases and exposures. We continue to incur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 Various federal, state, local and foreign governments regulate the discharge of materials into the environment, or the use of or communications respecting certain materials in our products, and can impose substantial fines and criminal sanctions for violations, and require injunctive relief measures, including installation of costly equipment or operational changes to limit emissions and/or decrease the likelihood of accidental hazardous substance releases, or limiting access of our products to markets, among others. In addition, changes in laws, regulations and enforcement of policies, the discovery of previously unknown contamination or new technology or information related to individual sites, the establishment of stricter toxicity standards with respect to certain contaminants, or the imposition of new clean-up</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1" w:right="259" w:bottom="1440" w:gutter="0" w:footer="0" w:header="0"/>
        </w:sectPr>
      </w:pPr>
    </w:p>
    <w:bookmarkStart w:id="12" w:name="page13"/>
    <w:bookmarkEnd w:id="12"/>
    <w:p>
      <w:pPr>
        <w:ind w:right="160"/>
        <w:spacing w:after="0" w:line="253" w:lineRule="auto"/>
        <w:rPr>
          <w:sz w:val="20"/>
          <w:szCs w:val="20"/>
          <w:color w:val="auto"/>
        </w:rPr>
      </w:pPr>
      <w:r>
        <w:rPr>
          <w:rFonts w:ascii="Arial" w:cs="Arial" w:eastAsia="Arial" w:hAnsi="Arial"/>
          <w:sz w:val="19"/>
          <w:szCs w:val="19"/>
          <w:color w:val="auto"/>
        </w:rPr>
        <w:t>requirements or remedial techniques could require us to incur additional costs in the future that would have a negative effect on our financial condition or results of operations.</w:t>
      </w:r>
    </w:p>
    <w:p>
      <w:pPr>
        <w:spacing w:after="0" w:line="272" w:lineRule="exact"/>
        <w:rPr>
          <w:sz w:val="20"/>
          <w:szCs w:val="20"/>
          <w:color w:val="auto"/>
        </w:rPr>
      </w:pPr>
    </w:p>
    <w:p>
      <w:pPr>
        <w:ind w:right="300"/>
        <w:spacing w:after="0" w:line="280" w:lineRule="auto"/>
        <w:rPr>
          <w:sz w:val="20"/>
          <w:szCs w:val="20"/>
          <w:color w:val="auto"/>
        </w:rPr>
      </w:pPr>
      <w:r>
        <w:rPr>
          <w:rFonts w:ascii="Arial" w:cs="Arial" w:eastAsia="Arial" w:hAnsi="Arial"/>
          <w:sz w:val="19"/>
          <w:szCs w:val="19"/>
          <w:b w:val="1"/>
          <w:bCs w:val="1"/>
          <w:i w:val="1"/>
          <w:iCs w:val="1"/>
          <w:color w:val="auto"/>
        </w:rPr>
        <w:t>Cybersecurity incidents could disrupt business operations, result in the loss of critical and confidential information, and adversely impact our reputation and results of operations.</w:t>
      </w:r>
    </w:p>
    <w:p>
      <w:pPr>
        <w:spacing w:after="0" w:line="54" w:lineRule="exact"/>
        <w:rPr>
          <w:sz w:val="20"/>
          <w:szCs w:val="20"/>
          <w:color w:val="auto"/>
        </w:rPr>
      </w:pPr>
    </w:p>
    <w:p>
      <w:pPr>
        <w:ind w:firstLine="357"/>
        <w:spacing w:after="0" w:line="238" w:lineRule="auto"/>
        <w:rPr>
          <w:sz w:val="20"/>
          <w:szCs w:val="20"/>
          <w:color w:val="auto"/>
        </w:rPr>
      </w:pPr>
      <w:r>
        <w:rPr>
          <w:rFonts w:ascii="Arial" w:cs="Arial" w:eastAsia="Arial" w:hAnsi="Arial"/>
          <w:sz w:val="19"/>
          <w:szCs w:val="19"/>
          <w:color w:val="auto"/>
        </w:rPr>
        <w:t>Global cybersecurity threats and incidents can range from uncoordinated individual attempts to gain unauthorized access to information technology (IT) systems to sophisticated and targeted measures known as advanced persistent threats, directed at the Company, its products, its customers and/or its third party service providers, including cloud providers. Our customers, including the U.S. government, are increasingly requiring cybersecurity protections and mandating cybersecurity standards in our products, and we may incur additional costs to comply with such demands. While we have experienced, and expect to continue to experience, these types of threats and incidents, none of them to date have been material to the Company. We seek to deploy comprehensive measures to deter, prevent, detect, respond to and mitigate these threats, including identity and access controls, data protection, vulnerability assessments, product software designs which we believe are less susceptible to cyber attacks, continuous monitoring of our IT networks and systems and maintenance of backup and protective systems. Despite these efforts,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Cybersecurity incidents aimed at the software imbedded in our products could lead to third party claims that our product failures have caused a similar range of damages to our customers, and this risk is enhanced by the increasingly connected nature of our products. The potential consequences of a material cybersecurity incident include financial loss, reputational damage, litigation with third parties, theft of intellectual property, fines levied by the Federal Trade Commission, diminution in the value of our investment in research, development and engineering, and increased cybersecurity protection and remediation costs due to the increasing sophistication and proliferation of threats, which in turn could adversely affect our competitiveness and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Data privacy, identity protection, and information security may require significant resources and presents certain risks.</w:t>
      </w:r>
    </w:p>
    <w:p>
      <w:pPr>
        <w:spacing w:after="0" w:line="13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We collect, store, have access to and otherwise process certain confidential or sensitive data, including proprietary business information, personal data or other information that is subject to privacy and security laws, regulations and/or customer-imposed controls. Despite our efforts to protect such data, we may be vulnerable to material security breaches, theft, misplaced or lost data, programming errors, or employee errors that could potentially lead to the compromising of such data, improper use of our systems, software solutions or networks, unauthorized access, use, disclosure, modification or destruction of information, defective products, production downtimes and operational disruptions. In addition, we operate in an environment in which there are different and potentially conflicting data privacy laws in effect in the various U.S. states and foreign jurisdictions in which we operate and we must understand and comply with each law and standard in each of these jurisdictions while ensuring the data is secure. For example, the State of California recently passed legislation granting residents certain new data privacy rights and regulating the security of Internet of Things devices, which will go into effect in January 2020; European laws require us to have an approved legal mechanism to transfer personal data out of Europe; the European Union General Data Protection Regulation, which took effect in May 2018, superseded prior European Union data protection legislation and imposes more stringent requirements in how we collect and process personal data and provides for significantly greater penalties for noncompliance; and several other countries have passed laws that require personal data relating to their citizens to be maintained on local servers and impose additional data transfer restrictions. Government enforcement actions can be costly and interrupt the regular operation of our business, and violations of data privacy laws can result in fines, reputational damage and civil lawsuits, any of which may adversely affect our business, reputation and financial statements.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1" w:right="259" w:bottom="1440" w:gutter="0" w:footer="0" w:header="0"/>
        </w:sectPr>
      </w:pPr>
    </w:p>
    <w:bookmarkStart w:id="13" w:name="page14"/>
    <w:bookmarkEnd w:id="13"/>
    <w:p>
      <w:pPr>
        <w:ind w:right="420"/>
        <w:spacing w:after="0" w:line="280" w:lineRule="auto"/>
        <w:rPr>
          <w:sz w:val="20"/>
          <w:szCs w:val="20"/>
          <w:color w:val="auto"/>
        </w:rPr>
      </w:pPr>
      <w:r>
        <w:rPr>
          <w:rFonts w:ascii="Arial" w:cs="Arial" w:eastAsia="Arial" w:hAnsi="Arial"/>
          <w:sz w:val="19"/>
          <w:szCs w:val="19"/>
          <w:b w:val="1"/>
          <w:bCs w:val="1"/>
          <w:i w:val="1"/>
          <w:iCs w:val="1"/>
          <w:color w:val="auto"/>
        </w:rPr>
        <w:t>A material disruption of our operations, particularly at our manufacturing facilities or within our information technology infrastructure, could adversely affect our business.</w:t>
      </w:r>
    </w:p>
    <w:p>
      <w:pPr>
        <w:spacing w:after="0" w:line="54" w:lineRule="exact"/>
        <w:rPr>
          <w:sz w:val="20"/>
          <w:szCs w:val="20"/>
          <w:color w:val="auto"/>
        </w:rPr>
      </w:pPr>
    </w:p>
    <w:p>
      <w:pPr>
        <w:ind w:right="120" w:firstLine="357"/>
        <w:spacing w:after="0" w:line="239" w:lineRule="auto"/>
        <w:rPr>
          <w:sz w:val="20"/>
          <w:szCs w:val="20"/>
          <w:color w:val="auto"/>
        </w:rPr>
      </w:pPr>
      <w:r>
        <w:rPr>
          <w:rFonts w:ascii="Arial" w:cs="Arial" w:eastAsia="Arial" w:hAnsi="Arial"/>
          <w:sz w:val="19"/>
          <w:szCs w:val="19"/>
          <w:color w:val="auto"/>
        </w:rPr>
        <w:t>Our facilities, supply chains, distribution systems and information technology systems are subject to catastrophic loss due to natural disasters including hurricanes and floods, power outages, fires, explosions, terrorism, equipment failures, sabotage, adverse weather conditions, public health crises, labor disputes, critical supply failure, inaccurate downtime forecast, political disruption, and other reasons, which can result in undesirable consequences, including financial losses and damaged relationships with customers. We employ information technology systems and networks to support the business and rely on them to process, transmit and store electronic information, and to manage or support a variety of business processes and activities. Disruptions to our information technology infrastructure from system failures, shutdowns, power outages, telecommunication or utility failures, and other events, including disruptions at our cloud computing, server, systems and other third party IT service providers, could interfere with our operations, interrupt production and shipments, damage customer and business partner relationships, and negatively impact our reputation.</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Legal and Regulatory Risks</w:t>
      </w:r>
    </w:p>
    <w:p>
      <w:pPr>
        <w:spacing w:after="0" w:line="173" w:lineRule="exact"/>
        <w:rPr>
          <w:sz w:val="20"/>
          <w:szCs w:val="20"/>
          <w:color w:val="auto"/>
        </w:rPr>
      </w:pPr>
    </w:p>
    <w:p>
      <w:pPr>
        <w:ind w:right="200"/>
        <w:spacing w:after="0" w:line="280" w:lineRule="auto"/>
        <w:rPr>
          <w:sz w:val="20"/>
          <w:szCs w:val="20"/>
          <w:color w:val="auto"/>
        </w:rPr>
      </w:pPr>
      <w:r>
        <w:rPr>
          <w:rFonts w:ascii="Arial" w:cs="Arial" w:eastAsia="Arial" w:hAnsi="Arial"/>
          <w:sz w:val="19"/>
          <w:szCs w:val="19"/>
          <w:b w:val="1"/>
          <w:bCs w:val="1"/>
          <w:i w:val="1"/>
          <w:iCs w:val="1"/>
          <w:color w:val="auto"/>
        </w:rPr>
        <w:t>Our U.S. and non-U.S. tax liabilities are dependent, in part, upon the distribution of income among various jurisdictions in which we operate.</w:t>
      </w:r>
    </w:p>
    <w:p>
      <w:pPr>
        <w:spacing w:after="0" w:line="54"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Our future results of operations could be adversely affected by changes in the effective tax rate as a result of a change in the mix of earnings in countries with differing statutory tax rates, changes in tax laws, regulations and judicial rulings (or changes in the interpretation thereof), potential expansion of taxation on digital services, changes in generally accepted accounting principles, changes in the valuation of deferred tax assets and liabilities, changes in the amount of earnings permanently reinvested offshore, the results of audits and examinations of previously filed tax returns and continuing assessments of our tax exposures and various other governmental enforcement initiatives. Our tax expense includes estimates of tax reserves and reflects other estimates and assumptions, including assessments of future earnings of the Company which could impact the valuation of our deferred tax assets. Changes in tax laws or regulations, including further regulatory developments arising from U.S. tax reform legislation as well as multi-jurisdictional changes enacted in response to the action items provided by the Organization for Economic Co-operation and Development (OECD), will increase tax uncertainty and impact our provision for income taxes.</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legislation or government regulations or policies can have a significant impact on our results of operations.</w:t>
      </w:r>
    </w:p>
    <w:p>
      <w:pPr>
        <w:spacing w:after="0" w:line="116"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The sales and margins of each of our segments are directly impacted by government regulations including safety, performance and product certification regulations. Within Aerospace, the operating results of Commercial Original Equipment and Commercial Aftermarket may be impacted by, among other things, mandates of the Federal Aviation Administration and other similar international regulatory bodies requiring the installation of equipment on aircraft. Our Defense and Space business unit may be affected by changes in government procurement regulations. Within Honeywell Building Technologies, the demand for and cost of providing products, services and solutions can be impacted by fire, security, safety, health care, environmental and energy efficiency standards and regulations. Performance Materials and Technologies’ results of operations can be impacted by environmental standards, regulations, and judicial determinations</w:t>
      </w:r>
      <w:r>
        <w:rPr>
          <w:rFonts w:ascii="Arial" w:cs="Arial" w:eastAsia="Arial" w:hAnsi="Arial"/>
          <w:sz w:val="19"/>
          <w:szCs w:val="19"/>
          <w:i w:val="1"/>
          <w:iCs w:val="1"/>
          <w:color w:val="auto"/>
        </w:rPr>
        <w:t>.</w:t>
      </w:r>
      <w:r>
        <w:rPr>
          <w:rFonts w:ascii="Arial" w:cs="Arial" w:eastAsia="Arial" w:hAnsi="Arial"/>
          <w:sz w:val="19"/>
          <w:szCs w:val="19"/>
          <w:color w:val="auto"/>
        </w:rPr>
        <w:t xml:space="preserve"> Growth in all our businesses within emerging markets may be adversely impacted by the inability to acquire and retain qualified employees where local employment law mandates may be restrictive. Noncompliance with legislation and regulations can result in fines and penalties.</w:t>
      </w:r>
    </w:p>
    <w:p>
      <w:pPr>
        <w:spacing w:after="0" w:line="93" w:lineRule="exact"/>
        <w:rPr>
          <w:sz w:val="20"/>
          <w:szCs w:val="20"/>
          <w:color w:val="auto"/>
        </w:rPr>
      </w:pPr>
    </w:p>
    <w:p>
      <w:pPr>
        <w:ind w:right="280" w:firstLine="357"/>
        <w:spacing w:after="0" w:line="242" w:lineRule="auto"/>
        <w:rPr>
          <w:sz w:val="20"/>
          <w:szCs w:val="20"/>
          <w:color w:val="auto"/>
        </w:rPr>
      </w:pPr>
      <w:r>
        <w:rPr>
          <w:rFonts w:ascii="Arial" w:cs="Arial" w:eastAsia="Arial" w:hAnsi="Arial"/>
          <w:sz w:val="19"/>
          <w:szCs w:val="19"/>
          <w:color w:val="auto"/>
        </w:rPr>
        <w:t>Increased public awareness and concern regarding global climate change may result in more international, regional and/or federal requirements to reduce or mitigate global warming and these regulations could mandate even more restrictive standards, such as stricter limits on greenhouse gas emissions, than the voluntary commitments that the Company has made or require such changes on a more accelerated time frame. There continues to be a lack of consistent climate legislation, which</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14" w:name="page15"/>
    <w:bookmarkEnd w:id="14"/>
    <w:p>
      <w:pPr>
        <w:ind w:right="40"/>
        <w:spacing w:after="0" w:line="245" w:lineRule="auto"/>
        <w:rPr>
          <w:sz w:val="20"/>
          <w:szCs w:val="20"/>
          <w:color w:val="auto"/>
        </w:rPr>
      </w:pPr>
      <w:r>
        <w:rPr>
          <w:rFonts w:ascii="Arial" w:cs="Arial" w:eastAsia="Arial" w:hAnsi="Arial"/>
          <w:sz w:val="19"/>
          <w:szCs w:val="19"/>
          <w:color w:val="auto"/>
        </w:rPr>
        <w:t>creates economic and regulatory uncertainty. If environmental laws or regulations are either changed or adopted and impose significant operational restrictions and compliance requirements upon the Company or its products, they could negatively impact the Company’s business, capital expenditures, results of operations, financial condition and competitive position.</w:t>
      </w:r>
    </w:p>
    <w:p>
      <w:pPr>
        <w:spacing w:after="0" w:line="279" w:lineRule="exact"/>
        <w:rPr>
          <w:sz w:val="20"/>
          <w:szCs w:val="20"/>
          <w:color w:val="auto"/>
        </w:rPr>
      </w:pPr>
    </w:p>
    <w:p>
      <w:pPr>
        <w:ind w:right="180"/>
        <w:spacing w:after="0" w:line="280" w:lineRule="auto"/>
        <w:rPr>
          <w:sz w:val="20"/>
          <w:szCs w:val="20"/>
          <w:color w:val="auto"/>
        </w:rPr>
      </w:pPr>
      <w:r>
        <w:rPr>
          <w:rFonts w:ascii="Arial" w:cs="Arial" w:eastAsia="Arial" w:hAnsi="Arial"/>
          <w:sz w:val="19"/>
          <w:szCs w:val="19"/>
          <w:b w:val="1"/>
          <w:bCs w:val="1"/>
          <w:i w:val="1"/>
          <w:iCs w:val="1"/>
          <w:color w:val="auto"/>
        </w:rPr>
        <w:t>We cannot predict with certainty the outcome of litigation matters, government proceedings and other contingencies and uncertainties.</w:t>
      </w:r>
    </w:p>
    <w:p>
      <w:pPr>
        <w:spacing w:after="0" w:line="54"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We are subject to a number of lawsuits, investigations and disputes (some of which involve substantial amounts claimed) arising out of the conduct of our business, including matters relating to commercial transactions, government contracts, product liability (including asbestos), prior acquisitions and divestitures, employment, employee benefits plans, intellectual property, antitrust, accounting, import and export, and environmental, health and safety matters. Our potential liabilities are subject to change over time due to new developments, changes in settlement strategy or the impact of evidentiary requirements, and we may become subject to or be required to pay damage awards or settlements that could have a material adverse effect on our results of operations, cash flows and financial condition. While we maintain insurance for certain risks, the amount of our insurance coverage may not be adequate to cover the total amount of all insured claims and liabilities. The incurrence of significant liabilities for which there is no or insufficient insurance coverage could adversely affect our results of operations, cash flows, liquidity and financial condition.</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91" w:right="319" w:bottom="1440" w:gutter="0" w:footer="0" w:header="0"/>
        </w:sectPr>
      </w:pPr>
    </w:p>
    <w:bookmarkStart w:id="15" w:name="page16"/>
    <w:bookmarkEnd w:id="15"/>
    <w:p>
      <w:pPr>
        <w:spacing w:after="0"/>
        <w:rPr>
          <w:sz w:val="20"/>
          <w:szCs w:val="20"/>
          <w:color w:val="auto"/>
        </w:rPr>
      </w:pPr>
      <w:r>
        <w:rPr>
          <w:rFonts w:ascii="Arial" w:cs="Arial" w:eastAsia="Arial" w:hAnsi="Arial"/>
          <w:sz w:val="23"/>
          <w:szCs w:val="23"/>
          <w:b w:val="1"/>
          <w:bCs w:val="1"/>
          <w:color w:val="auto"/>
        </w:rPr>
        <w:t>Item 1B. Unresolved Staff Comments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None</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Properties</w:t>
      </w:r>
    </w:p>
    <w:p>
      <w:pPr>
        <w:spacing w:after="0" w:line="147"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We have approximately 991 locations, of which 252 are manufacturing sites. Our properties and equipment are in good operating condition and are adequate for our present needs. We do not anticipate difficulty in renewing existing leases as they expire or in finding alternative facilities.</w:t>
      </w:r>
    </w:p>
    <w:p>
      <w:pPr>
        <w:spacing w:after="0" w:line="25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3. Legal Proceedings</w:t>
      </w:r>
    </w:p>
    <w:p>
      <w:pPr>
        <w:spacing w:after="0" w:line="147"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color w:val="auto"/>
        </w:rPr>
        <w:t>We are subject to a number of lawsuits, investigations and claims (some of which involve substantial amounts) arising out of the conduct of our business. See a discussion of environmental, asbestos and other litigation matters in Note 20 Commitments and Contingencies of Notes to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65" w:right="279" w:bottom="1440" w:gutter="0" w:footer="0" w:header="0"/>
        </w:sectPr>
      </w:pPr>
    </w:p>
    <w:bookmarkStart w:id="16" w:name="page17"/>
    <w:bookmarkEnd w:id="16"/>
    <w:p>
      <w:pPr>
        <w:jc w:val="center"/>
        <w:spacing w:after="0"/>
        <w:rPr>
          <w:sz w:val="20"/>
          <w:szCs w:val="20"/>
          <w:color w:val="auto"/>
        </w:rPr>
      </w:pPr>
      <w:r>
        <w:rPr>
          <w:rFonts w:ascii="Arial" w:cs="Arial" w:eastAsia="Arial" w:hAnsi="Arial"/>
          <w:sz w:val="23"/>
          <w:szCs w:val="23"/>
          <w:b w:val="1"/>
          <w:bCs w:val="1"/>
          <w:color w:val="auto"/>
        </w:rPr>
        <w:t>Part II.</w:t>
      </w:r>
    </w:p>
    <w:p>
      <w:pPr>
        <w:spacing w:after="0" w:line="181" w:lineRule="exact"/>
        <w:rPr>
          <w:sz w:val="20"/>
          <w:szCs w:val="20"/>
          <w:color w:val="auto"/>
        </w:rPr>
      </w:pPr>
    </w:p>
    <w:p>
      <w:pPr>
        <w:ind w:left="800" w:right="380" w:hanging="790"/>
        <w:spacing w:after="0" w:line="280" w:lineRule="auto"/>
        <w:rPr>
          <w:sz w:val="20"/>
          <w:szCs w:val="20"/>
          <w:color w:val="auto"/>
        </w:rPr>
      </w:pPr>
      <w:r>
        <w:rPr>
          <w:rFonts w:ascii="Arial" w:cs="Arial" w:eastAsia="Arial" w:hAnsi="Arial"/>
          <w:sz w:val="23"/>
          <w:szCs w:val="23"/>
          <w:b w:val="1"/>
          <w:bCs w:val="1"/>
          <w:color w:val="auto"/>
        </w:rPr>
        <w:t>Item 5. Market for Registrant’s Common Equity, Related Stockholder Matters and Issuer Purchases of Equity Securities</w:t>
      </w:r>
    </w:p>
    <w:p>
      <w:pPr>
        <w:spacing w:after="0" w:line="64" w:lineRule="exact"/>
        <w:rPr>
          <w:sz w:val="20"/>
          <w:szCs w:val="20"/>
          <w:color w:val="auto"/>
        </w:rPr>
      </w:pPr>
    </w:p>
    <w:p>
      <w:pPr>
        <w:ind w:right="260" w:firstLine="357"/>
        <w:spacing w:after="0" w:line="245" w:lineRule="auto"/>
        <w:rPr>
          <w:sz w:val="20"/>
          <w:szCs w:val="20"/>
          <w:color w:val="auto"/>
        </w:rPr>
      </w:pPr>
      <w:r>
        <w:rPr>
          <w:rFonts w:ascii="Arial" w:cs="Arial" w:eastAsia="Arial" w:hAnsi="Arial"/>
          <w:sz w:val="19"/>
          <w:szCs w:val="19"/>
          <w:color w:val="auto"/>
        </w:rPr>
        <w:t>Honeywell’s common stock is listed on the New York Stock Exchange under the ticker symbol “HON”. Dividend information for Honeywell’s common stock is included in Note 25 Unaudited Quarterly Financial Information of Notes to Consolidated Financial Statements.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number of record holders of our common stock at December 31, 2018 was 45,606.</w:t>
      </w:r>
    </w:p>
    <w:p>
      <w:pPr>
        <w:spacing w:after="0" w:line="106"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color w:val="auto"/>
        </w:rPr>
        <w:t>Information regarding securities authorized for issuance under equity compensation plans is included in Item 12. Security Ownership of Certain Beneficial Owners and Management and Related Stockholder Matters under the caption “Equity Compensation Plans.”</w:t>
      </w:r>
    </w:p>
    <w:p>
      <w:pPr>
        <w:spacing w:after="0" w:line="87"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Honeywell purchased 11,181,042 shares of its common stock, par value $1 per share, in the quarter ending December 31, 2018. In December 2017, the Board of Directors authorized the repurchase of up to a total of $8 billion of Honeywell common stock, which included amounts remaining under and replaced the previously approved share repurchase program. $3.7 billion remained available as of as of December 31, 2018 for additional share repurchases. Honeywell presently expects to repurchase outstanding shares from time to time to generally offset the dilutive impact of employee stock based compensation plans, including option exercises, restricted unit vesting and matching contributions under our savings plans. Additionally, we seek to reduce share count via share repurchases as and when attractive opportunities arise. The amount and timing of future repurchases may vary depending on market conditions and the level of our operating, financing and other investing activities.</w:t>
      </w:r>
    </w:p>
    <w:p>
      <w:pPr>
        <w:spacing w:after="0" w:line="96"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The following table summarizes Honeywell’s purchase of its common stock for the three months ended December 31, 2018:</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0" w:type="dxa"/>
            <w:vAlign w:val="bottom"/>
          </w:tcPr>
          <w:p>
            <w:pPr>
              <w:spacing w:after="0"/>
              <w:rPr>
                <w:sz w:val="13"/>
                <w:szCs w:val="13"/>
                <w:color w:val="auto"/>
              </w:rPr>
            </w:pPr>
          </w:p>
        </w:tc>
        <w:tc>
          <w:tcPr>
            <w:tcW w:w="34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6"/>
              </w:rPr>
              <w:t>Total Number</w:t>
            </w:r>
          </w:p>
        </w:tc>
        <w:tc>
          <w:tcPr>
            <w:tcW w:w="3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r>
      <w:tr>
        <w:trPr>
          <w:trHeight w:val="176"/>
        </w:trPr>
        <w:tc>
          <w:tcPr>
            <w:tcW w:w="5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of Shares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jc w:val="center"/>
              <w:ind w:right="115"/>
              <w:spacing w:after="0" w:line="176" w:lineRule="exact"/>
              <w:rPr>
                <w:sz w:val="20"/>
                <w:szCs w:val="20"/>
                <w:color w:val="auto"/>
              </w:rPr>
            </w:pPr>
            <w:r>
              <w:rPr>
                <w:rFonts w:ascii="Arial" w:cs="Arial" w:eastAsia="Arial" w:hAnsi="Arial"/>
                <w:sz w:val="16"/>
                <w:szCs w:val="16"/>
                <w:b w:val="1"/>
                <w:bCs w:val="1"/>
                <w:color w:val="auto"/>
                <w:w w:val="98"/>
              </w:rPr>
              <w:t>Approximate Dollar</w:t>
            </w: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Purchased as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jc w:val="center"/>
              <w:ind w:right="115"/>
              <w:spacing w:after="0" w:line="176" w:lineRule="exact"/>
              <w:rPr>
                <w:sz w:val="20"/>
                <w:szCs w:val="20"/>
                <w:color w:val="auto"/>
              </w:rPr>
            </w:pPr>
            <w:r>
              <w:rPr>
                <w:rFonts w:ascii="Arial" w:cs="Arial" w:eastAsia="Arial" w:hAnsi="Arial"/>
                <w:sz w:val="16"/>
                <w:szCs w:val="16"/>
                <w:b w:val="1"/>
                <w:bCs w:val="1"/>
                <w:color w:val="auto"/>
                <w:w w:val="97"/>
              </w:rPr>
              <w:t>Value of Shares that</w:t>
            </w: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Total</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Part of Publicly</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jc w:val="center"/>
              <w:ind w:right="115"/>
              <w:spacing w:after="0" w:line="176" w:lineRule="exact"/>
              <w:rPr>
                <w:sz w:val="20"/>
                <w:szCs w:val="20"/>
                <w:color w:val="auto"/>
              </w:rPr>
            </w:pPr>
            <w:r>
              <w:rPr>
                <w:rFonts w:ascii="Arial" w:cs="Arial" w:eastAsia="Arial" w:hAnsi="Arial"/>
                <w:sz w:val="16"/>
                <w:szCs w:val="16"/>
                <w:b w:val="1"/>
                <w:bCs w:val="1"/>
                <w:color w:val="auto"/>
                <w:w w:val="97"/>
              </w:rPr>
              <w:t>May Yet be Purchased</w:t>
            </w: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ind w:left="140"/>
              <w:spacing w:after="0" w:line="176" w:lineRule="exact"/>
              <w:rPr>
                <w:sz w:val="20"/>
                <w:szCs w:val="20"/>
                <w:color w:val="auto"/>
              </w:rPr>
            </w:pPr>
            <w:r>
              <w:rPr>
                <w:rFonts w:ascii="Arial" w:cs="Arial" w:eastAsia="Arial" w:hAnsi="Arial"/>
                <w:sz w:val="16"/>
                <w:szCs w:val="16"/>
                <w:b w:val="1"/>
                <w:bCs w:val="1"/>
                <w:color w:val="auto"/>
              </w:rPr>
              <w:t>Number of</w:t>
            </w:r>
          </w:p>
        </w:tc>
        <w:tc>
          <w:tcPr>
            <w:tcW w:w="300" w:type="dxa"/>
            <w:vAlign w:val="bottom"/>
          </w:tcPr>
          <w:p>
            <w:pPr>
              <w:spacing w:after="0"/>
              <w:rPr>
                <w:sz w:val="15"/>
                <w:szCs w:val="15"/>
                <w:color w:val="auto"/>
              </w:rPr>
            </w:pPr>
          </w:p>
        </w:tc>
        <w:tc>
          <w:tcPr>
            <w:tcW w:w="9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8"/>
              </w:rPr>
              <w:t>Average</w:t>
            </w: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Announced</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jc w:val="center"/>
              <w:ind w:right="135"/>
              <w:spacing w:after="0" w:line="176" w:lineRule="exact"/>
              <w:rPr>
                <w:sz w:val="20"/>
                <w:szCs w:val="20"/>
                <w:color w:val="auto"/>
              </w:rPr>
            </w:pPr>
            <w:r>
              <w:rPr>
                <w:rFonts w:ascii="Arial" w:cs="Arial" w:eastAsia="Arial" w:hAnsi="Arial"/>
                <w:sz w:val="16"/>
                <w:szCs w:val="16"/>
                <w:b w:val="1"/>
                <w:bCs w:val="1"/>
                <w:color w:val="auto"/>
                <w:w w:val="98"/>
              </w:rPr>
              <w:t>Under Plans or</w:t>
            </w: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Shares</w:t>
            </w:r>
          </w:p>
        </w:tc>
        <w:tc>
          <w:tcPr>
            <w:tcW w:w="300" w:type="dxa"/>
            <w:vAlign w:val="bottom"/>
          </w:tcPr>
          <w:p>
            <w:pPr>
              <w:spacing w:after="0"/>
              <w:rPr>
                <w:sz w:val="15"/>
                <w:szCs w:val="15"/>
                <w:color w:val="auto"/>
              </w:rPr>
            </w:pPr>
          </w:p>
        </w:tc>
        <w:tc>
          <w:tcPr>
            <w:tcW w:w="9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8"/>
              </w:rPr>
              <w:t>Price Paid</w:t>
            </w: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Plans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jc w:val="center"/>
              <w:ind w:right="115"/>
              <w:spacing w:after="0" w:line="176" w:lineRule="exact"/>
              <w:rPr>
                <w:sz w:val="20"/>
                <w:szCs w:val="20"/>
                <w:color w:val="auto"/>
              </w:rPr>
            </w:pPr>
            <w:r>
              <w:rPr>
                <w:rFonts w:ascii="Arial" w:cs="Arial" w:eastAsia="Arial" w:hAnsi="Arial"/>
                <w:sz w:val="16"/>
                <w:szCs w:val="16"/>
                <w:b w:val="1"/>
                <w:bCs w:val="1"/>
                <w:color w:val="auto"/>
                <w:w w:val="99"/>
              </w:rPr>
              <w:t>Programs</w:t>
            </w:r>
          </w:p>
        </w:tc>
        <w:tc>
          <w:tcPr>
            <w:tcW w:w="520" w:type="dxa"/>
            <w:vAlign w:val="bottom"/>
          </w:tcPr>
          <w:p>
            <w:pPr>
              <w:spacing w:after="0"/>
              <w:rPr>
                <w:sz w:val="15"/>
                <w:szCs w:val="15"/>
                <w:color w:val="auto"/>
              </w:rPr>
            </w:pPr>
          </w:p>
        </w:tc>
      </w:tr>
      <w:tr>
        <w:trPr>
          <w:trHeight w:val="190"/>
        </w:trPr>
        <w:tc>
          <w:tcPr>
            <w:tcW w:w="500" w:type="dxa"/>
            <w:vAlign w:val="bottom"/>
          </w:tcPr>
          <w:p>
            <w:pPr>
              <w:spacing w:after="0"/>
              <w:rPr>
                <w:sz w:val="16"/>
                <w:szCs w:val="16"/>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Period</w:t>
            </w:r>
          </w:p>
        </w:tc>
        <w:tc>
          <w:tcPr>
            <w:tcW w:w="300" w:type="dxa"/>
            <w:vAlign w:val="bottom"/>
          </w:tcPr>
          <w:p>
            <w:pPr>
              <w:spacing w:after="0"/>
              <w:rPr>
                <w:sz w:val="16"/>
                <w:szCs w:val="16"/>
                <w:color w:val="auto"/>
              </w:rPr>
            </w:pP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Purchased</w:t>
            </w:r>
          </w:p>
        </w:tc>
        <w:tc>
          <w:tcPr>
            <w:tcW w:w="3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per Share</w:t>
            </w:r>
          </w:p>
        </w:tc>
        <w:tc>
          <w:tcPr>
            <w:tcW w:w="3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or Programs</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b w:val="1"/>
                <w:bCs w:val="1"/>
                <w:color w:val="auto"/>
                <w:w w:val="98"/>
              </w:rPr>
              <w:t>(Dollars in millions)</w:t>
            </w:r>
          </w:p>
        </w:tc>
        <w:tc>
          <w:tcPr>
            <w:tcW w:w="520" w:type="dxa"/>
            <w:vAlign w:val="bottom"/>
          </w:tcPr>
          <w:p>
            <w:pPr>
              <w:spacing w:after="0"/>
              <w:rPr>
                <w:sz w:val="16"/>
                <w:szCs w:val="16"/>
                <w:color w:val="auto"/>
              </w:rPr>
            </w:pPr>
          </w:p>
        </w:tc>
      </w:tr>
      <w:tr>
        <w:trPr>
          <w:trHeight w:val="237"/>
        </w:trPr>
        <w:tc>
          <w:tcPr>
            <w:tcW w:w="500" w:type="dxa"/>
            <w:vAlign w:val="bottom"/>
          </w:tcPr>
          <w:p>
            <w:pPr>
              <w:spacing w:after="0"/>
              <w:rPr>
                <w:sz w:val="20"/>
                <w:szCs w:val="20"/>
                <w:color w:val="auto"/>
              </w:rPr>
            </w:pPr>
          </w:p>
        </w:tc>
        <w:tc>
          <w:tcPr>
            <w:tcW w:w="34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October 2018</w:t>
            </w:r>
          </w:p>
        </w:tc>
        <w:tc>
          <w:tcPr>
            <w:tcW w:w="1380" w:type="dxa"/>
            <w:vAlign w:val="bottom"/>
            <w:gridSpan w:val="2"/>
            <w:shd w:val="clear" w:color="auto" w:fill="E5FFFF"/>
          </w:tcPr>
          <w:p>
            <w:pPr>
              <w:ind w:left="480"/>
              <w:spacing w:after="0"/>
              <w:rPr>
                <w:sz w:val="20"/>
                <w:szCs w:val="20"/>
                <w:color w:val="auto"/>
              </w:rPr>
            </w:pPr>
            <w:r>
              <w:rPr>
                <w:rFonts w:ascii="Arial" w:cs="Arial" w:eastAsia="Arial" w:hAnsi="Arial"/>
                <w:sz w:val="19"/>
                <w:szCs w:val="19"/>
                <w:color w:val="auto"/>
              </w:rPr>
              <w:t>5,360,640</w:t>
            </w:r>
          </w:p>
        </w:tc>
        <w:tc>
          <w:tcPr>
            <w:tcW w:w="560" w:type="dxa"/>
            <w:vAlign w:val="bottom"/>
            <w:gridSpan w:val="2"/>
            <w:shd w:val="clear" w:color="auto" w:fill="E5FFFF"/>
          </w:tcPr>
          <w:p>
            <w:pPr>
              <w:jc w:val="center"/>
              <w:ind w:left="83"/>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156.75</w:t>
            </w:r>
          </w:p>
        </w:tc>
        <w:tc>
          <w:tcPr>
            <w:tcW w:w="1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5,360,640</w:t>
            </w:r>
          </w:p>
        </w:tc>
        <w:tc>
          <w:tcPr>
            <w:tcW w:w="52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2020" w:type="dxa"/>
            <w:vAlign w:val="bottom"/>
            <w:shd w:val="clear" w:color="auto" w:fill="E5FFFF"/>
          </w:tcPr>
          <w:p>
            <w:pPr>
              <w:jc w:val="right"/>
              <w:ind w:right="115"/>
              <w:spacing w:after="0"/>
              <w:rPr>
                <w:sz w:val="20"/>
                <w:szCs w:val="20"/>
                <w:color w:val="auto"/>
              </w:rPr>
            </w:pPr>
            <w:r>
              <w:rPr>
                <w:rFonts w:ascii="Arial" w:cs="Arial" w:eastAsia="Arial" w:hAnsi="Arial"/>
                <w:sz w:val="19"/>
                <w:szCs w:val="19"/>
                <w:color w:val="auto"/>
              </w:rPr>
              <w:t>4,589</w:t>
            </w:r>
          </w:p>
        </w:tc>
        <w:tc>
          <w:tcPr>
            <w:tcW w:w="520" w:type="dxa"/>
            <w:vAlign w:val="bottom"/>
          </w:tcPr>
          <w:p>
            <w:pPr>
              <w:spacing w:after="0"/>
              <w:rPr>
                <w:sz w:val="20"/>
                <w:szCs w:val="20"/>
                <w:color w:val="auto"/>
              </w:rPr>
            </w:pPr>
          </w:p>
        </w:tc>
      </w:tr>
      <w:tr>
        <w:trPr>
          <w:trHeight w:val="243"/>
        </w:trPr>
        <w:tc>
          <w:tcPr>
            <w:tcW w:w="500" w:type="dxa"/>
            <w:vAlign w:val="bottom"/>
          </w:tcPr>
          <w:p>
            <w:pPr>
              <w:spacing w:after="0"/>
              <w:rPr>
                <w:sz w:val="21"/>
                <w:szCs w:val="21"/>
                <w:color w:val="auto"/>
              </w:rPr>
            </w:pPr>
          </w:p>
        </w:tc>
        <w:tc>
          <w:tcPr>
            <w:tcW w:w="3440" w:type="dxa"/>
            <w:vAlign w:val="bottom"/>
          </w:tcPr>
          <w:p>
            <w:pPr>
              <w:jc w:val="center"/>
              <w:spacing w:after="0"/>
              <w:rPr>
                <w:sz w:val="20"/>
                <w:szCs w:val="20"/>
                <w:color w:val="auto"/>
              </w:rPr>
            </w:pPr>
            <w:r>
              <w:rPr>
                <w:rFonts w:ascii="Arial" w:cs="Arial" w:eastAsia="Arial" w:hAnsi="Arial"/>
                <w:sz w:val="19"/>
                <w:szCs w:val="19"/>
                <w:color w:val="auto"/>
              </w:rPr>
              <w:t>November 2018</w:t>
            </w:r>
          </w:p>
        </w:tc>
        <w:tc>
          <w:tcPr>
            <w:tcW w:w="1380" w:type="dxa"/>
            <w:vAlign w:val="bottom"/>
            <w:gridSpan w:val="2"/>
          </w:tcPr>
          <w:p>
            <w:pPr>
              <w:ind w:left="480"/>
              <w:spacing w:after="0"/>
              <w:rPr>
                <w:sz w:val="20"/>
                <w:szCs w:val="20"/>
                <w:color w:val="auto"/>
              </w:rPr>
            </w:pPr>
            <w:r>
              <w:rPr>
                <w:rFonts w:ascii="Arial" w:cs="Arial" w:eastAsia="Arial" w:hAnsi="Arial"/>
                <w:sz w:val="19"/>
                <w:szCs w:val="19"/>
                <w:color w:val="auto"/>
              </w:rPr>
              <w:t>4,810,000</w:t>
            </w:r>
          </w:p>
        </w:tc>
        <w:tc>
          <w:tcPr>
            <w:tcW w:w="560" w:type="dxa"/>
            <w:vAlign w:val="bottom"/>
            <w:gridSpan w:val="2"/>
          </w:tcPr>
          <w:p>
            <w:pPr>
              <w:jc w:val="center"/>
              <w:ind w:left="83"/>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146.77</w:t>
            </w:r>
          </w:p>
        </w:tc>
        <w:tc>
          <w:tcPr>
            <w:tcW w:w="1780" w:type="dxa"/>
            <w:vAlign w:val="bottom"/>
            <w:gridSpan w:val="2"/>
          </w:tcPr>
          <w:p>
            <w:pPr>
              <w:jc w:val="right"/>
              <w:spacing w:after="0"/>
              <w:rPr>
                <w:sz w:val="20"/>
                <w:szCs w:val="20"/>
                <w:color w:val="auto"/>
              </w:rPr>
            </w:pPr>
            <w:r>
              <w:rPr>
                <w:rFonts w:ascii="Arial" w:cs="Arial" w:eastAsia="Arial" w:hAnsi="Arial"/>
                <w:sz w:val="19"/>
                <w:szCs w:val="19"/>
                <w:color w:val="auto"/>
              </w:rPr>
              <w:t>4,810,000</w:t>
            </w:r>
          </w:p>
        </w:tc>
        <w:tc>
          <w:tcPr>
            <w:tcW w:w="5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2020" w:type="dxa"/>
            <w:vAlign w:val="bottom"/>
          </w:tcPr>
          <w:p>
            <w:pPr>
              <w:jc w:val="right"/>
              <w:ind w:right="115"/>
              <w:spacing w:after="0"/>
              <w:rPr>
                <w:sz w:val="20"/>
                <w:szCs w:val="20"/>
                <w:color w:val="auto"/>
              </w:rPr>
            </w:pPr>
            <w:r>
              <w:rPr>
                <w:rFonts w:ascii="Arial" w:cs="Arial" w:eastAsia="Arial" w:hAnsi="Arial"/>
                <w:sz w:val="19"/>
                <w:szCs w:val="19"/>
                <w:color w:val="auto"/>
              </w:rPr>
              <w:t>3,883</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34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December 2018</w:t>
            </w:r>
          </w:p>
        </w:tc>
        <w:tc>
          <w:tcPr>
            <w:tcW w:w="1380" w:type="dxa"/>
            <w:vAlign w:val="bottom"/>
            <w:gridSpan w:val="2"/>
            <w:shd w:val="clear" w:color="auto" w:fill="E5FFFF"/>
          </w:tcPr>
          <w:p>
            <w:pPr>
              <w:ind w:left="480"/>
              <w:spacing w:after="0"/>
              <w:rPr>
                <w:sz w:val="20"/>
                <w:szCs w:val="20"/>
                <w:color w:val="auto"/>
              </w:rPr>
            </w:pPr>
            <w:r>
              <w:rPr>
                <w:rFonts w:ascii="Arial" w:cs="Arial" w:eastAsia="Arial" w:hAnsi="Arial"/>
                <w:sz w:val="19"/>
                <w:szCs w:val="19"/>
                <w:color w:val="auto"/>
              </w:rPr>
              <w:t>1,010,402</w:t>
            </w:r>
          </w:p>
        </w:tc>
        <w:tc>
          <w:tcPr>
            <w:tcW w:w="560" w:type="dxa"/>
            <w:vAlign w:val="bottom"/>
            <w:gridSpan w:val="2"/>
            <w:shd w:val="clear" w:color="auto" w:fill="E5FFFF"/>
          </w:tcPr>
          <w:p>
            <w:pPr>
              <w:jc w:val="center"/>
              <w:ind w:left="83"/>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143.62</w:t>
            </w:r>
          </w:p>
        </w:tc>
        <w:tc>
          <w:tcPr>
            <w:tcW w:w="1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1,010,402</w:t>
            </w:r>
          </w:p>
        </w:tc>
        <w:tc>
          <w:tcPr>
            <w:tcW w:w="52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2020" w:type="dxa"/>
            <w:vAlign w:val="bottom"/>
            <w:shd w:val="clear" w:color="auto" w:fill="E5FFFF"/>
          </w:tcPr>
          <w:p>
            <w:pPr>
              <w:jc w:val="right"/>
              <w:ind w:right="115"/>
              <w:spacing w:after="0"/>
              <w:rPr>
                <w:sz w:val="20"/>
                <w:szCs w:val="20"/>
                <w:color w:val="auto"/>
              </w:rPr>
            </w:pPr>
            <w:r>
              <w:rPr>
                <w:rFonts w:ascii="Arial" w:cs="Arial" w:eastAsia="Arial" w:hAnsi="Arial"/>
                <w:sz w:val="19"/>
                <w:szCs w:val="19"/>
                <w:color w:val="auto"/>
              </w:rPr>
              <w:t>3,737</w:t>
            </w:r>
          </w:p>
        </w:tc>
        <w:tc>
          <w:tcPr>
            <w:tcW w:w="520" w:type="dxa"/>
            <w:vAlign w:val="bottom"/>
          </w:tcPr>
          <w:p>
            <w:pPr>
              <w:spacing w:after="0"/>
              <w:rPr>
                <w:sz w:val="21"/>
                <w:szCs w:val="21"/>
                <w:color w:val="auto"/>
              </w:rPr>
            </w:pPr>
          </w:p>
        </w:tc>
      </w:tr>
      <w:tr>
        <w:trPr>
          <w:trHeight w:val="342"/>
        </w:trPr>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gridSpan w:val="2"/>
          </w:tcPr>
          <w:p>
            <w:pPr>
              <w:jc w:val="center"/>
              <w:ind w:left="123"/>
              <w:spacing w:after="0"/>
              <w:rPr>
                <w:sz w:val="20"/>
                <w:szCs w:val="20"/>
                <w:color w:val="auto"/>
              </w:rPr>
            </w:pPr>
            <w:r>
              <w:rPr>
                <w:rFonts w:ascii="Arial" w:cs="Arial" w:eastAsia="Arial" w:hAnsi="Arial"/>
                <w:sz w:val="19"/>
                <w:szCs w:val="19"/>
                <w:color w:val="auto"/>
              </w:rPr>
              <w:t>14</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9"/>
          <w:szCs w:val="19"/>
          <w:b w:val="1"/>
          <w:bCs w:val="1"/>
          <w:color w:val="auto"/>
        </w:rPr>
        <w:t>Performance Graph</w:t>
      </w:r>
    </w:p>
    <w:p>
      <w:pPr>
        <w:spacing w:after="0" w:line="13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The following graph compares the five-year cumulative total return on our common stock to the total returns on the Standard &amp; Poor’s (S&amp;P) 500 Stock Index and a composite of S&amp;P’s Industrial Conglomerates and Aerospace and Defense indices, on a 65%/35% weighted basis (the Composite Index). The weighting of the components of the Composite Index are based on our segments’ relative contribution to total segment profit. The selection of the Industrial Conglomerates component of the Composite Index reflects the diverse and distinct range of non-aerospace businesses conducted by Honeywell. The annual changes for the five-year period shown in the graph are based on the assumption that $100 had been invested in Honeywell stock and each index on December 31, 2013 and that all dividends were reinvested.</w:t>
      </w:r>
    </w:p>
    <w:p>
      <w:pPr>
        <w:spacing w:after="0" w:line="283" w:lineRule="exact"/>
        <w:rPr>
          <w:sz w:val="20"/>
          <w:szCs w:val="20"/>
          <w:color w:val="auto"/>
        </w:rPr>
      </w:pPr>
    </w:p>
    <w:p>
      <w:pPr>
        <w:ind w:left="3360"/>
        <w:spacing w:after="0"/>
        <w:rPr>
          <w:sz w:val="20"/>
          <w:szCs w:val="20"/>
          <w:color w:val="auto"/>
        </w:rPr>
      </w:pPr>
      <w:r>
        <w:rPr>
          <w:rFonts w:ascii="Arial" w:cs="Arial" w:eastAsia="Arial" w:hAnsi="Arial"/>
          <w:sz w:val="19"/>
          <w:szCs w:val="19"/>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151130</wp:posOffset>
            </wp:positionV>
            <wp:extent cx="5411470" cy="3249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1147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5" w:right="279" w:bottom="1440" w:gutter="0" w:footer="0" w:header="0"/>
        </w:sectPr>
      </w:pPr>
    </w:p>
    <w:bookmarkStart w:id="18" w:name="page19"/>
    <w:bookmarkEnd w:id="1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147"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color w:val="auto"/>
        </w:rPr>
        <w:t>This selected financial data should be read in conjunction with Honeywell’s Consolidated Financial Statements and related Notes included elsewhere in this Annual Report as well as the section of this Annual Report titled Item 7. Management’s Discussion and Analysis of Financial Condition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6. Selected Financial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6"/>
                <w:szCs w:val="16"/>
                <w:b w:val="1"/>
                <w:bCs w:val="1"/>
                <w:color w:val="auto"/>
                <w:w w:val="98"/>
              </w:rPr>
              <w:t>Years Ended December 31,</w:t>
            </w:r>
          </w:p>
        </w:tc>
        <w:tc>
          <w:tcPr>
            <w:tcW w:w="900" w:type="dxa"/>
            <w:vAlign w:val="bottom"/>
            <w:tcBorders>
              <w:bottom w:val="single" w:sz="8" w:color="auto"/>
            </w:tcBorders>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880" w:type="dxa"/>
            <w:vAlign w:val="bottom"/>
            <w:tcBorders>
              <w:bottom w:val="single" w:sz="8" w:color="auto"/>
            </w:tcBorders>
          </w:tcPr>
          <w:p>
            <w:pPr>
              <w:jc w:val="right"/>
              <w:ind w:right="124"/>
              <w:spacing w:after="0" w:line="169" w:lineRule="exact"/>
              <w:rPr>
                <w:sz w:val="20"/>
                <w:szCs w:val="20"/>
                <w:color w:val="auto"/>
              </w:rPr>
            </w:pPr>
            <w:r>
              <w:rPr>
                <w:rFonts w:ascii="Arial" w:cs="Arial" w:eastAsia="Arial" w:hAnsi="Arial"/>
                <w:sz w:val="16"/>
                <w:szCs w:val="16"/>
                <w:b w:val="1"/>
                <w:bCs w:val="1"/>
                <w:color w:val="auto"/>
              </w:rPr>
              <w:t>2018</w:t>
            </w:r>
            <w:r>
              <w:rPr>
                <w:rFonts w:ascii="Arial" w:cs="Arial" w:eastAsia="Arial" w:hAnsi="Arial"/>
                <w:sz w:val="8"/>
                <w:szCs w:val="8"/>
                <w:b w:val="1"/>
                <w:bCs w:val="1"/>
                <w:color w:val="auto"/>
              </w:rPr>
              <w:t>(1)</w:t>
            </w: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2017</w:t>
            </w:r>
            <w:r>
              <w:rPr>
                <w:rFonts w:ascii="Arial" w:cs="Arial" w:eastAsia="Arial" w:hAnsi="Arial"/>
                <w:sz w:val="8"/>
                <w:szCs w:val="8"/>
                <w:b w:val="1"/>
                <w:bCs w:val="1"/>
                <w:color w:val="auto"/>
              </w:rPr>
              <w:t>(1)</w:t>
            </w:r>
          </w:p>
        </w:tc>
        <w:tc>
          <w:tcPr>
            <w:tcW w:w="300" w:type="dxa"/>
            <w:vAlign w:val="bottom"/>
          </w:tcPr>
          <w:p>
            <w:pPr>
              <w:spacing w:after="0"/>
              <w:rPr>
                <w:sz w:val="14"/>
                <w:szCs w:val="14"/>
                <w:color w:val="auto"/>
              </w:rPr>
            </w:pPr>
          </w:p>
        </w:tc>
        <w:tc>
          <w:tcPr>
            <w:tcW w:w="900" w:type="dxa"/>
            <w:vAlign w:val="bottom"/>
            <w:tcBorders>
              <w:bottom w:val="single" w:sz="8" w:color="auto"/>
            </w:tcBorders>
          </w:tcPr>
          <w:p>
            <w:pPr>
              <w:jc w:val="right"/>
              <w:ind w:right="201"/>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880" w:type="dxa"/>
            <w:vAlign w:val="bottom"/>
            <w:tcBorders>
              <w:bottom w:val="single" w:sz="8" w:color="auto"/>
            </w:tcBorders>
          </w:tcPr>
          <w:p>
            <w:pPr>
              <w:jc w:val="right"/>
              <w:ind w:right="181"/>
              <w:spacing w:after="0" w:line="169" w:lineRule="exact"/>
              <w:rPr>
                <w:sz w:val="20"/>
                <w:szCs w:val="20"/>
                <w:color w:val="auto"/>
              </w:rPr>
            </w:pPr>
            <w:r>
              <w:rPr>
                <w:rFonts w:ascii="Arial" w:cs="Arial" w:eastAsia="Arial" w:hAnsi="Arial"/>
                <w:sz w:val="16"/>
                <w:szCs w:val="16"/>
                <w:b w:val="1"/>
                <w:bCs w:val="1"/>
                <w:color w:val="auto"/>
              </w:rPr>
              <w:t>2015</w:t>
            </w:r>
          </w:p>
        </w:tc>
        <w:tc>
          <w:tcPr>
            <w:tcW w:w="320" w:type="dxa"/>
            <w:vAlign w:val="bottom"/>
          </w:tcPr>
          <w:p>
            <w:pPr>
              <w:spacing w:after="0"/>
              <w:rPr>
                <w:sz w:val="14"/>
                <w:szCs w:val="14"/>
                <w:color w:val="auto"/>
              </w:rPr>
            </w:pPr>
          </w:p>
        </w:tc>
        <w:tc>
          <w:tcPr>
            <w:tcW w:w="90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6"/>
                <w:szCs w:val="16"/>
                <w:b w:val="1"/>
                <w:bCs w:val="1"/>
                <w:color w:val="auto"/>
              </w:rPr>
              <w:t>2014</w:t>
            </w:r>
          </w:p>
        </w:tc>
      </w:tr>
      <w:tr>
        <w:trPr>
          <w:trHeight w:val="237"/>
        </w:trPr>
        <w:tc>
          <w:tcPr>
            <w:tcW w:w="5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60" w:type="dxa"/>
            <w:vAlign w:val="bottom"/>
            <w:gridSpan w:val="7"/>
          </w:tcPr>
          <w:p>
            <w:pPr>
              <w:jc w:val="center"/>
              <w:spacing w:after="0"/>
              <w:rPr>
                <w:sz w:val="20"/>
                <w:szCs w:val="20"/>
                <w:color w:val="auto"/>
              </w:rPr>
            </w:pPr>
            <w:r>
              <w:rPr>
                <w:rFonts w:ascii="Arial" w:cs="Arial" w:eastAsia="Arial" w:hAnsi="Arial"/>
                <w:sz w:val="16"/>
                <w:szCs w:val="16"/>
                <w:b w:val="1"/>
                <w:bCs w:val="1"/>
                <w:color w:val="auto"/>
                <w:w w:val="98"/>
              </w:rPr>
              <w:t>(Dollars in millions, except per share amounts)</w:t>
            </w:r>
          </w:p>
        </w:tc>
        <w:tc>
          <w:tcPr>
            <w:tcW w:w="900" w:type="dxa"/>
            <w:vAlign w:val="bottom"/>
          </w:tcPr>
          <w:p>
            <w:pPr>
              <w:spacing w:after="0"/>
              <w:rPr>
                <w:sz w:val="20"/>
                <w:szCs w:val="20"/>
                <w:color w:val="auto"/>
              </w:rPr>
            </w:pPr>
          </w:p>
        </w:tc>
      </w:tr>
      <w:tr>
        <w:trPr>
          <w:trHeight w:val="216"/>
        </w:trPr>
        <w:tc>
          <w:tcPr>
            <w:tcW w:w="578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Results of Operations</w:t>
            </w:r>
            <w:r>
              <w:rPr>
                <w:rFonts w:ascii="Arial" w:cs="Arial" w:eastAsia="Arial" w:hAnsi="Arial"/>
                <w:sz w:val="10"/>
                <w:szCs w:val="10"/>
                <w:b w:val="1"/>
                <w:bCs w:val="1"/>
                <w:color w:val="auto"/>
              </w:rPr>
              <w:t>(2)</w:t>
            </w: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9"/>
                <w:szCs w:val="19"/>
                <w:color w:val="auto"/>
              </w:rPr>
              <w:t>Net sales</w:t>
            </w:r>
          </w:p>
        </w:tc>
        <w:tc>
          <w:tcPr>
            <w:tcW w:w="880" w:type="dxa"/>
            <w:vAlign w:val="bottom"/>
          </w:tcPr>
          <w:p>
            <w:pPr>
              <w:jc w:val="right"/>
              <w:spacing w:after="0"/>
              <w:rPr>
                <w:sz w:val="20"/>
                <w:szCs w:val="20"/>
                <w:color w:val="auto"/>
              </w:rPr>
            </w:pPr>
            <w:r>
              <w:rPr>
                <w:rFonts w:ascii="Arial" w:cs="Arial" w:eastAsia="Arial" w:hAnsi="Arial"/>
                <w:sz w:val="19"/>
                <w:szCs w:val="19"/>
                <w:color w:val="auto"/>
              </w:rPr>
              <w:t>$ 41,802</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$ 40,534</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$ 39,302</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$ 38,581</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  40,306</w:t>
            </w:r>
          </w:p>
        </w:tc>
      </w:tr>
      <w:tr>
        <w:trPr>
          <w:trHeight w:val="243"/>
        </w:trPr>
        <w:tc>
          <w:tcPr>
            <w:tcW w:w="5780" w:type="dxa"/>
            <w:vAlign w:val="bottom"/>
            <w:shd w:val="clear" w:color="auto" w:fill="E5FFFF"/>
          </w:tcPr>
          <w:p>
            <w:pPr>
              <w:spacing w:after="0"/>
              <w:rPr>
                <w:sz w:val="20"/>
                <w:szCs w:val="20"/>
                <w:color w:val="auto"/>
              </w:rPr>
            </w:pPr>
            <w:r>
              <w:rPr>
                <w:rFonts w:ascii="Arial" w:cs="Arial" w:eastAsia="Arial" w:hAnsi="Arial"/>
                <w:sz w:val="19"/>
                <w:szCs w:val="19"/>
                <w:color w:val="auto"/>
              </w:rPr>
              <w:t>Net income attributable to Honeywell</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6,765</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1,545</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4,812</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4,771</w:t>
            </w:r>
          </w:p>
        </w:tc>
        <w:tc>
          <w:tcPr>
            <w:tcW w:w="3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4,262</w:t>
            </w: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9"/>
                <w:szCs w:val="19"/>
                <w:b w:val="1"/>
                <w:bCs w:val="1"/>
                <w:color w:val="auto"/>
              </w:rPr>
              <w:t>Earnings Per Common Share</w:t>
            </w:r>
            <w:r>
              <w:rPr>
                <w:rFonts w:ascii="Arial" w:cs="Arial" w:eastAsia="Arial" w:hAnsi="Arial"/>
                <w:sz w:val="10"/>
                <w:szCs w:val="10"/>
                <w:b w:val="1"/>
                <w:bCs w:val="1"/>
                <w:color w:val="auto"/>
              </w:rPr>
              <w:t>(2)</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78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Earnings from continuing operations:</w:t>
            </w: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43"/>
        </w:trPr>
        <w:tc>
          <w:tcPr>
            <w:tcW w:w="5780" w:type="dxa"/>
            <w:vAlign w:val="bottom"/>
          </w:tcPr>
          <w:p>
            <w:pPr>
              <w:ind w:left="360"/>
              <w:spacing w:after="0"/>
              <w:rPr>
                <w:sz w:val="20"/>
                <w:szCs w:val="20"/>
                <w:color w:val="auto"/>
              </w:rPr>
            </w:pPr>
            <w:r>
              <w:rPr>
                <w:rFonts w:ascii="Arial" w:cs="Arial" w:eastAsia="Arial" w:hAnsi="Arial"/>
                <w:sz w:val="19"/>
                <w:szCs w:val="19"/>
                <w:color w:val="auto"/>
              </w:rPr>
              <w:t>Basic</w:t>
            </w:r>
          </w:p>
        </w:tc>
        <w:tc>
          <w:tcPr>
            <w:tcW w:w="880" w:type="dxa"/>
            <w:vAlign w:val="bottom"/>
          </w:tcPr>
          <w:p>
            <w:pPr>
              <w:jc w:val="right"/>
              <w:spacing w:after="0"/>
              <w:rPr>
                <w:sz w:val="20"/>
                <w:szCs w:val="20"/>
                <w:color w:val="auto"/>
              </w:rPr>
            </w:pPr>
            <w:r>
              <w:rPr>
                <w:rFonts w:ascii="Arial" w:cs="Arial" w:eastAsia="Arial" w:hAnsi="Arial"/>
                <w:sz w:val="19"/>
                <w:szCs w:val="19"/>
                <w:color w:val="auto"/>
              </w:rPr>
              <w:t>9.10</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2.03</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6.30</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6.12</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5.43</w:t>
            </w:r>
          </w:p>
        </w:tc>
      </w:tr>
      <w:tr>
        <w:trPr>
          <w:trHeight w:val="243"/>
        </w:trPr>
        <w:tc>
          <w:tcPr>
            <w:tcW w:w="57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Assuming dilution</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8.98</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2.00</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6.21</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6.04</w:t>
            </w:r>
          </w:p>
        </w:tc>
        <w:tc>
          <w:tcPr>
            <w:tcW w:w="3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5.36</w:t>
            </w:r>
          </w:p>
        </w:tc>
      </w:tr>
      <w:tr>
        <w:trPr>
          <w:trHeight w:val="243"/>
        </w:trPr>
        <w:tc>
          <w:tcPr>
            <w:tcW w:w="5780" w:type="dxa"/>
            <w:vAlign w:val="bottom"/>
          </w:tcPr>
          <w:p>
            <w:pPr>
              <w:spacing w:after="0"/>
              <w:rPr>
                <w:sz w:val="20"/>
                <w:szCs w:val="20"/>
                <w:color w:val="auto"/>
              </w:rPr>
            </w:pPr>
            <w:r>
              <w:rPr>
                <w:rFonts w:ascii="Arial" w:cs="Arial" w:eastAsia="Arial" w:hAnsi="Arial"/>
                <w:sz w:val="19"/>
                <w:szCs w:val="19"/>
                <w:color w:val="auto"/>
              </w:rPr>
              <w:t>Dividends per share</w:t>
            </w:r>
          </w:p>
        </w:tc>
        <w:tc>
          <w:tcPr>
            <w:tcW w:w="880" w:type="dxa"/>
            <w:vAlign w:val="bottom"/>
          </w:tcPr>
          <w:p>
            <w:pPr>
              <w:jc w:val="right"/>
              <w:spacing w:after="0"/>
              <w:rPr>
                <w:sz w:val="20"/>
                <w:szCs w:val="20"/>
                <w:color w:val="auto"/>
              </w:rPr>
            </w:pPr>
            <w:r>
              <w:rPr>
                <w:rFonts w:ascii="Arial" w:cs="Arial" w:eastAsia="Arial" w:hAnsi="Arial"/>
                <w:sz w:val="19"/>
                <w:szCs w:val="19"/>
                <w:color w:val="auto"/>
              </w:rPr>
              <w:t>3.06</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2.74</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2.45</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2.15</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1.87</w:t>
            </w:r>
          </w:p>
        </w:tc>
      </w:tr>
      <w:tr>
        <w:trPr>
          <w:trHeight w:val="216"/>
        </w:trPr>
        <w:tc>
          <w:tcPr>
            <w:tcW w:w="578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Financial Position at Year-End</w:t>
            </w:r>
            <w:r>
              <w:rPr>
                <w:rFonts w:ascii="Arial" w:cs="Arial" w:eastAsia="Arial" w:hAnsi="Arial"/>
                <w:sz w:val="10"/>
                <w:szCs w:val="10"/>
                <w:b w:val="1"/>
                <w:bCs w:val="1"/>
                <w:color w:val="auto"/>
              </w:rPr>
              <w:t>(2)</w:t>
            </w: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9"/>
                <w:szCs w:val="19"/>
                <w:color w:val="auto"/>
              </w:rPr>
              <w:t>Property, plant and equipment-net</w:t>
            </w:r>
          </w:p>
        </w:tc>
        <w:tc>
          <w:tcPr>
            <w:tcW w:w="880" w:type="dxa"/>
            <w:vAlign w:val="bottom"/>
          </w:tcPr>
          <w:p>
            <w:pPr>
              <w:jc w:val="right"/>
              <w:spacing w:after="0"/>
              <w:rPr>
                <w:sz w:val="20"/>
                <w:szCs w:val="20"/>
                <w:color w:val="auto"/>
              </w:rPr>
            </w:pPr>
            <w:r>
              <w:rPr>
                <w:rFonts w:ascii="Arial" w:cs="Arial" w:eastAsia="Arial" w:hAnsi="Arial"/>
                <w:sz w:val="19"/>
                <w:szCs w:val="19"/>
                <w:color w:val="auto"/>
              </w:rPr>
              <w:t>5,296</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5,926</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5,793</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5,789</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5,383</w:t>
            </w:r>
          </w:p>
        </w:tc>
      </w:tr>
      <w:tr>
        <w:trPr>
          <w:trHeight w:val="243"/>
        </w:trPr>
        <w:tc>
          <w:tcPr>
            <w:tcW w:w="5780" w:type="dxa"/>
            <w:vAlign w:val="bottom"/>
            <w:shd w:val="clear" w:color="auto" w:fill="E5FFFF"/>
          </w:tcPr>
          <w:p>
            <w:pPr>
              <w:spacing w:after="0"/>
              <w:rPr>
                <w:sz w:val="20"/>
                <w:szCs w:val="20"/>
                <w:color w:val="auto"/>
              </w:rPr>
            </w:pPr>
            <w:r>
              <w:rPr>
                <w:rFonts w:ascii="Arial" w:cs="Arial" w:eastAsia="Arial" w:hAnsi="Arial"/>
                <w:sz w:val="19"/>
                <w:szCs w:val="19"/>
                <w:color w:val="auto"/>
              </w:rPr>
              <w:t>Total assets</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57,773</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59,470</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54,566</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49,711</w:t>
            </w:r>
          </w:p>
        </w:tc>
        <w:tc>
          <w:tcPr>
            <w:tcW w:w="3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45,969</w:t>
            </w:r>
          </w:p>
        </w:tc>
      </w:tr>
      <w:tr>
        <w:trPr>
          <w:trHeight w:val="243"/>
        </w:trPr>
        <w:tc>
          <w:tcPr>
            <w:tcW w:w="5780" w:type="dxa"/>
            <w:vAlign w:val="bottom"/>
          </w:tcPr>
          <w:p>
            <w:pPr>
              <w:spacing w:after="0"/>
              <w:rPr>
                <w:sz w:val="20"/>
                <w:szCs w:val="20"/>
                <w:color w:val="auto"/>
              </w:rPr>
            </w:pPr>
            <w:r>
              <w:rPr>
                <w:rFonts w:ascii="Arial" w:cs="Arial" w:eastAsia="Arial" w:hAnsi="Arial"/>
                <w:sz w:val="19"/>
                <w:szCs w:val="19"/>
                <w:color w:val="auto"/>
              </w:rPr>
              <w:t>Short-term debt</w:t>
            </w:r>
          </w:p>
        </w:tc>
        <w:tc>
          <w:tcPr>
            <w:tcW w:w="880" w:type="dxa"/>
            <w:vAlign w:val="bottom"/>
          </w:tcPr>
          <w:p>
            <w:pPr>
              <w:jc w:val="right"/>
              <w:spacing w:after="0"/>
              <w:rPr>
                <w:sz w:val="20"/>
                <w:szCs w:val="20"/>
                <w:color w:val="auto"/>
              </w:rPr>
            </w:pPr>
            <w:r>
              <w:rPr>
                <w:rFonts w:ascii="Arial" w:cs="Arial" w:eastAsia="Arial" w:hAnsi="Arial"/>
                <w:sz w:val="19"/>
                <w:szCs w:val="19"/>
                <w:color w:val="auto"/>
              </w:rPr>
              <w:t>6,458</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5,309</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3,593</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6,514</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2,637</w:t>
            </w:r>
          </w:p>
        </w:tc>
      </w:tr>
      <w:tr>
        <w:trPr>
          <w:trHeight w:val="243"/>
        </w:trPr>
        <w:tc>
          <w:tcPr>
            <w:tcW w:w="5780" w:type="dxa"/>
            <w:vAlign w:val="bottom"/>
            <w:shd w:val="clear" w:color="auto" w:fill="E5FFFF"/>
          </w:tcPr>
          <w:p>
            <w:pPr>
              <w:spacing w:after="0"/>
              <w:rPr>
                <w:sz w:val="20"/>
                <w:szCs w:val="20"/>
                <w:color w:val="auto"/>
              </w:rPr>
            </w:pPr>
            <w:r>
              <w:rPr>
                <w:rFonts w:ascii="Arial" w:cs="Arial" w:eastAsia="Arial" w:hAnsi="Arial"/>
                <w:sz w:val="19"/>
                <w:szCs w:val="19"/>
                <w:color w:val="auto"/>
              </w:rPr>
              <w:t>Long-term debt</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9,756</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12,573</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12,182</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5,554</w:t>
            </w:r>
          </w:p>
        </w:tc>
        <w:tc>
          <w:tcPr>
            <w:tcW w:w="3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6,046</w:t>
            </w:r>
          </w:p>
        </w:tc>
      </w:tr>
      <w:tr>
        <w:trPr>
          <w:trHeight w:val="243"/>
        </w:trPr>
        <w:tc>
          <w:tcPr>
            <w:tcW w:w="5780" w:type="dxa"/>
            <w:vAlign w:val="bottom"/>
          </w:tcPr>
          <w:p>
            <w:pPr>
              <w:spacing w:after="0"/>
              <w:rPr>
                <w:sz w:val="20"/>
                <w:szCs w:val="20"/>
                <w:color w:val="auto"/>
              </w:rPr>
            </w:pPr>
            <w:r>
              <w:rPr>
                <w:rFonts w:ascii="Arial" w:cs="Arial" w:eastAsia="Arial" w:hAnsi="Arial"/>
                <w:sz w:val="19"/>
                <w:szCs w:val="19"/>
                <w:color w:val="auto"/>
              </w:rPr>
              <w:t>Total debt</w:t>
            </w:r>
          </w:p>
        </w:tc>
        <w:tc>
          <w:tcPr>
            <w:tcW w:w="880" w:type="dxa"/>
            <w:vAlign w:val="bottom"/>
          </w:tcPr>
          <w:p>
            <w:pPr>
              <w:jc w:val="right"/>
              <w:spacing w:after="0"/>
              <w:rPr>
                <w:sz w:val="20"/>
                <w:szCs w:val="20"/>
                <w:color w:val="auto"/>
              </w:rPr>
            </w:pPr>
            <w:r>
              <w:rPr>
                <w:rFonts w:ascii="Arial" w:cs="Arial" w:eastAsia="Arial" w:hAnsi="Arial"/>
                <w:sz w:val="19"/>
                <w:szCs w:val="19"/>
                <w:color w:val="auto"/>
              </w:rPr>
              <w:t>16,214</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17,882</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15,775</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12,068</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8,683</w:t>
            </w:r>
          </w:p>
        </w:tc>
      </w:tr>
      <w:tr>
        <w:trPr>
          <w:trHeight w:val="243"/>
        </w:trPr>
        <w:tc>
          <w:tcPr>
            <w:tcW w:w="5780" w:type="dxa"/>
            <w:vAlign w:val="bottom"/>
            <w:shd w:val="clear" w:color="auto" w:fill="E5FFFF"/>
          </w:tcPr>
          <w:p>
            <w:pPr>
              <w:spacing w:after="0"/>
              <w:rPr>
                <w:sz w:val="20"/>
                <w:szCs w:val="20"/>
                <w:color w:val="auto"/>
              </w:rPr>
            </w:pPr>
            <w:r>
              <w:rPr>
                <w:rFonts w:ascii="Arial" w:cs="Arial" w:eastAsia="Arial" w:hAnsi="Arial"/>
                <w:sz w:val="19"/>
                <w:szCs w:val="19"/>
                <w:color w:val="auto"/>
              </w:rPr>
              <w:t>Redeemable noncontrolling interest</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290</w:t>
            </w:r>
          </w:p>
        </w:tc>
        <w:tc>
          <w:tcPr>
            <w:tcW w:w="3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219</w:t>
            </w:r>
          </w:p>
        </w:tc>
      </w:tr>
      <w:tr>
        <w:trPr>
          <w:trHeight w:val="261"/>
        </w:trPr>
        <w:tc>
          <w:tcPr>
            <w:tcW w:w="5780" w:type="dxa"/>
            <w:vAlign w:val="bottom"/>
          </w:tcPr>
          <w:p>
            <w:pPr>
              <w:spacing w:after="0"/>
              <w:rPr>
                <w:sz w:val="20"/>
                <w:szCs w:val="20"/>
                <w:color w:val="auto"/>
              </w:rPr>
            </w:pPr>
            <w:r>
              <w:rPr>
                <w:rFonts w:ascii="Arial" w:cs="Arial" w:eastAsia="Arial" w:hAnsi="Arial"/>
                <w:sz w:val="19"/>
                <w:szCs w:val="19"/>
                <w:color w:val="auto"/>
              </w:rPr>
              <w:t>Shareowners’ equity</w:t>
            </w:r>
          </w:p>
        </w:tc>
        <w:tc>
          <w:tcPr>
            <w:tcW w:w="880" w:type="dxa"/>
            <w:vAlign w:val="bottom"/>
          </w:tcPr>
          <w:p>
            <w:pPr>
              <w:jc w:val="right"/>
              <w:spacing w:after="0"/>
              <w:rPr>
                <w:sz w:val="20"/>
                <w:szCs w:val="20"/>
                <w:color w:val="auto"/>
              </w:rPr>
            </w:pPr>
            <w:r>
              <w:rPr>
                <w:rFonts w:ascii="Arial" w:cs="Arial" w:eastAsia="Arial" w:hAnsi="Arial"/>
                <w:sz w:val="19"/>
                <w:szCs w:val="19"/>
                <w:color w:val="auto"/>
              </w:rPr>
              <w:t>18,358</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16,665</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18,883</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17,751</w:t>
            </w: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17,113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975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7" w:lineRule="exact"/>
        <w:rPr>
          <w:sz w:val="20"/>
          <w:szCs w:val="20"/>
          <w:color w:val="auto"/>
        </w:rPr>
      </w:pPr>
    </w:p>
    <w:p>
      <w:pPr>
        <w:ind w:left="420" w:right="60" w:hanging="338"/>
        <w:spacing w:after="0" w:line="253" w:lineRule="auto"/>
        <w:tabs>
          <w:tab w:leader="none" w:pos="420" w:val="left"/>
        </w:tabs>
        <w:numPr>
          <w:ilvl w:val="0"/>
          <w:numId w:val="5"/>
        </w:numPr>
        <w:rPr>
          <w:rFonts w:ascii="Arial" w:cs="Arial" w:eastAsia="Arial" w:hAnsi="Arial"/>
          <w:sz w:val="19"/>
          <w:szCs w:val="19"/>
          <w:color w:val="auto"/>
        </w:rPr>
      </w:pPr>
      <w:r>
        <w:rPr>
          <w:rFonts w:ascii="Arial" w:cs="Arial" w:eastAsia="Arial" w:hAnsi="Arial"/>
          <w:sz w:val="19"/>
          <w:szCs w:val="19"/>
          <w:color w:val="auto"/>
        </w:rPr>
        <w:t>2018 and 2017 Net Income attributable to Honeywell and Earnings Per Common Share were impacted by U.S. Tax Reform; see Note 5 Income Taxes of Notes to Consolidated Financial Statements for further details.</w:t>
      </w:r>
    </w:p>
    <w:p>
      <w:pPr>
        <w:spacing w:after="0" w:line="52" w:lineRule="exact"/>
        <w:rPr>
          <w:rFonts w:ascii="Arial" w:cs="Arial" w:eastAsia="Arial" w:hAnsi="Arial"/>
          <w:sz w:val="19"/>
          <w:szCs w:val="19"/>
          <w:color w:val="auto"/>
        </w:rPr>
      </w:pPr>
    </w:p>
    <w:p>
      <w:pPr>
        <w:ind w:left="420" w:right="260" w:hanging="338"/>
        <w:spacing w:after="0" w:line="245" w:lineRule="auto"/>
        <w:tabs>
          <w:tab w:leader="none" w:pos="420" w:val="left"/>
        </w:tabs>
        <w:numPr>
          <w:ilvl w:val="0"/>
          <w:numId w:val="5"/>
        </w:numPr>
        <w:rPr>
          <w:rFonts w:ascii="Arial" w:cs="Arial" w:eastAsia="Arial" w:hAnsi="Arial"/>
          <w:sz w:val="19"/>
          <w:szCs w:val="19"/>
          <w:color w:val="auto"/>
        </w:rPr>
      </w:pPr>
      <w:r>
        <w:rPr>
          <w:rFonts w:ascii="Arial" w:cs="Arial" w:eastAsia="Arial" w:hAnsi="Arial"/>
          <w:sz w:val="19"/>
          <w:szCs w:val="19"/>
          <w:color w:val="auto"/>
        </w:rPr>
        <w:t>Results of Operations, Earnings per Common Share and Financial Position at Year-End were revised in years prior to 2018 in connection with our change in accounting for Bendix asbestos-related liabilities for unasserted claims. See Note 20 Commitments and Contingencies of Notes to Consolidated Financial Statements for further details.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9" w:name="page20"/>
    <w:bookmarkEnd w:id="19"/>
    <w:p>
      <w:pPr>
        <w:spacing w:after="0"/>
        <w:rPr>
          <w:sz w:val="20"/>
          <w:szCs w:val="20"/>
          <w:color w:val="auto"/>
        </w:rPr>
      </w:pPr>
      <w:r>
        <w:rPr>
          <w:rFonts w:ascii="Arial" w:cs="Arial" w:eastAsia="Arial" w:hAnsi="Arial"/>
          <w:sz w:val="23"/>
          <w:szCs w:val="23"/>
          <w:b w:val="1"/>
          <w:bCs w:val="1"/>
          <w:color w:val="auto"/>
        </w:rPr>
        <w:t>Item 7. Management’s Discussion and Analysis of Financial Condition and Results of Operations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(Dollars in millions, except per share amounts)</w:t>
      </w:r>
    </w:p>
    <w:p>
      <w:pPr>
        <w:spacing w:after="0" w:line="130" w:lineRule="exact"/>
        <w:rPr>
          <w:sz w:val="20"/>
          <w:szCs w:val="20"/>
          <w:color w:val="auto"/>
        </w:rPr>
      </w:pPr>
    </w:p>
    <w:p>
      <w:pPr>
        <w:ind w:right="220" w:firstLine="357"/>
        <w:spacing w:after="0" w:line="242" w:lineRule="auto"/>
        <w:rPr>
          <w:sz w:val="20"/>
          <w:szCs w:val="20"/>
          <w:color w:val="auto"/>
        </w:rPr>
      </w:pPr>
      <w:r>
        <w:rPr>
          <w:rFonts w:ascii="Arial" w:cs="Arial" w:eastAsia="Arial" w:hAnsi="Arial"/>
          <w:sz w:val="19"/>
          <w:szCs w:val="19"/>
          <w:color w:val="auto"/>
        </w:rPr>
        <w:t>The following Management’s Discussion and Analysis of Financial Condition and Results of Operations is intended to help the reader understand the results of operations and financial condition of Honeywell International Inc. and its consolidated subsidiaries (“Honeywell” or “the Company”) for the three years ended December 31, 2018. All references to Notes relate to Notes to Consolidated Financial Statements in Item 8. Financial Statements and Supplementary Data.</w:t>
      </w:r>
    </w:p>
    <w:p>
      <w:pPr>
        <w:spacing w:after="0" w:line="91"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On October 29, 2018, the Company completed the tax-free spin-off to Honeywell shareowners of its Homes and Global Distribution business, part of Home and Building Technologies (renamed Honeywell Building Technologies following the spin-off), into a standalone publicly-traded company, Resideo Technologies, Inc. (“Resideo”). The assets and liabilities associated with Resideo have been removed from the Company’s Consolidated Balance Sheet as of the effective date of the spin-off. The results of operations for Resideo are included in the Consolidated Statement of Operations through the effective date of the spin-off.</w:t>
      </w:r>
    </w:p>
    <w:p>
      <w:pPr>
        <w:spacing w:after="0" w:line="91"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On October 1, 2018, the Company completed the tax-free spin-off to Honeywell shareowners of its Transportation Systems business, part of Aerospace, into a standalone publicly-traded company, Garrett Motion Inc. (“Garrett”). The assets and liabilities associated with Garrett have been removed from the Company’s Consolidated Balance Sheet as of the effective date of the spin-off. The results of operations for Garrett are included in the Consolidated Statement of Operations through the effective date of the spin-off.</w:t>
      </w:r>
    </w:p>
    <w:p>
      <w:pPr>
        <w:spacing w:after="0" w:line="91" w:lineRule="exact"/>
        <w:rPr>
          <w:sz w:val="20"/>
          <w:szCs w:val="20"/>
          <w:color w:val="auto"/>
        </w:rPr>
      </w:pPr>
    </w:p>
    <w:p>
      <w:pPr>
        <w:ind w:right="280" w:firstLine="357"/>
        <w:spacing w:after="0" w:line="241" w:lineRule="auto"/>
        <w:rPr>
          <w:sz w:val="20"/>
          <w:szCs w:val="20"/>
          <w:color w:val="auto"/>
        </w:rPr>
      </w:pPr>
      <w:r>
        <w:rPr>
          <w:rFonts w:ascii="Arial" w:cs="Arial" w:eastAsia="Arial" w:hAnsi="Arial"/>
          <w:sz w:val="19"/>
          <w:szCs w:val="19"/>
          <w:color w:val="auto"/>
        </w:rPr>
        <w:t>On October 1, 2016, the Company completed the tax-free spin-off to Honeywell shareowners of its Resins and Chemicals business, part of Performance Materials and Technologies, into a standalone, publicly-traded company (named AdvanSix Inc. (“AdvanSix”)). The assets and liabilities associated with AdvanSix have been removed from the Company’s Consolidated Balance Sheet as of the effective date of the spin-off. The results of operations for AdvanSix are included in the Consolidated Statement of Operations through the effective date of the spin-off.</w:t>
      </w:r>
    </w:p>
    <w:p>
      <w:pPr>
        <w:spacing w:after="0" w:line="91"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color w:val="auto"/>
        </w:rPr>
        <w:t>On September 16, 2016, the Company completed the sale of the Aerospace government services business, Honeywell Technology Solutions Inc (“HTSI” or “government services business”). The assets and liabilities associated with HTSI have been removed from the Company’s Consolidated Balance Sheet as of the effective date of the sale. The results of operations for HTSI are included in the Consolidated Statement of Operations through the effective date of the sale.</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SUMMARY</w:t>
      </w:r>
    </w:p>
    <w:p>
      <w:pPr>
        <w:spacing w:after="0" w:line="13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During 2018, Honeywell continued to deliver on our financial commitments and to create long-term shareowner value. We grew net sales 3% to $ 41,802 million and grew income before taxes 8% to $7,487 million. The improvement in year over year income before taxes was attributable to both sales growth as well as operational improvements that increased operating margins. We believe our ability to consistently grow earnings derives from the consistent, rigorous deployment of the Honeywell Operating System as well as a long history of identifying and investing in productivity initiatives. We have continued our focus on commercial excellence processes, such as Velocity Product Development (“VPD”), to drive higher sales at better margins.</w:t>
      </w:r>
    </w:p>
    <w:p>
      <w:pPr>
        <w:spacing w:after="0" w:line="94" w:lineRule="exact"/>
        <w:rPr>
          <w:sz w:val="20"/>
          <w:szCs w:val="20"/>
          <w:color w:val="auto"/>
        </w:rPr>
      </w:pPr>
    </w:p>
    <w:p>
      <w:pPr>
        <w:ind w:right="300" w:firstLine="357"/>
        <w:spacing w:after="0"/>
        <w:rPr>
          <w:sz w:val="20"/>
          <w:szCs w:val="20"/>
          <w:color w:val="auto"/>
        </w:rPr>
      </w:pPr>
      <w:r>
        <w:rPr>
          <w:rFonts w:ascii="Arial" w:cs="Arial" w:eastAsia="Arial" w:hAnsi="Arial"/>
          <w:sz w:val="19"/>
          <w:szCs w:val="19"/>
          <w:color w:val="auto"/>
        </w:rPr>
        <w:t>We are careful not to allow the attainment of short-term financial results to imperil the creation of long-term, sustainable shareowner value. Hence, as part of the announcement in October 2017 of the results of our portfolio review, we affirmed our commitment to a strategy and investments that are intended to enable us to become one of the world’s leading software industrial companies. Our refocused strategy and investments are intended to take better advantage of our core technological and software strengths in high growth businesses that participate in six attractive industrial end markets. Each of these end markets is characterized by favorable global mega-trends including energy efficiency, infrastructure investment, urbanization and safety.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65" w:right="259" w:bottom="1440" w:gutter="0" w:footer="0" w:header="0"/>
        </w:sectPr>
      </w:pPr>
    </w:p>
    <w:bookmarkStart w:id="20" w:name="page21"/>
    <w:bookmarkEnd w:id="20"/>
    <w:p>
      <w:pPr>
        <w:ind w:left="360"/>
        <w:spacing w:after="0"/>
        <w:rPr>
          <w:sz w:val="20"/>
          <w:szCs w:val="20"/>
          <w:color w:val="auto"/>
        </w:rPr>
      </w:pPr>
      <w:r>
        <w:rPr>
          <w:rFonts w:ascii="Arial" w:cs="Arial" w:eastAsia="Arial" w:hAnsi="Arial"/>
          <w:sz w:val="19"/>
          <w:szCs w:val="19"/>
          <w:color w:val="auto"/>
        </w:rPr>
        <w:t>In 2018 we deployed capital of $7.6 billion, including the following:</w:t>
      </w:r>
    </w:p>
    <w:p>
      <w:pPr>
        <w:spacing w:after="0" w:line="68" w:lineRule="exact"/>
        <w:rPr>
          <w:sz w:val="20"/>
          <w:szCs w:val="20"/>
          <w:color w:val="auto"/>
        </w:rPr>
      </w:pPr>
    </w:p>
    <w:p>
      <w:pPr>
        <w:ind w:left="540" w:hanging="16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Capital Investment</w:t>
      </w:r>
      <w:r>
        <w:rPr>
          <w:rFonts w:ascii="Arial" w:cs="Arial" w:eastAsia="Arial" w:hAnsi="Arial"/>
          <w:sz w:val="19"/>
          <w:szCs w:val="19"/>
          <w:color w:val="auto"/>
        </w:rPr>
        <w:t>—we invested over $0.8 billion in capital expenditures focused on high return projects.</w:t>
      </w:r>
    </w:p>
    <w:p>
      <w:pPr>
        <w:spacing w:after="0" w:line="105" w:lineRule="exact"/>
        <w:rPr>
          <w:rFonts w:ascii="Arial" w:cs="Arial" w:eastAsia="Arial" w:hAnsi="Arial"/>
          <w:sz w:val="19"/>
          <w:szCs w:val="19"/>
          <w:color w:val="auto"/>
        </w:rPr>
      </w:pPr>
    </w:p>
    <w:p>
      <w:pPr>
        <w:ind w:left="540" w:right="300" w:hanging="168"/>
        <w:spacing w:after="0" w:line="258"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Dividends</w:t>
      </w:r>
      <w:r>
        <w:rPr>
          <w:rFonts w:ascii="Arial" w:cs="Arial" w:eastAsia="Arial" w:hAnsi="Arial"/>
          <w:sz w:val="19"/>
          <w:szCs w:val="19"/>
          <w:color w:val="auto"/>
        </w:rPr>
        <w:t>—In 2018, we paid cash dividends of $2.3 billion and increased our annual dividend rate by 10%, as we seek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continue to grow the dividend in line with earnings. The dividend increase in September 2018 marked the ninth consecutive double-digit increase since 2010.</w:t>
      </w:r>
    </w:p>
    <w:p>
      <w:pPr>
        <w:spacing w:after="0" w:line="38" w:lineRule="exact"/>
        <w:rPr>
          <w:rFonts w:ascii="Arial" w:cs="Arial" w:eastAsia="Arial" w:hAnsi="Arial"/>
          <w:sz w:val="19"/>
          <w:szCs w:val="19"/>
          <w:color w:val="auto"/>
        </w:rPr>
      </w:pPr>
    </w:p>
    <w:p>
      <w:pPr>
        <w:ind w:left="540" w:right="320" w:hanging="168"/>
        <w:spacing w:after="0" w:line="258"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Share Repurchases</w:t>
      </w:r>
      <w:r>
        <w:rPr>
          <w:rFonts w:ascii="Arial" w:cs="Arial" w:eastAsia="Arial" w:hAnsi="Arial"/>
          <w:sz w:val="19"/>
          <w:szCs w:val="19"/>
          <w:color w:val="auto"/>
        </w:rPr>
        <w:t>—we continue to repurchase our shares with the goal of keeping share count flat and by offsetting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dilutive impact of employee stock based compensation and savings plans. Additionally, we seek to reduce share count via share repurchases as and when attractive opportunities arise. In 2018, we repurchased 26.5 million shares for $4.0 billion.</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Mergers and Acquisitions</w:t>
      </w:r>
      <w:r>
        <w:rPr>
          <w:rFonts w:ascii="Arial" w:cs="Arial" w:eastAsia="Arial" w:hAnsi="Arial"/>
          <w:sz w:val="19"/>
          <w:szCs w:val="19"/>
          <w:color w:val="auto"/>
        </w:rPr>
        <w:t>—we deployed approximately $0.5 billion during 2018 on acquisitions.</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RESULTS OF OPERATIONS</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Net Sales</w:t>
      </w:r>
    </w:p>
    <w:p>
      <w:pPr>
        <w:spacing w:after="0" w:line="39"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14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000" w:type="dxa"/>
            <w:vAlign w:val="bottom"/>
            <w:tcBorders>
              <w:bottom w:val="single" w:sz="8" w:color="auto"/>
            </w:tcBorders>
          </w:tcPr>
          <w:p>
            <w:pPr>
              <w:jc w:val="right"/>
              <w:ind w:right="22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6"/>
                <w:szCs w:val="16"/>
                <w:color w:val="auto"/>
              </w:rPr>
            </w:pPr>
          </w:p>
        </w:tc>
        <w:tc>
          <w:tcPr>
            <w:tcW w:w="1000" w:type="dxa"/>
            <w:vAlign w:val="bottom"/>
            <w:tcBorders>
              <w:bottom w:val="single" w:sz="8" w:color="auto"/>
            </w:tcBorders>
            <w:gridSpan w:val="2"/>
          </w:tcPr>
          <w:p>
            <w:pPr>
              <w:jc w:val="right"/>
              <w:ind w:right="235"/>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215"/>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6820" w:type="dxa"/>
            <w:vAlign w:val="bottom"/>
            <w:shd w:val="clear" w:color="auto" w:fill="E5FFFF"/>
          </w:tcPr>
          <w:p>
            <w:pPr>
              <w:spacing w:after="0"/>
              <w:rPr>
                <w:sz w:val="20"/>
                <w:szCs w:val="20"/>
                <w:color w:val="auto"/>
              </w:rPr>
            </w:pPr>
            <w:r>
              <w:rPr>
                <w:rFonts w:ascii="Arial" w:cs="Arial" w:eastAsia="Arial" w:hAnsi="Arial"/>
                <w:sz w:val="19"/>
                <w:szCs w:val="19"/>
                <w:color w:val="auto"/>
              </w:rPr>
              <w:t>Net sales</w:t>
            </w:r>
          </w:p>
        </w:tc>
        <w:tc>
          <w:tcPr>
            <w:tcW w:w="1000" w:type="dxa"/>
            <w:vAlign w:val="bottom"/>
            <w:shd w:val="clear" w:color="auto" w:fill="E5FFFF"/>
          </w:tcPr>
          <w:p>
            <w:pPr>
              <w:jc w:val="right"/>
              <w:ind w:right="109"/>
              <w:spacing w:after="0"/>
              <w:rPr>
                <w:sz w:val="20"/>
                <w:szCs w:val="20"/>
                <w:color w:val="auto"/>
              </w:rPr>
            </w:pPr>
            <w:r>
              <w:rPr>
                <w:rFonts w:ascii="Arial" w:cs="Arial" w:eastAsia="Arial" w:hAnsi="Arial"/>
                <w:sz w:val="19"/>
                <w:szCs w:val="19"/>
                <w:color w:val="auto"/>
              </w:rPr>
              <w:t>$ 41,802</w:t>
            </w:r>
          </w:p>
        </w:tc>
        <w:tc>
          <w:tcPr>
            <w:tcW w:w="1300" w:type="dxa"/>
            <w:vAlign w:val="bottom"/>
            <w:gridSpan w:val="3"/>
            <w:shd w:val="clear" w:color="auto" w:fill="E5FFFF"/>
          </w:tcPr>
          <w:p>
            <w:pPr>
              <w:jc w:val="right"/>
              <w:ind w:right="115"/>
              <w:spacing w:after="0"/>
              <w:rPr>
                <w:sz w:val="20"/>
                <w:szCs w:val="20"/>
                <w:color w:val="auto"/>
              </w:rPr>
            </w:pPr>
            <w:r>
              <w:rPr>
                <w:rFonts w:ascii="Arial" w:cs="Arial" w:eastAsia="Arial" w:hAnsi="Arial"/>
                <w:sz w:val="19"/>
                <w:szCs w:val="19"/>
                <w:color w:val="auto"/>
              </w:rPr>
              <w:t>$ 40,534</w:t>
            </w:r>
          </w:p>
        </w:tc>
        <w:tc>
          <w:tcPr>
            <w:tcW w:w="28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96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$ 39,302</w:t>
            </w:r>
          </w:p>
        </w:tc>
        <w:tc>
          <w:tcPr>
            <w:tcW w:w="0" w:type="dxa"/>
            <w:vAlign w:val="bottom"/>
          </w:tcPr>
          <w:p>
            <w:pPr>
              <w:spacing w:after="0"/>
              <w:rPr>
                <w:sz w:val="1"/>
                <w:szCs w:val="1"/>
                <w:color w:val="auto"/>
              </w:rPr>
            </w:pPr>
          </w:p>
        </w:tc>
      </w:tr>
      <w:tr>
        <w:trPr>
          <w:trHeight w:val="261"/>
        </w:trPr>
        <w:tc>
          <w:tcPr>
            <w:tcW w:w="140" w:type="dxa"/>
            <w:vAlign w:val="bottom"/>
          </w:tcPr>
          <w:p>
            <w:pPr>
              <w:spacing w:after="0"/>
              <w:rPr>
                <w:sz w:val="22"/>
                <w:szCs w:val="22"/>
                <w:color w:val="auto"/>
              </w:rPr>
            </w:pPr>
          </w:p>
        </w:tc>
        <w:tc>
          <w:tcPr>
            <w:tcW w:w="6820" w:type="dxa"/>
            <w:vAlign w:val="bottom"/>
          </w:tcPr>
          <w:p>
            <w:pPr>
              <w:spacing w:after="0"/>
              <w:rPr>
                <w:sz w:val="20"/>
                <w:szCs w:val="20"/>
                <w:color w:val="auto"/>
              </w:rPr>
            </w:pPr>
            <w:r>
              <w:rPr>
                <w:rFonts w:ascii="Arial" w:cs="Arial" w:eastAsia="Arial" w:hAnsi="Arial"/>
                <w:sz w:val="19"/>
                <w:szCs w:val="19"/>
                <w:color w:val="auto"/>
              </w:rPr>
              <w:t>% change compared with prior period</w:t>
            </w:r>
          </w:p>
        </w:tc>
        <w:tc>
          <w:tcPr>
            <w:tcW w:w="1000" w:type="dxa"/>
            <w:vAlign w:val="bottom"/>
          </w:tcPr>
          <w:p>
            <w:pPr>
              <w:jc w:val="right"/>
              <w:spacing w:after="0"/>
              <w:rPr>
                <w:sz w:val="20"/>
                <w:szCs w:val="20"/>
                <w:color w:val="auto"/>
              </w:rPr>
            </w:pPr>
            <w:r>
              <w:rPr>
                <w:rFonts w:ascii="Arial" w:cs="Arial" w:eastAsia="Arial" w:hAnsi="Arial"/>
                <w:sz w:val="19"/>
                <w:szCs w:val="19"/>
                <w:color w:val="auto"/>
              </w:rPr>
              <w:t>3%</w:t>
            </w:r>
          </w:p>
        </w:tc>
        <w:tc>
          <w:tcPr>
            <w:tcW w:w="1300" w:type="dxa"/>
            <w:vAlign w:val="bottom"/>
            <w:gridSpan w:val="3"/>
          </w:tcPr>
          <w:p>
            <w:pPr>
              <w:jc w:val="right"/>
              <w:spacing w:after="0"/>
              <w:rPr>
                <w:sz w:val="20"/>
                <w:szCs w:val="20"/>
                <w:color w:val="auto"/>
              </w:rPr>
            </w:pPr>
            <w:r>
              <w:rPr>
                <w:rFonts w:ascii="Arial" w:cs="Arial" w:eastAsia="Arial" w:hAnsi="Arial"/>
                <w:sz w:val="19"/>
                <w:szCs w:val="19"/>
                <w:color w:val="auto"/>
              </w:rPr>
              <w:t>3%</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6960" w:type="dxa"/>
            <w:vAlign w:val="bottom"/>
            <w:gridSpan w:val="2"/>
          </w:tcPr>
          <w:p>
            <w:pPr>
              <w:spacing w:after="0"/>
              <w:rPr>
                <w:sz w:val="20"/>
                <w:szCs w:val="20"/>
                <w:color w:val="auto"/>
              </w:rPr>
            </w:pPr>
            <w:r>
              <w:rPr>
                <w:rFonts w:ascii="Arial" w:cs="Arial" w:eastAsia="Arial" w:hAnsi="Arial"/>
                <w:sz w:val="19"/>
                <w:szCs w:val="19"/>
                <w:color w:val="auto"/>
              </w:rPr>
              <w:t>The change in net sales is attributable to the following:</w:t>
            </w:r>
          </w:p>
        </w:tc>
        <w:tc>
          <w:tcPr>
            <w:tcW w:w="1000" w:type="dxa"/>
            <w:vAlign w:val="bottom"/>
          </w:tcPr>
          <w:p>
            <w:pPr>
              <w:spacing w:after="0"/>
              <w:rPr>
                <w:sz w:val="24"/>
                <w:szCs w:val="24"/>
                <w:color w:val="auto"/>
              </w:rPr>
            </w:pPr>
          </w:p>
        </w:tc>
        <w:tc>
          <w:tcPr>
            <w:tcW w:w="1580" w:type="dxa"/>
            <w:vAlign w:val="bottom"/>
            <w:gridSpan w:val="4"/>
            <w:vMerge w:val="restart"/>
          </w:tcPr>
          <w:p>
            <w:pPr>
              <w:jc w:val="right"/>
              <w:ind w:right="140"/>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4"/>
                <w:szCs w:val="24"/>
                <w:color w:val="auto"/>
              </w:rPr>
            </w:pPr>
          </w:p>
        </w:tc>
        <w:tc>
          <w:tcPr>
            <w:tcW w:w="960" w:type="dxa"/>
            <w:vAlign w:val="bottom"/>
            <w:gridSpan w:val="2"/>
            <w:vMerge w:val="restart"/>
          </w:tcPr>
          <w:p>
            <w:pPr>
              <w:jc w:val="right"/>
              <w:ind w:right="75"/>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gridSpan w:val="3"/>
          </w:tcPr>
          <w:p>
            <w:pPr>
              <w:ind w:left="60"/>
              <w:spacing w:after="0" w:line="176" w:lineRule="exact"/>
              <w:rPr>
                <w:sz w:val="20"/>
                <w:szCs w:val="20"/>
                <w:color w:val="auto"/>
              </w:rPr>
            </w:pPr>
            <w:r>
              <w:rPr>
                <w:rFonts w:ascii="Arial" w:cs="Arial" w:eastAsia="Arial" w:hAnsi="Arial"/>
                <w:sz w:val="16"/>
                <w:szCs w:val="16"/>
                <w:b w:val="1"/>
                <w:bCs w:val="1"/>
                <w:color w:val="auto"/>
              </w:rPr>
              <w:t>Versus</w:t>
            </w:r>
          </w:p>
        </w:tc>
        <w:tc>
          <w:tcPr>
            <w:tcW w:w="2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Versus</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gridSpan w:val="2"/>
          </w:tcPr>
          <w:p>
            <w:pPr>
              <w:spacing w:after="0"/>
              <w:rPr>
                <w:sz w:val="16"/>
                <w:szCs w:val="16"/>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6820" w:type="dxa"/>
            <w:vAlign w:val="bottom"/>
            <w:shd w:val="clear" w:color="auto" w:fill="E5FFFF"/>
          </w:tcPr>
          <w:p>
            <w:pPr>
              <w:spacing w:after="0"/>
              <w:rPr>
                <w:sz w:val="20"/>
                <w:szCs w:val="20"/>
                <w:color w:val="auto"/>
              </w:rPr>
            </w:pPr>
            <w:r>
              <w:rPr>
                <w:rFonts w:ascii="Arial" w:cs="Arial" w:eastAsia="Arial" w:hAnsi="Arial"/>
                <w:sz w:val="19"/>
                <w:szCs w:val="19"/>
                <w:color w:val="auto"/>
              </w:rPr>
              <w:t>Volume</w:t>
            </w:r>
          </w:p>
        </w:tc>
        <w:tc>
          <w:tcPr>
            <w:tcW w:w="1000" w:type="dxa"/>
            <w:vAlign w:val="bottom"/>
            <w:shd w:val="clear" w:color="auto" w:fill="E5FFFF"/>
          </w:tcPr>
          <w:p>
            <w:pPr>
              <w:spacing w:after="0"/>
              <w:rPr>
                <w:sz w:val="20"/>
                <w:szCs w:val="20"/>
                <w:color w:val="auto"/>
              </w:rPr>
            </w:pPr>
          </w:p>
        </w:tc>
        <w:tc>
          <w:tcPr>
            <w:tcW w:w="1580" w:type="dxa"/>
            <w:vAlign w:val="bottom"/>
            <w:gridSpan w:val="4"/>
            <w:shd w:val="clear" w:color="auto" w:fill="E5FFFF"/>
          </w:tcPr>
          <w:p>
            <w:pPr>
              <w:jc w:val="right"/>
              <w:ind w:right="40"/>
              <w:spacing w:after="0"/>
              <w:rPr>
                <w:sz w:val="20"/>
                <w:szCs w:val="20"/>
                <w:color w:val="auto"/>
              </w:rPr>
            </w:pPr>
            <w:r>
              <w:rPr>
                <w:rFonts w:ascii="Arial" w:cs="Arial" w:eastAsia="Arial" w:hAnsi="Arial"/>
                <w:sz w:val="19"/>
                <w:szCs w:val="19"/>
                <w:color w:val="auto"/>
              </w:rPr>
              <w:t>4%</w:t>
            </w:r>
          </w:p>
        </w:tc>
        <w:tc>
          <w:tcPr>
            <w:tcW w:w="40" w:type="dxa"/>
            <w:vAlign w:val="bottom"/>
            <w:shd w:val="clear" w:color="auto" w:fill="E5FFFF"/>
          </w:tcPr>
          <w:p>
            <w:pPr>
              <w:spacing w:after="0"/>
              <w:rPr>
                <w:sz w:val="20"/>
                <w:szCs w:val="20"/>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Arial" w:cs="Arial" w:eastAsia="Arial" w:hAnsi="Arial"/>
                <w:sz w:val="19"/>
                <w:szCs w:val="19"/>
                <w:color w:val="auto"/>
              </w:rPr>
              <w:t>Price</w:t>
            </w:r>
          </w:p>
        </w:tc>
        <w:tc>
          <w:tcPr>
            <w:tcW w:w="1000" w:type="dxa"/>
            <w:vAlign w:val="bottom"/>
          </w:tcPr>
          <w:p>
            <w:pPr>
              <w:spacing w:after="0"/>
              <w:rPr>
                <w:sz w:val="21"/>
                <w:szCs w:val="21"/>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9"/>
                <w:szCs w:val="19"/>
                <w:color w:val="auto"/>
              </w:rPr>
              <w:t>2%</w:t>
            </w:r>
          </w:p>
        </w:tc>
        <w:tc>
          <w:tcPr>
            <w:tcW w:w="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6820" w:type="dxa"/>
            <w:vAlign w:val="bottom"/>
            <w:shd w:val="clear" w:color="auto" w:fill="E5FFFF"/>
          </w:tcPr>
          <w:p>
            <w:pPr>
              <w:spacing w:after="0"/>
              <w:rPr>
                <w:sz w:val="20"/>
                <w:szCs w:val="20"/>
                <w:color w:val="auto"/>
              </w:rPr>
            </w:pPr>
            <w:r>
              <w:rPr>
                <w:rFonts w:ascii="Arial" w:cs="Arial" w:eastAsia="Arial" w:hAnsi="Arial"/>
                <w:sz w:val="19"/>
                <w:szCs w:val="19"/>
                <w:color w:val="auto"/>
              </w:rPr>
              <w:t>Acquisitions/Divestitures</w:t>
            </w:r>
          </w:p>
        </w:tc>
        <w:tc>
          <w:tcPr>
            <w:tcW w:w="1000" w:type="dxa"/>
            <w:vAlign w:val="bottom"/>
            <w:shd w:val="clear" w:color="auto" w:fill="E5FFFF"/>
          </w:tcPr>
          <w:p>
            <w:pPr>
              <w:spacing w:after="0"/>
              <w:rPr>
                <w:sz w:val="21"/>
                <w:szCs w:val="21"/>
                <w:color w:val="auto"/>
              </w:rPr>
            </w:pPr>
          </w:p>
        </w:tc>
        <w:tc>
          <w:tcPr>
            <w:tcW w:w="1580" w:type="dxa"/>
            <w:vAlign w:val="bottom"/>
            <w:gridSpan w:val="4"/>
            <w:shd w:val="clear" w:color="auto" w:fill="E5FFFF"/>
          </w:tcPr>
          <w:p>
            <w:pPr>
              <w:jc w:val="right"/>
              <w:ind w:right="40"/>
              <w:spacing w:after="0"/>
              <w:rPr>
                <w:sz w:val="20"/>
                <w:szCs w:val="20"/>
                <w:color w:val="auto"/>
              </w:rPr>
            </w:pPr>
            <w:r>
              <w:rPr>
                <w:rFonts w:ascii="Arial" w:cs="Arial" w:eastAsia="Arial" w:hAnsi="Arial"/>
                <w:sz w:val="19"/>
                <w:szCs w:val="19"/>
                <w:color w:val="auto"/>
              </w:rPr>
              <w:t>(4)%</w:t>
            </w:r>
          </w:p>
        </w:tc>
        <w:tc>
          <w:tcPr>
            <w:tcW w:w="40" w:type="dxa"/>
            <w:vAlign w:val="bottom"/>
            <w:shd w:val="clear" w:color="auto" w:fill="E5FFFF"/>
          </w:tcPr>
          <w:p>
            <w:pPr>
              <w:spacing w:after="0"/>
              <w:rPr>
                <w:sz w:val="21"/>
                <w:szCs w:val="21"/>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Arial" w:cs="Arial" w:eastAsia="Arial" w:hAnsi="Arial"/>
                <w:sz w:val="19"/>
                <w:szCs w:val="19"/>
                <w:color w:val="auto"/>
              </w:rPr>
              <w:t>Foreign Currency Translation</w:t>
            </w:r>
          </w:p>
        </w:tc>
        <w:tc>
          <w:tcPr>
            <w:tcW w:w="1000" w:type="dxa"/>
            <w:vAlign w:val="bottom"/>
          </w:tcPr>
          <w:p>
            <w:pPr>
              <w:spacing w:after="0"/>
              <w:rPr>
                <w:sz w:val="21"/>
                <w:szCs w:val="21"/>
                <w:color w:val="auto"/>
              </w:rPr>
            </w:pPr>
          </w:p>
        </w:tc>
        <w:tc>
          <w:tcPr>
            <w:tcW w:w="940" w:type="dxa"/>
            <w:vAlign w:val="bottom"/>
            <w:gridSpan w:val="2"/>
          </w:tcPr>
          <w:p>
            <w:pPr>
              <w:spacing w:after="0"/>
              <w:rPr>
                <w:sz w:val="21"/>
                <w:szCs w:val="21"/>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9"/>
                <w:szCs w:val="19"/>
                <w:color w:val="auto"/>
              </w:rPr>
              <w:t>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682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c>
          <w:tcPr>
            <w:tcW w:w="1580" w:type="dxa"/>
            <w:vAlign w:val="bottom"/>
            <w:gridSpan w:val="4"/>
            <w:shd w:val="clear" w:color="auto" w:fill="E5FFFF"/>
          </w:tcPr>
          <w:p>
            <w:pPr>
              <w:jc w:val="right"/>
              <w:ind w:right="40"/>
              <w:spacing w:after="0"/>
              <w:rPr>
                <w:sz w:val="20"/>
                <w:szCs w:val="20"/>
                <w:color w:val="auto"/>
              </w:rPr>
            </w:pPr>
            <w:r>
              <w:rPr>
                <w:rFonts w:ascii="Arial" w:cs="Arial" w:eastAsia="Arial" w:hAnsi="Arial"/>
                <w:sz w:val="19"/>
                <w:szCs w:val="19"/>
                <w:color w:val="auto"/>
              </w:rPr>
              <w:t>3%</w:t>
            </w:r>
          </w:p>
        </w:tc>
        <w:tc>
          <w:tcPr>
            <w:tcW w:w="40" w:type="dxa"/>
            <w:vAlign w:val="bottom"/>
            <w:shd w:val="clear" w:color="auto" w:fill="E5FFFF"/>
          </w:tcPr>
          <w:p>
            <w:pPr>
              <w:spacing w:after="0"/>
              <w:rPr>
                <w:sz w:val="21"/>
                <w:szCs w:val="21"/>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right="880" w:firstLine="357"/>
        <w:spacing w:after="0" w:line="253" w:lineRule="auto"/>
        <w:rPr>
          <w:sz w:val="20"/>
          <w:szCs w:val="20"/>
          <w:color w:val="auto"/>
        </w:rPr>
      </w:pPr>
      <w:r>
        <w:rPr>
          <w:rFonts w:ascii="Arial" w:cs="Arial" w:eastAsia="Arial" w:hAnsi="Arial"/>
          <w:sz w:val="19"/>
          <w:szCs w:val="19"/>
          <w:color w:val="auto"/>
        </w:rPr>
        <w:t>A discussion of net sales by segment can be found in the Review of Business Segments section of this Management’s Discussion and Analysis.</w:t>
      </w:r>
    </w:p>
    <w:p>
      <w:pPr>
        <w:spacing w:after="0" w:line="80"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The foreign currency translation impact in 2018 compared with 2017 was principally driven by the strengthening on average year over year of the Euro against the U.S. Dollar.</w:t>
      </w:r>
    </w:p>
    <w:p>
      <w:pPr>
        <w:spacing w:after="0" w:line="80" w:lineRule="exact"/>
        <w:rPr>
          <w:sz w:val="20"/>
          <w:szCs w:val="20"/>
          <w:color w:val="auto"/>
        </w:rPr>
      </w:pPr>
    </w:p>
    <w:p>
      <w:pPr>
        <w:jc w:val="both"/>
        <w:ind w:right="280" w:firstLine="357"/>
        <w:spacing w:after="0" w:line="253" w:lineRule="auto"/>
        <w:rPr>
          <w:sz w:val="20"/>
          <w:szCs w:val="20"/>
          <w:color w:val="auto"/>
        </w:rPr>
      </w:pPr>
      <w:r>
        <w:rPr>
          <w:rFonts w:ascii="Arial" w:cs="Arial" w:eastAsia="Arial" w:hAnsi="Arial"/>
          <w:sz w:val="19"/>
          <w:szCs w:val="19"/>
          <w:color w:val="auto"/>
        </w:rPr>
        <w:t>The foreign currency translation impact in 2017 compared with 2016 was flat. The strengthening of the Euro was offset by the weakening of the British Pound against the U.S. Dollar.</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Cost of Products and Services Sold</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6"/>
                <w:szCs w:val="16"/>
                <w:color w:val="auto"/>
              </w:rPr>
            </w:pPr>
          </w:p>
        </w:tc>
        <w:tc>
          <w:tcPr>
            <w:tcW w:w="10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6"/>
                <w:szCs w:val="16"/>
                <w:color w:val="auto"/>
              </w:rPr>
            </w:pPr>
          </w:p>
        </w:tc>
        <w:tc>
          <w:tcPr>
            <w:tcW w:w="10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2016</w:t>
            </w:r>
          </w:p>
        </w:tc>
      </w:tr>
      <w:tr>
        <w:trPr>
          <w:trHeight w:val="237"/>
        </w:trPr>
        <w:tc>
          <w:tcPr>
            <w:tcW w:w="6760" w:type="dxa"/>
            <w:vAlign w:val="bottom"/>
            <w:shd w:val="clear" w:color="auto" w:fill="E5FFFF"/>
          </w:tcPr>
          <w:p>
            <w:pPr>
              <w:spacing w:after="0"/>
              <w:rPr>
                <w:sz w:val="20"/>
                <w:szCs w:val="20"/>
                <w:color w:val="auto"/>
              </w:rPr>
            </w:pPr>
            <w:r>
              <w:rPr>
                <w:rFonts w:ascii="Arial" w:cs="Arial" w:eastAsia="Arial" w:hAnsi="Arial"/>
                <w:sz w:val="19"/>
                <w:szCs w:val="19"/>
                <w:color w:val="auto"/>
              </w:rPr>
              <w:t>Cost of products and services sold</w:t>
            </w:r>
          </w:p>
        </w:tc>
        <w:tc>
          <w:tcPr>
            <w:tcW w:w="9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$ 29,046</w:t>
            </w:r>
          </w:p>
        </w:tc>
        <w:tc>
          <w:tcPr>
            <w:tcW w:w="130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$ 28,144</w:t>
            </w:r>
          </w:p>
        </w:tc>
        <w:tc>
          <w:tcPr>
            <w:tcW w:w="1360" w:type="dxa"/>
            <w:vAlign w:val="bottom"/>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$ 27,677</w:t>
            </w:r>
          </w:p>
        </w:tc>
      </w:tr>
      <w:tr>
        <w:trPr>
          <w:trHeight w:val="243"/>
        </w:trPr>
        <w:tc>
          <w:tcPr>
            <w:tcW w:w="6760" w:type="dxa"/>
            <w:vAlign w:val="bottom"/>
            <w:tcBorders>
              <w:bottom w:val="single" w:sz="8" w:color="E5FFFF"/>
            </w:tcBorders>
          </w:tcPr>
          <w:p>
            <w:pPr>
              <w:spacing w:after="0"/>
              <w:rPr>
                <w:sz w:val="20"/>
                <w:szCs w:val="20"/>
                <w:color w:val="auto"/>
              </w:rPr>
            </w:pPr>
            <w:r>
              <w:rPr>
                <w:rFonts w:ascii="Arial" w:cs="Arial" w:eastAsia="Arial" w:hAnsi="Arial"/>
                <w:sz w:val="19"/>
                <w:szCs w:val="19"/>
                <w:color w:val="auto"/>
              </w:rPr>
              <w:t>% change compared with prior period</w:t>
            </w:r>
          </w:p>
        </w:tc>
        <w:tc>
          <w:tcPr>
            <w:tcW w:w="980" w:type="dxa"/>
            <w:vAlign w:val="bottom"/>
            <w:tcBorders>
              <w:bottom w:val="single" w:sz="8" w:color="E5FFFF"/>
            </w:tcBorders>
          </w:tcPr>
          <w:p>
            <w:pPr>
              <w:jc w:val="right"/>
              <w:spacing w:after="0"/>
              <w:rPr>
                <w:sz w:val="20"/>
                <w:szCs w:val="20"/>
                <w:color w:val="auto"/>
              </w:rPr>
            </w:pPr>
            <w:r>
              <w:rPr>
                <w:rFonts w:ascii="Arial" w:cs="Arial" w:eastAsia="Arial" w:hAnsi="Arial"/>
                <w:sz w:val="19"/>
                <w:szCs w:val="19"/>
                <w:color w:val="auto"/>
              </w:rPr>
              <w:t>3%</w:t>
            </w:r>
          </w:p>
        </w:tc>
        <w:tc>
          <w:tcPr>
            <w:tcW w:w="1300" w:type="dxa"/>
            <w:vAlign w:val="bottom"/>
            <w:tcBorders>
              <w:bottom w:val="single" w:sz="8" w:color="E5FFFF"/>
            </w:tcBorders>
            <w:gridSpan w:val="2"/>
          </w:tcPr>
          <w:p>
            <w:pPr>
              <w:jc w:val="right"/>
              <w:spacing w:after="0"/>
              <w:rPr>
                <w:sz w:val="20"/>
                <w:szCs w:val="20"/>
                <w:color w:val="auto"/>
              </w:rPr>
            </w:pPr>
            <w:r>
              <w:rPr>
                <w:rFonts w:ascii="Arial" w:cs="Arial" w:eastAsia="Arial" w:hAnsi="Arial"/>
                <w:sz w:val="19"/>
                <w:szCs w:val="19"/>
                <w:color w:val="auto"/>
              </w:rPr>
              <w:t>2%</w:t>
            </w:r>
          </w:p>
        </w:tc>
        <w:tc>
          <w:tcPr>
            <w:tcW w:w="320" w:type="dxa"/>
            <w:vAlign w:val="bottom"/>
            <w:tcBorders>
              <w:bottom w:val="single" w:sz="8" w:color="E5FFFF"/>
            </w:tcBorders>
          </w:tcPr>
          <w:p>
            <w:pPr>
              <w:spacing w:after="0"/>
              <w:rPr>
                <w:sz w:val="21"/>
                <w:szCs w:val="21"/>
                <w:color w:val="auto"/>
              </w:rPr>
            </w:pPr>
          </w:p>
        </w:tc>
        <w:tc>
          <w:tcPr>
            <w:tcW w:w="1040" w:type="dxa"/>
            <w:vAlign w:val="bottom"/>
            <w:tcBorders>
              <w:bottom w:val="single" w:sz="8" w:color="E5FFFF"/>
            </w:tcBorders>
          </w:tcPr>
          <w:p>
            <w:pPr>
              <w:spacing w:after="0"/>
              <w:rPr>
                <w:sz w:val="21"/>
                <w:szCs w:val="21"/>
                <w:color w:val="auto"/>
              </w:rPr>
            </w:pPr>
          </w:p>
        </w:tc>
      </w:tr>
      <w:tr>
        <w:trPr>
          <w:trHeight w:val="254"/>
        </w:trPr>
        <w:tc>
          <w:tcPr>
            <w:tcW w:w="6760" w:type="dxa"/>
            <w:vAlign w:val="bottom"/>
          </w:tcPr>
          <w:p>
            <w:pPr>
              <w:spacing w:after="0"/>
              <w:rPr>
                <w:sz w:val="20"/>
                <w:szCs w:val="20"/>
                <w:color w:val="auto"/>
              </w:rPr>
            </w:pPr>
            <w:r>
              <w:rPr>
                <w:rFonts w:ascii="Arial" w:cs="Arial" w:eastAsia="Arial" w:hAnsi="Arial"/>
                <w:sz w:val="19"/>
                <w:szCs w:val="19"/>
                <w:color w:val="auto"/>
              </w:rPr>
              <w:t>Gross Margin percentage</w:t>
            </w:r>
          </w:p>
        </w:tc>
        <w:tc>
          <w:tcPr>
            <w:tcW w:w="980" w:type="dxa"/>
            <w:vAlign w:val="bottom"/>
          </w:tcPr>
          <w:p>
            <w:pPr>
              <w:jc w:val="right"/>
              <w:spacing w:after="0"/>
              <w:rPr>
                <w:sz w:val="20"/>
                <w:szCs w:val="20"/>
                <w:color w:val="auto"/>
              </w:rPr>
            </w:pPr>
            <w:r>
              <w:rPr>
                <w:rFonts w:ascii="Arial" w:cs="Arial" w:eastAsia="Arial" w:hAnsi="Arial"/>
                <w:sz w:val="19"/>
                <w:szCs w:val="19"/>
                <w:color w:val="auto"/>
              </w:rPr>
              <w:t>30.5%</w:t>
            </w: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30.6%</w:t>
            </w: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rPr>
              <w:t>29.6%</w:t>
            </w:r>
          </w:p>
        </w:tc>
      </w:tr>
    </w:tbl>
    <w:p>
      <w:pPr>
        <w:spacing w:after="0" w:line="91" w:lineRule="exact"/>
        <w:rPr>
          <w:sz w:val="20"/>
          <w:szCs w:val="20"/>
          <w:color w:val="auto"/>
        </w:rPr>
      </w:pPr>
    </w:p>
    <w:p>
      <w:pPr>
        <w:jc w:val="both"/>
        <w:ind w:right="260" w:firstLine="357"/>
        <w:spacing w:after="0" w:line="245" w:lineRule="auto"/>
        <w:rPr>
          <w:sz w:val="20"/>
          <w:szCs w:val="20"/>
          <w:color w:val="auto"/>
        </w:rPr>
      </w:pPr>
      <w:r>
        <w:rPr>
          <w:rFonts w:ascii="Arial" w:cs="Arial" w:eastAsia="Arial" w:hAnsi="Arial"/>
          <w:sz w:val="19"/>
          <w:szCs w:val="19"/>
          <w:color w:val="auto"/>
        </w:rPr>
        <w:t>Cost of products and services sold increased in 2018 compared with 2017 principally due to increased direct material costs of approximately $790 million (driven by higher sales volume and inflation partially offset by divestitures and productivity) and higher repositioning and other charges of approximately $70 million.</w:t>
      </w:r>
    </w:p>
    <w:p>
      <w:pPr>
        <w:spacing w:after="0" w:line="87" w:lineRule="exact"/>
        <w:rPr>
          <w:sz w:val="20"/>
          <w:szCs w:val="20"/>
          <w:color w:val="auto"/>
        </w:rPr>
      </w:pPr>
    </w:p>
    <w:p>
      <w:pPr>
        <w:ind w:right="220" w:firstLine="357"/>
        <w:spacing w:after="0" w:line="245" w:lineRule="auto"/>
        <w:rPr>
          <w:sz w:val="20"/>
          <w:szCs w:val="20"/>
          <w:color w:val="auto"/>
        </w:rPr>
      </w:pPr>
      <w:r>
        <w:rPr>
          <w:rFonts w:ascii="Arial" w:cs="Arial" w:eastAsia="Arial" w:hAnsi="Arial"/>
          <w:sz w:val="19"/>
          <w:szCs w:val="19"/>
          <w:color w:val="auto"/>
        </w:rPr>
        <w:t>Gross margin percentage decreased in 2018 compared with 2017 principally due to higher repositioning and other charges (approximately 0.2 percentage point impact) partially offset by higher gross margin in the segments (approximately 0.1 percentage point impact collectively).</w:t>
      </w:r>
    </w:p>
    <w:p>
      <w:pPr>
        <w:spacing w:after="0" w:line="87" w:lineRule="exact"/>
        <w:rPr>
          <w:sz w:val="20"/>
          <w:szCs w:val="20"/>
          <w:color w:val="auto"/>
        </w:rPr>
      </w:pPr>
    </w:p>
    <w:p>
      <w:pPr>
        <w:ind w:right="260" w:firstLine="357"/>
        <w:spacing w:after="0" w:line="245" w:lineRule="auto"/>
        <w:rPr>
          <w:sz w:val="20"/>
          <w:szCs w:val="20"/>
          <w:color w:val="auto"/>
        </w:rPr>
      </w:pPr>
      <w:r>
        <w:rPr>
          <w:rFonts w:ascii="Arial" w:cs="Arial" w:eastAsia="Arial" w:hAnsi="Arial"/>
          <w:sz w:val="19"/>
          <w:szCs w:val="19"/>
          <w:color w:val="auto"/>
        </w:rPr>
        <w:t>Cost of products and services sold increased in 2017 compared with 2016 principally due to increased direct material costs of approximately $290 million (driven by higher sales volume and acquisitions partially offset by divestitures and productivity, net of inflation), higher repositioning and</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1" w:right="279" w:bottom="1440" w:gutter="0" w:footer="0" w:header="0"/>
        </w:sectPr>
      </w:pPr>
    </w:p>
    <w:bookmarkStart w:id="21" w:name="page22"/>
    <w:bookmarkEnd w:id="21"/>
    <w:p>
      <w:pPr>
        <w:ind w:right="60"/>
        <w:spacing w:after="0" w:line="253" w:lineRule="auto"/>
        <w:rPr>
          <w:sz w:val="20"/>
          <w:szCs w:val="20"/>
          <w:color w:val="auto"/>
        </w:rPr>
      </w:pPr>
      <w:r>
        <w:rPr>
          <w:rFonts w:ascii="Arial" w:cs="Arial" w:eastAsia="Arial" w:hAnsi="Arial"/>
          <w:sz w:val="19"/>
          <w:szCs w:val="19"/>
          <w:color w:val="auto"/>
        </w:rPr>
        <w:t>other charges of approximately $220 million and higher depreciation and amortization of approximately $90 million, partially offset by decreased indirect material costs of approximately $70 million and lower labor costs of approximately $60 million.</w:t>
      </w:r>
    </w:p>
    <w:p>
      <w:pPr>
        <w:spacing w:after="0" w:line="80" w:lineRule="exact"/>
        <w:rPr>
          <w:sz w:val="20"/>
          <w:szCs w:val="20"/>
          <w:color w:val="auto"/>
        </w:rPr>
      </w:pPr>
    </w:p>
    <w:p>
      <w:pPr>
        <w:ind w:right="620" w:firstLine="357"/>
        <w:spacing w:after="0" w:line="242" w:lineRule="auto"/>
        <w:rPr>
          <w:sz w:val="20"/>
          <w:szCs w:val="20"/>
          <w:color w:val="auto"/>
        </w:rPr>
      </w:pPr>
      <w:r>
        <w:rPr>
          <w:rFonts w:ascii="Arial" w:cs="Arial" w:eastAsia="Arial" w:hAnsi="Arial"/>
          <w:sz w:val="19"/>
          <w:szCs w:val="19"/>
          <w:color w:val="auto"/>
        </w:rPr>
        <w:t>Gross margin percentage increased in 2017 compared with 2016 principally due to higher gross margin in Aerospace and Performance Materials and Technologies (approximately 1.7 percentage point impact collectively), partially offset by higher repositioning and other charges (approximately 0.5 percentage point impact) and by lower gross margin in Home and Building Solutions and Safety and Productivity Solutions (approximately 0.3 percentage point impact collectively).</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Selling, General and Administrative Expenses</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160" w:type="dxa"/>
            <w:vAlign w:val="bottom"/>
          </w:tcPr>
          <w:p>
            <w:pPr>
              <w:spacing w:after="0"/>
              <w:rPr>
                <w:sz w:val="16"/>
                <w:szCs w:val="16"/>
                <w:color w:val="auto"/>
              </w:rPr>
            </w:pPr>
          </w:p>
        </w:tc>
        <w:tc>
          <w:tcPr>
            <w:tcW w:w="86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6"/>
                <w:szCs w:val="16"/>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6"/>
                <w:szCs w:val="16"/>
                <w:color w:val="auto"/>
              </w:rPr>
            </w:pPr>
          </w:p>
        </w:tc>
        <w:tc>
          <w:tcPr>
            <w:tcW w:w="9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2016</w:t>
            </w:r>
          </w:p>
        </w:tc>
      </w:tr>
      <w:tr>
        <w:trPr>
          <w:trHeight w:val="237"/>
        </w:trPr>
        <w:tc>
          <w:tcPr>
            <w:tcW w:w="7160" w:type="dxa"/>
            <w:vAlign w:val="bottom"/>
            <w:shd w:val="clear" w:color="auto" w:fill="E5FFFF"/>
          </w:tcPr>
          <w:p>
            <w:pPr>
              <w:spacing w:after="0"/>
              <w:rPr>
                <w:sz w:val="20"/>
                <w:szCs w:val="20"/>
                <w:color w:val="auto"/>
              </w:rPr>
            </w:pPr>
            <w:r>
              <w:rPr>
                <w:rFonts w:ascii="Arial" w:cs="Arial" w:eastAsia="Arial" w:hAnsi="Arial"/>
                <w:sz w:val="19"/>
                <w:szCs w:val="19"/>
                <w:color w:val="auto"/>
              </w:rPr>
              <w:t>Selling, general and administrative expenses</w:t>
            </w:r>
          </w:p>
        </w:tc>
        <w:tc>
          <w:tcPr>
            <w:tcW w:w="860" w:type="dxa"/>
            <w:vAlign w:val="bottom"/>
            <w:shd w:val="clear" w:color="auto" w:fill="E5FFFF"/>
          </w:tcPr>
          <w:p>
            <w:pPr>
              <w:jc w:val="right"/>
              <w:ind w:right="109"/>
              <w:spacing w:after="0"/>
              <w:rPr>
                <w:sz w:val="20"/>
                <w:szCs w:val="20"/>
                <w:color w:val="auto"/>
              </w:rPr>
            </w:pPr>
            <w:r>
              <w:rPr>
                <w:rFonts w:ascii="Arial" w:cs="Arial" w:eastAsia="Arial" w:hAnsi="Arial"/>
                <w:sz w:val="19"/>
                <w:szCs w:val="19"/>
                <w:color w:val="auto"/>
              </w:rPr>
              <w:t>$ 6,051</w:t>
            </w:r>
          </w:p>
        </w:tc>
        <w:tc>
          <w:tcPr>
            <w:tcW w:w="118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$ 6,087</w:t>
            </w:r>
          </w:p>
        </w:tc>
        <w:tc>
          <w:tcPr>
            <w:tcW w:w="120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$ 5,574</w:t>
            </w:r>
          </w:p>
        </w:tc>
      </w:tr>
      <w:tr>
        <w:trPr>
          <w:trHeight w:val="261"/>
        </w:trPr>
        <w:tc>
          <w:tcPr>
            <w:tcW w:w="7160" w:type="dxa"/>
            <w:vAlign w:val="bottom"/>
          </w:tcPr>
          <w:p>
            <w:pPr>
              <w:spacing w:after="0"/>
              <w:rPr>
                <w:sz w:val="20"/>
                <w:szCs w:val="20"/>
                <w:color w:val="auto"/>
              </w:rPr>
            </w:pPr>
            <w:r>
              <w:rPr>
                <w:rFonts w:ascii="Arial" w:cs="Arial" w:eastAsia="Arial" w:hAnsi="Arial"/>
                <w:sz w:val="19"/>
                <w:szCs w:val="19"/>
                <w:color w:val="auto"/>
              </w:rPr>
              <w:t>% of sales</w:t>
            </w:r>
          </w:p>
        </w:tc>
        <w:tc>
          <w:tcPr>
            <w:tcW w:w="860" w:type="dxa"/>
            <w:vAlign w:val="bottom"/>
          </w:tcPr>
          <w:p>
            <w:pPr>
              <w:jc w:val="right"/>
              <w:spacing w:after="0"/>
              <w:rPr>
                <w:sz w:val="20"/>
                <w:szCs w:val="20"/>
                <w:color w:val="auto"/>
              </w:rPr>
            </w:pPr>
            <w:r>
              <w:rPr>
                <w:rFonts w:ascii="Arial" w:cs="Arial" w:eastAsia="Arial" w:hAnsi="Arial"/>
                <w:sz w:val="19"/>
                <w:szCs w:val="19"/>
                <w:color w:val="auto"/>
              </w:rPr>
              <w:t>14.5%</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15.0%</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14.2%</w:t>
            </w:r>
          </w:p>
        </w:tc>
      </w:tr>
    </w:tbl>
    <w:p>
      <w:pPr>
        <w:spacing w:after="0" w:line="91"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Selling, general and administrative expenses decreased in 2018 compared with 2017 primarily due to productivity and divestiture impacts, partially offset by labor inflation and higher repositioning charges.</w:t>
      </w:r>
    </w:p>
    <w:p>
      <w:pPr>
        <w:spacing w:after="0" w:line="66" w:lineRule="exact"/>
        <w:rPr>
          <w:sz w:val="20"/>
          <w:szCs w:val="20"/>
          <w:color w:val="auto"/>
        </w:rPr>
      </w:pPr>
    </w:p>
    <w:p>
      <w:pPr>
        <w:ind w:right="320" w:firstLine="357"/>
        <w:spacing w:after="0" w:line="253" w:lineRule="auto"/>
        <w:rPr>
          <w:sz w:val="20"/>
          <w:szCs w:val="20"/>
          <w:color w:val="auto"/>
        </w:rPr>
      </w:pPr>
      <w:r>
        <w:rPr>
          <w:rFonts w:ascii="Arial" w:cs="Arial" w:eastAsia="Arial" w:hAnsi="Arial"/>
          <w:sz w:val="19"/>
          <w:szCs w:val="19"/>
          <w:color w:val="auto"/>
        </w:rPr>
        <w:t>Selling, general and administrative expenses increased in 2017 compared with 2016 primarily due to increased labor costs (driven primarily by acquisitions, net of divestitures, investment for growth and merit increases), and higher repositioning charges.</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Other (Income) Expense</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6"/>
                <w:szCs w:val="16"/>
                <w:color w:val="auto"/>
              </w:rPr>
            </w:pPr>
          </w:p>
        </w:tc>
        <w:tc>
          <w:tcPr>
            <w:tcW w:w="6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6"/>
                <w:szCs w:val="16"/>
                <w:color w:val="auto"/>
              </w:rPr>
            </w:pP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2016</w:t>
            </w:r>
          </w:p>
        </w:tc>
      </w:tr>
      <w:tr>
        <w:trPr>
          <w:trHeight w:val="210"/>
        </w:trPr>
        <w:tc>
          <w:tcPr>
            <w:tcW w:w="752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Other (income) expense</w:t>
            </w:r>
          </w:p>
        </w:tc>
        <w:tc>
          <w:tcPr>
            <w:tcW w:w="86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 (1,149)</w:t>
            </w:r>
          </w:p>
        </w:tc>
        <w:tc>
          <w:tcPr>
            <w:tcW w:w="980" w:type="dxa"/>
            <w:vAlign w:val="bottom"/>
            <w:gridSpan w:val="2"/>
            <w:shd w:val="clear" w:color="auto" w:fill="E5FFFF"/>
          </w:tcPr>
          <w:p>
            <w:pPr>
              <w:jc w:val="right"/>
              <w:spacing w:after="0" w:line="210" w:lineRule="exact"/>
              <w:rPr>
                <w:sz w:val="20"/>
                <w:szCs w:val="20"/>
                <w:color w:val="auto"/>
              </w:rPr>
            </w:pPr>
            <w:r>
              <w:rPr>
                <w:rFonts w:ascii="Arial" w:cs="Arial" w:eastAsia="Arial" w:hAnsi="Arial"/>
                <w:sz w:val="19"/>
                <w:szCs w:val="19"/>
                <w:color w:val="auto"/>
              </w:rPr>
              <w:t>$ (963)</w:t>
            </w:r>
          </w:p>
        </w:tc>
        <w:tc>
          <w:tcPr>
            <w:tcW w:w="1040" w:type="dxa"/>
            <w:vAlign w:val="bottom"/>
            <w:gridSpan w:val="2"/>
            <w:shd w:val="clear" w:color="auto" w:fill="E5FFFF"/>
          </w:tcPr>
          <w:p>
            <w:pPr>
              <w:jc w:val="right"/>
              <w:spacing w:after="0" w:line="210" w:lineRule="exact"/>
              <w:rPr>
                <w:sz w:val="20"/>
                <w:szCs w:val="20"/>
                <w:color w:val="auto"/>
              </w:rPr>
            </w:pPr>
            <w:r>
              <w:rPr>
                <w:rFonts w:ascii="Arial" w:cs="Arial" w:eastAsia="Arial" w:hAnsi="Arial"/>
                <w:sz w:val="19"/>
                <w:szCs w:val="19"/>
                <w:color w:val="auto"/>
              </w:rPr>
              <w:t>$ (739)</w:t>
            </w:r>
          </w:p>
        </w:tc>
      </w:tr>
    </w:tbl>
    <w:p>
      <w:pPr>
        <w:spacing w:after="0" w:line="108" w:lineRule="exact"/>
        <w:rPr>
          <w:sz w:val="20"/>
          <w:szCs w:val="20"/>
          <w:color w:val="auto"/>
        </w:rPr>
      </w:pPr>
    </w:p>
    <w:p>
      <w:pPr>
        <w:ind w:right="80" w:firstLine="357"/>
        <w:spacing w:after="0" w:line="245" w:lineRule="auto"/>
        <w:rPr>
          <w:sz w:val="20"/>
          <w:szCs w:val="20"/>
          <w:color w:val="auto"/>
        </w:rPr>
      </w:pPr>
      <w:r>
        <w:rPr>
          <w:rFonts w:ascii="Arial" w:cs="Arial" w:eastAsia="Arial" w:hAnsi="Arial"/>
          <w:sz w:val="19"/>
          <w:szCs w:val="19"/>
          <w:color w:val="auto"/>
        </w:rPr>
        <w:t>Other (income) expense increased in 2018 compared with 2017 primarily due to an increase in pension ongoing income–non-service, favorable impacts of foreign currency and an increase in interest income, partially offset by separation costs associated with the spin-offs of our Homes and Global Distribution business and Transportation Systems business.</w:t>
      </w:r>
    </w:p>
    <w:p>
      <w:pPr>
        <w:spacing w:after="0" w:line="87" w:lineRule="exact"/>
        <w:rPr>
          <w:sz w:val="20"/>
          <w:szCs w:val="20"/>
          <w:color w:val="auto"/>
        </w:rPr>
      </w:pPr>
    </w:p>
    <w:p>
      <w:pPr>
        <w:ind w:right="80" w:firstLine="357"/>
        <w:spacing w:after="0" w:line="253" w:lineRule="auto"/>
        <w:rPr>
          <w:sz w:val="20"/>
          <w:szCs w:val="20"/>
          <w:color w:val="auto"/>
        </w:rPr>
      </w:pPr>
      <w:r>
        <w:rPr>
          <w:rFonts w:ascii="Arial" w:cs="Arial" w:eastAsia="Arial" w:hAnsi="Arial"/>
          <w:sz w:val="19"/>
          <w:szCs w:val="19"/>
          <w:color w:val="auto"/>
        </w:rPr>
        <w:t>Other (income) expense increased in 2017 compared with 2016 primarily due to due to an increase in pension ongoing income– non-service.</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Tax Expense</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6"/>
                <w:szCs w:val="16"/>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6"/>
                <w:szCs w:val="16"/>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2016</w:t>
            </w:r>
          </w:p>
        </w:tc>
      </w:tr>
      <w:tr>
        <w:trPr>
          <w:trHeight w:val="237"/>
        </w:trPr>
        <w:tc>
          <w:tcPr>
            <w:tcW w:w="7320" w:type="dxa"/>
            <w:vAlign w:val="bottom"/>
            <w:shd w:val="clear" w:color="auto" w:fill="E5FFFF"/>
          </w:tcPr>
          <w:p>
            <w:pPr>
              <w:spacing w:after="0"/>
              <w:rPr>
                <w:sz w:val="20"/>
                <w:szCs w:val="20"/>
                <w:color w:val="auto"/>
              </w:rPr>
            </w:pPr>
            <w:r>
              <w:rPr>
                <w:rFonts w:ascii="Arial" w:cs="Arial" w:eastAsia="Arial" w:hAnsi="Arial"/>
                <w:sz w:val="19"/>
                <w:szCs w:val="19"/>
                <w:color w:val="auto"/>
              </w:rPr>
              <w:t>Tax expense</w:t>
            </w:r>
          </w:p>
        </w:tc>
        <w:tc>
          <w:tcPr>
            <w:tcW w:w="700" w:type="dxa"/>
            <w:vAlign w:val="bottom"/>
            <w:shd w:val="clear" w:color="auto" w:fill="E5FFFF"/>
          </w:tcPr>
          <w:p>
            <w:pPr>
              <w:jc w:val="right"/>
              <w:ind w:right="109"/>
              <w:spacing w:after="0"/>
              <w:rPr>
                <w:sz w:val="20"/>
                <w:szCs w:val="20"/>
                <w:color w:val="auto"/>
              </w:rPr>
            </w:pPr>
            <w:r>
              <w:rPr>
                <w:rFonts w:ascii="Arial" w:cs="Arial" w:eastAsia="Arial" w:hAnsi="Arial"/>
                <w:sz w:val="19"/>
                <w:szCs w:val="19"/>
                <w:color w:val="auto"/>
              </w:rPr>
              <w:t>$ 659</w:t>
            </w:r>
          </w:p>
        </w:tc>
        <w:tc>
          <w:tcPr>
            <w:tcW w:w="118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$ 5,362</w:t>
            </w:r>
          </w:p>
        </w:tc>
        <w:tc>
          <w:tcPr>
            <w:tcW w:w="120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$ 1,603</w:t>
            </w:r>
          </w:p>
        </w:tc>
      </w:tr>
      <w:tr>
        <w:trPr>
          <w:trHeight w:val="261"/>
        </w:trPr>
        <w:tc>
          <w:tcPr>
            <w:tcW w:w="7320" w:type="dxa"/>
            <w:vAlign w:val="bottom"/>
          </w:tcPr>
          <w:p>
            <w:pPr>
              <w:spacing w:after="0"/>
              <w:rPr>
                <w:sz w:val="20"/>
                <w:szCs w:val="20"/>
                <w:color w:val="auto"/>
              </w:rPr>
            </w:pPr>
            <w:r>
              <w:rPr>
                <w:rFonts w:ascii="Arial" w:cs="Arial" w:eastAsia="Arial" w:hAnsi="Arial"/>
                <w:sz w:val="19"/>
                <w:szCs w:val="19"/>
                <w:color w:val="auto"/>
              </w:rPr>
              <w:t>Effective tax rate</w:t>
            </w:r>
          </w:p>
        </w:tc>
        <w:tc>
          <w:tcPr>
            <w:tcW w:w="700" w:type="dxa"/>
            <w:vAlign w:val="bottom"/>
          </w:tcPr>
          <w:p>
            <w:pPr>
              <w:jc w:val="right"/>
              <w:spacing w:after="0"/>
              <w:rPr>
                <w:sz w:val="20"/>
                <w:szCs w:val="20"/>
                <w:color w:val="auto"/>
              </w:rPr>
            </w:pPr>
            <w:r>
              <w:rPr>
                <w:rFonts w:ascii="Arial" w:cs="Arial" w:eastAsia="Arial" w:hAnsi="Arial"/>
                <w:sz w:val="19"/>
                <w:szCs w:val="19"/>
                <w:color w:val="auto"/>
              </w:rPr>
              <w:t>8.8%</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77.2%</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24.8%</w:t>
            </w:r>
          </w:p>
        </w:tc>
      </w:tr>
    </w:tbl>
    <w:p>
      <w:pPr>
        <w:spacing w:after="0" w:line="91"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The effective tax rate for 2018 was lower than the U.S. federal statutory rate of 21% primarily attributable to internal restructuring initiatives that resulted in a reduction of accrued withholding taxes of approximately $1.1 billion related to unremitted foreign earnings. In addition, we recorded a tax benefit of approximately $440 million as a reduction to our 2017 provisional estimate of impacts from what is commonly referred to as the U.S. Tax Cuts and Jobs Act (“U.S. Tax Reform”), which was partially offset by $411 million of tax costs associated with the internal restructuring of the Homes and Global Distribution business and the Transportation Systems business in advance of their spin-offs.</w:t>
      </w:r>
    </w:p>
    <w:p>
      <w:pPr>
        <w:spacing w:after="0" w:line="94" w:lineRule="exact"/>
        <w:rPr>
          <w:sz w:val="20"/>
          <w:szCs w:val="20"/>
          <w:color w:val="auto"/>
        </w:rPr>
      </w:pPr>
    </w:p>
    <w:p>
      <w:pPr>
        <w:ind w:right="420" w:firstLine="357"/>
        <w:spacing w:after="0" w:line="253" w:lineRule="auto"/>
        <w:rPr>
          <w:sz w:val="20"/>
          <w:szCs w:val="20"/>
          <w:color w:val="auto"/>
        </w:rPr>
      </w:pPr>
      <w:r>
        <w:rPr>
          <w:rFonts w:ascii="Arial" w:cs="Arial" w:eastAsia="Arial" w:hAnsi="Arial"/>
          <w:sz w:val="19"/>
          <w:szCs w:val="19"/>
          <w:color w:val="auto"/>
        </w:rPr>
        <w:t>The effective tax rate for 2017 was higher than the U.S. federal statutory rate of 35% primarily from the estimated impacts of U.S. Tax Reform of approximately $3.8 billion, partially offset by lower tax rates on non-U.S. earnings.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effective tax rate for 2016 was lower than the U.S. federal statutory rate of 35% primarily from lower tax rates on non-U.S.</w:t>
      </w:r>
    </w:p>
    <w:p>
      <w:pPr>
        <w:spacing w:after="0"/>
        <w:rPr>
          <w:sz w:val="20"/>
          <w:szCs w:val="20"/>
          <w:color w:val="auto"/>
        </w:rPr>
      </w:pPr>
      <w:r>
        <w:rPr>
          <w:rFonts w:ascii="Arial" w:cs="Arial" w:eastAsia="Arial" w:hAnsi="Arial"/>
          <w:sz w:val="19"/>
          <w:szCs w:val="19"/>
          <w:color w:val="auto"/>
        </w:rPr>
        <w:t>earnings.</w:t>
      </w:r>
    </w:p>
    <w:p>
      <w:pPr>
        <w:spacing w:after="0" w:line="106" w:lineRule="exact"/>
        <w:rPr>
          <w:sz w:val="20"/>
          <w:szCs w:val="20"/>
          <w:color w:val="auto"/>
        </w:rPr>
      </w:pPr>
    </w:p>
    <w:p>
      <w:pPr>
        <w:ind w:right="860" w:firstLine="357"/>
        <w:spacing w:after="0" w:line="253" w:lineRule="auto"/>
        <w:rPr>
          <w:sz w:val="20"/>
          <w:szCs w:val="20"/>
          <w:color w:val="auto"/>
        </w:rPr>
      </w:pPr>
      <w:r>
        <w:rPr>
          <w:rFonts w:ascii="Arial" w:cs="Arial" w:eastAsia="Arial" w:hAnsi="Arial"/>
          <w:sz w:val="19"/>
          <w:szCs w:val="19"/>
          <w:color w:val="auto"/>
        </w:rPr>
        <w:t>For further discussion of changes in the effective tax rate, see Note 5 Income Taxes of Notes to Consolidated Financial Statements.</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1" w:right="259" w:bottom="1440" w:gutter="0" w:footer="0" w:header="0"/>
        </w:sectPr>
      </w:pPr>
    </w:p>
    <w:bookmarkStart w:id="22" w:name="page23"/>
    <w:bookmarkEnd w:id="22"/>
    <w:p>
      <w:pPr>
        <w:ind w:left="360"/>
        <w:spacing w:after="0"/>
        <w:rPr>
          <w:sz w:val="20"/>
          <w:szCs w:val="20"/>
          <w:color w:val="auto"/>
        </w:rPr>
      </w:pPr>
      <w:r>
        <w:rPr>
          <w:rFonts w:ascii="Arial" w:cs="Arial" w:eastAsia="Arial" w:hAnsi="Arial"/>
          <w:sz w:val="19"/>
          <w:szCs w:val="19"/>
          <w:b w:val="1"/>
          <w:bCs w:val="1"/>
          <w:color w:val="auto"/>
        </w:rPr>
        <w:t>Net Income Attributable to Honeywell</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9"/>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9"/>
              <w:spacing w:after="0"/>
              <w:rPr>
                <w:sz w:val="20"/>
                <w:szCs w:val="20"/>
                <w:color w:val="auto"/>
              </w:rPr>
            </w:pPr>
            <w:r>
              <w:rPr>
                <w:rFonts w:ascii="Arial" w:cs="Arial" w:eastAsia="Arial" w:hAnsi="Arial"/>
                <w:sz w:val="16"/>
                <w:szCs w:val="16"/>
                <w:b w:val="1"/>
                <w:bCs w:val="1"/>
                <w:color w:val="auto"/>
              </w:rPr>
              <w:t>2016</w:t>
            </w:r>
          </w:p>
        </w:tc>
      </w:tr>
      <w:tr>
        <w:trPr>
          <w:trHeight w:val="237"/>
        </w:trPr>
        <w:tc>
          <w:tcPr>
            <w:tcW w:w="7440" w:type="dxa"/>
            <w:vAlign w:val="bottom"/>
            <w:shd w:val="clear" w:color="auto" w:fill="E5FFFF"/>
          </w:tcPr>
          <w:p>
            <w:pPr>
              <w:spacing w:after="0"/>
              <w:rPr>
                <w:sz w:val="20"/>
                <w:szCs w:val="20"/>
                <w:color w:val="auto"/>
              </w:rPr>
            </w:pPr>
            <w:r>
              <w:rPr>
                <w:rFonts w:ascii="Arial" w:cs="Arial" w:eastAsia="Arial" w:hAnsi="Arial"/>
                <w:sz w:val="19"/>
                <w:szCs w:val="19"/>
                <w:color w:val="auto"/>
              </w:rPr>
              <w:t>Net income attributable to Honeywell</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6,765</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1,545</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4,812</w:t>
            </w:r>
          </w:p>
        </w:tc>
      </w:tr>
      <w:tr>
        <w:trPr>
          <w:trHeight w:val="261"/>
        </w:trPr>
        <w:tc>
          <w:tcPr>
            <w:tcW w:w="7440" w:type="dxa"/>
            <w:vAlign w:val="bottom"/>
          </w:tcPr>
          <w:p>
            <w:pPr>
              <w:spacing w:after="0"/>
              <w:rPr>
                <w:sz w:val="20"/>
                <w:szCs w:val="20"/>
                <w:color w:val="auto"/>
              </w:rPr>
            </w:pPr>
            <w:r>
              <w:rPr>
                <w:rFonts w:ascii="Arial" w:cs="Arial" w:eastAsia="Arial" w:hAnsi="Arial"/>
                <w:sz w:val="19"/>
                <w:szCs w:val="19"/>
                <w:color w:val="auto"/>
              </w:rPr>
              <w:t>Earnings per share of common stock–assuming dilution</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8.98</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2.00</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6.21</w:t>
            </w:r>
          </w:p>
        </w:tc>
      </w:tr>
    </w:tbl>
    <w:p>
      <w:pPr>
        <w:spacing w:after="0" w:line="91" w:lineRule="exact"/>
        <w:rPr>
          <w:sz w:val="20"/>
          <w:szCs w:val="20"/>
          <w:color w:val="auto"/>
        </w:rPr>
      </w:pPr>
    </w:p>
    <w:p>
      <w:pPr>
        <w:ind w:right="20" w:firstLine="357"/>
        <w:spacing w:after="0" w:line="242" w:lineRule="auto"/>
        <w:rPr>
          <w:sz w:val="20"/>
          <w:szCs w:val="20"/>
          <w:color w:val="auto"/>
        </w:rPr>
      </w:pPr>
      <w:r>
        <w:rPr>
          <w:rFonts w:ascii="Arial" w:cs="Arial" w:eastAsia="Arial" w:hAnsi="Arial"/>
          <w:sz w:val="19"/>
          <w:szCs w:val="19"/>
          <w:color w:val="auto"/>
        </w:rPr>
        <w:t>Earnings per share of common stock–assuming dilution increased in 2018 compared with 2017 primarily driven by the lower income tax expenses (due to reduction of accrued withholding taxes and the higher comparative income taxes in 2017 from U.S. Tax Reform), higher segment profit, increased pension and other postretirement income, and lower share count, partially offset by separation costs and higher repositioning and other charges.</w:t>
      </w:r>
    </w:p>
    <w:p>
      <w:pPr>
        <w:spacing w:after="0" w:line="91"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Earnings per share of common stock–assuming dilution decreased in 2017 compared with 2016 primarily driven by additional income tax expense from U.S. Tax Reform, higher repositioning and other charges, partially offset by higher segment profit across all segments, lower pension mark-to-market expense and increased pension and other postretirement income.</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BUSINESS OVERVIEW</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consolidated results are principally impacted by:</w:t>
      </w:r>
    </w:p>
    <w:p>
      <w:pPr>
        <w:spacing w:after="0" w:line="92" w:lineRule="exact"/>
        <w:rPr>
          <w:sz w:val="20"/>
          <w:szCs w:val="20"/>
          <w:color w:val="auto"/>
        </w:rPr>
      </w:pPr>
    </w:p>
    <w:p>
      <w:pPr>
        <w:ind w:left="540" w:hanging="16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Changes in global economic growth rates and industry conditions and demand in our key end markets;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impact of fluctuations in foreign currency exchange rates (in particular the Euro), relative to the U.S. Dollar;</w:t>
      </w:r>
    </w:p>
    <w:p>
      <w:pPr>
        <w:spacing w:after="0" w:line="105" w:lineRule="exact"/>
        <w:rPr>
          <w:rFonts w:ascii="Arial" w:cs="Arial" w:eastAsia="Arial" w:hAnsi="Arial"/>
          <w:sz w:val="19"/>
          <w:szCs w:val="19"/>
          <w:color w:val="auto"/>
        </w:rPr>
      </w:pPr>
    </w:p>
    <w:p>
      <w:pPr>
        <w:ind w:left="540" w:right="80" w:hanging="168"/>
        <w:spacing w:after="0" w:line="25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extent to which cost savings from productivity actions are able to offset or exceed the impact of material and non-material inflation;</w:t>
      </w:r>
    </w:p>
    <w:p>
      <w:pPr>
        <w:spacing w:after="0" w:line="66" w:lineRule="exact"/>
        <w:rPr>
          <w:rFonts w:ascii="Arial" w:cs="Arial" w:eastAsia="Arial" w:hAnsi="Arial"/>
          <w:sz w:val="19"/>
          <w:szCs w:val="19"/>
          <w:color w:val="auto"/>
        </w:rPr>
      </w:pPr>
    </w:p>
    <w:p>
      <w:pPr>
        <w:ind w:left="540" w:right="220" w:hanging="168"/>
        <w:spacing w:after="0" w:line="25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spin-offs of the Homes and Global Distribution business and the Transportation Systems business into two stand-alone, publicly-traded companies and the associated separation costs;</w:t>
      </w:r>
    </w:p>
    <w:p>
      <w:pPr>
        <w:spacing w:after="0" w:line="66" w:lineRule="exact"/>
        <w:rPr>
          <w:rFonts w:ascii="Arial" w:cs="Arial" w:eastAsia="Arial" w:hAnsi="Arial"/>
          <w:sz w:val="19"/>
          <w:szCs w:val="19"/>
          <w:color w:val="auto"/>
        </w:rPr>
      </w:pPr>
    </w:p>
    <w:p>
      <w:pPr>
        <w:ind w:left="540" w:right="340" w:hanging="168"/>
        <w:spacing w:after="0" w:line="25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impact of the pension discount rate and asset returns on pension expense, including mark-to-market adjustments, and funding requirements; and</w:t>
      </w:r>
    </w:p>
    <w:p>
      <w:pPr>
        <w:spacing w:after="0" w:line="66" w:lineRule="exact"/>
        <w:rPr>
          <w:rFonts w:ascii="Arial" w:cs="Arial" w:eastAsia="Arial" w:hAnsi="Arial"/>
          <w:sz w:val="19"/>
          <w:szCs w:val="19"/>
          <w:color w:val="auto"/>
        </w:rPr>
      </w:pPr>
    </w:p>
    <w:p>
      <w:pPr>
        <w:ind w:left="540" w:hanging="16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impact of U.S. Tax Reform.</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2019 areas of focus, most of which are applicable to each of our segments include:</w:t>
      </w:r>
    </w:p>
    <w:p>
      <w:pPr>
        <w:spacing w:after="0" w:line="92" w:lineRule="exact"/>
        <w:rPr>
          <w:sz w:val="20"/>
          <w:szCs w:val="20"/>
          <w:color w:val="auto"/>
        </w:rPr>
      </w:pPr>
    </w:p>
    <w:p>
      <w:pPr>
        <w:ind w:left="540" w:right="220" w:hanging="168"/>
        <w:spacing w:after="0" w:line="253" w:lineRule="auto"/>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Driving profitable growth through research and development and technological excellence to deliver innovative products that customers value, and through expansion and localization of our footprint in high growth regions;</w:t>
      </w:r>
    </w:p>
    <w:p>
      <w:pPr>
        <w:spacing w:after="0" w:line="66" w:lineRule="exact"/>
        <w:rPr>
          <w:rFonts w:ascii="Arial" w:cs="Arial" w:eastAsia="Arial" w:hAnsi="Arial"/>
          <w:sz w:val="19"/>
          <w:szCs w:val="19"/>
          <w:color w:val="auto"/>
        </w:rPr>
      </w:pPr>
    </w:p>
    <w:p>
      <w:pPr>
        <w:ind w:left="540" w:right="200" w:hanging="168"/>
        <w:spacing w:after="0" w:line="253" w:lineRule="auto"/>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Executing on our strategy to become a software-industrial company, which for us means products and services that facilitate the connected plane, building and factory;</w:t>
      </w:r>
    </w:p>
    <w:p>
      <w:pPr>
        <w:spacing w:after="0" w:line="66" w:lineRule="exact"/>
        <w:rPr>
          <w:rFonts w:ascii="Arial" w:cs="Arial" w:eastAsia="Arial" w:hAnsi="Arial"/>
          <w:sz w:val="19"/>
          <w:szCs w:val="19"/>
          <w:color w:val="auto"/>
        </w:rPr>
      </w:pPr>
    </w:p>
    <w:p>
      <w:pPr>
        <w:ind w:left="540" w:right="1080" w:hanging="168"/>
        <w:spacing w:after="0" w:line="253" w:lineRule="auto"/>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Expanding margins by optimizing the Company’s cost structure through manufacturing and administrative process improvements, repositioning, and other productivity actions;</w:t>
      </w:r>
    </w:p>
    <w:p>
      <w:pPr>
        <w:spacing w:after="0" w:line="66" w:lineRule="exact"/>
        <w:rPr>
          <w:rFonts w:ascii="Arial" w:cs="Arial" w:eastAsia="Arial" w:hAnsi="Arial"/>
          <w:sz w:val="19"/>
          <w:szCs w:val="19"/>
          <w:color w:val="auto"/>
        </w:rPr>
      </w:pPr>
    </w:p>
    <w:p>
      <w:pPr>
        <w:ind w:left="540" w:hanging="168"/>
        <w:spacing w:after="0"/>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Executing disciplined, rigorous M&amp;A and integration processes to deliver growth through acquisitions;</w:t>
      </w:r>
    </w:p>
    <w:p>
      <w:pPr>
        <w:spacing w:after="0" w:line="105" w:lineRule="exact"/>
        <w:rPr>
          <w:rFonts w:ascii="Arial" w:cs="Arial" w:eastAsia="Arial" w:hAnsi="Arial"/>
          <w:sz w:val="19"/>
          <w:szCs w:val="19"/>
          <w:color w:val="auto"/>
        </w:rPr>
      </w:pPr>
    </w:p>
    <w:p>
      <w:pPr>
        <w:ind w:left="540" w:right="800" w:hanging="168"/>
        <w:spacing w:after="0" w:line="253" w:lineRule="auto"/>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Controlling corporate costs, including costs incurred for asbestos and environmental matters, pension and other post-retirement benefits; and</w:t>
      </w:r>
    </w:p>
    <w:p>
      <w:pPr>
        <w:spacing w:after="0" w:line="66" w:lineRule="exact"/>
        <w:rPr>
          <w:rFonts w:ascii="Arial" w:cs="Arial" w:eastAsia="Arial" w:hAnsi="Arial"/>
          <w:sz w:val="19"/>
          <w:szCs w:val="19"/>
          <w:color w:val="auto"/>
        </w:rPr>
      </w:pPr>
    </w:p>
    <w:p>
      <w:pPr>
        <w:ind w:left="540" w:right="180" w:hanging="168"/>
        <w:spacing w:after="0" w:line="245" w:lineRule="auto"/>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Increasing availability of capital through strong cash flow conversion from effective working capital management and proactively managing debt levels to enable the Company to smartly deploy capital for strategic acquisitions, dividends, share repurchases and capital expenditures.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5" w:right="279" w:bottom="1440" w:gutter="0" w:footer="0" w:header="0"/>
        </w:sectPr>
      </w:pPr>
    </w:p>
    <w:bookmarkStart w:id="23" w:name="page24"/>
    <w:bookmarkEnd w:id="23"/>
    <w:p>
      <w:pPr>
        <w:spacing w:after="0"/>
        <w:rPr>
          <w:sz w:val="20"/>
          <w:szCs w:val="20"/>
          <w:color w:val="auto"/>
        </w:rPr>
      </w:pPr>
      <w:r>
        <w:rPr>
          <w:rFonts w:ascii="Arial" w:cs="Arial" w:eastAsia="Arial" w:hAnsi="Arial"/>
          <w:sz w:val="19"/>
          <w:szCs w:val="19"/>
          <w:b w:val="1"/>
          <w:bCs w:val="1"/>
          <w:color w:val="auto"/>
        </w:rPr>
        <w:t>Review of Business Segments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8"/>
          </w:tcPr>
          <w:p>
            <w:pPr>
              <w:jc w:val="right"/>
              <w:ind w:right="381"/>
              <w:spacing w:after="0"/>
              <w:rPr>
                <w:sz w:val="20"/>
                <w:szCs w:val="20"/>
                <w:color w:val="auto"/>
              </w:rPr>
            </w:pPr>
            <w:r>
              <w:rPr>
                <w:rFonts w:ascii="Arial" w:cs="Arial" w:eastAsia="Arial" w:hAnsi="Arial"/>
                <w:sz w:val="16"/>
                <w:szCs w:val="16"/>
                <w:b w:val="1"/>
                <w:bCs w:val="1"/>
                <w:color w:val="auto"/>
                <w:w w:val="95"/>
              </w:rPr>
              <w:t>% Change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0" w:type="dxa"/>
            <w:vAlign w:val="bottom"/>
            <w:gridSpan w:val="19"/>
            <w:vMerge w:val="restart"/>
          </w:tcPr>
          <w:p>
            <w:pPr>
              <w:jc w:val="center"/>
              <w:ind w:right="820"/>
              <w:spacing w:after="0"/>
              <w:rPr>
                <w:sz w:val="20"/>
                <w:szCs w:val="20"/>
                <w:color w:val="auto"/>
              </w:rPr>
            </w:pPr>
            <w:r>
              <w:rPr>
                <w:rFonts w:ascii="Arial" w:cs="Arial" w:eastAsia="Arial" w:hAnsi="Arial"/>
                <w:sz w:val="16"/>
                <w:szCs w:val="16"/>
                <w:b w:val="1"/>
                <w:bCs w:val="1"/>
                <w:color w:val="auto"/>
                <w:w w:val="98"/>
              </w:rPr>
              <w:t>Years Ended December 31,</w:t>
            </w:r>
          </w:p>
        </w:tc>
        <w:tc>
          <w:tcPr>
            <w:tcW w:w="520" w:type="dxa"/>
            <w:vAlign w:val="bottom"/>
            <w:gridSpan w:val="3"/>
          </w:tcPr>
          <w:p>
            <w:pPr>
              <w:jc w:val="right"/>
              <w:spacing w:after="0" w:line="155" w:lineRule="exact"/>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jc w:val="right"/>
              <w:ind w:right="101"/>
              <w:spacing w:after="0" w:line="155" w:lineRule="exact"/>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0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19"/>
            <w:vMerge w:val="continue"/>
          </w:tcPr>
          <w:p>
            <w:pPr>
              <w:spacing w:after="0"/>
              <w:rPr>
                <w:sz w:val="15"/>
                <w:szCs w:val="15"/>
                <w:color w:val="auto"/>
              </w:rPr>
            </w:pPr>
          </w:p>
        </w:tc>
        <w:tc>
          <w:tcPr>
            <w:tcW w:w="880" w:type="dxa"/>
            <w:vAlign w:val="bottom"/>
            <w:gridSpan w:val="6"/>
          </w:tcPr>
          <w:p>
            <w:pPr>
              <w:jc w:val="right"/>
              <w:ind w:right="280"/>
              <w:spacing w:after="0" w:line="177" w:lineRule="exact"/>
              <w:rPr>
                <w:sz w:val="20"/>
                <w:szCs w:val="20"/>
                <w:color w:val="auto"/>
              </w:rPr>
            </w:pPr>
            <w:r>
              <w:rPr>
                <w:rFonts w:ascii="Arial" w:cs="Arial" w:eastAsia="Arial" w:hAnsi="Arial"/>
                <w:sz w:val="16"/>
                <w:szCs w:val="16"/>
                <w:b w:val="1"/>
                <w:bCs w:val="1"/>
                <w:color w:val="auto"/>
              </w:rPr>
              <w:t>Versus</w:t>
            </w:r>
          </w:p>
        </w:tc>
        <w:tc>
          <w:tcPr>
            <w:tcW w:w="100" w:type="dxa"/>
            <w:vAlign w:val="bottom"/>
          </w:tcPr>
          <w:p>
            <w:pPr>
              <w:spacing w:after="0"/>
              <w:rPr>
                <w:sz w:val="15"/>
                <w:szCs w:val="15"/>
                <w:color w:val="auto"/>
              </w:rPr>
            </w:pPr>
          </w:p>
        </w:tc>
        <w:tc>
          <w:tcPr>
            <w:tcW w:w="700" w:type="dxa"/>
            <w:vAlign w:val="bottom"/>
            <w:gridSpan w:val="3"/>
          </w:tcPr>
          <w:p>
            <w:pPr>
              <w:jc w:val="right"/>
              <w:ind w:right="21"/>
              <w:spacing w:after="0" w:line="177" w:lineRule="exact"/>
              <w:rPr>
                <w:sz w:val="20"/>
                <w:szCs w:val="20"/>
                <w:color w:val="auto"/>
              </w:rPr>
            </w:pPr>
            <w:r>
              <w:rPr>
                <w:rFonts w:ascii="Arial" w:cs="Arial" w:eastAsia="Arial" w:hAnsi="Arial"/>
                <w:sz w:val="16"/>
                <w:szCs w:val="16"/>
                <w:b w:val="1"/>
                <w:bCs w:val="1"/>
                <w:color w:val="auto"/>
              </w:rPr>
              <w:t>Versus</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60" w:type="dxa"/>
            <w:vAlign w:val="bottom"/>
            <w:tcBorders>
              <w:top w:val="single" w:sz="8" w:color="auto"/>
            </w:tcBorders>
            <w:gridSpan w:val="3"/>
          </w:tcPr>
          <w:p>
            <w:pPr>
              <w:jc w:val="right"/>
              <w:ind w:right="169"/>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6"/>
          </w:tcPr>
          <w:p>
            <w:pPr>
              <w:jc w:val="center"/>
              <w:spacing w:after="0" w:line="169" w:lineRule="exact"/>
              <w:rPr>
                <w:sz w:val="20"/>
                <w:szCs w:val="20"/>
                <w:color w:val="auto"/>
              </w:rPr>
            </w:pPr>
            <w:r>
              <w:rPr>
                <w:rFonts w:ascii="Arial" w:cs="Arial" w:eastAsia="Arial" w:hAnsi="Arial"/>
                <w:sz w:val="16"/>
                <w:szCs w:val="16"/>
                <w:b w:val="1"/>
                <w:bCs w:val="1"/>
                <w:color w:val="auto"/>
              </w:rPr>
              <w:t>2017</w:t>
            </w:r>
          </w:p>
        </w:tc>
        <w:tc>
          <w:tcPr>
            <w:tcW w:w="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2"/>
          </w:tcPr>
          <w:p>
            <w:pPr>
              <w:jc w:val="center"/>
              <w:ind w:right="41"/>
              <w:spacing w:after="0" w:line="169" w:lineRule="exact"/>
              <w:rPr>
                <w:sz w:val="20"/>
                <w:szCs w:val="20"/>
                <w:color w:val="auto"/>
              </w:rPr>
            </w:pPr>
            <w:r>
              <w:rPr>
                <w:rFonts w:ascii="Arial" w:cs="Arial" w:eastAsia="Arial" w:hAnsi="Arial"/>
                <w:sz w:val="16"/>
                <w:szCs w:val="16"/>
                <w:b w:val="1"/>
                <w:bCs w:val="1"/>
                <w:color w:val="auto"/>
              </w:rPr>
              <w:t>2016</w:t>
            </w:r>
          </w:p>
        </w:tc>
        <w:tc>
          <w:tcPr>
            <w:tcW w:w="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3"/>
          </w:tcPr>
          <w:p>
            <w:pPr>
              <w:jc w:val="right"/>
              <w:spacing w:after="0" w:line="169" w:lineRule="exact"/>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jc w:val="right"/>
              <w:ind w:right="101"/>
              <w:spacing w:after="0" w:line="169" w:lineRule="exact"/>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20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Aerospace Sales</w:t>
            </w:r>
          </w:p>
        </w:tc>
        <w:tc>
          <w:tcPr>
            <w:tcW w:w="340" w:type="dxa"/>
            <w:vAlign w:val="bottom"/>
            <w:tcBorders>
              <w:top w:val="single" w:sz="8" w:color="auto"/>
            </w:tcBorders>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380" w:type="dxa"/>
            <w:vAlign w:val="bottom"/>
            <w:tcBorders>
              <w:top w:val="single" w:sz="8" w:color="auto"/>
            </w:tcBorders>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48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32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auto"/>
              <w:right w:val="single" w:sz="8" w:color="E5FFFF"/>
            </w:tcBorders>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00" w:type="dxa"/>
            <w:vAlign w:val="bottom"/>
          </w:tcPr>
          <w:p>
            <w:pPr>
              <w:ind w:left="360"/>
              <w:spacing w:after="0"/>
              <w:rPr>
                <w:sz w:val="20"/>
                <w:szCs w:val="20"/>
                <w:color w:val="auto"/>
              </w:rPr>
            </w:pPr>
            <w:r>
              <w:rPr>
                <w:rFonts w:ascii="Arial" w:cs="Arial" w:eastAsia="Arial" w:hAnsi="Arial"/>
                <w:sz w:val="19"/>
                <w:szCs w:val="19"/>
                <w:color w:val="auto"/>
              </w:rPr>
              <w:t>Commercial Aviation Original Equipment</w:t>
            </w:r>
          </w:p>
        </w:tc>
        <w:tc>
          <w:tcPr>
            <w:tcW w:w="860" w:type="dxa"/>
            <w:vAlign w:val="bottom"/>
            <w:gridSpan w:val="3"/>
          </w:tcPr>
          <w:p>
            <w:pPr>
              <w:jc w:val="right"/>
              <w:spacing w:after="0"/>
              <w:rPr>
                <w:sz w:val="20"/>
                <w:szCs w:val="20"/>
                <w:color w:val="auto"/>
              </w:rPr>
            </w:pPr>
            <w:r>
              <w:rPr>
                <w:rFonts w:ascii="Arial" w:cs="Arial" w:eastAsia="Arial" w:hAnsi="Arial"/>
                <w:sz w:val="19"/>
                <w:szCs w:val="19"/>
                <w:color w:val="auto"/>
              </w:rPr>
              <w:t>$  2,833</w:t>
            </w:r>
          </w:p>
        </w:tc>
        <w:tc>
          <w:tcPr>
            <w:tcW w:w="300" w:type="dxa"/>
            <w:vAlign w:val="bottom"/>
          </w:tcPr>
          <w:p>
            <w:pPr>
              <w:spacing w:after="0"/>
              <w:rPr>
                <w:sz w:val="21"/>
                <w:szCs w:val="21"/>
                <w:color w:val="auto"/>
              </w:rPr>
            </w:pPr>
          </w:p>
        </w:tc>
        <w:tc>
          <w:tcPr>
            <w:tcW w:w="880" w:type="dxa"/>
            <w:vAlign w:val="bottom"/>
            <w:gridSpan w:val="6"/>
          </w:tcPr>
          <w:p>
            <w:pPr>
              <w:jc w:val="right"/>
              <w:spacing w:after="0"/>
              <w:rPr>
                <w:sz w:val="20"/>
                <w:szCs w:val="20"/>
                <w:color w:val="auto"/>
              </w:rPr>
            </w:pPr>
            <w:r>
              <w:rPr>
                <w:rFonts w:ascii="Arial" w:cs="Arial" w:eastAsia="Arial" w:hAnsi="Arial"/>
                <w:sz w:val="19"/>
                <w:szCs w:val="19"/>
                <w:color w:val="auto"/>
              </w:rPr>
              <w:t>$  2,475</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gridSpan w:val="3"/>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gridSpan w:val="2"/>
          </w:tcPr>
          <w:p>
            <w:pPr>
              <w:jc w:val="right"/>
              <w:spacing w:after="0"/>
              <w:rPr>
                <w:sz w:val="20"/>
                <w:szCs w:val="20"/>
                <w:color w:val="auto"/>
              </w:rPr>
            </w:pPr>
            <w:r>
              <w:rPr>
                <w:rFonts w:ascii="Arial" w:cs="Arial" w:eastAsia="Arial" w:hAnsi="Arial"/>
                <w:sz w:val="19"/>
                <w:szCs w:val="19"/>
                <w:color w:val="auto"/>
              </w:rPr>
              <w:t>2,525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9"/>
                <w:szCs w:val="19"/>
                <w:color w:val="auto"/>
              </w:rPr>
              <w:t>14%</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9"/>
                <w:szCs w:val="19"/>
                <w:color w:val="auto"/>
              </w:rPr>
              <w:t>(2)%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Commercial Aviation Aftermarket</w:t>
            </w: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5,373</w:t>
            </w:r>
          </w:p>
        </w:tc>
        <w:tc>
          <w:tcPr>
            <w:tcW w:w="300" w:type="dxa"/>
            <w:vAlign w:val="bottom"/>
            <w:shd w:val="clear" w:color="auto" w:fill="E5FFFF"/>
          </w:tcPr>
          <w:p>
            <w:pPr>
              <w:spacing w:after="0"/>
              <w:rPr>
                <w:sz w:val="21"/>
                <w:szCs w:val="21"/>
                <w:color w:val="auto"/>
              </w:rPr>
            </w:pPr>
          </w:p>
        </w:tc>
        <w:tc>
          <w:tcPr>
            <w:tcW w:w="880" w:type="dxa"/>
            <w:vAlign w:val="bottom"/>
            <w:gridSpan w:val="6"/>
            <w:shd w:val="clear" w:color="auto" w:fill="E5FFFF"/>
          </w:tcPr>
          <w:p>
            <w:pPr>
              <w:jc w:val="right"/>
              <w:spacing w:after="0"/>
              <w:rPr>
                <w:sz w:val="20"/>
                <w:szCs w:val="20"/>
                <w:color w:val="auto"/>
              </w:rPr>
            </w:pPr>
            <w:r>
              <w:rPr>
                <w:rFonts w:ascii="Arial" w:cs="Arial" w:eastAsia="Arial" w:hAnsi="Arial"/>
                <w:sz w:val="19"/>
                <w:szCs w:val="19"/>
                <w:color w:val="auto"/>
              </w:rPr>
              <w:t>5,103</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4,796</w:t>
            </w: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100"/>
              <w:spacing w:after="0"/>
              <w:rPr>
                <w:sz w:val="20"/>
                <w:szCs w:val="20"/>
                <w:color w:val="auto"/>
              </w:rPr>
            </w:pPr>
            <w:r>
              <w:rPr>
                <w:rFonts w:ascii="Arial" w:cs="Arial" w:eastAsia="Arial" w:hAnsi="Arial"/>
                <w:sz w:val="19"/>
                <w:szCs w:val="19"/>
                <w:color w:val="auto"/>
              </w:rPr>
              <w:t>5%</w:t>
            </w: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0" w:type="dxa"/>
            <w:vAlign w:val="bottom"/>
            <w:tcBorders>
              <w:right w:val="single" w:sz="8" w:color="E5FFFF"/>
            </w:tcBorders>
            <w:gridSpan w:val="4"/>
            <w:shd w:val="clear" w:color="auto" w:fill="E5FFFF"/>
          </w:tcPr>
          <w:p>
            <w:pPr>
              <w:jc w:val="right"/>
              <w:ind w:right="61"/>
              <w:spacing w:after="0"/>
              <w:rPr>
                <w:sz w:val="20"/>
                <w:szCs w:val="20"/>
                <w:color w:val="auto"/>
              </w:rPr>
            </w:pPr>
            <w:r>
              <w:rPr>
                <w:rFonts w:ascii="Arial" w:cs="Arial" w:eastAsia="Arial" w:hAnsi="Arial"/>
                <w:sz w:val="19"/>
                <w:szCs w:val="19"/>
                <w:color w:val="auto"/>
              </w:rPr>
              <w:t>6%</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00" w:type="dxa"/>
            <w:vAlign w:val="bottom"/>
          </w:tcPr>
          <w:p>
            <w:pPr>
              <w:ind w:left="360"/>
              <w:spacing w:after="0"/>
              <w:rPr>
                <w:sz w:val="20"/>
                <w:szCs w:val="20"/>
                <w:color w:val="auto"/>
              </w:rPr>
            </w:pPr>
            <w:r>
              <w:rPr>
                <w:rFonts w:ascii="Arial" w:cs="Arial" w:eastAsia="Arial" w:hAnsi="Arial"/>
                <w:sz w:val="19"/>
                <w:szCs w:val="19"/>
                <w:color w:val="auto"/>
              </w:rPr>
              <w:t>Defense and Space</w:t>
            </w:r>
          </w:p>
        </w:tc>
        <w:tc>
          <w:tcPr>
            <w:tcW w:w="860" w:type="dxa"/>
            <w:vAlign w:val="bottom"/>
            <w:gridSpan w:val="3"/>
          </w:tcPr>
          <w:p>
            <w:pPr>
              <w:jc w:val="right"/>
              <w:spacing w:after="0"/>
              <w:rPr>
                <w:sz w:val="20"/>
                <w:szCs w:val="20"/>
                <w:color w:val="auto"/>
              </w:rPr>
            </w:pPr>
            <w:r>
              <w:rPr>
                <w:rFonts w:ascii="Arial" w:cs="Arial" w:eastAsia="Arial" w:hAnsi="Arial"/>
                <w:sz w:val="19"/>
                <w:szCs w:val="19"/>
                <w:color w:val="auto"/>
              </w:rPr>
              <w:t>4,665</w:t>
            </w:r>
          </w:p>
        </w:tc>
        <w:tc>
          <w:tcPr>
            <w:tcW w:w="300" w:type="dxa"/>
            <w:vAlign w:val="bottom"/>
          </w:tcPr>
          <w:p>
            <w:pPr>
              <w:spacing w:after="0"/>
              <w:rPr>
                <w:sz w:val="21"/>
                <w:szCs w:val="21"/>
                <w:color w:val="auto"/>
              </w:rPr>
            </w:pPr>
          </w:p>
        </w:tc>
        <w:tc>
          <w:tcPr>
            <w:tcW w:w="880" w:type="dxa"/>
            <w:vAlign w:val="bottom"/>
            <w:gridSpan w:val="6"/>
          </w:tcPr>
          <w:p>
            <w:pPr>
              <w:jc w:val="right"/>
              <w:spacing w:after="0"/>
              <w:rPr>
                <w:sz w:val="20"/>
                <w:szCs w:val="20"/>
                <w:color w:val="auto"/>
              </w:rPr>
            </w:pPr>
            <w:r>
              <w:rPr>
                <w:rFonts w:ascii="Arial" w:cs="Arial" w:eastAsia="Arial" w:hAnsi="Arial"/>
                <w:sz w:val="19"/>
                <w:szCs w:val="19"/>
                <w:color w:val="auto"/>
              </w:rPr>
              <w:t>4,053</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9"/>
                <w:szCs w:val="19"/>
                <w:color w:val="auto"/>
              </w:rPr>
              <w:t>4,375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9"/>
                <w:szCs w:val="19"/>
                <w:color w:val="auto"/>
              </w:rPr>
              <w:t>15%</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9"/>
                <w:szCs w:val="19"/>
                <w:color w:val="auto"/>
              </w:rPr>
              <w:t>(7)%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Transportation Systems</w:t>
            </w:r>
          </w:p>
        </w:tc>
        <w:tc>
          <w:tcPr>
            <w:tcW w:w="86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2,622</w:t>
            </w:r>
          </w:p>
        </w:tc>
        <w:tc>
          <w:tcPr>
            <w:tcW w:w="300" w:type="dxa"/>
            <w:vAlign w:val="bottom"/>
            <w:shd w:val="clear" w:color="auto" w:fill="E5FFFF"/>
          </w:tcPr>
          <w:p>
            <w:pPr>
              <w:spacing w:after="0"/>
              <w:rPr>
                <w:sz w:val="21"/>
                <w:szCs w:val="21"/>
                <w:color w:val="auto"/>
              </w:rPr>
            </w:pPr>
          </w:p>
        </w:tc>
        <w:tc>
          <w:tcPr>
            <w:tcW w:w="880" w:type="dxa"/>
            <w:vAlign w:val="bottom"/>
            <w:tcBorders>
              <w:bottom w:val="single" w:sz="8" w:color="auto"/>
            </w:tcBorders>
            <w:gridSpan w:val="6"/>
            <w:shd w:val="clear" w:color="auto" w:fill="E5FFFF"/>
          </w:tcPr>
          <w:p>
            <w:pPr>
              <w:jc w:val="right"/>
              <w:spacing w:after="0"/>
              <w:rPr>
                <w:sz w:val="20"/>
                <w:szCs w:val="20"/>
                <w:color w:val="auto"/>
              </w:rPr>
            </w:pPr>
            <w:r>
              <w:rPr>
                <w:rFonts w:ascii="Arial" w:cs="Arial" w:eastAsia="Arial" w:hAnsi="Arial"/>
                <w:sz w:val="19"/>
                <w:szCs w:val="19"/>
                <w:color w:val="auto"/>
              </w:rPr>
              <w:t>3,148</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3,055</w:t>
            </w:r>
          </w:p>
        </w:tc>
        <w:tc>
          <w:tcPr>
            <w:tcW w:w="40" w:type="dxa"/>
            <w:vAlign w:val="bottom"/>
            <w:tcBorders>
              <w:bottom w:val="single" w:sz="8" w:color="auto"/>
            </w:tcBorders>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40"/>
              <w:spacing w:after="0"/>
              <w:rPr>
                <w:sz w:val="20"/>
                <w:szCs w:val="20"/>
                <w:color w:val="auto"/>
              </w:rPr>
            </w:pPr>
            <w:r>
              <w:rPr>
                <w:rFonts w:ascii="Arial" w:cs="Arial" w:eastAsia="Arial" w:hAnsi="Arial"/>
                <w:sz w:val="19"/>
                <w:szCs w:val="19"/>
                <w:color w:val="auto"/>
              </w:rPr>
              <w:t>(17)%</w:t>
            </w: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0" w:type="dxa"/>
            <w:vAlign w:val="bottom"/>
            <w:tcBorders>
              <w:right w:val="single" w:sz="8" w:color="E5FFFF"/>
            </w:tcBorders>
            <w:gridSpan w:val="4"/>
            <w:shd w:val="clear" w:color="auto" w:fill="E5FFFF"/>
          </w:tcPr>
          <w:p>
            <w:pPr>
              <w:jc w:val="right"/>
              <w:ind w:right="61"/>
              <w:spacing w:after="0"/>
              <w:rPr>
                <w:sz w:val="20"/>
                <w:szCs w:val="20"/>
                <w:color w:val="auto"/>
              </w:rPr>
            </w:pPr>
            <w:r>
              <w:rPr>
                <w:rFonts w:ascii="Arial" w:cs="Arial" w:eastAsia="Arial" w:hAnsi="Arial"/>
                <w:sz w:val="19"/>
                <w:szCs w:val="19"/>
                <w:color w:val="auto"/>
              </w:rPr>
              <w:t>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5200" w:type="dxa"/>
            <w:vAlign w:val="bottom"/>
          </w:tcPr>
          <w:p>
            <w:pPr>
              <w:ind w:left="720"/>
              <w:spacing w:after="0"/>
              <w:rPr>
                <w:sz w:val="20"/>
                <w:szCs w:val="20"/>
                <w:color w:val="auto"/>
              </w:rPr>
            </w:pPr>
            <w:r>
              <w:rPr>
                <w:rFonts w:ascii="Arial" w:cs="Arial" w:eastAsia="Arial" w:hAnsi="Arial"/>
                <w:sz w:val="19"/>
                <w:szCs w:val="19"/>
                <w:color w:val="auto"/>
              </w:rPr>
              <w:t>Total Aerospace Sales</w:t>
            </w:r>
          </w:p>
        </w:tc>
        <w:tc>
          <w:tcPr>
            <w:tcW w:w="860" w:type="dxa"/>
            <w:vAlign w:val="bottom"/>
            <w:gridSpan w:val="3"/>
          </w:tcPr>
          <w:p>
            <w:pPr>
              <w:jc w:val="right"/>
              <w:spacing w:after="0"/>
              <w:rPr>
                <w:sz w:val="20"/>
                <w:szCs w:val="20"/>
                <w:color w:val="auto"/>
              </w:rPr>
            </w:pPr>
            <w:r>
              <w:rPr>
                <w:rFonts w:ascii="Arial" w:cs="Arial" w:eastAsia="Arial" w:hAnsi="Arial"/>
                <w:sz w:val="19"/>
                <w:szCs w:val="19"/>
                <w:color w:val="auto"/>
              </w:rPr>
              <w:t>15,493</w:t>
            </w:r>
          </w:p>
        </w:tc>
        <w:tc>
          <w:tcPr>
            <w:tcW w:w="300" w:type="dxa"/>
            <w:vAlign w:val="bottom"/>
          </w:tcPr>
          <w:p>
            <w:pPr>
              <w:spacing w:after="0"/>
              <w:rPr>
                <w:sz w:val="21"/>
                <w:szCs w:val="21"/>
                <w:color w:val="auto"/>
              </w:rPr>
            </w:pPr>
          </w:p>
        </w:tc>
        <w:tc>
          <w:tcPr>
            <w:tcW w:w="880" w:type="dxa"/>
            <w:vAlign w:val="bottom"/>
            <w:gridSpan w:val="6"/>
          </w:tcPr>
          <w:p>
            <w:pPr>
              <w:jc w:val="right"/>
              <w:spacing w:after="0"/>
              <w:rPr>
                <w:sz w:val="20"/>
                <w:szCs w:val="20"/>
                <w:color w:val="auto"/>
              </w:rPr>
            </w:pPr>
            <w:r>
              <w:rPr>
                <w:rFonts w:ascii="Arial" w:cs="Arial" w:eastAsia="Arial" w:hAnsi="Arial"/>
                <w:sz w:val="19"/>
                <w:szCs w:val="19"/>
                <w:color w:val="auto"/>
              </w:rPr>
              <w:t>14,779</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9"/>
                <w:szCs w:val="19"/>
                <w:color w:val="auto"/>
              </w:rPr>
              <w:t>14,751</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Honeywell Building Technologies Sales</w:t>
            </w:r>
          </w:p>
        </w:tc>
        <w:tc>
          <w:tcPr>
            <w:tcW w:w="3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40" w:type="dxa"/>
            <w:vAlign w:val="bottom"/>
            <w:tcBorders>
              <w:right w:val="single" w:sz="8" w:color="E5FFFF"/>
            </w:tcBorders>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00" w:type="dxa"/>
            <w:vAlign w:val="bottom"/>
          </w:tcPr>
          <w:p>
            <w:pPr>
              <w:ind w:left="360"/>
              <w:spacing w:after="0"/>
              <w:rPr>
                <w:sz w:val="20"/>
                <w:szCs w:val="20"/>
                <w:color w:val="auto"/>
              </w:rPr>
            </w:pPr>
            <w:r>
              <w:rPr>
                <w:rFonts w:ascii="Arial" w:cs="Arial" w:eastAsia="Arial" w:hAnsi="Arial"/>
                <w:sz w:val="19"/>
                <w:szCs w:val="19"/>
                <w:color w:val="auto"/>
              </w:rPr>
              <w:t>Homes</w:t>
            </w:r>
          </w:p>
        </w:tc>
        <w:tc>
          <w:tcPr>
            <w:tcW w:w="860" w:type="dxa"/>
            <w:vAlign w:val="bottom"/>
            <w:gridSpan w:val="3"/>
          </w:tcPr>
          <w:p>
            <w:pPr>
              <w:jc w:val="right"/>
              <w:spacing w:after="0"/>
              <w:rPr>
                <w:sz w:val="20"/>
                <w:szCs w:val="20"/>
                <w:color w:val="auto"/>
              </w:rPr>
            </w:pPr>
            <w:r>
              <w:rPr>
                <w:rFonts w:ascii="Arial" w:cs="Arial" w:eastAsia="Arial" w:hAnsi="Arial"/>
                <w:sz w:val="19"/>
                <w:szCs w:val="19"/>
                <w:color w:val="auto"/>
              </w:rPr>
              <w:t>3,928</w:t>
            </w:r>
          </w:p>
        </w:tc>
        <w:tc>
          <w:tcPr>
            <w:tcW w:w="300" w:type="dxa"/>
            <w:vAlign w:val="bottom"/>
          </w:tcPr>
          <w:p>
            <w:pPr>
              <w:spacing w:after="0"/>
              <w:rPr>
                <w:sz w:val="21"/>
                <w:szCs w:val="21"/>
                <w:color w:val="auto"/>
              </w:rPr>
            </w:pPr>
          </w:p>
        </w:tc>
        <w:tc>
          <w:tcPr>
            <w:tcW w:w="880" w:type="dxa"/>
            <w:vAlign w:val="bottom"/>
            <w:gridSpan w:val="6"/>
          </w:tcPr>
          <w:p>
            <w:pPr>
              <w:jc w:val="right"/>
              <w:spacing w:after="0"/>
              <w:rPr>
                <w:sz w:val="20"/>
                <w:szCs w:val="20"/>
                <w:color w:val="auto"/>
              </w:rPr>
            </w:pPr>
            <w:r>
              <w:rPr>
                <w:rFonts w:ascii="Arial" w:cs="Arial" w:eastAsia="Arial" w:hAnsi="Arial"/>
                <w:sz w:val="19"/>
                <w:szCs w:val="19"/>
                <w:color w:val="auto"/>
              </w:rPr>
              <w:t>4,482</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9"/>
                <w:szCs w:val="19"/>
                <w:color w:val="auto"/>
              </w:rPr>
              <w:t>4,405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9"/>
                <w:szCs w:val="19"/>
                <w:color w:val="auto"/>
              </w:rPr>
              <w:t>(12)%</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4"/>
          </w:tcPr>
          <w:p>
            <w:pPr>
              <w:jc w:val="right"/>
              <w:ind w:right="61"/>
              <w:spacing w:after="0"/>
              <w:rPr>
                <w:sz w:val="20"/>
                <w:szCs w:val="20"/>
                <w:color w:val="auto"/>
              </w:rPr>
            </w:pPr>
            <w:r>
              <w:rPr>
                <w:rFonts w:ascii="Arial" w:cs="Arial" w:eastAsia="Arial" w:hAnsi="Arial"/>
                <w:sz w:val="19"/>
                <w:szCs w:val="19"/>
                <w:color w:val="auto"/>
              </w:rPr>
              <w:t>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Buildings</w:t>
            </w:r>
          </w:p>
        </w:tc>
        <w:tc>
          <w:tcPr>
            <w:tcW w:w="86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5,370</w:t>
            </w:r>
          </w:p>
        </w:tc>
        <w:tc>
          <w:tcPr>
            <w:tcW w:w="300" w:type="dxa"/>
            <w:vAlign w:val="bottom"/>
            <w:shd w:val="clear" w:color="auto" w:fill="E5FFFF"/>
          </w:tcPr>
          <w:p>
            <w:pPr>
              <w:spacing w:after="0"/>
              <w:rPr>
                <w:sz w:val="21"/>
                <w:szCs w:val="21"/>
                <w:color w:val="auto"/>
              </w:rPr>
            </w:pPr>
          </w:p>
        </w:tc>
        <w:tc>
          <w:tcPr>
            <w:tcW w:w="880" w:type="dxa"/>
            <w:vAlign w:val="bottom"/>
            <w:tcBorders>
              <w:bottom w:val="single" w:sz="8" w:color="auto"/>
            </w:tcBorders>
            <w:gridSpan w:val="6"/>
            <w:shd w:val="clear" w:color="auto" w:fill="E5FFFF"/>
          </w:tcPr>
          <w:p>
            <w:pPr>
              <w:jc w:val="right"/>
              <w:spacing w:after="0"/>
              <w:rPr>
                <w:sz w:val="20"/>
                <w:szCs w:val="20"/>
                <w:color w:val="auto"/>
              </w:rPr>
            </w:pPr>
            <w:r>
              <w:rPr>
                <w:rFonts w:ascii="Arial" w:cs="Arial" w:eastAsia="Arial" w:hAnsi="Arial"/>
                <w:sz w:val="19"/>
                <w:szCs w:val="19"/>
                <w:color w:val="auto"/>
              </w:rPr>
              <w:t>5,295</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5,085</w:t>
            </w:r>
          </w:p>
        </w:tc>
        <w:tc>
          <w:tcPr>
            <w:tcW w:w="40" w:type="dxa"/>
            <w:vAlign w:val="bottom"/>
            <w:tcBorders>
              <w:bottom w:val="single" w:sz="8" w:color="auto"/>
            </w:tcBorders>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100"/>
              <w:spacing w:after="0"/>
              <w:rPr>
                <w:sz w:val="20"/>
                <w:szCs w:val="20"/>
                <w:color w:val="auto"/>
              </w:rPr>
            </w:pPr>
            <w:r>
              <w:rPr>
                <w:rFonts w:ascii="Arial" w:cs="Arial" w:eastAsia="Arial" w:hAnsi="Arial"/>
                <w:sz w:val="19"/>
                <w:szCs w:val="19"/>
                <w:color w:val="auto"/>
              </w:rPr>
              <w:t>1%</w:t>
            </w: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0" w:type="dxa"/>
            <w:vAlign w:val="bottom"/>
            <w:tcBorders>
              <w:right w:val="single" w:sz="8" w:color="E5FFFF"/>
            </w:tcBorders>
            <w:gridSpan w:val="4"/>
            <w:shd w:val="clear" w:color="auto" w:fill="E5FFFF"/>
          </w:tcPr>
          <w:p>
            <w:pPr>
              <w:jc w:val="right"/>
              <w:ind w:right="61"/>
              <w:spacing w:after="0"/>
              <w:rPr>
                <w:sz w:val="20"/>
                <w:szCs w:val="20"/>
                <w:color w:val="auto"/>
              </w:rPr>
            </w:pPr>
            <w:r>
              <w:rPr>
                <w:rFonts w:ascii="Arial" w:cs="Arial" w:eastAsia="Arial" w:hAnsi="Arial"/>
                <w:sz w:val="19"/>
                <w:szCs w:val="19"/>
                <w:color w:val="auto"/>
              </w:rPr>
              <w:t>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5200" w:type="dxa"/>
            <w:vAlign w:val="bottom"/>
          </w:tcPr>
          <w:p>
            <w:pPr>
              <w:ind w:left="720"/>
              <w:spacing w:after="0"/>
              <w:rPr>
                <w:sz w:val="20"/>
                <w:szCs w:val="20"/>
                <w:color w:val="auto"/>
              </w:rPr>
            </w:pPr>
            <w:r>
              <w:rPr>
                <w:rFonts w:ascii="Arial" w:cs="Arial" w:eastAsia="Arial" w:hAnsi="Arial"/>
                <w:sz w:val="19"/>
                <w:szCs w:val="19"/>
                <w:color w:val="auto"/>
              </w:rPr>
              <w:t>Total Honeywell Building Technologies Sales</w:t>
            </w:r>
          </w:p>
        </w:tc>
        <w:tc>
          <w:tcPr>
            <w:tcW w:w="860" w:type="dxa"/>
            <w:vAlign w:val="bottom"/>
            <w:gridSpan w:val="3"/>
          </w:tcPr>
          <w:p>
            <w:pPr>
              <w:jc w:val="right"/>
              <w:spacing w:after="0"/>
              <w:rPr>
                <w:sz w:val="20"/>
                <w:szCs w:val="20"/>
                <w:color w:val="auto"/>
              </w:rPr>
            </w:pPr>
            <w:r>
              <w:rPr>
                <w:rFonts w:ascii="Arial" w:cs="Arial" w:eastAsia="Arial" w:hAnsi="Arial"/>
                <w:sz w:val="19"/>
                <w:szCs w:val="19"/>
                <w:color w:val="auto"/>
              </w:rPr>
              <w:t>9,298</w:t>
            </w:r>
          </w:p>
        </w:tc>
        <w:tc>
          <w:tcPr>
            <w:tcW w:w="300" w:type="dxa"/>
            <w:vAlign w:val="bottom"/>
          </w:tcPr>
          <w:p>
            <w:pPr>
              <w:spacing w:after="0"/>
              <w:rPr>
                <w:sz w:val="21"/>
                <w:szCs w:val="21"/>
                <w:color w:val="auto"/>
              </w:rPr>
            </w:pPr>
          </w:p>
        </w:tc>
        <w:tc>
          <w:tcPr>
            <w:tcW w:w="880" w:type="dxa"/>
            <w:vAlign w:val="bottom"/>
            <w:gridSpan w:val="6"/>
          </w:tcPr>
          <w:p>
            <w:pPr>
              <w:jc w:val="right"/>
              <w:spacing w:after="0"/>
              <w:rPr>
                <w:sz w:val="20"/>
                <w:szCs w:val="20"/>
                <w:color w:val="auto"/>
              </w:rPr>
            </w:pPr>
            <w:r>
              <w:rPr>
                <w:rFonts w:ascii="Arial" w:cs="Arial" w:eastAsia="Arial" w:hAnsi="Arial"/>
                <w:sz w:val="19"/>
                <w:szCs w:val="19"/>
                <w:color w:val="auto"/>
              </w:rPr>
              <w:t>9,777</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9"/>
                <w:szCs w:val="19"/>
                <w:color w:val="auto"/>
              </w:rPr>
              <w:t>9,490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Performance Materials and Technologies Sales</w:t>
            </w:r>
          </w:p>
        </w:tc>
        <w:tc>
          <w:tcPr>
            <w:tcW w:w="3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40" w:type="dxa"/>
            <w:vAlign w:val="bottom"/>
            <w:tcBorders>
              <w:right w:val="single" w:sz="8" w:color="E5FFFF"/>
            </w:tcBorders>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00" w:type="dxa"/>
            <w:vAlign w:val="bottom"/>
          </w:tcPr>
          <w:p>
            <w:pPr>
              <w:ind w:left="360"/>
              <w:spacing w:after="0"/>
              <w:rPr>
                <w:sz w:val="20"/>
                <w:szCs w:val="20"/>
                <w:color w:val="auto"/>
              </w:rPr>
            </w:pPr>
            <w:r>
              <w:rPr>
                <w:rFonts w:ascii="Arial" w:cs="Arial" w:eastAsia="Arial" w:hAnsi="Arial"/>
                <w:sz w:val="19"/>
                <w:szCs w:val="19"/>
                <w:color w:val="auto"/>
              </w:rPr>
              <w:t>UOP</w:t>
            </w:r>
          </w:p>
        </w:tc>
        <w:tc>
          <w:tcPr>
            <w:tcW w:w="860" w:type="dxa"/>
            <w:vAlign w:val="bottom"/>
            <w:gridSpan w:val="3"/>
          </w:tcPr>
          <w:p>
            <w:pPr>
              <w:jc w:val="right"/>
              <w:spacing w:after="0"/>
              <w:rPr>
                <w:sz w:val="20"/>
                <w:szCs w:val="20"/>
                <w:color w:val="auto"/>
              </w:rPr>
            </w:pPr>
            <w:r>
              <w:rPr>
                <w:rFonts w:ascii="Arial" w:cs="Arial" w:eastAsia="Arial" w:hAnsi="Arial"/>
                <w:sz w:val="19"/>
                <w:szCs w:val="19"/>
                <w:color w:val="auto"/>
              </w:rPr>
              <w:t>2,845</w:t>
            </w:r>
          </w:p>
        </w:tc>
        <w:tc>
          <w:tcPr>
            <w:tcW w:w="300" w:type="dxa"/>
            <w:vAlign w:val="bottom"/>
          </w:tcPr>
          <w:p>
            <w:pPr>
              <w:spacing w:after="0"/>
              <w:rPr>
                <w:sz w:val="21"/>
                <w:szCs w:val="21"/>
                <w:color w:val="auto"/>
              </w:rPr>
            </w:pPr>
          </w:p>
        </w:tc>
        <w:tc>
          <w:tcPr>
            <w:tcW w:w="880" w:type="dxa"/>
            <w:vAlign w:val="bottom"/>
            <w:gridSpan w:val="6"/>
          </w:tcPr>
          <w:p>
            <w:pPr>
              <w:jc w:val="right"/>
              <w:spacing w:after="0"/>
              <w:rPr>
                <w:sz w:val="20"/>
                <w:szCs w:val="20"/>
                <w:color w:val="auto"/>
              </w:rPr>
            </w:pPr>
            <w:r>
              <w:rPr>
                <w:rFonts w:ascii="Arial" w:cs="Arial" w:eastAsia="Arial" w:hAnsi="Arial"/>
                <w:sz w:val="19"/>
                <w:szCs w:val="19"/>
                <w:color w:val="auto"/>
              </w:rPr>
              <w:t>2,753</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9"/>
                <w:szCs w:val="19"/>
                <w:color w:val="auto"/>
              </w:rPr>
              <w:t>2,469</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9"/>
                <w:szCs w:val="19"/>
                <w:color w:val="auto"/>
              </w:rPr>
              <w:t>3%</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4"/>
          </w:tcPr>
          <w:p>
            <w:pPr>
              <w:jc w:val="right"/>
              <w:ind w:right="61"/>
              <w:spacing w:after="0"/>
              <w:rPr>
                <w:sz w:val="20"/>
                <w:szCs w:val="20"/>
                <w:color w:val="auto"/>
              </w:rPr>
            </w:pPr>
            <w:r>
              <w:rPr>
                <w:rFonts w:ascii="Arial" w:cs="Arial" w:eastAsia="Arial" w:hAnsi="Arial"/>
                <w:sz w:val="19"/>
                <w:szCs w:val="19"/>
                <w:color w:val="auto"/>
              </w:rPr>
              <w:t>12%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Process Solutions</w:t>
            </w: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4,981</w:t>
            </w:r>
          </w:p>
        </w:tc>
        <w:tc>
          <w:tcPr>
            <w:tcW w:w="300" w:type="dxa"/>
            <w:vAlign w:val="bottom"/>
            <w:shd w:val="clear" w:color="auto" w:fill="E5FFFF"/>
          </w:tcPr>
          <w:p>
            <w:pPr>
              <w:spacing w:after="0"/>
              <w:rPr>
                <w:sz w:val="21"/>
                <w:szCs w:val="21"/>
                <w:color w:val="auto"/>
              </w:rPr>
            </w:pPr>
          </w:p>
        </w:tc>
        <w:tc>
          <w:tcPr>
            <w:tcW w:w="880" w:type="dxa"/>
            <w:vAlign w:val="bottom"/>
            <w:gridSpan w:val="6"/>
            <w:shd w:val="clear" w:color="auto" w:fill="E5FFFF"/>
          </w:tcPr>
          <w:p>
            <w:pPr>
              <w:jc w:val="right"/>
              <w:spacing w:after="0"/>
              <w:rPr>
                <w:sz w:val="20"/>
                <w:szCs w:val="20"/>
                <w:color w:val="auto"/>
              </w:rPr>
            </w:pPr>
            <w:r>
              <w:rPr>
                <w:rFonts w:ascii="Arial" w:cs="Arial" w:eastAsia="Arial" w:hAnsi="Arial"/>
                <w:sz w:val="19"/>
                <w:szCs w:val="19"/>
                <w:color w:val="auto"/>
              </w:rPr>
              <w:t>4,795</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4,640</w:t>
            </w: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100"/>
              <w:spacing w:after="0"/>
              <w:rPr>
                <w:sz w:val="20"/>
                <w:szCs w:val="20"/>
                <w:color w:val="auto"/>
              </w:rPr>
            </w:pPr>
            <w:r>
              <w:rPr>
                <w:rFonts w:ascii="Arial" w:cs="Arial" w:eastAsia="Arial" w:hAnsi="Arial"/>
                <w:sz w:val="19"/>
                <w:szCs w:val="19"/>
                <w:color w:val="auto"/>
              </w:rPr>
              <w:t>4%</w:t>
            </w: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0" w:type="dxa"/>
            <w:vAlign w:val="bottom"/>
            <w:tcBorders>
              <w:right w:val="single" w:sz="8" w:color="E5FFFF"/>
            </w:tcBorders>
            <w:gridSpan w:val="4"/>
            <w:shd w:val="clear" w:color="auto" w:fill="E5FFFF"/>
          </w:tcPr>
          <w:p>
            <w:pPr>
              <w:jc w:val="right"/>
              <w:ind w:right="61"/>
              <w:spacing w:after="0"/>
              <w:rPr>
                <w:sz w:val="20"/>
                <w:szCs w:val="20"/>
                <w:color w:val="auto"/>
              </w:rPr>
            </w:pPr>
            <w:r>
              <w:rPr>
                <w:rFonts w:ascii="Arial" w:cs="Arial" w:eastAsia="Arial" w:hAnsi="Arial"/>
                <w:sz w:val="19"/>
                <w:szCs w:val="19"/>
                <w:color w:val="auto"/>
              </w:rPr>
              <w:t>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5200" w:type="dxa"/>
            <w:vAlign w:val="bottom"/>
          </w:tcPr>
          <w:p>
            <w:pPr>
              <w:ind w:left="360"/>
              <w:spacing w:after="0"/>
              <w:rPr>
                <w:sz w:val="20"/>
                <w:szCs w:val="20"/>
                <w:color w:val="auto"/>
              </w:rPr>
            </w:pPr>
            <w:r>
              <w:rPr>
                <w:rFonts w:ascii="Arial" w:cs="Arial" w:eastAsia="Arial" w:hAnsi="Arial"/>
                <w:sz w:val="19"/>
                <w:szCs w:val="19"/>
                <w:color w:val="auto"/>
              </w:rPr>
              <w:t>Advanced Materials</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2,848</w:t>
            </w:r>
          </w:p>
        </w:tc>
        <w:tc>
          <w:tcPr>
            <w:tcW w:w="300" w:type="dxa"/>
            <w:vAlign w:val="bottom"/>
          </w:tcPr>
          <w:p>
            <w:pPr>
              <w:spacing w:after="0"/>
              <w:rPr>
                <w:sz w:val="21"/>
                <w:szCs w:val="21"/>
                <w:color w:val="auto"/>
              </w:rPr>
            </w:pPr>
          </w:p>
        </w:tc>
        <w:tc>
          <w:tcPr>
            <w:tcW w:w="880" w:type="dxa"/>
            <w:vAlign w:val="bottom"/>
            <w:tcBorders>
              <w:bottom w:val="single" w:sz="8" w:color="auto"/>
            </w:tcBorders>
            <w:gridSpan w:val="6"/>
          </w:tcPr>
          <w:p>
            <w:pPr>
              <w:jc w:val="right"/>
              <w:spacing w:after="0"/>
              <w:rPr>
                <w:sz w:val="20"/>
                <w:szCs w:val="20"/>
                <w:color w:val="auto"/>
              </w:rPr>
            </w:pPr>
            <w:r>
              <w:rPr>
                <w:rFonts w:ascii="Arial" w:cs="Arial" w:eastAsia="Arial" w:hAnsi="Arial"/>
                <w:sz w:val="19"/>
                <w:szCs w:val="19"/>
                <w:color w:val="auto"/>
              </w:rPr>
              <w:t>2,791</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3,327</w:t>
            </w:r>
          </w:p>
        </w:tc>
        <w:tc>
          <w:tcPr>
            <w:tcW w:w="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9"/>
                <w:szCs w:val="19"/>
                <w:color w:val="auto"/>
              </w:rPr>
              <w:t>2%</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9"/>
                <w:szCs w:val="19"/>
                <w:color w:val="auto"/>
              </w:rPr>
              <w:t>(16)%</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shd w:val="clear" w:color="auto" w:fill="E5FFFF"/>
          </w:tcPr>
          <w:p>
            <w:pPr>
              <w:ind w:left="720"/>
              <w:spacing w:after="0" w:line="216" w:lineRule="exact"/>
              <w:rPr>
                <w:sz w:val="20"/>
                <w:szCs w:val="20"/>
                <w:color w:val="auto"/>
              </w:rPr>
            </w:pPr>
            <w:r>
              <w:rPr>
                <w:rFonts w:ascii="Arial" w:cs="Arial" w:eastAsia="Arial" w:hAnsi="Arial"/>
                <w:sz w:val="19"/>
                <w:szCs w:val="19"/>
                <w:color w:val="auto"/>
              </w:rPr>
              <w:t>Total Performance Materials and Technologies</w:t>
            </w:r>
          </w:p>
        </w:tc>
        <w:tc>
          <w:tcPr>
            <w:tcW w:w="3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40" w:type="dxa"/>
            <w:vAlign w:val="bottom"/>
            <w:tcBorders>
              <w:right w:val="single" w:sz="8" w:color="E5FFFF"/>
            </w:tcBorders>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shd w:val="clear" w:color="auto" w:fill="E5FFFF"/>
          </w:tcPr>
          <w:p>
            <w:pPr>
              <w:ind w:left="900"/>
              <w:spacing w:after="0" w:line="216" w:lineRule="exact"/>
              <w:rPr>
                <w:sz w:val="20"/>
                <w:szCs w:val="20"/>
                <w:color w:val="auto"/>
              </w:rPr>
            </w:pPr>
            <w:r>
              <w:rPr>
                <w:rFonts w:ascii="Arial" w:cs="Arial" w:eastAsia="Arial" w:hAnsi="Arial"/>
                <w:sz w:val="19"/>
                <w:szCs w:val="19"/>
                <w:color w:val="auto"/>
              </w:rPr>
              <w:t>Sales</w:t>
            </w:r>
          </w:p>
        </w:tc>
        <w:tc>
          <w:tcPr>
            <w:tcW w:w="860" w:type="dxa"/>
            <w:vAlign w:val="bottom"/>
            <w:gridSpan w:val="3"/>
            <w:shd w:val="clear" w:color="auto" w:fill="E5FFFF"/>
          </w:tcPr>
          <w:p>
            <w:pPr>
              <w:jc w:val="right"/>
              <w:spacing w:after="0" w:line="216" w:lineRule="exact"/>
              <w:rPr>
                <w:sz w:val="20"/>
                <w:szCs w:val="20"/>
                <w:color w:val="auto"/>
              </w:rPr>
            </w:pPr>
            <w:r>
              <w:rPr>
                <w:rFonts w:ascii="Arial" w:cs="Arial" w:eastAsia="Arial" w:hAnsi="Arial"/>
                <w:sz w:val="19"/>
                <w:szCs w:val="19"/>
                <w:color w:val="auto"/>
              </w:rPr>
              <w:t>10,674</w:t>
            </w:r>
          </w:p>
        </w:tc>
        <w:tc>
          <w:tcPr>
            <w:tcW w:w="300" w:type="dxa"/>
            <w:vAlign w:val="bottom"/>
            <w:shd w:val="clear" w:color="auto" w:fill="E5FFFF"/>
          </w:tcPr>
          <w:p>
            <w:pPr>
              <w:spacing w:after="0"/>
              <w:rPr>
                <w:sz w:val="18"/>
                <w:szCs w:val="18"/>
                <w:color w:val="auto"/>
              </w:rPr>
            </w:pPr>
          </w:p>
        </w:tc>
        <w:tc>
          <w:tcPr>
            <w:tcW w:w="880" w:type="dxa"/>
            <w:vAlign w:val="bottom"/>
            <w:gridSpan w:val="6"/>
            <w:shd w:val="clear" w:color="auto" w:fill="E5FFFF"/>
          </w:tcPr>
          <w:p>
            <w:pPr>
              <w:jc w:val="right"/>
              <w:spacing w:after="0" w:line="216" w:lineRule="exact"/>
              <w:rPr>
                <w:sz w:val="20"/>
                <w:szCs w:val="20"/>
                <w:color w:val="auto"/>
              </w:rPr>
            </w:pPr>
            <w:r>
              <w:rPr>
                <w:rFonts w:ascii="Arial" w:cs="Arial" w:eastAsia="Arial" w:hAnsi="Arial"/>
                <w:sz w:val="19"/>
                <w:szCs w:val="19"/>
                <w:color w:val="auto"/>
              </w:rPr>
              <w:t>10,339</w:t>
            </w: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spacing w:after="0" w:line="216" w:lineRule="exact"/>
              <w:rPr>
                <w:sz w:val="20"/>
                <w:szCs w:val="20"/>
                <w:color w:val="auto"/>
              </w:rPr>
            </w:pPr>
            <w:r>
              <w:rPr>
                <w:rFonts w:ascii="Arial" w:cs="Arial" w:eastAsia="Arial" w:hAnsi="Arial"/>
                <w:sz w:val="19"/>
                <w:szCs w:val="19"/>
                <w:color w:val="auto"/>
              </w:rPr>
              <w:t>10,436</w:t>
            </w:r>
          </w:p>
        </w:tc>
        <w:tc>
          <w:tcPr>
            <w:tcW w:w="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40" w:type="dxa"/>
            <w:vAlign w:val="bottom"/>
            <w:tcBorders>
              <w:right w:val="single" w:sz="8" w:color="E5FFFF"/>
            </w:tcBorders>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tcPr>
          <w:p>
            <w:pPr>
              <w:spacing w:after="0" w:line="216" w:lineRule="exact"/>
              <w:rPr>
                <w:sz w:val="20"/>
                <w:szCs w:val="20"/>
                <w:color w:val="auto"/>
              </w:rPr>
            </w:pPr>
            <w:r>
              <w:rPr>
                <w:rFonts w:ascii="Arial" w:cs="Arial" w:eastAsia="Arial" w:hAnsi="Arial"/>
                <w:sz w:val="19"/>
                <w:szCs w:val="19"/>
                <w:b w:val="1"/>
                <w:bCs w:val="1"/>
                <w:color w:val="auto"/>
              </w:rPr>
              <w:t>Safety and Productivity Solutions Sales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Safety</w:t>
            </w: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2,278</w:t>
            </w:r>
          </w:p>
        </w:tc>
        <w:tc>
          <w:tcPr>
            <w:tcW w:w="300" w:type="dxa"/>
            <w:vAlign w:val="bottom"/>
            <w:shd w:val="clear" w:color="auto" w:fill="E5FFFF"/>
          </w:tcPr>
          <w:p>
            <w:pPr>
              <w:spacing w:after="0"/>
              <w:rPr>
                <w:sz w:val="21"/>
                <w:szCs w:val="21"/>
                <w:color w:val="auto"/>
              </w:rPr>
            </w:pPr>
          </w:p>
        </w:tc>
        <w:tc>
          <w:tcPr>
            <w:tcW w:w="880" w:type="dxa"/>
            <w:vAlign w:val="bottom"/>
            <w:gridSpan w:val="6"/>
            <w:shd w:val="clear" w:color="auto" w:fill="E5FFFF"/>
          </w:tcPr>
          <w:p>
            <w:pPr>
              <w:jc w:val="right"/>
              <w:spacing w:after="0"/>
              <w:rPr>
                <w:sz w:val="20"/>
                <w:szCs w:val="20"/>
                <w:color w:val="auto"/>
              </w:rPr>
            </w:pPr>
            <w:r>
              <w:rPr>
                <w:rFonts w:ascii="Arial" w:cs="Arial" w:eastAsia="Arial" w:hAnsi="Arial"/>
                <w:sz w:val="19"/>
                <w:szCs w:val="19"/>
                <w:color w:val="auto"/>
              </w:rPr>
              <w:t>2,169</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2,075</w:t>
            </w: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100"/>
              <w:spacing w:after="0"/>
              <w:rPr>
                <w:sz w:val="20"/>
                <w:szCs w:val="20"/>
                <w:color w:val="auto"/>
              </w:rPr>
            </w:pPr>
            <w:r>
              <w:rPr>
                <w:rFonts w:ascii="Arial" w:cs="Arial" w:eastAsia="Arial" w:hAnsi="Arial"/>
                <w:sz w:val="19"/>
                <w:szCs w:val="19"/>
                <w:color w:val="auto"/>
              </w:rPr>
              <w:t>5%</w:t>
            </w: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0" w:type="dxa"/>
            <w:vAlign w:val="bottom"/>
            <w:tcBorders>
              <w:right w:val="single" w:sz="8" w:color="E5FFFF"/>
            </w:tcBorders>
            <w:gridSpan w:val="4"/>
            <w:shd w:val="clear" w:color="auto" w:fill="E5FFFF"/>
          </w:tcPr>
          <w:p>
            <w:pPr>
              <w:jc w:val="right"/>
              <w:ind w:right="61"/>
              <w:spacing w:after="0"/>
              <w:rPr>
                <w:sz w:val="20"/>
                <w:szCs w:val="20"/>
                <w:color w:val="auto"/>
              </w:rPr>
            </w:pPr>
            <w:r>
              <w:rPr>
                <w:rFonts w:ascii="Arial" w:cs="Arial" w:eastAsia="Arial" w:hAnsi="Arial"/>
                <w:sz w:val="19"/>
                <w:szCs w:val="19"/>
                <w:color w:val="auto"/>
              </w:rPr>
              <w:t>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5200" w:type="dxa"/>
            <w:vAlign w:val="bottom"/>
          </w:tcPr>
          <w:p>
            <w:pPr>
              <w:ind w:left="360"/>
              <w:spacing w:after="0"/>
              <w:rPr>
                <w:sz w:val="20"/>
                <w:szCs w:val="20"/>
                <w:color w:val="auto"/>
              </w:rPr>
            </w:pPr>
            <w:r>
              <w:rPr>
                <w:rFonts w:ascii="Arial" w:cs="Arial" w:eastAsia="Arial" w:hAnsi="Arial"/>
                <w:sz w:val="19"/>
                <w:szCs w:val="19"/>
                <w:color w:val="auto"/>
              </w:rPr>
              <w:t>Productivity Solutions</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4,059</w:t>
            </w:r>
          </w:p>
        </w:tc>
        <w:tc>
          <w:tcPr>
            <w:tcW w:w="300" w:type="dxa"/>
            <w:vAlign w:val="bottom"/>
          </w:tcPr>
          <w:p>
            <w:pPr>
              <w:spacing w:after="0"/>
              <w:rPr>
                <w:sz w:val="21"/>
                <w:szCs w:val="21"/>
                <w:color w:val="auto"/>
              </w:rPr>
            </w:pPr>
          </w:p>
        </w:tc>
        <w:tc>
          <w:tcPr>
            <w:tcW w:w="880" w:type="dxa"/>
            <w:vAlign w:val="bottom"/>
            <w:tcBorders>
              <w:bottom w:val="single" w:sz="8" w:color="auto"/>
            </w:tcBorders>
            <w:gridSpan w:val="6"/>
          </w:tcPr>
          <w:p>
            <w:pPr>
              <w:jc w:val="right"/>
              <w:spacing w:after="0"/>
              <w:rPr>
                <w:sz w:val="20"/>
                <w:szCs w:val="20"/>
                <w:color w:val="auto"/>
              </w:rPr>
            </w:pPr>
            <w:r>
              <w:rPr>
                <w:rFonts w:ascii="Arial" w:cs="Arial" w:eastAsia="Arial" w:hAnsi="Arial"/>
                <w:sz w:val="19"/>
                <w:szCs w:val="19"/>
                <w:color w:val="auto"/>
              </w:rPr>
              <w:t>3,470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2,550</w:t>
            </w:r>
          </w:p>
        </w:tc>
        <w:tc>
          <w:tcPr>
            <w:tcW w:w="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9"/>
                <w:szCs w:val="19"/>
                <w:color w:val="auto"/>
              </w:rPr>
              <w:t>17%</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4"/>
          </w:tcPr>
          <w:p>
            <w:pPr>
              <w:jc w:val="right"/>
              <w:ind w:right="61"/>
              <w:spacing w:after="0"/>
              <w:rPr>
                <w:sz w:val="20"/>
                <w:szCs w:val="20"/>
                <w:color w:val="auto"/>
              </w:rPr>
            </w:pPr>
            <w:r>
              <w:rPr>
                <w:rFonts w:ascii="Arial" w:cs="Arial" w:eastAsia="Arial" w:hAnsi="Arial"/>
                <w:sz w:val="19"/>
                <w:szCs w:val="19"/>
                <w:color w:val="auto"/>
              </w:rPr>
              <w:t>36%</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0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 Safety and Productivity Solutions Sales</w:t>
            </w:r>
          </w:p>
        </w:tc>
        <w:tc>
          <w:tcPr>
            <w:tcW w:w="86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6,337</w:t>
            </w:r>
          </w:p>
        </w:tc>
        <w:tc>
          <w:tcPr>
            <w:tcW w:w="300" w:type="dxa"/>
            <w:vAlign w:val="bottom"/>
            <w:shd w:val="clear" w:color="auto" w:fill="E5FFFF"/>
          </w:tcPr>
          <w:p>
            <w:pPr>
              <w:spacing w:after="0"/>
              <w:rPr>
                <w:sz w:val="21"/>
                <w:szCs w:val="21"/>
                <w:color w:val="auto"/>
              </w:rPr>
            </w:pPr>
          </w:p>
        </w:tc>
        <w:tc>
          <w:tcPr>
            <w:tcW w:w="880" w:type="dxa"/>
            <w:vAlign w:val="bottom"/>
            <w:tcBorders>
              <w:bottom w:val="single" w:sz="8" w:color="auto"/>
            </w:tcBorders>
            <w:gridSpan w:val="6"/>
            <w:shd w:val="clear" w:color="auto" w:fill="E5FFFF"/>
          </w:tcPr>
          <w:p>
            <w:pPr>
              <w:jc w:val="right"/>
              <w:spacing w:after="0"/>
              <w:rPr>
                <w:sz w:val="20"/>
                <w:szCs w:val="20"/>
                <w:color w:val="auto"/>
              </w:rPr>
            </w:pPr>
            <w:r>
              <w:rPr>
                <w:rFonts w:ascii="Arial" w:cs="Arial" w:eastAsia="Arial" w:hAnsi="Arial"/>
                <w:sz w:val="19"/>
                <w:szCs w:val="19"/>
                <w:color w:val="auto"/>
              </w:rPr>
              <w:t>5,639</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4,625</w:t>
            </w:r>
          </w:p>
        </w:tc>
        <w:tc>
          <w:tcPr>
            <w:tcW w:w="40" w:type="dxa"/>
            <w:vAlign w:val="bottom"/>
            <w:tcBorders>
              <w:bottom w:val="single" w:sz="8" w:color="auto"/>
            </w:tcBorders>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40" w:type="dxa"/>
            <w:vAlign w:val="bottom"/>
            <w:tcBorders>
              <w:right w:val="single" w:sz="8" w:color="E5FFFF"/>
            </w:tcBorders>
            <w:shd w:val="clear" w:color="auto" w:fill="E5FFFF"/>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Net Sales</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$ 41,802</w:t>
            </w:r>
          </w:p>
        </w:tc>
        <w:tc>
          <w:tcPr>
            <w:tcW w:w="300" w:type="dxa"/>
            <w:vAlign w:val="bottom"/>
          </w:tcPr>
          <w:p>
            <w:pPr>
              <w:spacing w:after="0"/>
              <w:rPr>
                <w:sz w:val="21"/>
                <w:szCs w:val="21"/>
                <w:color w:val="auto"/>
              </w:rPr>
            </w:pPr>
          </w:p>
        </w:tc>
        <w:tc>
          <w:tcPr>
            <w:tcW w:w="880" w:type="dxa"/>
            <w:vAlign w:val="bottom"/>
            <w:tcBorders>
              <w:bottom w:val="single" w:sz="8" w:color="auto"/>
            </w:tcBorders>
            <w:gridSpan w:val="6"/>
          </w:tcPr>
          <w:p>
            <w:pPr>
              <w:jc w:val="right"/>
              <w:spacing w:after="0"/>
              <w:rPr>
                <w:sz w:val="20"/>
                <w:szCs w:val="20"/>
                <w:color w:val="auto"/>
              </w:rPr>
            </w:pPr>
            <w:r>
              <w:rPr>
                <w:rFonts w:ascii="Arial" w:cs="Arial" w:eastAsia="Arial" w:hAnsi="Arial"/>
                <w:sz w:val="19"/>
                <w:szCs w:val="19"/>
                <w:color w:val="auto"/>
              </w:rPr>
              <w:t>$ 40,534</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39,302</w:t>
            </w:r>
          </w:p>
        </w:tc>
        <w:tc>
          <w:tcPr>
            <w:tcW w:w="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Aerospace</w:t>
            </w: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7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3"/>
            <w:vMerge w:val="restart"/>
          </w:tcPr>
          <w:p>
            <w:pPr>
              <w:jc w:val="right"/>
              <w:ind w:right="200"/>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gridSpan w:val="2"/>
            <w:vMerge w:val="restart"/>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4"/>
            <w:vMerge w:val="restart"/>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gridSpan w:val="2"/>
            <w:vMerge w:val="restart"/>
          </w:tcPr>
          <w:p>
            <w:pPr>
              <w:jc w:val="right"/>
              <w:ind w:right="3"/>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Borders>
              <w:bottom w:val="single" w:sz="8" w:color="auto"/>
            </w:tcBorders>
            <w:gridSpan w:val="3"/>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7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Net sales</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15,493</w:t>
            </w:r>
          </w:p>
        </w:tc>
        <w:tc>
          <w:tcPr>
            <w:tcW w:w="500" w:type="dxa"/>
            <w:vAlign w:val="bottom"/>
            <w:gridSpan w:val="5"/>
            <w:shd w:val="clear" w:color="auto" w:fill="E5FFFF"/>
          </w:tcPr>
          <w:p>
            <w:pPr>
              <w:jc w:val="center"/>
              <w:ind w:left="264"/>
              <w:spacing w:after="0"/>
              <w:rPr>
                <w:sz w:val="20"/>
                <w:szCs w:val="20"/>
                <w:color w:val="auto"/>
              </w:rPr>
            </w:pPr>
            <w:r>
              <w:rPr>
                <w:rFonts w:ascii="Arial" w:cs="Arial" w:eastAsia="Arial" w:hAnsi="Arial"/>
                <w:sz w:val="19"/>
                <w:szCs w:val="19"/>
                <w:color w:val="auto"/>
                <w:w w:val="94"/>
              </w:rPr>
              <w:t>$</w:t>
            </w:r>
          </w:p>
        </w:tc>
        <w:tc>
          <w:tcPr>
            <w:tcW w:w="72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14,779</w:t>
            </w:r>
          </w:p>
        </w:tc>
        <w:tc>
          <w:tcPr>
            <w:tcW w:w="4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720" w:type="dxa"/>
            <w:vAlign w:val="bottom"/>
            <w:gridSpan w:val="3"/>
            <w:shd w:val="clear" w:color="auto" w:fill="E5FFFF"/>
          </w:tcPr>
          <w:p>
            <w:pPr>
              <w:jc w:val="center"/>
              <w:ind w:left="305"/>
              <w:spacing w:after="0"/>
              <w:rPr>
                <w:sz w:val="20"/>
                <w:szCs w:val="20"/>
                <w:color w:val="auto"/>
              </w:rPr>
            </w:pPr>
            <w:r>
              <w:rPr>
                <w:rFonts w:ascii="Arial" w:cs="Arial" w:eastAsia="Arial" w:hAnsi="Arial"/>
                <w:sz w:val="19"/>
                <w:szCs w:val="19"/>
                <w:color w:val="auto"/>
              </w:rPr>
              <w:t>5%</w:t>
            </w:r>
          </w:p>
        </w:tc>
        <w:tc>
          <w:tcPr>
            <w:tcW w:w="20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460" w:type="dxa"/>
            <w:vAlign w:val="bottom"/>
            <w:gridSpan w:val="2"/>
            <w:shd w:val="clear" w:color="auto" w:fill="E5FFFF"/>
          </w:tcPr>
          <w:p>
            <w:pPr>
              <w:jc w:val="right"/>
              <w:ind w:right="32"/>
              <w:spacing w:after="0"/>
              <w:rPr>
                <w:sz w:val="20"/>
                <w:szCs w:val="20"/>
                <w:color w:val="auto"/>
              </w:rPr>
            </w:pPr>
            <w:r>
              <w:rPr>
                <w:rFonts w:ascii="Arial" w:cs="Arial" w:eastAsia="Arial" w:hAnsi="Arial"/>
                <w:sz w:val="19"/>
                <w:szCs w:val="19"/>
                <w:color w:val="auto"/>
              </w:rPr>
              <w:t>$</w:t>
            </w:r>
          </w:p>
        </w:tc>
        <w:tc>
          <w:tcPr>
            <w:tcW w:w="660" w:type="dxa"/>
            <w:vAlign w:val="bottom"/>
            <w:gridSpan w:val="6"/>
            <w:shd w:val="clear" w:color="auto" w:fill="E5FFFF"/>
          </w:tcPr>
          <w:p>
            <w:pPr>
              <w:jc w:val="right"/>
              <w:spacing w:after="0"/>
              <w:rPr>
                <w:sz w:val="20"/>
                <w:szCs w:val="20"/>
                <w:color w:val="auto"/>
              </w:rPr>
            </w:pPr>
            <w:r>
              <w:rPr>
                <w:rFonts w:ascii="Arial" w:cs="Arial" w:eastAsia="Arial" w:hAnsi="Arial"/>
                <w:sz w:val="19"/>
                <w:szCs w:val="19"/>
                <w:color w:val="auto"/>
                <w:w w:val="99"/>
              </w:rPr>
              <w:t>14,751</w:t>
            </w:r>
          </w:p>
        </w:tc>
        <w:tc>
          <w:tcPr>
            <w:tcW w:w="320" w:type="dxa"/>
            <w:vAlign w:val="bottom"/>
            <w:shd w:val="clear" w:color="auto" w:fill="E5FFFF"/>
          </w:tcPr>
          <w:p>
            <w:pPr>
              <w:spacing w:after="0"/>
              <w:rPr>
                <w:sz w:val="20"/>
                <w:szCs w:val="20"/>
                <w:color w:val="auto"/>
              </w:rPr>
            </w:pPr>
          </w:p>
        </w:tc>
        <w:tc>
          <w:tcPr>
            <w:tcW w:w="240" w:type="dxa"/>
            <w:vAlign w:val="bottom"/>
            <w:tcBorders>
              <w:right w:val="single" w:sz="8" w:color="E5FFFF"/>
            </w:tcBorders>
            <w:shd w:val="clear" w:color="auto" w:fill="E5FFFF"/>
          </w:tcPr>
          <w:p>
            <w:pPr>
              <w:spacing w:after="0"/>
              <w:rPr>
                <w:sz w:val="20"/>
                <w:szCs w:val="20"/>
                <w:color w:val="auto"/>
              </w:rPr>
            </w:pPr>
          </w:p>
        </w:tc>
        <w:tc>
          <w:tcPr>
            <w:tcW w:w="520" w:type="dxa"/>
            <w:vAlign w:val="bottom"/>
            <w:shd w:val="clear" w:color="auto" w:fill="E5FFFF"/>
          </w:tcPr>
          <w:p>
            <w:pPr>
              <w:jc w:val="right"/>
              <w:ind w:right="223"/>
              <w:spacing w:after="0"/>
              <w:rPr>
                <w:sz w:val="20"/>
                <w:szCs w:val="20"/>
                <w:color w:val="auto"/>
              </w:rPr>
            </w:pPr>
            <w:r>
              <w:rPr>
                <w:rFonts w:ascii="Arial" w:cs="Arial" w:eastAsia="Arial" w:hAnsi="Arial"/>
                <w:sz w:val="19"/>
                <w:szCs w:val="19"/>
                <w:color w:val="auto"/>
                <w:w w:val="94"/>
              </w:rPr>
              <w:t>—</w:t>
            </w:r>
          </w:p>
        </w:tc>
        <w:tc>
          <w:tcPr>
            <w:tcW w:w="0" w:type="dxa"/>
            <w:vAlign w:val="bottom"/>
          </w:tcPr>
          <w:p>
            <w:pPr>
              <w:spacing w:after="0"/>
              <w:rPr>
                <w:sz w:val="1"/>
                <w:szCs w:val="1"/>
                <w:color w:val="auto"/>
              </w:rPr>
            </w:pPr>
          </w:p>
        </w:tc>
      </w:tr>
      <w:tr>
        <w:trPr>
          <w:trHeight w:val="243"/>
        </w:trPr>
        <w:tc>
          <w:tcPr>
            <w:tcW w:w="5700" w:type="dxa"/>
            <w:vAlign w:val="bottom"/>
            <w:gridSpan w:val="2"/>
          </w:tcPr>
          <w:p>
            <w:pPr>
              <w:spacing w:after="0"/>
              <w:rPr>
                <w:sz w:val="20"/>
                <w:szCs w:val="20"/>
                <w:color w:val="auto"/>
              </w:rPr>
            </w:pPr>
            <w:r>
              <w:rPr>
                <w:rFonts w:ascii="Arial" w:cs="Arial" w:eastAsia="Arial" w:hAnsi="Arial"/>
                <w:sz w:val="19"/>
                <w:szCs w:val="19"/>
                <w:color w:val="auto"/>
              </w:rPr>
              <w:t>Cost of products and services sold</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10,837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4"/>
          </w:tcPr>
          <w:p>
            <w:pPr>
              <w:jc w:val="right"/>
              <w:spacing w:after="0"/>
              <w:rPr>
                <w:sz w:val="20"/>
                <w:szCs w:val="20"/>
                <w:color w:val="auto"/>
              </w:rPr>
            </w:pPr>
            <w:r>
              <w:rPr>
                <w:rFonts w:ascii="Arial" w:cs="Arial" w:eastAsia="Arial" w:hAnsi="Arial"/>
                <w:sz w:val="19"/>
                <w:szCs w:val="19"/>
                <w:color w:val="auto"/>
              </w:rPr>
              <w:t>10,320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6"/>
          </w:tcPr>
          <w:p>
            <w:pPr>
              <w:jc w:val="right"/>
              <w:spacing w:after="0"/>
              <w:rPr>
                <w:sz w:val="20"/>
                <w:szCs w:val="20"/>
                <w:color w:val="auto"/>
              </w:rPr>
            </w:pPr>
            <w:r>
              <w:rPr>
                <w:rFonts w:ascii="Arial" w:cs="Arial" w:eastAsia="Arial" w:hAnsi="Arial"/>
                <w:sz w:val="19"/>
                <w:szCs w:val="19"/>
                <w:color w:val="auto"/>
                <w:w w:val="99"/>
              </w:rPr>
              <w:t>10,820</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Selling, general and administrative and other expenses</w:t>
            </w:r>
          </w:p>
        </w:tc>
        <w:tc>
          <w:tcPr>
            <w:tcW w:w="34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1,153</w:t>
            </w:r>
          </w:p>
        </w:tc>
        <w:tc>
          <w:tcPr>
            <w:tcW w:w="60" w:type="dxa"/>
            <w:vAlign w:val="bottom"/>
            <w:tcBorders>
              <w:bottom w:val="single" w:sz="8" w:color="auto"/>
            </w:tcBorders>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gridSpan w:val="4"/>
            <w:shd w:val="clear" w:color="auto" w:fill="E5FFFF"/>
          </w:tcPr>
          <w:p>
            <w:pPr>
              <w:jc w:val="right"/>
              <w:spacing w:after="0"/>
              <w:rPr>
                <w:sz w:val="20"/>
                <w:szCs w:val="20"/>
                <w:color w:val="auto"/>
              </w:rPr>
            </w:pPr>
            <w:r>
              <w:rPr>
                <w:rFonts w:ascii="Arial" w:cs="Arial" w:eastAsia="Arial" w:hAnsi="Arial"/>
                <w:sz w:val="19"/>
                <w:szCs w:val="19"/>
                <w:color w:val="auto"/>
              </w:rPr>
              <w:t>1,171</w:t>
            </w:r>
          </w:p>
        </w:tc>
        <w:tc>
          <w:tcPr>
            <w:tcW w:w="40" w:type="dxa"/>
            <w:vAlign w:val="bottom"/>
            <w:tcBorders>
              <w:bottom w:val="single" w:sz="8" w:color="auto"/>
            </w:tcBorders>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6"/>
            <w:shd w:val="clear" w:color="auto" w:fill="E5FFFF"/>
          </w:tcPr>
          <w:p>
            <w:pPr>
              <w:jc w:val="right"/>
              <w:spacing w:after="0"/>
              <w:rPr>
                <w:sz w:val="20"/>
                <w:szCs w:val="20"/>
                <w:color w:val="auto"/>
              </w:rPr>
            </w:pPr>
            <w:r>
              <w:rPr>
                <w:rFonts w:ascii="Arial" w:cs="Arial" w:eastAsia="Arial" w:hAnsi="Arial"/>
                <w:sz w:val="19"/>
                <w:szCs w:val="19"/>
                <w:color w:val="auto"/>
              </w:rPr>
              <w:t>940</w:t>
            </w:r>
          </w:p>
        </w:tc>
        <w:tc>
          <w:tcPr>
            <w:tcW w:w="320" w:type="dxa"/>
            <w:vAlign w:val="bottom"/>
            <w:shd w:val="clear" w:color="auto" w:fill="E5FFFF"/>
          </w:tcPr>
          <w:p>
            <w:pPr>
              <w:spacing w:after="0"/>
              <w:rPr>
                <w:sz w:val="21"/>
                <w:szCs w:val="21"/>
                <w:color w:val="auto"/>
              </w:rPr>
            </w:pPr>
          </w:p>
        </w:tc>
        <w:tc>
          <w:tcPr>
            <w:tcW w:w="240" w:type="dxa"/>
            <w:vAlign w:val="bottom"/>
            <w:tcBorders>
              <w:right w:val="single" w:sz="8" w:color="E5FFFF"/>
            </w:tcBorders>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00" w:type="dxa"/>
            <w:vAlign w:val="bottom"/>
            <w:gridSpan w:val="2"/>
          </w:tcPr>
          <w:p>
            <w:pPr>
              <w:spacing w:after="0"/>
              <w:rPr>
                <w:sz w:val="20"/>
                <w:szCs w:val="20"/>
                <w:color w:val="auto"/>
              </w:rPr>
            </w:pPr>
            <w:r>
              <w:rPr>
                <w:rFonts w:ascii="Arial" w:cs="Arial" w:eastAsia="Arial" w:hAnsi="Arial"/>
                <w:sz w:val="19"/>
                <w:szCs w:val="19"/>
                <w:color w:val="auto"/>
              </w:rPr>
              <w:t>Segment profit</w:t>
            </w:r>
          </w:p>
        </w:tc>
        <w:tc>
          <w:tcPr>
            <w:tcW w:w="3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3,503</w:t>
            </w:r>
          </w:p>
        </w:tc>
        <w:tc>
          <w:tcPr>
            <w:tcW w:w="60" w:type="dxa"/>
            <w:vAlign w:val="bottom"/>
            <w:tcBorders>
              <w:bottom w:val="single" w:sz="8" w:color="auto"/>
            </w:tcBorders>
          </w:tcPr>
          <w:p>
            <w:pPr>
              <w:spacing w:after="0"/>
              <w:rPr>
                <w:sz w:val="21"/>
                <w:szCs w:val="21"/>
                <w:color w:val="auto"/>
              </w:rPr>
            </w:pPr>
          </w:p>
        </w:tc>
        <w:tc>
          <w:tcPr>
            <w:tcW w:w="300" w:type="dxa"/>
            <w:vAlign w:val="bottom"/>
            <w:gridSpan w:val="2"/>
          </w:tcPr>
          <w:p>
            <w:pPr>
              <w:spacing w:after="0"/>
              <w:rPr>
                <w:sz w:val="21"/>
                <w:szCs w:val="21"/>
                <w:color w:val="auto"/>
              </w:rPr>
            </w:pPr>
          </w:p>
        </w:tc>
        <w:tc>
          <w:tcPr>
            <w:tcW w:w="140" w:type="dxa"/>
            <w:vAlign w:val="bottom"/>
            <w:tcBorders>
              <w:bottom w:val="single" w:sz="8" w:color="auto"/>
            </w:tcBorders>
            <w:gridSpan w:val="2"/>
          </w:tcPr>
          <w:p>
            <w:pPr>
              <w:jc w:val="center"/>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color w:val="auto"/>
              </w:rPr>
              <w:t>3,288</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3"/>
          </w:tcPr>
          <w:p>
            <w:pPr>
              <w:jc w:val="center"/>
              <w:ind w:left="305"/>
              <w:spacing w:after="0"/>
              <w:rPr>
                <w:sz w:val="20"/>
                <w:szCs w:val="20"/>
                <w:color w:val="auto"/>
              </w:rPr>
            </w:pPr>
            <w:r>
              <w:rPr>
                <w:rFonts w:ascii="Arial" w:cs="Arial" w:eastAsia="Arial" w:hAnsi="Arial"/>
                <w:sz w:val="19"/>
                <w:szCs w:val="19"/>
                <w:color w:val="auto"/>
              </w:rPr>
              <w:t>7%</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9"/>
                <w:szCs w:val="19"/>
                <w:color w:val="auto"/>
                <w:w w:val="94"/>
              </w:rPr>
              <w:t>$</w:t>
            </w:r>
          </w:p>
        </w:tc>
        <w:tc>
          <w:tcPr>
            <w:tcW w:w="660" w:type="dxa"/>
            <w:vAlign w:val="bottom"/>
            <w:tcBorders>
              <w:bottom w:val="single" w:sz="8" w:color="auto"/>
            </w:tcBorders>
            <w:gridSpan w:val="6"/>
          </w:tcPr>
          <w:p>
            <w:pPr>
              <w:jc w:val="right"/>
              <w:spacing w:after="0"/>
              <w:rPr>
                <w:sz w:val="20"/>
                <w:szCs w:val="20"/>
                <w:color w:val="auto"/>
              </w:rPr>
            </w:pPr>
            <w:r>
              <w:rPr>
                <w:rFonts w:ascii="Arial" w:cs="Arial" w:eastAsia="Arial" w:hAnsi="Arial"/>
                <w:sz w:val="19"/>
                <w:szCs w:val="19"/>
                <w:color w:val="auto"/>
              </w:rPr>
              <w:t>2,991</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ind w:right="63"/>
              <w:spacing w:after="0"/>
              <w:rPr>
                <w:sz w:val="20"/>
                <w:szCs w:val="20"/>
                <w:color w:val="auto"/>
              </w:rPr>
            </w:pPr>
            <w:r>
              <w:rPr>
                <w:rFonts w:ascii="Arial" w:cs="Arial" w:eastAsia="Arial" w:hAnsi="Arial"/>
                <w:sz w:val="19"/>
                <w:szCs w:val="19"/>
                <w:color w:val="auto"/>
                <w:w w:val="89"/>
              </w:rPr>
              <w:t>10%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12"/>
          </w:tcPr>
          <w:p>
            <w:pPr>
              <w:ind w:left="200"/>
              <w:spacing w:after="0"/>
              <w:rPr>
                <w:sz w:val="20"/>
                <w:szCs w:val="20"/>
                <w:color w:val="auto"/>
              </w:rPr>
            </w:pPr>
            <w:r>
              <w:rPr>
                <w:rFonts w:ascii="Arial" w:cs="Arial" w:eastAsia="Arial" w:hAnsi="Arial"/>
                <w:sz w:val="16"/>
                <w:szCs w:val="16"/>
                <w:b w:val="1"/>
                <w:bCs w:val="1"/>
                <w:color w:val="auto"/>
              </w:rPr>
              <w:t>2018 vs. 2017</w:t>
            </w:r>
          </w:p>
        </w:tc>
        <w:tc>
          <w:tcPr>
            <w:tcW w:w="220" w:type="dxa"/>
            <w:vAlign w:val="bottom"/>
          </w:tcPr>
          <w:p>
            <w:pPr>
              <w:spacing w:after="0"/>
              <w:rPr>
                <w:sz w:val="17"/>
                <w:szCs w:val="17"/>
                <w:color w:val="auto"/>
              </w:rPr>
            </w:pPr>
          </w:p>
        </w:tc>
        <w:tc>
          <w:tcPr>
            <w:tcW w:w="1460" w:type="dxa"/>
            <w:vAlign w:val="bottom"/>
            <w:gridSpan w:val="9"/>
          </w:tcPr>
          <w:p>
            <w:pPr>
              <w:jc w:val="right"/>
              <w:ind w:right="281"/>
              <w:spacing w:after="0"/>
              <w:rPr>
                <w:sz w:val="20"/>
                <w:szCs w:val="20"/>
                <w:color w:val="auto"/>
              </w:rPr>
            </w:pPr>
            <w:r>
              <w:rPr>
                <w:rFonts w:ascii="Arial" w:cs="Arial" w:eastAsia="Arial" w:hAnsi="Arial"/>
                <w:sz w:val="16"/>
                <w:szCs w:val="16"/>
                <w:b w:val="1"/>
                <w:bCs w:val="1"/>
                <w:color w:val="auto"/>
              </w:rPr>
              <w:t>2017 vs. 2016</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6"/>
                <w:szCs w:val="16"/>
                <w:b w:val="1"/>
                <w:bCs w:val="1"/>
                <w:color w:val="auto"/>
              </w:rPr>
              <w:t>Segment</w:t>
            </w:r>
          </w:p>
        </w:tc>
        <w:tc>
          <w:tcPr>
            <w:tcW w:w="300" w:type="dxa"/>
            <w:vAlign w:val="bottom"/>
            <w:gridSpan w:val="3"/>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4"/>
          </w:tcPr>
          <w:p>
            <w:pPr>
              <w:jc w:val="right"/>
              <w:ind w:right="21"/>
              <w:spacing w:after="0" w:line="155" w:lineRule="exact"/>
              <w:rPr>
                <w:sz w:val="20"/>
                <w:szCs w:val="20"/>
                <w:color w:val="auto"/>
              </w:rPr>
            </w:pPr>
            <w:r>
              <w:rPr>
                <w:rFonts w:ascii="Arial" w:cs="Arial" w:eastAsia="Arial" w:hAnsi="Arial"/>
                <w:sz w:val="16"/>
                <w:szCs w:val="16"/>
                <w:b w:val="1"/>
                <w:bCs w:val="1"/>
                <w:color w:val="auto"/>
              </w:rPr>
              <w:t>Segment</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5200" w:type="dxa"/>
            <w:vAlign w:val="bottom"/>
          </w:tcPr>
          <w:p>
            <w:pPr>
              <w:spacing w:after="0"/>
              <w:rPr>
                <w:sz w:val="20"/>
                <w:szCs w:val="20"/>
                <w:color w:val="auto"/>
              </w:rPr>
            </w:pPr>
            <w:r>
              <w:rPr>
                <w:rFonts w:ascii="Arial" w:cs="Arial" w:eastAsia="Arial" w:hAnsi="Arial"/>
                <w:sz w:val="16"/>
                <w:szCs w:val="16"/>
                <w:b w:val="1"/>
                <w:bCs w:val="1"/>
                <w:color w:val="auto"/>
              </w:rPr>
              <w:t>Factors Contributing to Year-Over-Year Change</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rPr>
              <w:t>Sales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6"/>
          </w:tcPr>
          <w:p>
            <w:pPr>
              <w:jc w:val="center"/>
              <w:ind w:right="460"/>
              <w:spacing w:after="0"/>
              <w:rPr>
                <w:sz w:val="20"/>
                <w:szCs w:val="20"/>
                <w:color w:val="auto"/>
              </w:rPr>
            </w:pPr>
            <w:r>
              <w:rPr>
                <w:rFonts w:ascii="Arial" w:cs="Arial" w:eastAsia="Arial" w:hAnsi="Arial"/>
                <w:sz w:val="16"/>
                <w:szCs w:val="16"/>
                <w:b w:val="1"/>
                <w:bCs w:val="1"/>
                <w:color w:val="auto"/>
                <w:w w:val="95"/>
              </w:rPr>
              <w:t>Profit</w:t>
            </w:r>
          </w:p>
        </w:tc>
        <w:tc>
          <w:tcPr>
            <w:tcW w:w="460" w:type="dxa"/>
            <w:vAlign w:val="bottom"/>
            <w:gridSpan w:val="2"/>
          </w:tcPr>
          <w:p>
            <w:pPr>
              <w:jc w:val="right"/>
              <w:spacing w:after="0"/>
              <w:rPr>
                <w:sz w:val="20"/>
                <w:szCs w:val="20"/>
                <w:color w:val="auto"/>
              </w:rPr>
            </w:pPr>
            <w:r>
              <w:rPr>
                <w:rFonts w:ascii="Arial" w:cs="Arial" w:eastAsia="Arial" w:hAnsi="Arial"/>
                <w:sz w:val="16"/>
                <w:szCs w:val="16"/>
                <w:b w:val="1"/>
                <w:bCs w:val="1"/>
                <w:color w:val="auto"/>
              </w:rPr>
              <w:t>Sales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41"/>
              <w:spacing w:after="0"/>
              <w:rPr>
                <w:sz w:val="20"/>
                <w:szCs w:val="20"/>
                <w:color w:val="auto"/>
              </w:rPr>
            </w:pPr>
            <w:r>
              <w:rPr>
                <w:rFonts w:ascii="Arial" w:cs="Arial" w:eastAsia="Arial" w:hAnsi="Arial"/>
                <w:sz w:val="16"/>
                <w:szCs w:val="16"/>
                <w:b w:val="1"/>
                <w:bCs w:val="1"/>
                <w:color w:val="auto"/>
              </w:rPr>
              <w:t>Profit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52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9"/>
                <w:szCs w:val="19"/>
                <w:color w:val="auto"/>
              </w:rPr>
              <w:t>Organic growth/ Operational segment profit</w:t>
            </w:r>
          </w:p>
        </w:tc>
        <w:tc>
          <w:tcPr>
            <w:tcW w:w="340" w:type="dxa"/>
            <w:vAlign w:val="bottom"/>
            <w:tcBorders>
              <w:top w:val="single" w:sz="8" w:color="auto"/>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rPr>
                <w:sz w:val="20"/>
                <w:szCs w:val="20"/>
                <w:color w:val="auto"/>
              </w:rPr>
            </w:pPr>
          </w:p>
        </w:tc>
        <w:tc>
          <w:tcPr>
            <w:tcW w:w="340" w:type="dxa"/>
            <w:vAlign w:val="bottom"/>
            <w:tcBorders>
              <w:top w:val="single" w:sz="8" w:color="auto"/>
            </w:tcBorders>
            <w:shd w:val="clear" w:color="auto" w:fill="E5FFFF"/>
          </w:tcPr>
          <w:p>
            <w:pPr>
              <w:spacing w:after="0"/>
              <w:rPr>
                <w:sz w:val="20"/>
                <w:szCs w:val="20"/>
                <w:color w:val="auto"/>
              </w:rPr>
            </w:pPr>
          </w:p>
        </w:tc>
        <w:tc>
          <w:tcPr>
            <w:tcW w:w="300" w:type="dxa"/>
            <w:vAlign w:val="bottom"/>
            <w:tcBorders>
              <w:top w:val="single" w:sz="8" w:color="auto"/>
            </w:tcBorders>
            <w:shd w:val="clear" w:color="auto" w:fill="E5FFFF"/>
          </w:tcPr>
          <w:p>
            <w:pPr>
              <w:spacing w:after="0"/>
              <w:rPr>
                <w:sz w:val="20"/>
                <w:szCs w:val="20"/>
                <w:color w:val="auto"/>
              </w:rPr>
            </w:pPr>
          </w:p>
        </w:tc>
        <w:tc>
          <w:tcPr>
            <w:tcW w:w="60" w:type="dxa"/>
            <w:vAlign w:val="bottom"/>
            <w:tcBorders>
              <w:top w:val="single" w:sz="8" w:color="auto"/>
            </w:tcBorders>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spacing w:after="0"/>
              <w:rPr>
                <w:sz w:val="20"/>
                <w:szCs w:val="20"/>
                <w:color w:val="auto"/>
              </w:rPr>
            </w:pPr>
          </w:p>
        </w:tc>
        <w:tc>
          <w:tcPr>
            <w:tcW w:w="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w:t>
            </w:r>
          </w:p>
        </w:tc>
        <w:tc>
          <w:tcPr>
            <w:tcW w:w="40" w:type="dxa"/>
            <w:vAlign w:val="bottom"/>
            <w:tcBorders>
              <w:top w:val="single" w:sz="8" w:color="auto"/>
            </w:tcBorders>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80" w:type="dxa"/>
            <w:vAlign w:val="bottom"/>
            <w:tcBorders>
              <w:top w:val="single" w:sz="8" w:color="auto"/>
            </w:tcBorders>
            <w:shd w:val="clear" w:color="auto" w:fill="E5FFFF"/>
          </w:tcPr>
          <w:p>
            <w:pPr>
              <w:spacing w:after="0"/>
              <w:rPr>
                <w:sz w:val="20"/>
                <w:szCs w:val="20"/>
                <w:color w:val="auto"/>
              </w:rPr>
            </w:pPr>
          </w:p>
        </w:tc>
        <w:tc>
          <w:tcPr>
            <w:tcW w:w="680" w:type="dxa"/>
            <w:vAlign w:val="bottom"/>
            <w:tcBorders>
              <w:top w:val="single" w:sz="8" w:color="auto"/>
            </w:tcBorders>
            <w:gridSpan w:val="2"/>
            <w:shd w:val="clear" w:color="auto" w:fill="E5FFFF"/>
          </w:tcPr>
          <w:p>
            <w:pPr>
              <w:jc w:val="right"/>
              <w:ind w:right="201"/>
              <w:spacing w:after="0"/>
              <w:rPr>
                <w:sz w:val="20"/>
                <w:szCs w:val="20"/>
                <w:color w:val="auto"/>
              </w:rPr>
            </w:pPr>
            <w:r>
              <w:rPr>
                <w:rFonts w:ascii="Arial" w:cs="Arial" w:eastAsia="Arial" w:hAnsi="Arial"/>
                <w:sz w:val="19"/>
                <w:szCs w:val="19"/>
                <w:color w:val="auto"/>
              </w:rPr>
              <w:t>9%</w:t>
            </w:r>
          </w:p>
        </w:tc>
        <w:tc>
          <w:tcPr>
            <w:tcW w:w="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46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60" w:type="dxa"/>
            <w:vAlign w:val="bottom"/>
            <w:tcBorders>
              <w:top w:val="single" w:sz="8" w:color="auto"/>
            </w:tcBorders>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60" w:type="dxa"/>
            <w:vAlign w:val="bottom"/>
            <w:tcBorders>
              <w:top w:val="single" w:sz="8" w:color="auto"/>
            </w:tcBorders>
            <w:shd w:val="clear" w:color="auto" w:fill="E5FFFF"/>
          </w:tcPr>
          <w:p>
            <w:pPr>
              <w:spacing w:after="0"/>
              <w:rPr>
                <w:sz w:val="20"/>
                <w:szCs w:val="20"/>
                <w:color w:val="auto"/>
              </w:rPr>
            </w:pPr>
          </w:p>
        </w:tc>
        <w:tc>
          <w:tcPr>
            <w:tcW w:w="560" w:type="dxa"/>
            <w:vAlign w:val="bottom"/>
            <w:tcBorders>
              <w:top w:val="single" w:sz="8" w:color="auto"/>
            </w:tcBorders>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11%</w:t>
            </w:r>
          </w:p>
        </w:tc>
        <w:tc>
          <w:tcPr>
            <w:tcW w:w="240" w:type="dxa"/>
            <w:vAlign w:val="bottom"/>
            <w:tcBorders>
              <w:top w:val="single" w:sz="8" w:color="auto"/>
              <w:right w:val="single" w:sz="8" w:color="E5FFFF"/>
            </w:tcBorders>
            <w:shd w:val="clear" w:color="auto" w:fill="E5FFFF"/>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Foreign currency translation</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1"/>
              <w:spacing w:after="0"/>
              <w:rPr>
                <w:sz w:val="20"/>
                <w:szCs w:val="20"/>
                <w:color w:val="auto"/>
              </w:rPr>
            </w:pPr>
            <w:r>
              <w:rPr>
                <w:rFonts w:ascii="Arial" w:cs="Arial" w:eastAsia="Arial" w:hAnsi="Arial"/>
                <w:sz w:val="19"/>
                <w:szCs w:val="19"/>
                <w:color w:val="auto"/>
              </w:rPr>
              <w:t>1%</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2"/>
          </w:tcPr>
          <w:p>
            <w:pPr>
              <w:jc w:val="right"/>
              <w:ind w:right="132"/>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341"/>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9"/>
                <w:szCs w:val="19"/>
                <w:color w:val="auto"/>
              </w:rPr>
              <w:t>Acquisitions, divestitures and other, net</w:t>
            </w: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gridSpan w:val="7"/>
            <w:shd w:val="clear" w:color="auto" w:fill="E5FFFF"/>
          </w:tcPr>
          <w:p>
            <w:pPr>
              <w:jc w:val="right"/>
              <w:ind w:right="40"/>
              <w:spacing w:after="0"/>
              <w:rPr>
                <w:sz w:val="20"/>
                <w:szCs w:val="20"/>
                <w:color w:val="auto"/>
              </w:rPr>
            </w:pPr>
            <w:r>
              <w:rPr>
                <w:rFonts w:ascii="Arial" w:cs="Arial" w:eastAsia="Arial" w:hAnsi="Arial"/>
                <w:sz w:val="19"/>
                <w:szCs w:val="19"/>
                <w:color w:val="auto"/>
              </w:rPr>
              <w:t>(5)%</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8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(3)%</w:t>
            </w: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0" w:type="dxa"/>
            <w:vAlign w:val="bottom"/>
            <w:tcBorders>
              <w:right w:val="single" w:sz="8" w:color="E5FFFF"/>
            </w:tcBorders>
            <w:gridSpan w:val="4"/>
            <w:shd w:val="clear" w:color="auto" w:fill="E5FFFF"/>
          </w:tcPr>
          <w:p>
            <w:pPr>
              <w:jc w:val="right"/>
              <w:ind w:right="101"/>
              <w:spacing w:after="0"/>
              <w:rPr>
                <w:sz w:val="20"/>
                <w:szCs w:val="20"/>
                <w:color w:val="auto"/>
              </w:rPr>
            </w:pPr>
            <w:r>
              <w:rPr>
                <w:rFonts w:ascii="Arial" w:cs="Arial" w:eastAsia="Arial" w:hAnsi="Arial"/>
                <w:sz w:val="19"/>
                <w:szCs w:val="19"/>
                <w:color w:val="auto"/>
              </w:rPr>
              <w:t>(1)%</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5200" w:type="dxa"/>
            <w:vAlign w:val="bottom"/>
          </w:tcPr>
          <w:p>
            <w:pPr>
              <w:ind w:left="360"/>
              <w:spacing w:after="0"/>
              <w:rPr>
                <w:sz w:val="20"/>
                <w:szCs w:val="20"/>
                <w:color w:val="auto"/>
              </w:rPr>
            </w:pPr>
            <w:r>
              <w:rPr>
                <w:rFonts w:ascii="Arial" w:cs="Arial" w:eastAsia="Arial" w:hAnsi="Arial"/>
                <w:sz w:val="19"/>
                <w:szCs w:val="19"/>
                <w:color w:val="auto"/>
              </w:rPr>
              <w:t>Total % Change</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40" w:type="dxa"/>
            <w:vAlign w:val="bottom"/>
            <w:tcBorders>
              <w:top w:val="single" w:sz="8" w:color="auto"/>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gridSpan w:val="2"/>
          </w:tcPr>
          <w:p>
            <w:pPr>
              <w:jc w:val="right"/>
              <w:ind w:right="201"/>
              <w:spacing w:after="0"/>
              <w:rPr>
                <w:sz w:val="20"/>
                <w:szCs w:val="20"/>
                <w:color w:val="auto"/>
              </w:rPr>
            </w:pPr>
            <w:r>
              <w:rPr>
                <w:rFonts w:ascii="Arial" w:cs="Arial" w:eastAsia="Arial" w:hAnsi="Arial"/>
                <w:sz w:val="19"/>
                <w:szCs w:val="19"/>
                <w:color w:val="auto"/>
              </w:rPr>
              <w:t>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gridSpan w:val="2"/>
          </w:tcPr>
          <w:p>
            <w:pPr>
              <w:jc w:val="right"/>
              <w:ind w:right="132"/>
              <w:spacing w:after="0"/>
              <w:rPr>
                <w:sz w:val="20"/>
                <w:szCs w:val="20"/>
                <w:color w:val="auto"/>
              </w:rPr>
            </w:pPr>
            <w:r>
              <w:rPr>
                <w:rFonts w:ascii="Arial" w:cs="Arial" w:eastAsia="Arial" w:hAnsi="Arial"/>
                <w:sz w:val="19"/>
                <w:szCs w:val="19"/>
                <w:color w:val="auto"/>
              </w:rPr>
              <w:t>—</w:t>
            </w:r>
          </w:p>
        </w:tc>
        <w:tc>
          <w:tcPr>
            <w:tcW w:w="6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9"/>
                <w:szCs w:val="19"/>
                <w:color w:val="auto"/>
              </w:rPr>
              <w:t>10%</w:t>
            </w:r>
          </w:p>
        </w:tc>
        <w:tc>
          <w:tcPr>
            <w:tcW w:w="240" w:type="dxa"/>
            <w:vAlign w:val="bottom"/>
            <w:tcBorders>
              <w:top w:val="single" w:sz="8" w:color="auto"/>
              <w:bottom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2018 compared with 2017</w:t>
      </w:r>
    </w:p>
    <w:p>
      <w:pPr>
        <w:spacing w:after="0" w:line="130" w:lineRule="exact"/>
        <w:rPr>
          <w:sz w:val="20"/>
          <w:szCs w:val="20"/>
          <w:color w:val="auto"/>
        </w:rPr>
      </w:pPr>
    </w:p>
    <w:p>
      <w:pPr>
        <w:ind w:right="180" w:firstLine="357"/>
        <w:spacing w:after="0" w:line="253" w:lineRule="auto"/>
        <w:rPr>
          <w:sz w:val="20"/>
          <w:szCs w:val="20"/>
          <w:color w:val="auto"/>
        </w:rPr>
      </w:pPr>
      <w:r>
        <w:rPr>
          <w:rFonts w:ascii="Arial" w:cs="Arial" w:eastAsia="Arial" w:hAnsi="Arial"/>
          <w:sz w:val="19"/>
          <w:szCs w:val="19"/>
          <w:color w:val="auto"/>
        </w:rPr>
        <w:t>Aerospace sales increased due to organic sales growth, due to both volume and price, the favorable impact of foreign currency translation, the impact of the adoption of the new revenue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24" w:name="page25"/>
    <w:bookmarkEnd w:id="24"/>
    <w:p>
      <w:pPr>
        <w:ind w:right="100"/>
        <w:spacing w:after="0" w:line="253" w:lineRule="auto"/>
        <w:rPr>
          <w:sz w:val="20"/>
          <w:szCs w:val="20"/>
          <w:color w:val="auto"/>
        </w:rPr>
      </w:pPr>
      <w:r>
        <w:rPr>
          <w:rFonts w:ascii="Arial" w:cs="Arial" w:eastAsia="Arial" w:hAnsi="Arial"/>
          <w:sz w:val="19"/>
          <w:szCs w:val="19"/>
          <w:color w:val="auto"/>
        </w:rPr>
        <w:t>recognition accounting standard (included within Acquisitions, divestitures and other, net in the table above), offset by the spin-off of the Transportation Systems business on October 1, 2018.</w:t>
      </w:r>
    </w:p>
    <w:p>
      <w:pPr>
        <w:spacing w:after="0" w:line="66" w:lineRule="exact"/>
        <w:rPr>
          <w:sz w:val="20"/>
          <w:szCs w:val="20"/>
          <w:color w:val="auto"/>
        </w:rPr>
      </w:pPr>
    </w:p>
    <w:p>
      <w:pPr>
        <w:ind w:left="540" w:right="400" w:hanging="168"/>
        <w:spacing w:after="0" w:line="242"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Commercial Original Equipment sales increased 14% (increased 11% organic) primarily due to increased demand from business aviation, and air transport and regional original equipment manufacturers (OEM), lower OEM incentives and the impact from the classification of nonrecurring engineering and development funding resulting from the adoption of the new revenue recognition accounting standard.</w:t>
      </w:r>
    </w:p>
    <w:p>
      <w:pPr>
        <w:spacing w:after="0" w:line="77" w:lineRule="exact"/>
        <w:rPr>
          <w:rFonts w:ascii="Arial" w:cs="Arial" w:eastAsia="Arial" w:hAnsi="Arial"/>
          <w:sz w:val="19"/>
          <w:szCs w:val="19"/>
          <w:color w:val="auto"/>
        </w:rPr>
      </w:pPr>
    </w:p>
    <w:p>
      <w:pPr>
        <w:ind w:left="540" w:right="560" w:hanging="168"/>
        <w:spacing w:after="0" w:line="25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Commercial Aftermarket sales increased 5% (increased 5% organic) primarily due to growth in business aviation and air transport and regional.</w:t>
      </w:r>
    </w:p>
    <w:p>
      <w:pPr>
        <w:spacing w:after="0" w:line="66" w:lineRule="exact"/>
        <w:rPr>
          <w:rFonts w:ascii="Arial" w:cs="Arial" w:eastAsia="Arial" w:hAnsi="Arial"/>
          <w:sz w:val="19"/>
          <w:szCs w:val="19"/>
          <w:color w:val="auto"/>
        </w:rPr>
      </w:pPr>
    </w:p>
    <w:p>
      <w:pPr>
        <w:ind w:left="540" w:right="760" w:hanging="168"/>
        <w:spacing w:after="0" w:line="25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Defense and Space sales increased 15% (increased 15% organic) primarily driven by growth in U.S. and international defense.</w:t>
      </w:r>
    </w:p>
    <w:p>
      <w:pPr>
        <w:spacing w:after="0" w:line="66" w:lineRule="exact"/>
        <w:rPr>
          <w:rFonts w:ascii="Arial" w:cs="Arial" w:eastAsia="Arial" w:hAnsi="Arial"/>
          <w:sz w:val="19"/>
          <w:szCs w:val="19"/>
          <w:color w:val="auto"/>
        </w:rPr>
      </w:pPr>
    </w:p>
    <w:p>
      <w:pPr>
        <w:ind w:left="540" w:hanging="168"/>
        <w:spacing w:after="0" w:line="245"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Transportation Systems sales decreased 17% driven by divestiture impacts following its October 1, 2018 spin-off. For the nine-month period prior to the spin-off, sales increased 7% organic driven by higher volumes in light vehicle gas turbos and commercial vehicles.</w:t>
      </w:r>
    </w:p>
    <w:p>
      <w:pPr>
        <w:spacing w:after="0" w:line="87" w:lineRule="exact"/>
        <w:rPr>
          <w:sz w:val="20"/>
          <w:szCs w:val="20"/>
          <w:color w:val="auto"/>
        </w:rPr>
      </w:pPr>
    </w:p>
    <w:p>
      <w:pPr>
        <w:ind w:right="120" w:firstLine="357"/>
        <w:spacing w:after="0"/>
        <w:rPr>
          <w:sz w:val="20"/>
          <w:szCs w:val="20"/>
          <w:color w:val="auto"/>
        </w:rPr>
      </w:pPr>
      <w:r>
        <w:rPr>
          <w:rFonts w:ascii="Arial" w:cs="Arial" w:eastAsia="Arial" w:hAnsi="Arial"/>
          <w:sz w:val="19"/>
          <w:szCs w:val="19"/>
          <w:color w:val="auto"/>
        </w:rPr>
        <w:t>Aerospace segment profit increased due to an increase in operational segment profit, the favorable impact of foreign currency translation, and the impact on service programs from the adoption of the new revenue recognition accounting standard, partially offset by the Transportation Systems divestiture. The increase in operational segment profit was driven primarily by higher organic sales volume, price, productivity net of inflation, and lower OEM incentives, partially offset by the spin-off of the Transportation Systems business. Cost of products and services sold increased primarily due to higher organic sales volume, the impact of foreign currency translation and inflation, partially offset by the Transportation Systems divestiture.</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2017 compared with 2016</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Aerospace sales were flat due to organic sales growth, offset by the government services business divestiture.</w:t>
      </w:r>
    </w:p>
    <w:p>
      <w:pPr>
        <w:spacing w:after="0" w:line="92" w:lineRule="exact"/>
        <w:rPr>
          <w:sz w:val="20"/>
          <w:szCs w:val="20"/>
          <w:color w:val="auto"/>
        </w:rPr>
      </w:pPr>
    </w:p>
    <w:p>
      <w:pPr>
        <w:ind w:left="540" w:right="60" w:hanging="168"/>
        <w:spacing w:after="0" w:line="253" w:lineRule="auto"/>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Commercial Original Equipment sales decreased 2% (decreased 2% organic) primarily due to lower shipments to business jet OEMs, partially offset by lower air transport and regional OEM incentives.</w:t>
      </w:r>
    </w:p>
    <w:p>
      <w:pPr>
        <w:spacing w:after="0" w:line="66" w:lineRule="exact"/>
        <w:rPr>
          <w:rFonts w:ascii="Arial" w:cs="Arial" w:eastAsia="Arial" w:hAnsi="Arial"/>
          <w:sz w:val="19"/>
          <w:szCs w:val="19"/>
          <w:color w:val="auto"/>
        </w:rPr>
      </w:pPr>
    </w:p>
    <w:p>
      <w:pPr>
        <w:ind w:left="540" w:right="220" w:hanging="168"/>
        <w:spacing w:after="0" w:line="253" w:lineRule="auto"/>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Commercial Aftermarket sales increased 6% (increased 6% organic) primarily driven by higher repair and overhaul activities and increased spares shipments.</w:t>
      </w:r>
    </w:p>
    <w:p>
      <w:pPr>
        <w:spacing w:after="0" w:line="66"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Defense and Space sales decreased 7% (increased 1% organic) primarily due to the government services business divestiture and lower Space sales, partially offset by growth in U.S. defense.</w:t>
      </w:r>
    </w:p>
    <w:p>
      <w:pPr>
        <w:spacing w:after="0" w:line="66" w:lineRule="exact"/>
        <w:rPr>
          <w:rFonts w:ascii="Arial" w:cs="Arial" w:eastAsia="Arial" w:hAnsi="Arial"/>
          <w:sz w:val="19"/>
          <w:szCs w:val="19"/>
          <w:color w:val="auto"/>
        </w:rPr>
      </w:pPr>
    </w:p>
    <w:p>
      <w:pPr>
        <w:ind w:left="540" w:right="40" w:hanging="168"/>
        <w:spacing w:after="0" w:line="253" w:lineRule="auto"/>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Transportation Systems sales increased 3% (increased 2% organic) primarily driven by higher commercial vehicle volumes, gas turbo penetration and the favorable impact from foreign currency translation, partially offset by lower diesel turbo volumes.</w:t>
      </w:r>
    </w:p>
    <w:p>
      <w:pPr>
        <w:spacing w:after="0" w:line="80" w:lineRule="exact"/>
        <w:rPr>
          <w:sz w:val="20"/>
          <w:szCs w:val="20"/>
          <w:color w:val="auto"/>
        </w:rPr>
      </w:pPr>
    </w:p>
    <w:p>
      <w:pPr>
        <w:ind w:right="40" w:firstLine="357"/>
        <w:spacing w:after="0" w:line="241" w:lineRule="auto"/>
        <w:rPr>
          <w:sz w:val="20"/>
          <w:szCs w:val="20"/>
          <w:color w:val="auto"/>
        </w:rPr>
      </w:pPr>
      <w:r>
        <w:rPr>
          <w:rFonts w:ascii="Arial" w:cs="Arial" w:eastAsia="Arial" w:hAnsi="Arial"/>
          <w:sz w:val="19"/>
          <w:szCs w:val="19"/>
          <w:color w:val="auto"/>
        </w:rPr>
        <w:t>Aerospace segment profit increased due to an increase in operational segment profit, partially offset by the government services business divestiture. The increase in operational segment profit was driven primarily by productivity, net of inflation, including restructuring benefits, lower OEM incentives and higher organic sales volume, partially offset by the government services business divestiture. Cost of products and services sold decreased primarily driven by the government services business divestiture and productivity, net of inflation, partially offset by higher organic sales volume.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1" w:right="279" w:bottom="1440" w:gutter="0" w:footer="0" w:header="0"/>
        </w:sectPr>
      </w:pPr>
    </w:p>
    <w:bookmarkStart w:id="25" w:name="page26"/>
    <w:bookmarkEnd w:id="25"/>
    <w:p>
      <w:pPr>
        <w:spacing w:after="0"/>
        <w:rPr>
          <w:sz w:val="20"/>
          <w:szCs w:val="20"/>
          <w:color w:val="auto"/>
        </w:rPr>
      </w:pPr>
      <w:r>
        <w:rPr>
          <w:rFonts w:ascii="Arial" w:cs="Arial" w:eastAsia="Arial" w:hAnsi="Arial"/>
          <w:sz w:val="19"/>
          <w:szCs w:val="19"/>
          <w:b w:val="1"/>
          <w:bCs w:val="1"/>
          <w:color w:val="auto"/>
        </w:rPr>
        <w:t>Honeywell Building Technologies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74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6"/>
                <w:szCs w:val="16"/>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r>
      <w:tr>
        <w:trPr>
          <w:trHeight w:val="237"/>
        </w:trPr>
        <w:tc>
          <w:tcPr>
            <w:tcW w:w="6540" w:type="dxa"/>
            <w:vAlign w:val="bottom"/>
            <w:shd w:val="clear" w:color="auto" w:fill="E5FFFF"/>
          </w:tcPr>
          <w:p>
            <w:pPr>
              <w:spacing w:after="0"/>
              <w:rPr>
                <w:sz w:val="20"/>
                <w:szCs w:val="20"/>
                <w:color w:val="auto"/>
              </w:rPr>
            </w:pPr>
            <w:r>
              <w:rPr>
                <w:rFonts w:ascii="Arial" w:cs="Arial" w:eastAsia="Arial" w:hAnsi="Arial"/>
                <w:sz w:val="19"/>
                <w:szCs w:val="19"/>
                <w:color w:val="auto"/>
              </w:rPr>
              <w:t>Net sales</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$ 9,298</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$ 9,777</w:t>
            </w:r>
          </w:p>
        </w:tc>
        <w:tc>
          <w:tcPr>
            <w:tcW w:w="100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rPr>
              <w:t>(5)%</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ind w:left="60"/>
              <w:spacing w:after="0"/>
              <w:rPr>
                <w:sz w:val="20"/>
                <w:szCs w:val="20"/>
                <w:color w:val="auto"/>
              </w:rPr>
            </w:pPr>
            <w:r>
              <w:rPr>
                <w:rFonts w:ascii="Arial" w:cs="Arial" w:eastAsia="Arial" w:hAnsi="Arial"/>
                <w:sz w:val="19"/>
                <w:szCs w:val="19"/>
                <w:color w:val="auto"/>
              </w:rPr>
              <w:t>9,490</w:t>
            </w:r>
          </w:p>
        </w:tc>
        <w:tc>
          <w:tcPr>
            <w:tcW w:w="1040" w:type="dxa"/>
            <w:vAlign w:val="bottom"/>
            <w:gridSpan w:val="2"/>
            <w:shd w:val="clear" w:color="auto" w:fill="E5FFFF"/>
          </w:tcPr>
          <w:p>
            <w:pPr>
              <w:jc w:val="center"/>
              <w:ind w:left="223"/>
              <w:spacing w:after="0"/>
              <w:rPr>
                <w:sz w:val="20"/>
                <w:szCs w:val="20"/>
                <w:color w:val="auto"/>
              </w:rPr>
            </w:pPr>
            <w:r>
              <w:rPr>
                <w:rFonts w:ascii="Arial" w:cs="Arial" w:eastAsia="Arial" w:hAnsi="Arial"/>
                <w:sz w:val="19"/>
                <w:szCs w:val="19"/>
                <w:color w:val="auto"/>
              </w:rPr>
              <w:t>3%</w:t>
            </w:r>
          </w:p>
        </w:tc>
      </w:tr>
      <w:tr>
        <w:trPr>
          <w:trHeight w:val="243"/>
        </w:trPr>
        <w:tc>
          <w:tcPr>
            <w:tcW w:w="6540" w:type="dxa"/>
            <w:vAlign w:val="bottom"/>
          </w:tcPr>
          <w:p>
            <w:pPr>
              <w:spacing w:after="0"/>
              <w:rPr>
                <w:sz w:val="20"/>
                <w:szCs w:val="20"/>
                <w:color w:val="auto"/>
              </w:rPr>
            </w:pPr>
            <w:r>
              <w:rPr>
                <w:rFonts w:ascii="Arial" w:cs="Arial" w:eastAsia="Arial" w:hAnsi="Arial"/>
                <w:sz w:val="19"/>
                <w:szCs w:val="19"/>
                <w:color w:val="auto"/>
              </w:rPr>
              <w:t>Cost of products and services sold</w:t>
            </w:r>
          </w:p>
        </w:tc>
        <w:tc>
          <w:tcPr>
            <w:tcW w:w="740" w:type="dxa"/>
            <w:vAlign w:val="bottom"/>
          </w:tcPr>
          <w:p>
            <w:pPr>
              <w:jc w:val="right"/>
              <w:spacing w:after="0"/>
              <w:rPr>
                <w:sz w:val="20"/>
                <w:szCs w:val="20"/>
                <w:color w:val="auto"/>
              </w:rPr>
            </w:pPr>
            <w:r>
              <w:rPr>
                <w:rFonts w:ascii="Arial" w:cs="Arial" w:eastAsia="Arial" w:hAnsi="Arial"/>
                <w:sz w:val="19"/>
                <w:szCs w:val="19"/>
                <w:color w:val="auto"/>
              </w:rPr>
              <w:t>6,066</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6,430</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ind w:left="60"/>
              <w:spacing w:after="0"/>
              <w:rPr>
                <w:sz w:val="20"/>
                <w:szCs w:val="20"/>
                <w:color w:val="auto"/>
              </w:rPr>
            </w:pPr>
            <w:r>
              <w:rPr>
                <w:rFonts w:ascii="Arial" w:cs="Arial" w:eastAsia="Arial" w:hAnsi="Arial"/>
                <w:sz w:val="19"/>
                <w:szCs w:val="19"/>
                <w:color w:val="auto"/>
              </w:rPr>
              <w:t>6,152</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6540" w:type="dxa"/>
            <w:vAlign w:val="bottom"/>
            <w:shd w:val="clear" w:color="auto" w:fill="E5FFFF"/>
          </w:tcPr>
          <w:p>
            <w:pPr>
              <w:spacing w:after="0"/>
              <w:rPr>
                <w:sz w:val="20"/>
                <w:szCs w:val="20"/>
                <w:color w:val="auto"/>
              </w:rPr>
            </w:pPr>
            <w:r>
              <w:rPr>
                <w:rFonts w:ascii="Arial" w:cs="Arial" w:eastAsia="Arial" w:hAnsi="Arial"/>
                <w:sz w:val="19"/>
                <w:szCs w:val="19"/>
                <w:color w:val="auto"/>
              </w:rPr>
              <w:t>Selling, general and administrative and other expenses</w:t>
            </w: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1,624</w:t>
            </w: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1,697</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ind w:left="60"/>
              <w:spacing w:after="0"/>
              <w:rPr>
                <w:sz w:val="20"/>
                <w:szCs w:val="20"/>
                <w:color w:val="auto"/>
              </w:rPr>
            </w:pPr>
            <w:r>
              <w:rPr>
                <w:rFonts w:ascii="Arial" w:cs="Arial" w:eastAsia="Arial" w:hAnsi="Arial"/>
                <w:sz w:val="19"/>
                <w:szCs w:val="19"/>
                <w:color w:val="auto"/>
              </w:rPr>
              <w:t>1,717</w:t>
            </w:r>
          </w:p>
        </w:tc>
        <w:tc>
          <w:tcPr>
            <w:tcW w:w="32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r>
      <w:tr>
        <w:trPr>
          <w:trHeight w:val="250"/>
        </w:trPr>
        <w:tc>
          <w:tcPr>
            <w:tcW w:w="6540" w:type="dxa"/>
            <w:vAlign w:val="bottom"/>
          </w:tcPr>
          <w:p>
            <w:pPr>
              <w:spacing w:after="0"/>
              <w:rPr>
                <w:sz w:val="20"/>
                <w:szCs w:val="20"/>
                <w:color w:val="auto"/>
              </w:rPr>
            </w:pPr>
            <w:r>
              <w:rPr>
                <w:rFonts w:ascii="Arial" w:cs="Arial" w:eastAsia="Arial" w:hAnsi="Arial"/>
                <w:sz w:val="19"/>
                <w:szCs w:val="19"/>
                <w:color w:val="auto"/>
              </w:rPr>
              <w:t>Segment profit</w:t>
            </w:r>
          </w:p>
        </w:tc>
        <w:tc>
          <w:tcPr>
            <w:tcW w:w="740" w:type="dxa"/>
            <w:vAlign w:val="bottom"/>
          </w:tcPr>
          <w:p>
            <w:pPr>
              <w:jc w:val="right"/>
              <w:spacing w:after="0"/>
              <w:rPr>
                <w:sz w:val="20"/>
                <w:szCs w:val="20"/>
                <w:color w:val="auto"/>
              </w:rPr>
            </w:pPr>
            <w:r>
              <w:rPr>
                <w:rFonts w:ascii="Arial" w:cs="Arial" w:eastAsia="Arial" w:hAnsi="Arial"/>
                <w:sz w:val="19"/>
                <w:szCs w:val="19"/>
                <w:color w:val="auto"/>
              </w:rPr>
              <w:t>$ 1,608</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$ 1,650</w:t>
            </w:r>
          </w:p>
        </w:tc>
        <w:tc>
          <w:tcPr>
            <w:tcW w:w="1000" w:type="dxa"/>
            <w:vAlign w:val="bottom"/>
            <w:gridSpan w:val="2"/>
          </w:tcPr>
          <w:p>
            <w:pPr>
              <w:jc w:val="center"/>
              <w:ind w:left="203"/>
              <w:spacing w:after="0"/>
              <w:rPr>
                <w:sz w:val="20"/>
                <w:szCs w:val="20"/>
                <w:color w:val="auto"/>
              </w:rPr>
            </w:pPr>
            <w:r>
              <w:rPr>
                <w:rFonts w:ascii="Arial" w:cs="Arial" w:eastAsia="Arial" w:hAnsi="Arial"/>
                <w:sz w:val="19"/>
                <w:szCs w:val="19"/>
                <w:color w:val="auto"/>
              </w:rPr>
              <w:t>(3)%</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ind w:left="60"/>
              <w:spacing w:after="0"/>
              <w:rPr>
                <w:sz w:val="20"/>
                <w:szCs w:val="20"/>
                <w:color w:val="auto"/>
              </w:rPr>
            </w:pPr>
            <w:r>
              <w:rPr>
                <w:rFonts w:ascii="Arial" w:cs="Arial" w:eastAsia="Arial" w:hAnsi="Arial"/>
                <w:sz w:val="19"/>
                <w:szCs w:val="19"/>
                <w:color w:val="auto"/>
              </w:rPr>
              <w:t>1,621</w:t>
            </w:r>
          </w:p>
        </w:tc>
        <w:tc>
          <w:tcPr>
            <w:tcW w:w="1040" w:type="dxa"/>
            <w:vAlign w:val="bottom"/>
            <w:gridSpan w:val="2"/>
          </w:tcPr>
          <w:p>
            <w:pPr>
              <w:jc w:val="center"/>
              <w:ind w:left="223"/>
              <w:spacing w:after="0"/>
              <w:rPr>
                <w:sz w:val="20"/>
                <w:szCs w:val="20"/>
                <w:color w:val="auto"/>
              </w:rPr>
            </w:pPr>
            <w:r>
              <w:rPr>
                <w:rFonts w:ascii="Arial" w:cs="Arial" w:eastAsia="Arial" w:hAnsi="Arial"/>
                <w:sz w:val="19"/>
                <w:szCs w:val="19"/>
                <w:color w:val="auto"/>
              </w:rPr>
              <w:t>2%</w:t>
            </w:r>
          </w:p>
        </w:tc>
      </w:tr>
      <w:tr>
        <w:trPr>
          <w:trHeight w:val="20"/>
        </w:trPr>
        <w:tc>
          <w:tcPr>
            <w:tcW w:w="6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6"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b w:val="1"/>
                <w:bCs w:val="1"/>
                <w:color w:val="auto"/>
              </w:rPr>
              <w:t>2018 vs. 2017</w:t>
            </w:r>
          </w:p>
        </w:tc>
        <w:tc>
          <w:tcPr>
            <w:tcW w:w="30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b w:val="1"/>
                <w:bCs w:val="1"/>
                <w:color w:val="auto"/>
              </w:rPr>
              <w:t>2017 vs. 2016</w:t>
            </w:r>
          </w:p>
        </w:tc>
      </w:tr>
      <w:tr>
        <w:trPr>
          <w:trHeight w:val="155"/>
        </w:trPr>
        <w:tc>
          <w:tcPr>
            <w:tcW w:w="6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Segment</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15"/>
              <w:spacing w:after="0" w:line="155" w:lineRule="exact"/>
              <w:rPr>
                <w:sz w:val="20"/>
                <w:szCs w:val="20"/>
                <w:color w:val="auto"/>
              </w:rPr>
            </w:pPr>
            <w:r>
              <w:rPr>
                <w:rFonts w:ascii="Arial" w:cs="Arial" w:eastAsia="Arial" w:hAnsi="Arial"/>
                <w:sz w:val="16"/>
                <w:szCs w:val="16"/>
                <w:b w:val="1"/>
                <w:bCs w:val="1"/>
                <w:color w:val="auto"/>
              </w:rPr>
              <w:t>Segment</w:t>
            </w:r>
          </w:p>
        </w:tc>
      </w:tr>
      <w:tr>
        <w:trPr>
          <w:trHeight w:val="190"/>
        </w:trPr>
        <w:tc>
          <w:tcPr>
            <w:tcW w:w="6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Factors Contributing to Year-Over-Year Change</w:t>
            </w:r>
          </w:p>
        </w:tc>
        <w:tc>
          <w:tcPr>
            <w:tcW w:w="30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Sales</w:t>
            </w:r>
          </w:p>
        </w:tc>
        <w:tc>
          <w:tcPr>
            <w:tcW w:w="300" w:type="dxa"/>
            <w:vAlign w:val="bottom"/>
          </w:tcPr>
          <w:p>
            <w:pPr>
              <w:spacing w:after="0"/>
              <w:rPr>
                <w:sz w:val="16"/>
                <w:szCs w:val="16"/>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Profit</w:t>
            </w:r>
          </w:p>
        </w:tc>
        <w:tc>
          <w:tcPr>
            <w:tcW w:w="30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Sales</w:t>
            </w:r>
          </w:p>
        </w:tc>
        <w:tc>
          <w:tcPr>
            <w:tcW w:w="300" w:type="dxa"/>
            <w:vAlign w:val="bottom"/>
          </w:tcPr>
          <w:p>
            <w:pPr>
              <w:spacing w:after="0"/>
              <w:rPr>
                <w:sz w:val="16"/>
                <w:szCs w:val="16"/>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Profit</w:t>
            </w:r>
          </w:p>
        </w:tc>
      </w:tr>
      <w:tr>
        <w:trPr>
          <w:trHeight w:val="237"/>
        </w:trPr>
        <w:tc>
          <w:tcPr>
            <w:tcW w:w="6500" w:type="dxa"/>
            <w:vAlign w:val="bottom"/>
            <w:shd w:val="clear" w:color="auto" w:fill="E5FFFF"/>
          </w:tcPr>
          <w:p>
            <w:pPr>
              <w:spacing w:after="0"/>
              <w:rPr>
                <w:sz w:val="20"/>
                <w:szCs w:val="20"/>
                <w:color w:val="auto"/>
              </w:rPr>
            </w:pPr>
            <w:r>
              <w:rPr>
                <w:rFonts w:ascii="Arial" w:cs="Arial" w:eastAsia="Arial" w:hAnsi="Arial"/>
                <w:sz w:val="19"/>
                <w:szCs w:val="19"/>
                <w:color w:val="auto"/>
              </w:rPr>
              <w:t>Organic growth/ Operational segment profit</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1120" w:type="dxa"/>
            <w:vAlign w:val="bottom"/>
            <w:gridSpan w:val="2"/>
            <w:shd w:val="clear" w:color="auto" w:fill="E5FFFF"/>
          </w:tcPr>
          <w:p>
            <w:pPr>
              <w:jc w:val="right"/>
              <w:ind w:right="195"/>
              <w:spacing w:after="0"/>
              <w:rPr>
                <w:sz w:val="20"/>
                <w:szCs w:val="20"/>
                <w:color w:val="auto"/>
              </w:rPr>
            </w:pPr>
            <w:r>
              <w:rPr>
                <w:rFonts w:ascii="Arial" w:cs="Arial" w:eastAsia="Arial" w:hAnsi="Arial"/>
                <w:sz w:val="19"/>
                <w:szCs w:val="19"/>
                <w:color w:val="auto"/>
              </w:rPr>
              <w:t>5%</w:t>
            </w:r>
          </w:p>
        </w:tc>
        <w:tc>
          <w:tcPr>
            <w:tcW w:w="8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1160" w:type="dxa"/>
            <w:vAlign w:val="bottom"/>
            <w:gridSpan w:val="2"/>
            <w:shd w:val="clear" w:color="auto" w:fill="E5FFFF"/>
          </w:tcPr>
          <w:p>
            <w:pPr>
              <w:jc w:val="right"/>
              <w:ind w:right="135"/>
              <w:spacing w:after="0"/>
              <w:rPr>
                <w:sz w:val="20"/>
                <w:szCs w:val="20"/>
                <w:color w:val="auto"/>
              </w:rPr>
            </w:pPr>
            <w:r>
              <w:rPr>
                <w:rFonts w:ascii="Arial" w:cs="Arial" w:eastAsia="Arial" w:hAnsi="Arial"/>
                <w:sz w:val="19"/>
                <w:szCs w:val="19"/>
                <w:color w:val="auto"/>
              </w:rPr>
              <w:t>1%</w:t>
            </w:r>
          </w:p>
        </w:tc>
      </w:tr>
      <w:tr>
        <w:trPr>
          <w:trHeight w:val="243"/>
        </w:trPr>
        <w:tc>
          <w:tcPr>
            <w:tcW w:w="6500" w:type="dxa"/>
            <w:vAlign w:val="bottom"/>
          </w:tcPr>
          <w:p>
            <w:pPr>
              <w:spacing w:after="0"/>
              <w:rPr>
                <w:sz w:val="20"/>
                <w:szCs w:val="20"/>
                <w:color w:val="auto"/>
              </w:rPr>
            </w:pPr>
            <w:r>
              <w:rPr>
                <w:rFonts w:ascii="Arial" w:cs="Arial" w:eastAsia="Arial" w:hAnsi="Arial"/>
                <w:sz w:val="19"/>
                <w:szCs w:val="19"/>
                <w:color w:val="auto"/>
              </w:rPr>
              <w:t>Foreign currency translation</w:t>
            </w:r>
          </w:p>
        </w:tc>
        <w:tc>
          <w:tcPr>
            <w:tcW w:w="82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1120" w:type="dxa"/>
            <w:vAlign w:val="bottom"/>
            <w:gridSpan w:val="2"/>
          </w:tcPr>
          <w:p>
            <w:pPr>
              <w:jc w:val="right"/>
              <w:ind w:right="195"/>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21"/>
                <w:szCs w:val="21"/>
                <w:color w:val="auto"/>
              </w:rPr>
            </w:pPr>
          </w:p>
        </w:tc>
        <w:tc>
          <w:tcPr>
            <w:tcW w:w="500" w:type="dxa"/>
            <w:vAlign w:val="bottom"/>
          </w:tcPr>
          <w:p>
            <w:pPr>
              <w:jc w:val="right"/>
              <w:ind w:right="112"/>
              <w:spacing w:after="0"/>
              <w:rPr>
                <w:sz w:val="20"/>
                <w:szCs w:val="20"/>
                <w:color w:val="auto"/>
              </w:rPr>
            </w:pPr>
            <w:r>
              <w:rPr>
                <w:rFonts w:ascii="Arial" w:cs="Arial" w:eastAsia="Arial" w:hAnsi="Arial"/>
                <w:sz w:val="19"/>
                <w:szCs w:val="19"/>
                <w:color w:val="auto"/>
              </w:rPr>
              <w:t>—</w:t>
            </w:r>
          </w:p>
        </w:tc>
        <w:tc>
          <w:tcPr>
            <w:tcW w:w="1160" w:type="dxa"/>
            <w:vAlign w:val="bottom"/>
            <w:gridSpan w:val="2"/>
          </w:tcPr>
          <w:p>
            <w:pPr>
              <w:jc w:val="right"/>
              <w:ind w:right="135"/>
              <w:spacing w:after="0"/>
              <w:rPr>
                <w:sz w:val="20"/>
                <w:szCs w:val="20"/>
                <w:color w:val="auto"/>
              </w:rPr>
            </w:pPr>
            <w:r>
              <w:rPr>
                <w:rFonts w:ascii="Arial" w:cs="Arial" w:eastAsia="Arial" w:hAnsi="Arial"/>
                <w:sz w:val="19"/>
                <w:szCs w:val="19"/>
                <w:color w:val="auto"/>
              </w:rPr>
              <w:t>1%</w:t>
            </w:r>
          </w:p>
        </w:tc>
      </w:tr>
      <w:tr>
        <w:trPr>
          <w:trHeight w:val="243"/>
        </w:trPr>
        <w:tc>
          <w:tcPr>
            <w:tcW w:w="6500" w:type="dxa"/>
            <w:vAlign w:val="bottom"/>
            <w:shd w:val="clear" w:color="auto" w:fill="E5FFFF"/>
          </w:tcPr>
          <w:p>
            <w:pPr>
              <w:spacing w:after="0"/>
              <w:rPr>
                <w:sz w:val="20"/>
                <w:szCs w:val="20"/>
                <w:color w:val="auto"/>
              </w:rPr>
            </w:pPr>
            <w:r>
              <w:rPr>
                <w:rFonts w:ascii="Arial" w:cs="Arial" w:eastAsia="Arial" w:hAnsi="Arial"/>
                <w:sz w:val="19"/>
                <w:szCs w:val="19"/>
                <w:color w:val="auto"/>
              </w:rPr>
              <w:t>Acquisitions and divestitures, net</w:t>
            </w:r>
          </w:p>
        </w:tc>
        <w:tc>
          <w:tcPr>
            <w:tcW w:w="300" w:type="dxa"/>
            <w:vAlign w:val="bottom"/>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w:t>
            </w:r>
          </w:p>
        </w:tc>
        <w:tc>
          <w:tcPr>
            <w:tcW w:w="300" w:type="dxa"/>
            <w:vAlign w:val="bottom"/>
            <w:shd w:val="clear" w:color="auto" w:fill="E5FFFF"/>
          </w:tcPr>
          <w:p>
            <w:pPr>
              <w:spacing w:after="0"/>
              <w:rPr>
                <w:sz w:val="21"/>
                <w:szCs w:val="21"/>
                <w:color w:val="auto"/>
              </w:rPr>
            </w:pPr>
          </w:p>
        </w:tc>
        <w:tc>
          <w:tcPr>
            <w:tcW w:w="820" w:type="dxa"/>
            <w:vAlign w:val="bottom"/>
            <w:tcBorders>
              <w:bottom w:val="single" w:sz="8" w:color="auto"/>
            </w:tcBorders>
            <w:shd w:val="clear" w:color="auto" w:fill="E5FFFF"/>
          </w:tcPr>
          <w:p>
            <w:pPr>
              <w:jc w:val="right"/>
              <w:ind w:right="135"/>
              <w:spacing w:after="0"/>
              <w:rPr>
                <w:sz w:val="20"/>
                <w:szCs w:val="20"/>
                <w:color w:val="auto"/>
              </w:rPr>
            </w:pPr>
            <w:r>
              <w:rPr>
                <w:rFonts w:ascii="Arial" w:cs="Arial" w:eastAsia="Arial" w:hAnsi="Arial"/>
                <w:sz w:val="19"/>
                <w:szCs w:val="19"/>
                <w:color w:val="auto"/>
              </w:rPr>
              <w:t>(9)%</w:t>
            </w:r>
          </w:p>
        </w:tc>
        <w:tc>
          <w:tcPr>
            <w:tcW w:w="300" w:type="dxa"/>
            <w:vAlign w:val="bottom"/>
            <w:shd w:val="clear" w:color="auto" w:fill="E5FFFF"/>
          </w:tcPr>
          <w:p>
            <w:pPr>
              <w:spacing w:after="0"/>
              <w:rPr>
                <w:sz w:val="21"/>
                <w:szCs w:val="21"/>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300" w:type="dxa"/>
            <w:vAlign w:val="bottom"/>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ind w:right="295"/>
              <w:spacing w:after="0"/>
              <w:rPr>
                <w:sz w:val="20"/>
                <w:szCs w:val="20"/>
                <w:color w:val="auto"/>
              </w:rPr>
            </w:pPr>
            <w:r>
              <w:rPr>
                <w:rFonts w:ascii="Arial" w:cs="Arial" w:eastAsia="Arial" w:hAnsi="Arial"/>
                <w:sz w:val="19"/>
                <w:szCs w:val="19"/>
                <w:color w:val="auto"/>
              </w:rPr>
              <w:t>—</w:t>
            </w:r>
          </w:p>
        </w:tc>
      </w:tr>
      <w:tr>
        <w:trPr>
          <w:trHeight w:val="250"/>
        </w:trPr>
        <w:tc>
          <w:tcPr>
            <w:tcW w:w="6500" w:type="dxa"/>
            <w:vAlign w:val="bottom"/>
          </w:tcPr>
          <w:p>
            <w:pPr>
              <w:ind w:left="360"/>
              <w:spacing w:after="0"/>
              <w:rPr>
                <w:sz w:val="20"/>
                <w:szCs w:val="20"/>
                <w:color w:val="auto"/>
              </w:rPr>
            </w:pPr>
            <w:r>
              <w:rPr>
                <w:rFonts w:ascii="Arial" w:cs="Arial" w:eastAsia="Arial" w:hAnsi="Arial"/>
                <w:sz w:val="19"/>
                <w:szCs w:val="19"/>
                <w:color w:val="auto"/>
              </w:rPr>
              <w:t>Total % Change</w:t>
            </w:r>
          </w:p>
        </w:tc>
        <w:tc>
          <w:tcPr>
            <w:tcW w:w="820" w:type="dxa"/>
            <w:vAlign w:val="bottom"/>
            <w:gridSpan w:val="2"/>
          </w:tcPr>
          <w:p>
            <w:pPr>
              <w:jc w:val="right"/>
              <w:spacing w:after="0"/>
              <w:rPr>
                <w:sz w:val="20"/>
                <w:szCs w:val="20"/>
                <w:color w:val="auto"/>
              </w:rPr>
            </w:pPr>
            <w:r>
              <w:rPr>
                <w:rFonts w:ascii="Arial" w:cs="Arial" w:eastAsia="Arial" w:hAnsi="Arial"/>
                <w:sz w:val="19"/>
                <w:szCs w:val="19"/>
                <w:color w:val="auto"/>
              </w:rPr>
              <w:t>(5)%</w:t>
            </w:r>
          </w:p>
        </w:tc>
        <w:tc>
          <w:tcPr>
            <w:tcW w:w="1120" w:type="dxa"/>
            <w:vAlign w:val="bottom"/>
            <w:gridSpan w:val="2"/>
          </w:tcPr>
          <w:p>
            <w:pPr>
              <w:jc w:val="right"/>
              <w:ind w:right="135"/>
              <w:spacing w:after="0"/>
              <w:rPr>
                <w:sz w:val="20"/>
                <w:szCs w:val="20"/>
                <w:color w:val="auto"/>
              </w:rPr>
            </w:pPr>
            <w:r>
              <w:rPr>
                <w:rFonts w:ascii="Arial" w:cs="Arial" w:eastAsia="Arial" w:hAnsi="Arial"/>
                <w:sz w:val="19"/>
                <w:szCs w:val="19"/>
                <w:color w:val="auto"/>
              </w:rPr>
              <w:t>(3)%</w:t>
            </w:r>
          </w:p>
        </w:tc>
        <w:tc>
          <w:tcPr>
            <w:tcW w:w="800" w:type="dxa"/>
            <w:vAlign w:val="bottom"/>
            <w:gridSpan w:val="2"/>
          </w:tcPr>
          <w:p>
            <w:pPr>
              <w:jc w:val="right"/>
              <w:spacing w:after="0"/>
              <w:rPr>
                <w:sz w:val="20"/>
                <w:szCs w:val="20"/>
                <w:color w:val="auto"/>
              </w:rPr>
            </w:pPr>
            <w:r>
              <w:rPr>
                <w:rFonts w:ascii="Arial" w:cs="Arial" w:eastAsia="Arial" w:hAnsi="Arial"/>
                <w:sz w:val="19"/>
                <w:szCs w:val="19"/>
                <w:color w:val="auto"/>
              </w:rPr>
              <w:t>3%</w:t>
            </w:r>
          </w:p>
        </w:tc>
        <w:tc>
          <w:tcPr>
            <w:tcW w:w="1160" w:type="dxa"/>
            <w:vAlign w:val="bottom"/>
            <w:gridSpan w:val="2"/>
          </w:tcPr>
          <w:p>
            <w:pPr>
              <w:jc w:val="right"/>
              <w:ind w:right="135"/>
              <w:spacing w:after="0"/>
              <w:rPr>
                <w:sz w:val="20"/>
                <w:szCs w:val="20"/>
                <w:color w:val="auto"/>
              </w:rPr>
            </w:pPr>
            <w:r>
              <w:rPr>
                <w:rFonts w:ascii="Arial" w:cs="Arial" w:eastAsia="Arial" w:hAnsi="Arial"/>
                <w:sz w:val="19"/>
                <w:szCs w:val="19"/>
                <w:color w:val="auto"/>
              </w:rPr>
              <w:t>2%</w:t>
            </w:r>
          </w:p>
        </w:tc>
      </w:tr>
      <w:tr>
        <w:trPr>
          <w:trHeight w:val="20"/>
        </w:trPr>
        <w:tc>
          <w:tcPr>
            <w:tcW w:w="6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2018 compared with 2017</w:t>
      </w:r>
    </w:p>
    <w:p>
      <w:pPr>
        <w:spacing w:after="0" w:line="130" w:lineRule="exact"/>
        <w:rPr>
          <w:sz w:val="20"/>
          <w:szCs w:val="20"/>
          <w:color w:val="auto"/>
        </w:rPr>
      </w:pPr>
    </w:p>
    <w:p>
      <w:pPr>
        <w:ind w:right="680" w:firstLine="357"/>
        <w:spacing w:after="0" w:line="253" w:lineRule="auto"/>
        <w:rPr>
          <w:sz w:val="20"/>
          <w:szCs w:val="20"/>
          <w:color w:val="auto"/>
        </w:rPr>
      </w:pPr>
      <w:r>
        <w:rPr>
          <w:rFonts w:ascii="Arial" w:cs="Arial" w:eastAsia="Arial" w:hAnsi="Arial"/>
          <w:sz w:val="19"/>
          <w:szCs w:val="19"/>
          <w:color w:val="auto"/>
        </w:rPr>
        <w:t>Honeywell Building Technologies sales decreased primarily due to the Homes divestiture partially offset by an increase in organic growth, due to both volume and price, and the favorable impact of foreign currency translation.</w:t>
      </w:r>
    </w:p>
    <w:p>
      <w:pPr>
        <w:spacing w:after="0" w:line="53" w:lineRule="exact"/>
        <w:rPr>
          <w:sz w:val="20"/>
          <w:szCs w:val="20"/>
          <w:color w:val="auto"/>
        </w:rPr>
      </w:pPr>
    </w:p>
    <w:p>
      <w:pPr>
        <w:ind w:left="540" w:right="40" w:hanging="168"/>
        <w:spacing w:after="0" w:line="253"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Sales in Homes decreased 12% driven by divestiture impacts following its October 29, 2018 spin-off. For the period prior to the spin-off, sales increased 6% organic driven by both Products and Distribution (ADI) businesses.</w:t>
      </w:r>
    </w:p>
    <w:p>
      <w:pPr>
        <w:spacing w:after="0" w:line="66" w:lineRule="exact"/>
        <w:rPr>
          <w:rFonts w:ascii="Arial" w:cs="Arial" w:eastAsia="Arial" w:hAnsi="Arial"/>
          <w:sz w:val="19"/>
          <w:szCs w:val="19"/>
          <w:color w:val="auto"/>
        </w:rPr>
      </w:pPr>
    </w:p>
    <w:p>
      <w:pPr>
        <w:ind w:left="540" w:right="560" w:hanging="168"/>
        <w:spacing w:after="0" w:line="253"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Sales in Buildings increased 1% (flat organic) due to the organic growth in Building Solutions and the favorable impact of foreign currency translation, offset by lower sales in Building Management Systems and Building Products.</w:t>
      </w:r>
    </w:p>
    <w:p>
      <w:pPr>
        <w:spacing w:after="0" w:line="80" w:lineRule="exact"/>
        <w:rPr>
          <w:sz w:val="20"/>
          <w:szCs w:val="20"/>
          <w:color w:val="auto"/>
        </w:rPr>
      </w:pPr>
    </w:p>
    <w:p>
      <w:pPr>
        <w:ind w:right="140" w:firstLine="357"/>
        <w:spacing w:after="0" w:line="242" w:lineRule="auto"/>
        <w:rPr>
          <w:sz w:val="20"/>
          <w:szCs w:val="20"/>
          <w:color w:val="auto"/>
        </w:rPr>
      </w:pPr>
      <w:r>
        <w:rPr>
          <w:rFonts w:ascii="Arial" w:cs="Arial" w:eastAsia="Arial" w:hAnsi="Arial"/>
          <w:sz w:val="19"/>
          <w:szCs w:val="19"/>
          <w:color w:val="auto"/>
        </w:rPr>
        <w:t>Honeywell Building Technologies segment profit decreased due to the Homes divestiture, partially offset by an increase in operational segment profit and the favorable impact of foreign currency translation. The increase in operational segment profit was primarily driven by price and productivity, partially offset by inflation and higher sales of lower margin products. Cost of products and services decreased due to the Homes divestiture, partially offset by higher organic sales.</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2017 compared with 2016</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Honeywell Building Technologies sales increased primarily due to an increase in organic sales, price, and acquisitions.</w:t>
      </w:r>
    </w:p>
    <w:p>
      <w:pPr>
        <w:spacing w:after="0" w:line="92" w:lineRule="exact"/>
        <w:rPr>
          <w:sz w:val="20"/>
          <w:szCs w:val="20"/>
          <w:color w:val="auto"/>
        </w:rPr>
      </w:pPr>
    </w:p>
    <w:p>
      <w:pPr>
        <w:ind w:left="540" w:right="40" w:hanging="168"/>
        <w:spacing w:after="0" w:line="253"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Sales in Homes increased 2% (increased 2% organic) due to an increase in organic sales growth in Distribution, partially offset by lower sales volume in Products.</w:t>
      </w:r>
    </w:p>
    <w:p>
      <w:pPr>
        <w:spacing w:after="0" w:line="66" w:lineRule="exact"/>
        <w:rPr>
          <w:rFonts w:ascii="Arial" w:cs="Arial" w:eastAsia="Arial" w:hAnsi="Arial"/>
          <w:sz w:val="19"/>
          <w:szCs w:val="19"/>
          <w:color w:val="auto"/>
        </w:rPr>
      </w:pPr>
    </w:p>
    <w:p>
      <w:pPr>
        <w:ind w:left="540" w:right="1080" w:hanging="168"/>
        <w:spacing w:after="0" w:line="253"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Sales in Buildings increased 4% (increased 3% organic) due to organic sales growth in Building Products, Building Management Systems, Building Solutions, and acquisitions.</w:t>
      </w:r>
    </w:p>
    <w:p>
      <w:pPr>
        <w:spacing w:after="0" w:line="80"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color w:val="auto"/>
        </w:rPr>
        <w:t>Honeywell Building Technologies segment profit increased due to an increase in operational segment profit and the favorable impact of foreign currency translation. The increase in operational segment profit was primarily driven by productivity, net of inflation, and price, partially offset by higher sales of lower margin products. Cost of products and services increased due to higher organic sales and acquisitions.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26" w:name="page27"/>
    <w:bookmarkEnd w:id="26"/>
    <w:p>
      <w:pPr>
        <w:spacing w:after="0"/>
        <w:rPr>
          <w:sz w:val="20"/>
          <w:szCs w:val="20"/>
          <w:color w:val="auto"/>
        </w:rPr>
      </w:pPr>
      <w:r>
        <w:rPr>
          <w:rFonts w:ascii="Arial" w:cs="Arial" w:eastAsia="Arial" w:hAnsi="Arial"/>
          <w:sz w:val="19"/>
          <w:szCs w:val="19"/>
          <w:b w:val="1"/>
          <w:bCs w:val="1"/>
          <w:color w:val="auto"/>
        </w:rPr>
        <w:t>Performance Materials and Technologies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7"/>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7"/>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7"/>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6"/>
                <w:szCs w:val="16"/>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Change</w:t>
            </w:r>
          </w:p>
        </w:tc>
      </w:tr>
      <w:tr>
        <w:trPr>
          <w:trHeight w:val="237"/>
        </w:trPr>
        <w:tc>
          <w:tcPr>
            <w:tcW w:w="6120" w:type="dxa"/>
            <w:vAlign w:val="bottom"/>
            <w:shd w:val="clear" w:color="auto" w:fill="E5FFFF"/>
          </w:tcPr>
          <w:p>
            <w:pPr>
              <w:spacing w:after="0"/>
              <w:rPr>
                <w:sz w:val="20"/>
                <w:szCs w:val="20"/>
                <w:color w:val="auto"/>
              </w:rPr>
            </w:pPr>
            <w:r>
              <w:rPr>
                <w:rFonts w:ascii="Arial" w:cs="Arial" w:eastAsia="Arial" w:hAnsi="Arial"/>
                <w:sz w:val="19"/>
                <w:szCs w:val="19"/>
                <w:color w:val="auto"/>
              </w:rPr>
              <w:t>Net sales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10,674</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10,339</w:t>
            </w:r>
          </w:p>
        </w:tc>
        <w:tc>
          <w:tcPr>
            <w:tcW w:w="1000" w:type="dxa"/>
            <w:vAlign w:val="bottom"/>
            <w:gridSpan w:val="2"/>
            <w:shd w:val="clear" w:color="auto" w:fill="E5FFFF"/>
          </w:tcPr>
          <w:p>
            <w:pPr>
              <w:jc w:val="center"/>
              <w:ind w:left="183"/>
              <w:spacing w:after="0"/>
              <w:rPr>
                <w:sz w:val="20"/>
                <w:szCs w:val="20"/>
                <w:color w:val="auto"/>
              </w:rPr>
            </w:pPr>
            <w:r>
              <w:rPr>
                <w:rFonts w:ascii="Arial" w:cs="Arial" w:eastAsia="Arial" w:hAnsi="Arial"/>
                <w:sz w:val="19"/>
                <w:szCs w:val="19"/>
                <w:color w:val="auto"/>
              </w:rPr>
              <w:t>3%</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10,436</w:t>
            </w:r>
          </w:p>
        </w:tc>
        <w:tc>
          <w:tcPr>
            <w:tcW w:w="104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(1)%</w:t>
            </w:r>
          </w:p>
        </w:tc>
      </w:tr>
      <w:tr>
        <w:trPr>
          <w:trHeight w:val="243"/>
        </w:trPr>
        <w:tc>
          <w:tcPr>
            <w:tcW w:w="6120" w:type="dxa"/>
            <w:vAlign w:val="bottom"/>
          </w:tcPr>
          <w:p>
            <w:pPr>
              <w:spacing w:after="0"/>
              <w:rPr>
                <w:sz w:val="20"/>
                <w:szCs w:val="20"/>
                <w:color w:val="auto"/>
              </w:rPr>
            </w:pPr>
            <w:r>
              <w:rPr>
                <w:rFonts w:ascii="Arial" w:cs="Arial" w:eastAsia="Arial" w:hAnsi="Arial"/>
                <w:sz w:val="19"/>
                <w:szCs w:val="19"/>
                <w:color w:val="auto"/>
              </w:rPr>
              <w:t>Cost of products and services sold</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6,948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6,764</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6,978</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6120" w:type="dxa"/>
            <w:vAlign w:val="bottom"/>
            <w:shd w:val="clear" w:color="auto" w:fill="E5FFFF"/>
          </w:tcPr>
          <w:p>
            <w:pPr>
              <w:spacing w:after="0"/>
              <w:rPr>
                <w:sz w:val="20"/>
                <w:szCs w:val="20"/>
                <w:color w:val="auto"/>
              </w:rPr>
            </w:pPr>
            <w:r>
              <w:rPr>
                <w:rFonts w:ascii="Arial" w:cs="Arial" w:eastAsia="Arial" w:hAnsi="Arial"/>
                <w:sz w:val="19"/>
                <w:szCs w:val="19"/>
                <w:color w:val="auto"/>
              </w:rPr>
              <w:t>Selling, general and administrative and other expenses</w:t>
            </w:r>
          </w:p>
        </w:tc>
        <w:tc>
          <w:tcPr>
            <w:tcW w:w="18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1,398</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1,369</w:t>
            </w:r>
          </w:p>
        </w:tc>
        <w:tc>
          <w:tcPr>
            <w:tcW w:w="28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1,346</w:t>
            </w:r>
          </w:p>
        </w:tc>
        <w:tc>
          <w:tcPr>
            <w:tcW w:w="32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r>
      <w:tr>
        <w:trPr>
          <w:trHeight w:val="250"/>
        </w:trPr>
        <w:tc>
          <w:tcPr>
            <w:tcW w:w="6120" w:type="dxa"/>
            <w:vAlign w:val="bottom"/>
          </w:tcPr>
          <w:p>
            <w:pPr>
              <w:spacing w:after="0"/>
              <w:rPr>
                <w:sz w:val="20"/>
                <w:szCs w:val="20"/>
                <w:color w:val="auto"/>
              </w:rPr>
            </w:pPr>
            <w:r>
              <w:rPr>
                <w:rFonts w:ascii="Arial" w:cs="Arial" w:eastAsia="Arial" w:hAnsi="Arial"/>
                <w:sz w:val="19"/>
                <w:szCs w:val="19"/>
                <w:color w:val="auto"/>
              </w:rPr>
              <w:t>Segment profit</w:t>
            </w: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2,328</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2,206</w:t>
            </w:r>
          </w:p>
        </w:tc>
        <w:tc>
          <w:tcPr>
            <w:tcW w:w="1000" w:type="dxa"/>
            <w:vAlign w:val="bottom"/>
            <w:gridSpan w:val="2"/>
          </w:tcPr>
          <w:p>
            <w:pPr>
              <w:jc w:val="center"/>
              <w:ind w:left="183"/>
              <w:spacing w:after="0"/>
              <w:rPr>
                <w:sz w:val="20"/>
                <w:szCs w:val="20"/>
                <w:color w:val="auto"/>
              </w:rPr>
            </w:pPr>
            <w:r>
              <w:rPr>
                <w:rFonts w:ascii="Arial" w:cs="Arial" w:eastAsia="Arial" w:hAnsi="Arial"/>
                <w:sz w:val="19"/>
                <w:szCs w:val="19"/>
                <w:color w:val="auto"/>
              </w:rPr>
              <w:t>6%</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2,112</w:t>
            </w:r>
          </w:p>
        </w:tc>
        <w:tc>
          <w:tcPr>
            <w:tcW w:w="1040" w:type="dxa"/>
            <w:vAlign w:val="bottom"/>
            <w:gridSpan w:val="2"/>
          </w:tcPr>
          <w:p>
            <w:pPr>
              <w:jc w:val="right"/>
              <w:ind w:right="141"/>
              <w:spacing w:after="0"/>
              <w:rPr>
                <w:sz w:val="20"/>
                <w:szCs w:val="20"/>
                <w:color w:val="auto"/>
              </w:rPr>
            </w:pPr>
            <w:r>
              <w:rPr>
                <w:rFonts w:ascii="Arial" w:cs="Arial" w:eastAsia="Arial" w:hAnsi="Arial"/>
                <w:sz w:val="19"/>
                <w:szCs w:val="19"/>
                <w:color w:val="auto"/>
              </w:rPr>
              <w:t>4%</w:t>
            </w:r>
          </w:p>
        </w:tc>
      </w:tr>
      <w:tr>
        <w:trPr>
          <w:trHeight w:val="20"/>
        </w:trPr>
        <w:tc>
          <w:tcPr>
            <w:tcW w:w="6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6"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6"/>
                <w:szCs w:val="16"/>
                <w:b w:val="1"/>
                <w:bCs w:val="1"/>
                <w:color w:val="auto"/>
              </w:rPr>
              <w:t>2018 vs. 2017</w:t>
            </w:r>
          </w:p>
        </w:tc>
        <w:tc>
          <w:tcPr>
            <w:tcW w:w="300" w:type="dxa"/>
            <w:vAlign w:val="bottom"/>
          </w:tcPr>
          <w:p>
            <w:pPr>
              <w:spacing w:after="0"/>
              <w:rPr>
                <w:sz w:val="16"/>
                <w:szCs w:val="16"/>
                <w:color w:val="auto"/>
              </w:rPr>
            </w:pPr>
          </w:p>
        </w:tc>
        <w:tc>
          <w:tcPr>
            <w:tcW w:w="174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6"/>
                <w:szCs w:val="16"/>
                <w:b w:val="1"/>
                <w:bCs w:val="1"/>
                <w:color w:val="auto"/>
              </w:rPr>
              <w:t>2017 vs. 2016</w:t>
            </w:r>
          </w:p>
        </w:tc>
      </w:tr>
      <w:tr>
        <w:trPr>
          <w:trHeight w:val="155"/>
        </w:trPr>
        <w:tc>
          <w:tcPr>
            <w:tcW w:w="6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Segment</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12"/>
              <w:spacing w:after="0" w:line="155" w:lineRule="exact"/>
              <w:rPr>
                <w:sz w:val="20"/>
                <w:szCs w:val="20"/>
                <w:color w:val="auto"/>
              </w:rPr>
            </w:pPr>
            <w:r>
              <w:rPr>
                <w:rFonts w:ascii="Arial" w:cs="Arial" w:eastAsia="Arial" w:hAnsi="Arial"/>
                <w:sz w:val="16"/>
                <w:szCs w:val="16"/>
                <w:b w:val="1"/>
                <w:bCs w:val="1"/>
                <w:color w:val="auto"/>
              </w:rPr>
              <w:t>Segment</w:t>
            </w:r>
          </w:p>
        </w:tc>
      </w:tr>
      <w:tr>
        <w:trPr>
          <w:trHeight w:val="190"/>
        </w:trPr>
        <w:tc>
          <w:tcPr>
            <w:tcW w:w="6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Factors Contributing to Year-Over-Year Change</w:t>
            </w:r>
          </w:p>
        </w:tc>
        <w:tc>
          <w:tcPr>
            <w:tcW w:w="28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Sales</w:t>
            </w:r>
          </w:p>
        </w:tc>
        <w:tc>
          <w:tcPr>
            <w:tcW w:w="300" w:type="dxa"/>
            <w:vAlign w:val="bottom"/>
          </w:tcPr>
          <w:p>
            <w:pPr>
              <w:spacing w:after="0"/>
              <w:rPr>
                <w:sz w:val="16"/>
                <w:szCs w:val="16"/>
                <w:color w:val="auto"/>
              </w:rPr>
            </w:pPr>
          </w:p>
        </w:tc>
        <w:tc>
          <w:tcPr>
            <w:tcW w:w="78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Profit</w:t>
            </w:r>
          </w:p>
        </w:tc>
        <w:tc>
          <w:tcPr>
            <w:tcW w:w="30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Sales</w:t>
            </w:r>
          </w:p>
        </w:tc>
        <w:tc>
          <w:tcPr>
            <w:tcW w:w="300" w:type="dxa"/>
            <w:vAlign w:val="bottom"/>
          </w:tcPr>
          <w:p>
            <w:pPr>
              <w:spacing w:after="0"/>
              <w:rPr>
                <w:sz w:val="16"/>
                <w:szCs w:val="16"/>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Profit</w:t>
            </w:r>
          </w:p>
        </w:tc>
      </w:tr>
      <w:tr>
        <w:trPr>
          <w:trHeight w:val="237"/>
        </w:trPr>
        <w:tc>
          <w:tcPr>
            <w:tcW w:w="6500" w:type="dxa"/>
            <w:vAlign w:val="bottom"/>
            <w:shd w:val="clear" w:color="auto" w:fill="E5FFFF"/>
          </w:tcPr>
          <w:p>
            <w:pPr>
              <w:spacing w:after="0"/>
              <w:rPr>
                <w:sz w:val="20"/>
                <w:szCs w:val="20"/>
                <w:color w:val="auto"/>
              </w:rPr>
            </w:pPr>
            <w:r>
              <w:rPr>
                <w:rFonts w:ascii="Arial" w:cs="Arial" w:eastAsia="Arial" w:hAnsi="Arial"/>
                <w:sz w:val="19"/>
                <w:szCs w:val="19"/>
                <w:color w:val="auto"/>
              </w:rPr>
              <w:t>Organic growth/ Operational segment profit</w:t>
            </w: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108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5%</w:t>
            </w:r>
          </w:p>
        </w:tc>
        <w:tc>
          <w:tcPr>
            <w:tcW w:w="880" w:type="dxa"/>
            <w:vAlign w:val="bottom"/>
            <w:gridSpan w:val="2"/>
            <w:shd w:val="clear" w:color="auto" w:fill="E5FFFF"/>
          </w:tcPr>
          <w:p>
            <w:pPr>
              <w:jc w:val="right"/>
              <w:ind w:right="32"/>
              <w:spacing w:after="0"/>
              <w:rPr>
                <w:sz w:val="20"/>
                <w:szCs w:val="20"/>
                <w:color w:val="auto"/>
              </w:rPr>
            </w:pPr>
            <w:r>
              <w:rPr>
                <w:rFonts w:ascii="Arial" w:cs="Arial" w:eastAsia="Arial" w:hAnsi="Arial"/>
                <w:sz w:val="19"/>
                <w:szCs w:val="19"/>
                <w:color w:val="auto"/>
              </w:rPr>
              <w:t>8%</w:t>
            </w:r>
          </w:p>
        </w:tc>
        <w:tc>
          <w:tcPr>
            <w:tcW w:w="1160" w:type="dxa"/>
            <w:vAlign w:val="bottom"/>
            <w:gridSpan w:val="2"/>
            <w:shd w:val="clear" w:color="auto" w:fill="E5FFFF"/>
          </w:tcPr>
          <w:p>
            <w:pPr>
              <w:jc w:val="right"/>
              <w:ind w:right="172"/>
              <w:spacing w:after="0"/>
              <w:rPr>
                <w:sz w:val="20"/>
                <w:szCs w:val="20"/>
                <w:color w:val="auto"/>
              </w:rPr>
            </w:pPr>
            <w:r>
              <w:rPr>
                <w:rFonts w:ascii="Arial" w:cs="Arial" w:eastAsia="Arial" w:hAnsi="Arial"/>
                <w:sz w:val="19"/>
                <w:szCs w:val="19"/>
                <w:color w:val="auto"/>
              </w:rPr>
              <w:t>10%</w:t>
            </w:r>
          </w:p>
        </w:tc>
      </w:tr>
      <w:tr>
        <w:trPr>
          <w:trHeight w:val="243"/>
        </w:trPr>
        <w:tc>
          <w:tcPr>
            <w:tcW w:w="6500" w:type="dxa"/>
            <w:vAlign w:val="bottom"/>
          </w:tcPr>
          <w:p>
            <w:pPr>
              <w:spacing w:after="0"/>
              <w:rPr>
                <w:sz w:val="20"/>
                <w:szCs w:val="20"/>
                <w:color w:val="auto"/>
              </w:rPr>
            </w:pPr>
            <w:r>
              <w:rPr>
                <w:rFonts w:ascii="Arial" w:cs="Arial" w:eastAsia="Arial" w:hAnsi="Arial"/>
                <w:sz w:val="19"/>
                <w:szCs w:val="19"/>
                <w:color w:val="auto"/>
              </w:rPr>
              <w:t>Foreign currency translation</w:t>
            </w: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1080" w:type="dxa"/>
            <w:vAlign w:val="bottom"/>
            <w:gridSpan w:val="2"/>
          </w:tcPr>
          <w:p>
            <w:pPr>
              <w:jc w:val="right"/>
              <w:ind w:right="75"/>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21"/>
                <w:szCs w:val="21"/>
                <w:color w:val="auto"/>
              </w:rPr>
            </w:pPr>
          </w:p>
        </w:tc>
        <w:tc>
          <w:tcPr>
            <w:tcW w:w="580" w:type="dxa"/>
            <w:vAlign w:val="bottom"/>
          </w:tcPr>
          <w:p>
            <w:pPr>
              <w:jc w:val="right"/>
              <w:ind w:right="212"/>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860" w:type="dxa"/>
            <w:vAlign w:val="bottom"/>
          </w:tcPr>
          <w:p>
            <w:pPr>
              <w:jc w:val="right"/>
              <w:ind w:right="332"/>
              <w:spacing w:after="0"/>
              <w:rPr>
                <w:sz w:val="20"/>
                <w:szCs w:val="20"/>
                <w:color w:val="auto"/>
              </w:rPr>
            </w:pPr>
            <w:r>
              <w:rPr>
                <w:rFonts w:ascii="Arial" w:cs="Arial" w:eastAsia="Arial" w:hAnsi="Arial"/>
                <w:sz w:val="19"/>
                <w:szCs w:val="19"/>
                <w:color w:val="auto"/>
              </w:rPr>
              <w:t>—</w:t>
            </w:r>
          </w:p>
        </w:tc>
      </w:tr>
      <w:tr>
        <w:trPr>
          <w:trHeight w:val="243"/>
        </w:trPr>
        <w:tc>
          <w:tcPr>
            <w:tcW w:w="6500" w:type="dxa"/>
            <w:vAlign w:val="bottom"/>
            <w:shd w:val="clear" w:color="auto" w:fill="E5FFFF"/>
          </w:tcPr>
          <w:p>
            <w:pPr>
              <w:spacing w:after="0"/>
              <w:rPr>
                <w:sz w:val="20"/>
                <w:szCs w:val="20"/>
                <w:color w:val="auto"/>
              </w:rPr>
            </w:pPr>
            <w:r>
              <w:rPr>
                <w:rFonts w:ascii="Arial" w:cs="Arial" w:eastAsia="Arial" w:hAnsi="Arial"/>
                <w:sz w:val="19"/>
                <w:szCs w:val="19"/>
                <w:color w:val="auto"/>
              </w:rPr>
              <w:t>Acquisitions and divestitures, net</w:t>
            </w:r>
          </w:p>
        </w:tc>
        <w:tc>
          <w:tcPr>
            <w:tcW w:w="280" w:type="dxa"/>
            <w:vAlign w:val="bottom"/>
            <w:shd w:val="clear" w:color="auto" w:fill="E5FFFF"/>
          </w:tcPr>
          <w:p>
            <w:pPr>
              <w:spacing w:after="0"/>
              <w:rPr>
                <w:sz w:val="21"/>
                <w:szCs w:val="21"/>
                <w:color w:val="auto"/>
              </w:rPr>
            </w:pPr>
          </w:p>
        </w:tc>
        <w:tc>
          <w:tcPr>
            <w:tcW w:w="500" w:type="dxa"/>
            <w:vAlign w:val="bottom"/>
            <w:tcBorders>
              <w:bottom w:val="single" w:sz="8" w:color="auto"/>
            </w:tcBorders>
            <w:shd w:val="clear" w:color="auto" w:fill="E5FFFF"/>
          </w:tcPr>
          <w:p>
            <w:pPr>
              <w:jc w:val="right"/>
              <w:ind w:right="11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780" w:type="dxa"/>
            <w:vAlign w:val="bottom"/>
            <w:tcBorders>
              <w:bottom w:val="single" w:sz="8" w:color="auto"/>
            </w:tcBorders>
            <w:shd w:val="clear" w:color="auto" w:fill="E5FFFF"/>
          </w:tcPr>
          <w:p>
            <w:pPr>
              <w:jc w:val="right"/>
              <w:ind w:right="25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w:t>
            </w:r>
          </w:p>
        </w:tc>
        <w:tc>
          <w:tcPr>
            <w:tcW w:w="300" w:type="dxa"/>
            <w:vAlign w:val="bottom"/>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ind w:right="92"/>
              <w:spacing w:after="0"/>
              <w:rPr>
                <w:sz w:val="20"/>
                <w:szCs w:val="20"/>
                <w:color w:val="auto"/>
              </w:rPr>
            </w:pPr>
            <w:r>
              <w:rPr>
                <w:rFonts w:ascii="Arial" w:cs="Arial" w:eastAsia="Arial" w:hAnsi="Arial"/>
                <w:sz w:val="19"/>
                <w:szCs w:val="19"/>
                <w:color w:val="auto"/>
              </w:rPr>
              <w:t>(6)%</w:t>
            </w:r>
          </w:p>
        </w:tc>
      </w:tr>
      <w:tr>
        <w:trPr>
          <w:trHeight w:val="250"/>
        </w:trPr>
        <w:tc>
          <w:tcPr>
            <w:tcW w:w="6500" w:type="dxa"/>
            <w:vAlign w:val="bottom"/>
          </w:tcPr>
          <w:p>
            <w:pPr>
              <w:ind w:left="360"/>
              <w:spacing w:after="0"/>
              <w:rPr>
                <w:sz w:val="20"/>
                <w:szCs w:val="20"/>
                <w:color w:val="auto"/>
              </w:rPr>
            </w:pPr>
            <w:r>
              <w:rPr>
                <w:rFonts w:ascii="Arial" w:cs="Arial" w:eastAsia="Arial" w:hAnsi="Arial"/>
                <w:sz w:val="19"/>
                <w:szCs w:val="19"/>
                <w:color w:val="auto"/>
              </w:rPr>
              <w:t>Total % Change</w:t>
            </w: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3%</w:t>
            </w:r>
          </w:p>
        </w:tc>
        <w:tc>
          <w:tcPr>
            <w:tcW w:w="1080" w:type="dxa"/>
            <w:vAlign w:val="bottom"/>
            <w:gridSpan w:val="2"/>
          </w:tcPr>
          <w:p>
            <w:pPr>
              <w:jc w:val="right"/>
              <w:ind w:right="75"/>
              <w:spacing w:after="0"/>
              <w:rPr>
                <w:sz w:val="20"/>
                <w:szCs w:val="20"/>
                <w:color w:val="auto"/>
              </w:rPr>
            </w:pPr>
            <w:r>
              <w:rPr>
                <w:rFonts w:ascii="Arial" w:cs="Arial" w:eastAsia="Arial" w:hAnsi="Arial"/>
                <w:sz w:val="19"/>
                <w:szCs w:val="19"/>
                <w:color w:val="auto"/>
              </w:rPr>
              <w:t>6%</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1160" w:type="dxa"/>
            <w:vAlign w:val="bottom"/>
            <w:gridSpan w:val="2"/>
          </w:tcPr>
          <w:p>
            <w:pPr>
              <w:jc w:val="right"/>
              <w:ind w:right="172"/>
              <w:spacing w:after="0"/>
              <w:rPr>
                <w:sz w:val="20"/>
                <w:szCs w:val="20"/>
                <w:color w:val="auto"/>
              </w:rPr>
            </w:pPr>
            <w:r>
              <w:rPr>
                <w:rFonts w:ascii="Arial" w:cs="Arial" w:eastAsia="Arial" w:hAnsi="Arial"/>
                <w:sz w:val="19"/>
                <w:szCs w:val="19"/>
                <w:color w:val="auto"/>
              </w:rPr>
              <w:t>4%</w:t>
            </w:r>
          </w:p>
        </w:tc>
      </w:tr>
      <w:tr>
        <w:trPr>
          <w:trHeight w:val="20"/>
        </w:trPr>
        <w:tc>
          <w:tcPr>
            <w:tcW w:w="6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2018 compared with 2017</w:t>
      </w:r>
    </w:p>
    <w:p>
      <w:pPr>
        <w:spacing w:after="0" w:line="130" w:lineRule="exact"/>
        <w:rPr>
          <w:sz w:val="20"/>
          <w:szCs w:val="20"/>
          <w:color w:val="auto"/>
        </w:rPr>
      </w:pPr>
    </w:p>
    <w:p>
      <w:pPr>
        <w:ind w:right="100" w:firstLine="357"/>
        <w:spacing w:after="0" w:line="253" w:lineRule="auto"/>
        <w:rPr>
          <w:sz w:val="20"/>
          <w:szCs w:val="20"/>
          <w:color w:val="auto"/>
        </w:rPr>
      </w:pPr>
      <w:r>
        <w:rPr>
          <w:rFonts w:ascii="Arial" w:cs="Arial" w:eastAsia="Arial" w:hAnsi="Arial"/>
          <w:sz w:val="19"/>
          <w:szCs w:val="19"/>
          <w:color w:val="auto"/>
        </w:rPr>
        <w:t>Performance Materials and Technologies sales increased primarily due to organic growth, mainly due to price, and the favorable impact of foreign currency translation.</w:t>
      </w:r>
    </w:p>
    <w:p>
      <w:pPr>
        <w:spacing w:after="0" w:line="53" w:lineRule="exact"/>
        <w:rPr>
          <w:sz w:val="20"/>
          <w:szCs w:val="20"/>
          <w:color w:val="auto"/>
        </w:rPr>
      </w:pPr>
    </w:p>
    <w:p>
      <w:pPr>
        <w:ind w:left="540" w:right="60" w:hanging="168"/>
        <w:spacing w:after="0" w:line="253"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UOP sales increased 3% (increased 3% organic) driven primarily by increases in engineering revenues and increased catalyst volumes, partially offset by lower gas processing equipment revenues.</w:t>
      </w:r>
    </w:p>
    <w:p>
      <w:pPr>
        <w:spacing w:after="0" w:line="66" w:lineRule="exact"/>
        <w:rPr>
          <w:rFonts w:ascii="Arial" w:cs="Arial" w:eastAsia="Arial" w:hAnsi="Arial"/>
          <w:sz w:val="19"/>
          <w:szCs w:val="19"/>
          <w:color w:val="auto"/>
        </w:rPr>
      </w:pPr>
    </w:p>
    <w:p>
      <w:pPr>
        <w:ind w:left="540" w:right="440" w:hanging="168"/>
        <w:spacing w:after="0" w:line="253"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Process Solutions sales increased 4% (increased 3% organic) driven primarily by increases in maintenance and migration services, increased revenues in projects, and higher field products sales.</w:t>
      </w:r>
    </w:p>
    <w:p>
      <w:pPr>
        <w:spacing w:after="0" w:line="66" w:lineRule="exact"/>
        <w:rPr>
          <w:rFonts w:ascii="Arial" w:cs="Arial" w:eastAsia="Arial" w:hAnsi="Arial"/>
          <w:sz w:val="19"/>
          <w:szCs w:val="19"/>
          <w:color w:val="auto"/>
        </w:rPr>
      </w:pPr>
    </w:p>
    <w:p>
      <w:pPr>
        <w:ind w:left="540" w:right="20" w:hanging="168"/>
        <w:spacing w:after="0" w:line="253"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Advanced Materials sales increased 2% (flat organic) driven primarily by increased volumes in fluorine products, partially offset by lower other specialty products sales.</w:t>
      </w:r>
    </w:p>
    <w:p>
      <w:pPr>
        <w:spacing w:after="0" w:line="80" w:lineRule="exact"/>
        <w:rPr>
          <w:sz w:val="20"/>
          <w:szCs w:val="20"/>
          <w:color w:val="auto"/>
        </w:rPr>
      </w:pPr>
    </w:p>
    <w:p>
      <w:pPr>
        <w:ind w:right="40" w:firstLine="357"/>
        <w:spacing w:after="0" w:line="241" w:lineRule="auto"/>
        <w:rPr>
          <w:sz w:val="20"/>
          <w:szCs w:val="20"/>
          <w:color w:val="auto"/>
        </w:rPr>
      </w:pPr>
      <w:r>
        <w:rPr>
          <w:rFonts w:ascii="Arial" w:cs="Arial" w:eastAsia="Arial" w:hAnsi="Arial"/>
          <w:sz w:val="19"/>
          <w:szCs w:val="19"/>
          <w:color w:val="auto"/>
        </w:rPr>
        <w:t>Performance Materials and Technologies segment profit increased primarily due to an increase in operational segment profit and the favorable impact of foreign currency translation. The increase in operational segment profit is primarily due to productivity and price, partially offset by inflation, higher sales of lower margin products, and continued investments for growth. Cost of products and services sold increased primarily due to inflation, higher sales of lower margin products, and foreign currency translation, partially offset by productivity.</w:t>
      </w:r>
    </w:p>
    <w:p>
      <w:pPr>
        <w:spacing w:after="0" w:line="28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2017 compared with 2016</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Performance Materials and Technologies sales decreased primarily due to divestitures, partially offset by organic growth.</w:t>
      </w:r>
    </w:p>
    <w:p>
      <w:pPr>
        <w:spacing w:after="0" w:line="92" w:lineRule="exact"/>
        <w:rPr>
          <w:sz w:val="20"/>
          <w:szCs w:val="20"/>
          <w:color w:val="auto"/>
        </w:rPr>
      </w:pPr>
    </w:p>
    <w:p>
      <w:pPr>
        <w:jc w:val="both"/>
        <w:ind w:left="540" w:right="460" w:hanging="168"/>
        <w:spacing w:after="0" w:line="245"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UOP sales increased 12% (increased 12% organic) driven primarily by higher gas processing project revenues, increased catalyst volumes, increased equipment sales, and increased engineering revenues, partially offset by decreased licensing revenues.</w:t>
      </w:r>
    </w:p>
    <w:p>
      <w:pPr>
        <w:spacing w:after="0" w:line="73" w:lineRule="exact"/>
        <w:rPr>
          <w:rFonts w:ascii="Arial" w:cs="Arial" w:eastAsia="Arial" w:hAnsi="Arial"/>
          <w:sz w:val="19"/>
          <w:szCs w:val="19"/>
          <w:color w:val="auto"/>
        </w:rPr>
      </w:pPr>
    </w:p>
    <w:p>
      <w:pPr>
        <w:ind w:left="540" w:right="320" w:hanging="168"/>
        <w:spacing w:after="0" w:line="253"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Process Solutions sales increased 3% (increased 3% organic) driven primarily by higher revenue in smart energy, services, thermal solutions, and software, partially offset by lower field products sales.</w:t>
      </w:r>
    </w:p>
    <w:p>
      <w:pPr>
        <w:spacing w:after="0" w:line="66" w:lineRule="exact"/>
        <w:rPr>
          <w:rFonts w:ascii="Arial" w:cs="Arial" w:eastAsia="Arial" w:hAnsi="Arial"/>
          <w:sz w:val="19"/>
          <w:szCs w:val="19"/>
          <w:color w:val="auto"/>
        </w:rPr>
      </w:pPr>
    </w:p>
    <w:p>
      <w:pPr>
        <w:ind w:left="540" w:right="380" w:hanging="168"/>
        <w:spacing w:after="0" w:line="253"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Advanced Materials sales decreased 16% (increased 11% organic) driven primarily by the spin-off of the former resins and chemicals business, partially offset by increased volumes in fluorine products.</w:t>
      </w:r>
    </w:p>
    <w:p>
      <w:pPr>
        <w:spacing w:after="0" w:line="80" w:lineRule="exact"/>
        <w:rPr>
          <w:sz w:val="20"/>
          <w:szCs w:val="20"/>
          <w:color w:val="auto"/>
        </w:rPr>
      </w:pPr>
    </w:p>
    <w:p>
      <w:pPr>
        <w:ind w:right="100" w:firstLine="357"/>
        <w:spacing w:after="0" w:line="242" w:lineRule="auto"/>
        <w:rPr>
          <w:sz w:val="20"/>
          <w:szCs w:val="20"/>
          <w:color w:val="auto"/>
        </w:rPr>
      </w:pPr>
      <w:r>
        <w:rPr>
          <w:rFonts w:ascii="Arial" w:cs="Arial" w:eastAsia="Arial" w:hAnsi="Arial"/>
          <w:sz w:val="19"/>
          <w:szCs w:val="19"/>
          <w:color w:val="auto"/>
        </w:rPr>
        <w:t>Performance Materials and Technologies segment profit increased primarily due to an increase in operational segment profit, partially offset by divestitures. The increase in operational segment profit is primarily due to productivity, net of inflation, higher organic sales volume and pricing, partially offset by unfavorable product mix and continued investments for growth. Cost of products and services sold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27" w:name="page28"/>
    <w:bookmarkEnd w:id="27"/>
    <w:p>
      <w:pPr>
        <w:spacing w:after="0"/>
        <w:rPr>
          <w:sz w:val="20"/>
          <w:szCs w:val="20"/>
          <w:color w:val="auto"/>
        </w:rPr>
      </w:pPr>
      <w:r>
        <w:rPr>
          <w:rFonts w:ascii="Arial" w:cs="Arial" w:eastAsia="Arial" w:hAnsi="Arial"/>
          <w:sz w:val="19"/>
          <w:szCs w:val="19"/>
          <w:color w:val="auto"/>
        </w:rPr>
        <w:t>decreased primarily due to divestitures and productivity, net of inflation, partially offset by higher organic sales volumes.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Safety and Productivity Solutions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6"/>
                <w:szCs w:val="16"/>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Change</w:t>
            </w:r>
          </w:p>
        </w:tc>
        <w:tc>
          <w:tcPr>
            <w:tcW w:w="30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6"/>
                <w:szCs w:val="16"/>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8"/>
              </w:rPr>
              <w:t>Change</w:t>
            </w:r>
          </w:p>
        </w:tc>
      </w:tr>
      <w:tr>
        <w:trPr>
          <w:trHeight w:val="237"/>
        </w:trPr>
        <w:tc>
          <w:tcPr>
            <w:tcW w:w="67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Net sales</w:t>
            </w: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$ 6,337</w:t>
            </w:r>
          </w:p>
        </w:tc>
        <w:tc>
          <w:tcPr>
            <w:tcW w:w="520" w:type="dxa"/>
            <w:vAlign w:val="bottom"/>
            <w:gridSpan w:val="4"/>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5,639</w:t>
            </w:r>
          </w:p>
        </w:tc>
        <w:tc>
          <w:tcPr>
            <w:tcW w:w="3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560" w:type="dxa"/>
            <w:vAlign w:val="bottom"/>
            <w:gridSpan w:val="2"/>
            <w:shd w:val="clear" w:color="auto" w:fill="E5FFFF"/>
          </w:tcPr>
          <w:p>
            <w:pPr>
              <w:jc w:val="right"/>
              <w:ind w:right="29"/>
              <w:spacing w:after="0"/>
              <w:rPr>
                <w:sz w:val="20"/>
                <w:szCs w:val="20"/>
                <w:color w:val="auto"/>
              </w:rPr>
            </w:pPr>
            <w:r>
              <w:rPr>
                <w:rFonts w:ascii="Arial" w:cs="Arial" w:eastAsia="Arial" w:hAnsi="Arial"/>
                <w:sz w:val="19"/>
                <w:szCs w:val="19"/>
                <w:color w:val="auto"/>
              </w:rPr>
              <w:t>12%</w:t>
            </w:r>
          </w:p>
        </w:tc>
        <w:tc>
          <w:tcPr>
            <w:tcW w:w="26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4,625</w:t>
            </w:r>
          </w:p>
        </w:tc>
        <w:tc>
          <w:tcPr>
            <w:tcW w:w="300" w:type="dxa"/>
            <w:vAlign w:val="bottom"/>
            <w:shd w:val="clear" w:color="auto" w:fill="E5FFFF"/>
          </w:tcPr>
          <w:p>
            <w:pPr>
              <w:spacing w:after="0"/>
              <w:rPr>
                <w:sz w:val="20"/>
                <w:szCs w:val="20"/>
                <w:color w:val="auto"/>
              </w:rPr>
            </w:pPr>
          </w:p>
        </w:tc>
        <w:tc>
          <w:tcPr>
            <w:tcW w:w="600" w:type="dxa"/>
            <w:vAlign w:val="bottom"/>
            <w:gridSpan w:val="2"/>
            <w:shd w:val="clear" w:color="auto" w:fill="E5FFFF"/>
          </w:tcPr>
          <w:p>
            <w:pPr>
              <w:jc w:val="center"/>
              <w:spacing w:after="0"/>
              <w:rPr>
                <w:sz w:val="20"/>
                <w:szCs w:val="20"/>
                <w:color w:val="auto"/>
              </w:rPr>
            </w:pPr>
            <w:r>
              <w:rPr>
                <w:rFonts w:ascii="Arial" w:cs="Arial" w:eastAsia="Arial" w:hAnsi="Arial"/>
                <w:sz w:val="19"/>
                <w:szCs w:val="19"/>
                <w:color w:val="auto"/>
                <w:w w:val="99"/>
              </w:rPr>
              <w:t>22%</w:t>
            </w:r>
          </w:p>
        </w:tc>
      </w:tr>
      <w:tr>
        <w:trPr>
          <w:trHeight w:val="243"/>
        </w:trPr>
        <w:tc>
          <w:tcPr>
            <w:tcW w:w="6700" w:type="dxa"/>
            <w:vAlign w:val="bottom"/>
            <w:gridSpan w:val="2"/>
          </w:tcPr>
          <w:p>
            <w:pPr>
              <w:spacing w:after="0"/>
              <w:rPr>
                <w:sz w:val="20"/>
                <w:szCs w:val="20"/>
                <w:color w:val="auto"/>
              </w:rPr>
            </w:pPr>
            <w:r>
              <w:rPr>
                <w:rFonts w:ascii="Arial" w:cs="Arial" w:eastAsia="Arial" w:hAnsi="Arial"/>
                <w:sz w:val="19"/>
                <w:szCs w:val="19"/>
                <w:color w:val="auto"/>
              </w:rPr>
              <w:t>Cost of products and services sold</w:t>
            </w:r>
          </w:p>
        </w:tc>
        <w:tc>
          <w:tcPr>
            <w:tcW w:w="680" w:type="dxa"/>
            <w:vAlign w:val="bottom"/>
            <w:gridSpan w:val="3"/>
          </w:tcPr>
          <w:p>
            <w:pPr>
              <w:jc w:val="right"/>
              <w:spacing w:after="0"/>
              <w:rPr>
                <w:sz w:val="20"/>
                <w:szCs w:val="20"/>
                <w:color w:val="auto"/>
              </w:rPr>
            </w:pPr>
            <w:r>
              <w:rPr>
                <w:rFonts w:ascii="Arial" w:cs="Arial" w:eastAsia="Arial" w:hAnsi="Arial"/>
                <w:sz w:val="19"/>
                <w:szCs w:val="19"/>
                <w:color w:val="auto"/>
              </w:rPr>
              <w:t>4,205</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9"/>
                <w:szCs w:val="19"/>
                <w:color w:val="auto"/>
              </w:rPr>
              <w:t>3,714</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9"/>
                <w:szCs w:val="19"/>
                <w:color w:val="auto"/>
              </w:rPr>
              <w:t>3,001</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67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Selling, general and administrative and other expenses</w:t>
            </w:r>
          </w:p>
        </w:tc>
        <w:tc>
          <w:tcPr>
            <w:tcW w:w="68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1,100</w:t>
            </w:r>
          </w:p>
        </w:tc>
        <w:tc>
          <w:tcPr>
            <w:tcW w:w="6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1,073</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944</w:t>
            </w:r>
          </w:p>
        </w:tc>
        <w:tc>
          <w:tcPr>
            <w:tcW w:w="3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r>
      <w:tr>
        <w:trPr>
          <w:trHeight w:val="250"/>
        </w:trPr>
        <w:tc>
          <w:tcPr>
            <w:tcW w:w="6700" w:type="dxa"/>
            <w:vAlign w:val="bottom"/>
            <w:gridSpan w:val="2"/>
          </w:tcPr>
          <w:p>
            <w:pPr>
              <w:spacing w:after="0"/>
              <w:rPr>
                <w:sz w:val="20"/>
                <w:szCs w:val="20"/>
                <w:color w:val="auto"/>
              </w:rPr>
            </w:pPr>
            <w:r>
              <w:rPr>
                <w:rFonts w:ascii="Arial" w:cs="Arial" w:eastAsia="Arial" w:hAnsi="Arial"/>
                <w:sz w:val="19"/>
                <w:szCs w:val="19"/>
                <w:color w:val="auto"/>
              </w:rPr>
              <w:t>Segment profit</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$ 1,032</w:t>
            </w:r>
          </w:p>
        </w:tc>
        <w:tc>
          <w:tcPr>
            <w:tcW w:w="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9"/>
                <w:szCs w:val="19"/>
                <w:color w:val="auto"/>
                <w:w w:val="94"/>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852</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2"/>
          </w:tcPr>
          <w:p>
            <w:pPr>
              <w:jc w:val="right"/>
              <w:ind w:right="29"/>
              <w:spacing w:after="0"/>
              <w:rPr>
                <w:sz w:val="20"/>
                <w:szCs w:val="20"/>
                <w:color w:val="auto"/>
              </w:rPr>
            </w:pPr>
            <w:r>
              <w:rPr>
                <w:rFonts w:ascii="Arial" w:cs="Arial" w:eastAsia="Arial" w:hAnsi="Arial"/>
                <w:sz w:val="19"/>
                <w:szCs w:val="19"/>
                <w:color w:val="auto"/>
              </w:rPr>
              <w:t>21%</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680</w:t>
            </w:r>
          </w:p>
        </w:tc>
        <w:tc>
          <w:tcPr>
            <w:tcW w:w="300" w:type="dxa"/>
            <w:vAlign w:val="bottom"/>
          </w:tcPr>
          <w:p>
            <w:pPr>
              <w:spacing w:after="0"/>
              <w:rPr>
                <w:sz w:val="21"/>
                <w:szCs w:val="21"/>
                <w:color w:val="auto"/>
              </w:rPr>
            </w:pPr>
          </w:p>
        </w:tc>
        <w:tc>
          <w:tcPr>
            <w:tcW w:w="600" w:type="dxa"/>
            <w:vAlign w:val="bottom"/>
            <w:gridSpan w:val="2"/>
          </w:tcPr>
          <w:p>
            <w:pPr>
              <w:jc w:val="center"/>
              <w:spacing w:after="0"/>
              <w:rPr>
                <w:sz w:val="20"/>
                <w:szCs w:val="20"/>
                <w:color w:val="auto"/>
              </w:rPr>
            </w:pPr>
            <w:r>
              <w:rPr>
                <w:rFonts w:ascii="Arial" w:cs="Arial" w:eastAsia="Arial" w:hAnsi="Arial"/>
                <w:sz w:val="19"/>
                <w:szCs w:val="19"/>
                <w:color w:val="auto"/>
                <w:w w:val="99"/>
              </w:rPr>
              <w:t>25%</w:t>
            </w:r>
          </w:p>
        </w:tc>
      </w:tr>
      <w:tr>
        <w:trPr>
          <w:trHeight w:val="20"/>
        </w:trPr>
        <w:tc>
          <w:tcPr>
            <w:tcW w:w="5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2018 vs. 2017</w:t>
            </w:r>
          </w:p>
        </w:tc>
        <w:tc>
          <w:tcPr>
            <w:tcW w:w="1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6"/>
                <w:szCs w:val="16"/>
                <w:b w:val="1"/>
                <w:bCs w:val="1"/>
                <w:color w:val="auto"/>
              </w:rPr>
              <w:t>2017 vs. 2016</w:t>
            </w:r>
          </w:p>
        </w:tc>
        <w:tc>
          <w:tcPr>
            <w:tcW w:w="8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r>
      <w:tr>
        <w:trPr>
          <w:trHeight w:val="155"/>
        </w:trPr>
        <w:tc>
          <w:tcPr>
            <w:tcW w:w="50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3"/>
          </w:tcPr>
          <w:p>
            <w:pPr>
              <w:ind w:left="60"/>
              <w:spacing w:after="0" w:line="155" w:lineRule="exact"/>
              <w:rPr>
                <w:sz w:val="20"/>
                <w:szCs w:val="20"/>
                <w:color w:val="auto"/>
              </w:rPr>
            </w:pPr>
            <w:r>
              <w:rPr>
                <w:rFonts w:ascii="Arial" w:cs="Arial" w:eastAsia="Arial" w:hAnsi="Arial"/>
                <w:sz w:val="16"/>
                <w:szCs w:val="16"/>
                <w:b w:val="1"/>
                <w:bCs w:val="1"/>
                <w:color w:val="auto"/>
              </w:rPr>
              <w:t>Segment</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0"/>
              <w:spacing w:after="0" w:line="155" w:lineRule="exact"/>
              <w:rPr>
                <w:sz w:val="20"/>
                <w:szCs w:val="20"/>
                <w:color w:val="auto"/>
              </w:rPr>
            </w:pPr>
            <w:r>
              <w:rPr>
                <w:rFonts w:ascii="Arial" w:cs="Arial" w:eastAsia="Arial" w:hAnsi="Arial"/>
                <w:sz w:val="16"/>
                <w:szCs w:val="16"/>
                <w:b w:val="1"/>
                <w:bCs w:val="1"/>
                <w:color w:val="auto"/>
              </w:rPr>
              <w:t>Segment</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90"/>
        </w:trPr>
        <w:tc>
          <w:tcPr>
            <w:tcW w:w="500" w:type="dxa"/>
            <w:vAlign w:val="bottom"/>
          </w:tcPr>
          <w:p>
            <w:pPr>
              <w:spacing w:after="0"/>
              <w:rPr>
                <w:sz w:val="16"/>
                <w:szCs w:val="16"/>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Factors Contributing to Year-Over-Year Change</w:t>
            </w:r>
          </w:p>
        </w:tc>
        <w:tc>
          <w:tcPr>
            <w:tcW w:w="3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Sales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Profit</w:t>
            </w:r>
          </w:p>
        </w:tc>
        <w:tc>
          <w:tcPr>
            <w:tcW w:w="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Sales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Profit</w:t>
            </w:r>
          </w:p>
        </w:tc>
        <w:tc>
          <w:tcPr>
            <w:tcW w:w="8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r>
      <w:tr>
        <w:trPr>
          <w:trHeight w:val="237"/>
        </w:trPr>
        <w:tc>
          <w:tcPr>
            <w:tcW w:w="500" w:type="dxa"/>
            <w:vAlign w:val="bottom"/>
          </w:tcPr>
          <w:p>
            <w:pPr>
              <w:spacing w:after="0"/>
              <w:rPr>
                <w:sz w:val="20"/>
                <w:szCs w:val="20"/>
                <w:color w:val="auto"/>
              </w:rPr>
            </w:pPr>
          </w:p>
        </w:tc>
        <w:tc>
          <w:tcPr>
            <w:tcW w:w="6200" w:type="dxa"/>
            <w:vAlign w:val="bottom"/>
            <w:shd w:val="clear" w:color="auto" w:fill="E5FFFF"/>
          </w:tcPr>
          <w:p>
            <w:pPr>
              <w:spacing w:after="0"/>
              <w:rPr>
                <w:sz w:val="20"/>
                <w:szCs w:val="20"/>
                <w:color w:val="auto"/>
              </w:rPr>
            </w:pPr>
            <w:r>
              <w:rPr>
                <w:rFonts w:ascii="Arial" w:cs="Arial" w:eastAsia="Arial" w:hAnsi="Arial"/>
                <w:sz w:val="19"/>
                <w:szCs w:val="19"/>
                <w:color w:val="auto"/>
              </w:rPr>
              <w:t>Organic growth/ Operational segment profit</w:t>
            </w:r>
          </w:p>
        </w:tc>
        <w:tc>
          <w:tcPr>
            <w:tcW w:w="3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w w:val="99"/>
              </w:rPr>
              <w:t>11%</w:t>
            </w:r>
          </w:p>
        </w:tc>
        <w:tc>
          <w:tcPr>
            <w:tcW w:w="80" w:type="dxa"/>
            <w:vAlign w:val="bottom"/>
            <w:shd w:val="clear" w:color="auto" w:fill="E5FFFF"/>
          </w:tcPr>
          <w:p>
            <w:pPr>
              <w:spacing w:after="0"/>
              <w:rPr>
                <w:sz w:val="20"/>
                <w:szCs w:val="20"/>
                <w:color w:val="auto"/>
              </w:rPr>
            </w:pPr>
          </w:p>
        </w:tc>
        <w:tc>
          <w:tcPr>
            <w:tcW w:w="88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20%</w:t>
            </w:r>
          </w:p>
        </w:tc>
        <w:tc>
          <w:tcPr>
            <w:tcW w:w="140" w:type="dxa"/>
            <w:vAlign w:val="bottom"/>
            <w:shd w:val="clear" w:color="auto" w:fill="E5FFFF"/>
          </w:tcPr>
          <w:p>
            <w:pPr>
              <w:spacing w:after="0"/>
              <w:rPr>
                <w:sz w:val="20"/>
                <w:szCs w:val="20"/>
                <w:color w:val="auto"/>
              </w:rPr>
            </w:pPr>
          </w:p>
        </w:tc>
        <w:tc>
          <w:tcPr>
            <w:tcW w:w="8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5%</w:t>
            </w:r>
          </w:p>
        </w:tc>
        <w:tc>
          <w:tcPr>
            <w:tcW w:w="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880" w:type="dxa"/>
            <w:vAlign w:val="bottom"/>
            <w:gridSpan w:val="3"/>
            <w:shd w:val="clear" w:color="auto" w:fill="E5FFFF"/>
          </w:tcPr>
          <w:p>
            <w:pPr>
              <w:jc w:val="right"/>
              <w:ind w:right="120"/>
              <w:spacing w:after="0"/>
              <w:rPr>
                <w:sz w:val="20"/>
                <w:szCs w:val="20"/>
                <w:color w:val="auto"/>
              </w:rPr>
            </w:pPr>
            <w:r>
              <w:rPr>
                <w:rFonts w:ascii="Arial" w:cs="Arial" w:eastAsia="Arial" w:hAnsi="Arial"/>
                <w:sz w:val="19"/>
                <w:szCs w:val="19"/>
                <w:color w:val="auto"/>
              </w:rPr>
              <w:t>18%</w:t>
            </w:r>
          </w:p>
        </w:tc>
        <w:tc>
          <w:tcPr>
            <w:tcW w:w="80" w:type="dxa"/>
            <w:vAlign w:val="bottom"/>
            <w:shd w:val="clear" w:color="auto" w:fill="E5FFFF"/>
          </w:tcPr>
          <w:p>
            <w:pPr>
              <w:spacing w:after="0"/>
              <w:rPr>
                <w:sz w:val="20"/>
                <w:szCs w:val="20"/>
                <w:color w:val="auto"/>
              </w:rPr>
            </w:pPr>
          </w:p>
        </w:tc>
        <w:tc>
          <w:tcPr>
            <w:tcW w:w="520" w:type="dxa"/>
            <w:vAlign w:val="bottom"/>
          </w:tcPr>
          <w:p>
            <w:pPr>
              <w:spacing w:after="0"/>
              <w:rPr>
                <w:sz w:val="20"/>
                <w:szCs w:val="20"/>
                <w:color w:val="auto"/>
              </w:rPr>
            </w:pPr>
          </w:p>
        </w:tc>
      </w:tr>
      <w:tr>
        <w:trPr>
          <w:trHeight w:val="243"/>
        </w:trPr>
        <w:tc>
          <w:tcPr>
            <w:tcW w:w="500" w:type="dxa"/>
            <w:vAlign w:val="bottom"/>
          </w:tcPr>
          <w:p>
            <w:pPr>
              <w:spacing w:after="0"/>
              <w:rPr>
                <w:sz w:val="21"/>
                <w:szCs w:val="21"/>
                <w:color w:val="auto"/>
              </w:rPr>
            </w:pPr>
          </w:p>
        </w:tc>
        <w:tc>
          <w:tcPr>
            <w:tcW w:w="6200" w:type="dxa"/>
            <w:vAlign w:val="bottom"/>
          </w:tcPr>
          <w:p>
            <w:pPr>
              <w:spacing w:after="0"/>
              <w:rPr>
                <w:sz w:val="20"/>
                <w:szCs w:val="20"/>
                <w:color w:val="auto"/>
              </w:rPr>
            </w:pPr>
            <w:r>
              <w:rPr>
                <w:rFonts w:ascii="Arial" w:cs="Arial" w:eastAsia="Arial" w:hAnsi="Arial"/>
                <w:sz w:val="19"/>
                <w:szCs w:val="19"/>
                <w:color w:val="auto"/>
              </w:rPr>
              <w:t>Foreign currency translation</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9"/>
                <w:szCs w:val="19"/>
                <w:color w:val="auto"/>
              </w:rPr>
              <w:t>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6200" w:type="dxa"/>
            <w:vAlign w:val="bottom"/>
            <w:shd w:val="clear" w:color="auto" w:fill="E5FFFF"/>
          </w:tcPr>
          <w:p>
            <w:pPr>
              <w:spacing w:after="0"/>
              <w:rPr>
                <w:sz w:val="20"/>
                <w:szCs w:val="20"/>
                <w:color w:val="auto"/>
              </w:rPr>
            </w:pPr>
            <w:r>
              <w:rPr>
                <w:rFonts w:ascii="Arial" w:cs="Arial" w:eastAsia="Arial" w:hAnsi="Arial"/>
                <w:sz w:val="19"/>
                <w:szCs w:val="19"/>
                <w:color w:val="auto"/>
              </w:rPr>
              <w:t>Acquisitions and divestitures, net</w:t>
            </w:r>
          </w:p>
        </w:tc>
        <w:tc>
          <w:tcPr>
            <w:tcW w:w="3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60" w:type="dxa"/>
            <w:vAlign w:val="bottom"/>
            <w:tcBorders>
              <w:bottom w:val="single" w:sz="8" w:color="auto"/>
            </w:tcBorders>
            <w:shd w:val="clear" w:color="auto" w:fill="E5FFFF"/>
          </w:tcPr>
          <w:p>
            <w:pPr>
              <w:spacing w:after="0"/>
              <w:rPr>
                <w:sz w:val="21"/>
                <w:szCs w:val="21"/>
                <w:color w:val="auto"/>
              </w:rPr>
            </w:pPr>
          </w:p>
        </w:tc>
        <w:tc>
          <w:tcPr>
            <w:tcW w:w="440" w:type="dxa"/>
            <w:vAlign w:val="bottom"/>
            <w:tcBorders>
              <w:bottom w:val="single" w:sz="8" w:color="auto"/>
            </w:tcBorders>
            <w:gridSpan w:val="3"/>
            <w:shd w:val="clear" w:color="auto" w:fill="E5FFFF"/>
          </w:tcPr>
          <w:p>
            <w:pPr>
              <w:jc w:val="right"/>
              <w:ind w:right="103"/>
              <w:spacing w:after="0"/>
              <w:rPr>
                <w:sz w:val="20"/>
                <w:szCs w:val="20"/>
                <w:color w:val="auto"/>
              </w:rPr>
            </w:pPr>
            <w:r>
              <w:rPr>
                <w:rFonts w:ascii="Arial" w:cs="Arial" w:eastAsia="Arial" w:hAnsi="Arial"/>
                <w:sz w:val="19"/>
                <w:szCs w:val="19"/>
                <w:color w:val="auto"/>
              </w:rPr>
              <w:t>—</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60" w:type="dxa"/>
            <w:vAlign w:val="bottom"/>
            <w:tcBorders>
              <w:bottom w:val="single" w:sz="8" w:color="auto"/>
            </w:tcBorders>
            <w:gridSpan w:val="2"/>
            <w:shd w:val="clear" w:color="auto" w:fill="E5FFFF"/>
          </w:tcPr>
          <w:p>
            <w:pPr>
              <w:jc w:val="right"/>
              <w:ind w:right="200"/>
              <w:spacing w:after="0"/>
              <w:rPr>
                <w:sz w:val="20"/>
                <w:szCs w:val="20"/>
                <w:color w:val="auto"/>
              </w:rPr>
            </w:pPr>
            <w:r>
              <w:rPr>
                <w:rFonts w:ascii="Arial" w:cs="Arial" w:eastAsia="Arial" w:hAnsi="Arial"/>
                <w:sz w:val="19"/>
                <w:szCs w:val="19"/>
                <w:color w:val="auto"/>
              </w:rPr>
              <w:t>—</w:t>
            </w:r>
          </w:p>
        </w:tc>
        <w:tc>
          <w:tcPr>
            <w:tcW w:w="14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5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17%</w:t>
            </w: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7%</w:t>
            </w:r>
          </w:p>
        </w:tc>
        <w:tc>
          <w:tcPr>
            <w:tcW w:w="80" w:type="dxa"/>
            <w:vAlign w:val="bottom"/>
            <w:tcBorders>
              <w:bottom w:val="single" w:sz="8" w:color="auto"/>
            </w:tcBorders>
            <w:shd w:val="clear" w:color="auto" w:fill="E5FFFF"/>
          </w:tcPr>
          <w:p>
            <w:pPr>
              <w:spacing w:after="0"/>
              <w:rPr>
                <w:sz w:val="21"/>
                <w:szCs w:val="21"/>
                <w:color w:val="auto"/>
              </w:rPr>
            </w:pPr>
          </w:p>
        </w:tc>
        <w:tc>
          <w:tcPr>
            <w:tcW w:w="5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200" w:type="dxa"/>
            <w:vAlign w:val="bottom"/>
          </w:tcPr>
          <w:p>
            <w:pPr>
              <w:spacing w:after="0"/>
              <w:rPr>
                <w:sz w:val="20"/>
                <w:szCs w:val="20"/>
                <w:color w:val="auto"/>
              </w:rPr>
            </w:pPr>
            <w:r>
              <w:rPr>
                <w:rFonts w:ascii="Arial" w:cs="Arial" w:eastAsia="Arial" w:hAnsi="Arial"/>
                <w:sz w:val="19"/>
                <w:szCs w:val="19"/>
                <w:color w:val="auto"/>
              </w:rPr>
              <w:t>Total % Change</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9"/>
                <w:szCs w:val="19"/>
                <w:color w:val="auto"/>
                <w:w w:val="99"/>
              </w:rPr>
              <w:t>12%</w:t>
            </w:r>
          </w:p>
        </w:tc>
        <w:tc>
          <w:tcPr>
            <w:tcW w:w="8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9"/>
                <w:szCs w:val="19"/>
                <w:color w:val="auto"/>
              </w:rPr>
              <w:t>21%</w:t>
            </w:r>
          </w:p>
        </w:tc>
        <w:tc>
          <w:tcPr>
            <w:tcW w:w="14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9"/>
                <w:szCs w:val="19"/>
                <w:color w:val="auto"/>
              </w:rPr>
              <w:t>22%</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9"/>
                <w:szCs w:val="19"/>
                <w:color w:val="auto"/>
              </w:rPr>
              <w:t>25%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31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2018 compared with 2017</w:t>
      </w:r>
    </w:p>
    <w:p>
      <w:pPr>
        <w:spacing w:after="0" w:line="116" w:lineRule="exact"/>
        <w:rPr>
          <w:sz w:val="20"/>
          <w:szCs w:val="20"/>
          <w:color w:val="auto"/>
        </w:rPr>
      </w:pPr>
    </w:p>
    <w:p>
      <w:pPr>
        <w:ind w:right="620" w:firstLine="357"/>
        <w:spacing w:after="0" w:line="253" w:lineRule="auto"/>
        <w:rPr>
          <w:sz w:val="20"/>
          <w:szCs w:val="20"/>
          <w:color w:val="auto"/>
        </w:rPr>
      </w:pPr>
      <w:r>
        <w:rPr>
          <w:rFonts w:ascii="Arial" w:cs="Arial" w:eastAsia="Arial" w:hAnsi="Arial"/>
          <w:sz w:val="19"/>
          <w:szCs w:val="19"/>
          <w:color w:val="auto"/>
        </w:rPr>
        <w:t>Safety and Productivity Solutions sales increased primarily due to organic sales growth, mainly due to sales volume and a modest impact due to price.</w:t>
      </w:r>
    </w:p>
    <w:p>
      <w:pPr>
        <w:spacing w:after="0" w:line="66" w:lineRule="exact"/>
        <w:rPr>
          <w:sz w:val="20"/>
          <w:szCs w:val="20"/>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Sales in Safety increased 5% (increased 4% organic) due to increased sales volume in both Industrial Safety and Retail.</w:t>
      </w:r>
    </w:p>
    <w:p>
      <w:pPr>
        <w:spacing w:after="0" w:line="105" w:lineRule="exact"/>
        <w:rPr>
          <w:rFonts w:ascii="Arial" w:cs="Arial" w:eastAsia="Arial" w:hAnsi="Arial"/>
          <w:sz w:val="19"/>
          <w:szCs w:val="19"/>
          <w:color w:val="auto"/>
        </w:rPr>
      </w:pPr>
    </w:p>
    <w:p>
      <w:pPr>
        <w:ind w:left="540" w:right="20" w:hanging="168"/>
        <w:spacing w:after="0" w:line="253"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Sales in Productivity Solutions increased 17% (increased 16% organic) primarily due to increased sales volume in Intelligrated, Sensing and IoT, and Productivity Products.</w:t>
      </w:r>
    </w:p>
    <w:p>
      <w:pPr>
        <w:spacing w:after="0" w:line="80" w:lineRule="exact"/>
        <w:rPr>
          <w:sz w:val="20"/>
          <w:szCs w:val="20"/>
          <w:color w:val="auto"/>
        </w:rPr>
      </w:pPr>
    </w:p>
    <w:p>
      <w:pPr>
        <w:jc w:val="both"/>
        <w:ind w:right="660" w:firstLine="357"/>
        <w:spacing w:after="0" w:line="245" w:lineRule="auto"/>
        <w:rPr>
          <w:sz w:val="20"/>
          <w:szCs w:val="20"/>
          <w:color w:val="auto"/>
        </w:rPr>
      </w:pPr>
      <w:r>
        <w:rPr>
          <w:rFonts w:ascii="Arial" w:cs="Arial" w:eastAsia="Arial" w:hAnsi="Arial"/>
          <w:sz w:val="19"/>
          <w:szCs w:val="19"/>
          <w:color w:val="auto"/>
        </w:rPr>
        <w:t>Safety and Productivity Solutions segment profit increased primarily due to an increase in operational segment profit. The increase in operational segment profit was driven by higher sales volume and price. Cost of products and services increased primarily due to higher organic sales.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2017 compared with 2016</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Safety and Productivity Solutions sales increased primarily due to acquisitions and organic sales volume.</w:t>
      </w:r>
    </w:p>
    <w:p>
      <w:pPr>
        <w:spacing w:after="0" w:line="92" w:lineRule="exact"/>
        <w:rPr>
          <w:sz w:val="20"/>
          <w:szCs w:val="20"/>
          <w:color w:val="auto"/>
        </w:rPr>
      </w:pPr>
    </w:p>
    <w:p>
      <w:pPr>
        <w:ind w:left="540" w:right="200" w:hanging="168"/>
        <w:spacing w:after="0" w:line="253"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Sales in Safety increased 5% (increased 4% organic) due to increased sales volume in the Industrial Safety business, higher distribution in the Retail business, and the favorable impact of foreign currency translation.</w:t>
      </w:r>
    </w:p>
    <w:p>
      <w:pPr>
        <w:spacing w:after="0" w:line="52" w:lineRule="exact"/>
        <w:rPr>
          <w:rFonts w:ascii="Arial" w:cs="Arial" w:eastAsia="Arial" w:hAnsi="Arial"/>
          <w:sz w:val="19"/>
          <w:szCs w:val="19"/>
          <w:color w:val="auto"/>
        </w:rPr>
      </w:pPr>
    </w:p>
    <w:p>
      <w:pPr>
        <w:ind w:left="540" w:right="120" w:hanging="168"/>
        <w:spacing w:after="0" w:line="253"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Sales in Productivity Solutions increased 36% (increased 6% organic) principally due to growth from acquisitions (Intelligrated was acquired in August 2016).</w:t>
      </w:r>
    </w:p>
    <w:p>
      <w:pPr>
        <w:spacing w:after="0" w:line="93" w:lineRule="exact"/>
        <w:rPr>
          <w:sz w:val="20"/>
          <w:szCs w:val="20"/>
          <w:color w:val="auto"/>
        </w:rPr>
      </w:pPr>
    </w:p>
    <w:p>
      <w:pPr>
        <w:ind w:right="160" w:firstLine="357"/>
        <w:spacing w:after="0" w:line="245" w:lineRule="auto"/>
        <w:rPr>
          <w:sz w:val="20"/>
          <w:szCs w:val="20"/>
          <w:color w:val="auto"/>
        </w:rPr>
      </w:pPr>
      <w:r>
        <w:rPr>
          <w:rFonts w:ascii="Arial" w:cs="Arial" w:eastAsia="Arial" w:hAnsi="Arial"/>
          <w:sz w:val="19"/>
          <w:szCs w:val="19"/>
          <w:color w:val="auto"/>
        </w:rPr>
        <w:t>Safety and Productivity Solutions segment profit increased due to an increase from operational segment profit and acquisitions. The increase in operational segment profit is driven by higher productivity, net of inflation, and sales volume. Cost of products and services increased primarily due to acquisitions and higher sales volume offset by productivity, net of inflation.</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Repositioning Charges</w:t>
      </w:r>
    </w:p>
    <w:p>
      <w:pPr>
        <w:spacing w:after="0" w:line="130"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See Note 3 Repositioning and Other Charges of Notes to Consolidated Financial Statements for a discussion of our repositioning actions and related charges incurred in 2018, 2017 and 2016. Cash spending related to our repositioning actions was $285 million, $177 million and $228 million in 2018, 2017 and 2016, and was funded through operating cash flows. In 2019, we expect cash spending for repositioning actions to be approximately $300 million and to be funded through operating cash flows.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28" w:name="page29"/>
    <w:bookmarkEnd w:id="28"/>
    <w:p>
      <w:pPr>
        <w:spacing w:after="0"/>
        <w:rPr>
          <w:sz w:val="20"/>
          <w:szCs w:val="20"/>
          <w:color w:val="auto"/>
        </w:rPr>
      </w:pPr>
      <w:r>
        <w:rPr>
          <w:rFonts w:ascii="Arial" w:cs="Arial" w:eastAsia="Arial" w:hAnsi="Arial"/>
          <w:sz w:val="23"/>
          <w:szCs w:val="23"/>
          <w:b w:val="1"/>
          <w:bCs w:val="1"/>
          <w:color w:val="auto"/>
        </w:rPr>
        <w:t>LIQUIDITY AND CAPITAL RESOURCES</w:t>
      </w:r>
    </w:p>
    <w:p>
      <w:pPr>
        <w:spacing w:after="0" w:line="147"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access to the public debt and equity markets and the ability to access non-U.S. cash as a result of the U.S. Tax Reform. We continue to balance our cash and financing uses through investment in our existing core businesses, acquisition activity, share repurchases and dividends.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Flow Summary</w:t>
      </w:r>
    </w:p>
    <w:p>
      <w:pPr>
        <w:spacing w:after="0" w:line="130" w:lineRule="exact"/>
        <w:rPr>
          <w:sz w:val="20"/>
          <w:szCs w:val="20"/>
          <w:color w:val="auto"/>
        </w:rPr>
      </w:pPr>
    </w:p>
    <w:p>
      <w:pPr>
        <w:ind w:right="160" w:firstLine="357"/>
        <w:spacing w:after="0" w:line="246" w:lineRule="auto"/>
        <w:rPr>
          <w:sz w:val="20"/>
          <w:szCs w:val="20"/>
          <w:color w:val="auto"/>
        </w:rPr>
      </w:pPr>
      <w:r>
        <w:rPr>
          <w:rFonts w:ascii="Arial" w:cs="Arial" w:eastAsia="Arial" w:hAnsi="Arial"/>
          <w:sz w:val="19"/>
          <w:szCs w:val="19"/>
          <w:color w:val="auto"/>
        </w:rPr>
        <w:t>Our cash flows from operating, investing and financing activities, as reflected in the Consolidated Statement of Cash Flows, are summarized as follows:</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jc w:val="right"/>
              <w:ind w:right="446"/>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7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6"/>
                <w:szCs w:val="16"/>
                <w:b w:val="1"/>
                <w:bCs w:val="1"/>
                <w:color w:val="auto"/>
              </w:rPr>
              <w:t>2016</w:t>
            </w:r>
          </w:p>
        </w:tc>
      </w:tr>
      <w:tr>
        <w:trPr>
          <w:trHeight w:val="210"/>
        </w:trPr>
        <w:tc>
          <w:tcPr>
            <w:tcW w:w="72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Cash provided by (used for):</w:t>
            </w:r>
          </w:p>
        </w:tc>
        <w:tc>
          <w:tcPr>
            <w:tcW w:w="16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Operating activities</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6,434</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5,966</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6"/>
              <w:spacing w:after="0"/>
              <w:rPr>
                <w:sz w:val="20"/>
                <w:szCs w:val="20"/>
                <w:color w:val="auto"/>
              </w:rPr>
            </w:pPr>
            <w:r>
              <w:rPr>
                <w:rFonts w:ascii="Arial" w:cs="Arial" w:eastAsia="Arial" w:hAnsi="Arial"/>
                <w:sz w:val="19"/>
                <w:szCs w:val="19"/>
                <w:color w:val="auto"/>
              </w:rPr>
              <w:t>5,498</w:t>
            </w: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Investing activities</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1,027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(3,574)</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(3,342)</w:t>
            </w: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Financing activities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(5,032)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(3,516)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6"/>
              <w:spacing w:after="0"/>
              <w:rPr>
                <w:sz w:val="20"/>
                <w:szCs w:val="20"/>
                <w:color w:val="auto"/>
              </w:rPr>
            </w:pPr>
            <w:r>
              <w:rPr>
                <w:rFonts w:ascii="Arial" w:cs="Arial" w:eastAsia="Arial" w:hAnsi="Arial"/>
                <w:sz w:val="19"/>
                <w:szCs w:val="19"/>
                <w:color w:val="auto"/>
              </w:rPr>
              <w:t>346</w:t>
            </w: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Effect of exchange rate changes on cash</w:t>
            </w:r>
          </w:p>
        </w:tc>
        <w:tc>
          <w:tcPr>
            <w:tcW w:w="16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(201)</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340</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(114)</w:t>
            </w:r>
          </w:p>
        </w:tc>
      </w:tr>
      <w:tr>
        <w:trPr>
          <w:trHeight w:val="250"/>
        </w:trPr>
        <w:tc>
          <w:tcPr>
            <w:tcW w:w="7280" w:type="dxa"/>
            <w:vAlign w:val="bottom"/>
          </w:tcPr>
          <w:p>
            <w:pPr>
              <w:spacing w:after="0"/>
              <w:rPr>
                <w:sz w:val="20"/>
                <w:szCs w:val="20"/>
                <w:color w:val="auto"/>
              </w:rPr>
            </w:pPr>
            <w:r>
              <w:rPr>
                <w:rFonts w:ascii="Arial" w:cs="Arial" w:eastAsia="Arial" w:hAnsi="Arial"/>
                <w:sz w:val="19"/>
                <w:szCs w:val="19"/>
                <w:color w:val="auto"/>
              </w:rPr>
              <w:t>Net (decrease) increase in cash and cash equivalents</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2,228</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(784)</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6"/>
              <w:spacing w:after="0"/>
              <w:rPr>
                <w:sz w:val="20"/>
                <w:szCs w:val="20"/>
                <w:color w:val="auto"/>
              </w:rPr>
            </w:pPr>
            <w:r>
              <w:rPr>
                <w:rFonts w:ascii="Arial" w:cs="Arial" w:eastAsia="Arial" w:hAnsi="Arial"/>
                <w:sz w:val="19"/>
                <w:szCs w:val="19"/>
                <w:color w:val="auto"/>
              </w:rPr>
              <w:t>2,388</w:t>
            </w:r>
          </w:p>
        </w:tc>
      </w:tr>
      <w:tr>
        <w:trPr>
          <w:trHeight w:val="20"/>
        </w:trPr>
        <w:tc>
          <w:tcPr>
            <w:tcW w:w="7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2018 compared with 2017</w:t>
      </w:r>
    </w:p>
    <w:p>
      <w:pPr>
        <w:spacing w:after="0" w:line="130" w:lineRule="exact"/>
        <w:rPr>
          <w:sz w:val="20"/>
          <w:szCs w:val="20"/>
          <w:color w:val="auto"/>
        </w:rPr>
      </w:pPr>
    </w:p>
    <w:p>
      <w:pPr>
        <w:ind w:right="280" w:firstLine="357"/>
        <w:spacing w:after="0" w:line="253" w:lineRule="auto"/>
        <w:rPr>
          <w:sz w:val="20"/>
          <w:szCs w:val="20"/>
          <w:color w:val="auto"/>
        </w:rPr>
      </w:pPr>
      <w:r>
        <w:rPr>
          <w:rFonts w:ascii="Arial" w:cs="Arial" w:eastAsia="Arial" w:hAnsi="Arial"/>
          <w:sz w:val="19"/>
          <w:szCs w:val="19"/>
          <w:color w:val="auto"/>
        </w:rPr>
        <w:t>Cash provided by operating activities increased by $468 million primarily due to a $239 million increase in customer advances and deferred income and lower cash tax payments of $185 million.</w:t>
      </w:r>
    </w:p>
    <w:p>
      <w:pPr>
        <w:spacing w:after="0" w:line="80" w:lineRule="exact"/>
        <w:rPr>
          <w:sz w:val="20"/>
          <w:szCs w:val="20"/>
          <w:color w:val="auto"/>
        </w:rPr>
      </w:pPr>
    </w:p>
    <w:p>
      <w:pPr>
        <w:ind w:right="220" w:firstLine="357"/>
        <w:spacing w:after="0" w:line="242" w:lineRule="auto"/>
        <w:rPr>
          <w:sz w:val="20"/>
          <w:szCs w:val="20"/>
          <w:color w:val="auto"/>
        </w:rPr>
      </w:pPr>
      <w:r>
        <w:rPr>
          <w:rFonts w:ascii="Arial" w:cs="Arial" w:eastAsia="Arial" w:hAnsi="Arial"/>
          <w:sz w:val="19"/>
          <w:szCs w:val="19"/>
          <w:color w:val="auto"/>
        </w:rPr>
        <w:t>Cash provided by investing activities increased by $4,601 million primarily due to a net $4,302 million decrease in investments, primarily short-term marketable securities, and a $620 million favorable change in settlements of foreign currency exchange contracts used as economic hedges on certain non-functional currency denominated monetary assets and liabilities, partially offset by an increase in cash paid for acquisitions of $453 million.</w:t>
      </w:r>
    </w:p>
    <w:p>
      <w:pPr>
        <w:spacing w:after="0" w:line="91"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Cash used for financing activities increased by $1,516 million primarily due to an increase in net debt payments of $2,622 million, an increase in net repurchases of common stock of $1,364 million and an increase in cash dividends paid of $153 million, partially offset by net spin separation funding of $2,622 million net of spin-off cash.</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2017 compared with 2016</w:t>
      </w:r>
    </w:p>
    <w:p>
      <w:pPr>
        <w:spacing w:after="0" w:line="130" w:lineRule="exact"/>
        <w:rPr>
          <w:sz w:val="20"/>
          <w:szCs w:val="20"/>
          <w:color w:val="auto"/>
        </w:rPr>
      </w:pPr>
    </w:p>
    <w:p>
      <w:pPr>
        <w:ind w:right="40" w:firstLine="357"/>
        <w:spacing w:after="0" w:line="245" w:lineRule="auto"/>
        <w:rPr>
          <w:sz w:val="20"/>
          <w:szCs w:val="20"/>
          <w:color w:val="auto"/>
        </w:rPr>
      </w:pPr>
      <w:r>
        <w:rPr>
          <w:rFonts w:ascii="Arial" w:cs="Arial" w:eastAsia="Arial" w:hAnsi="Arial"/>
          <w:sz w:val="19"/>
          <w:szCs w:val="19"/>
          <w:color w:val="auto"/>
        </w:rPr>
        <w:t>Cash provided by operating activities increased by $468 million primarily due to a $504 million increase in segment profit and a $294 million favorable impact from working capital (favorable accounts payable partially offset by inventory and accounts receivable), partially offset by higher cash tax payments of $609 million.</w:t>
      </w:r>
    </w:p>
    <w:p>
      <w:pPr>
        <w:spacing w:after="0" w:line="87" w:lineRule="exact"/>
        <w:rPr>
          <w:sz w:val="20"/>
          <w:szCs w:val="20"/>
          <w:color w:val="auto"/>
        </w:rPr>
      </w:pPr>
    </w:p>
    <w:p>
      <w:pPr>
        <w:ind w:right="140" w:firstLine="357"/>
        <w:spacing w:after="0" w:line="241" w:lineRule="auto"/>
        <w:rPr>
          <w:sz w:val="20"/>
          <w:szCs w:val="20"/>
          <w:color w:val="auto"/>
        </w:rPr>
      </w:pPr>
      <w:r>
        <w:rPr>
          <w:rFonts w:ascii="Arial" w:cs="Arial" w:eastAsia="Arial" w:hAnsi="Arial"/>
          <w:sz w:val="19"/>
          <w:szCs w:val="19"/>
          <w:color w:val="auto"/>
        </w:rPr>
        <w:t>Cash used for investing activities increased by $232 million primarily due to (i) a net $2,056 million increase in investments, primarily short-term marketable securities, (ii) an increase of $ 500 million of settlement payments of foreign currency exchange contracts used as economic hedges on certain non-functional currency denominated monetary assets and liabilities and (iii) a decrease in proceeds from the sales of businesses of $296 million (most significantly Honeywell Technology Solutions Inc. in 2016), partially offset by a decrease in cash paid for acquisitions of $2,491 million (most significantly Intelligrated in 2016).</w:t>
      </w:r>
    </w:p>
    <w:p>
      <w:pPr>
        <w:spacing w:after="0" w:line="91" w:lineRule="exact"/>
        <w:rPr>
          <w:sz w:val="20"/>
          <w:szCs w:val="20"/>
          <w:color w:val="auto"/>
        </w:rPr>
      </w:pPr>
    </w:p>
    <w:p>
      <w:pPr>
        <w:ind w:right="100" w:firstLine="357"/>
        <w:spacing w:after="0" w:line="245" w:lineRule="auto"/>
        <w:rPr>
          <w:sz w:val="20"/>
          <w:szCs w:val="20"/>
          <w:color w:val="auto"/>
        </w:rPr>
      </w:pPr>
      <w:r>
        <w:rPr>
          <w:rFonts w:ascii="Arial" w:cs="Arial" w:eastAsia="Arial" w:hAnsi="Arial"/>
          <w:sz w:val="19"/>
          <w:szCs w:val="19"/>
          <w:color w:val="auto"/>
        </w:rPr>
        <w:t>Cash provided by financing activities increased by $3,862 million primarily due to a decrease in the net proceeds from debt issuances of $2,827 million, an increase in net repurchases of common stock of $699 million and an increase in cash dividends paid of $204 million.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29" w:name="page30"/>
    <w:bookmarkEnd w:id="29"/>
    <w:p>
      <w:pPr>
        <w:spacing w:after="0"/>
        <w:rPr>
          <w:sz w:val="20"/>
          <w:szCs w:val="20"/>
          <w:color w:val="auto"/>
        </w:rPr>
      </w:pPr>
      <w:r>
        <w:rPr>
          <w:rFonts w:ascii="Arial" w:cs="Arial" w:eastAsia="Arial" w:hAnsi="Arial"/>
          <w:sz w:val="19"/>
          <w:szCs w:val="19"/>
          <w:b w:val="1"/>
          <w:bCs w:val="1"/>
          <w:color w:val="auto"/>
        </w:rPr>
        <w:t>Liquidity</w:t>
      </w:r>
    </w:p>
    <w:p>
      <w:pPr>
        <w:spacing w:after="0" w:line="130" w:lineRule="exact"/>
        <w:rPr>
          <w:sz w:val="20"/>
          <w:szCs w:val="20"/>
          <w:color w:val="auto"/>
        </w:rPr>
      </w:pPr>
    </w:p>
    <w:p>
      <w:pPr>
        <w:ind w:right="100" w:firstLine="357"/>
        <w:spacing w:after="0"/>
        <w:rPr>
          <w:sz w:val="20"/>
          <w:szCs w:val="20"/>
          <w:color w:val="auto"/>
        </w:rPr>
      </w:pPr>
      <w:r>
        <w:rPr>
          <w:rFonts w:ascii="Arial" w:cs="Arial" w:eastAsia="Arial" w:hAnsi="Arial"/>
          <w:sz w:val="19"/>
          <w:szCs w:val="19"/>
          <w:color w:val="auto"/>
        </w:rPr>
        <w:t>Each of our businesses is focused on implementing strategies to increase operating cash flows through revenue growth, margin expansion and improved working capital turnover. Considering the current economic environment in which each of the businesses operate and their business plans and strategies, including the focus on growth, cost reduction and productivity initiatives, we believe that cash balances and operating cash flow will continue to be our principal source of liquidity. In addition to the available cash and operating cash flows, additional sources of liquidity include committed credit lines, short-term debt from the commercial paper markets, long-term borrowings, and access to the public debt and equity markets. To date, the Company has not experienced any limitations in our ability to access these sources of liquidity.</w:t>
      </w:r>
    </w:p>
    <w:p>
      <w:pPr>
        <w:spacing w:after="0" w:line="91" w:lineRule="exact"/>
        <w:rPr>
          <w:sz w:val="20"/>
          <w:szCs w:val="20"/>
          <w:color w:val="auto"/>
        </w:rPr>
      </w:pPr>
    </w:p>
    <w:p>
      <w:pPr>
        <w:jc w:val="both"/>
        <w:ind w:right="460" w:firstLine="357"/>
        <w:spacing w:after="0" w:line="245" w:lineRule="auto"/>
        <w:rPr>
          <w:sz w:val="20"/>
          <w:szCs w:val="20"/>
          <w:color w:val="auto"/>
        </w:rPr>
      </w:pPr>
      <w:r>
        <w:rPr>
          <w:rFonts w:ascii="Arial" w:cs="Arial" w:eastAsia="Arial" w:hAnsi="Arial"/>
          <w:sz w:val="19"/>
          <w:szCs w:val="19"/>
          <w:color w:val="auto"/>
        </w:rPr>
        <w:t>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of these entities.</w:t>
      </w:r>
    </w:p>
    <w:p>
      <w:pPr>
        <w:spacing w:after="0" w:line="87"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A source of liquidity is our ability to issue short-term debt in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 The weighted average interest rate on short-term borrowings and commercial paper outstanding as of December 31, 2018 was (0.31%) and as of December 31, 2017 was (0.17%).</w:t>
      </w:r>
    </w:p>
    <w:p>
      <w:pPr>
        <w:spacing w:after="0" w:line="91"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color w:val="auto"/>
        </w:rPr>
        <w:t>Our ability to access the commercial paper market, and the related cost of these borrowings, is affected by the strength of our credit rating and market conditions. Our credit ratings are periodically reviewed by the major independent debt-rating agencies. As of December 31, 2018, Standard and Poor’s (S&amp;P), Fitch, and Moody’s have ratings on our long-term debt of A, A and A2 and short-term debt of A-1, F1 and P1. S&amp;P, Fitch and Moody’s have Honeywell’s rating outlook as “stable.”</w:t>
      </w:r>
    </w:p>
    <w:p>
      <w:pPr>
        <w:spacing w:after="0" w:line="78" w:lineRule="exact"/>
        <w:rPr>
          <w:sz w:val="20"/>
          <w:szCs w:val="20"/>
          <w:color w:val="auto"/>
        </w:rPr>
      </w:pPr>
    </w:p>
    <w:p>
      <w:pPr>
        <w:ind w:right="380" w:firstLine="357"/>
        <w:spacing w:after="0" w:line="242" w:lineRule="auto"/>
        <w:rPr>
          <w:sz w:val="20"/>
          <w:szCs w:val="20"/>
          <w:color w:val="auto"/>
        </w:rPr>
      </w:pPr>
      <w:r>
        <w:rPr>
          <w:rFonts w:ascii="Arial" w:cs="Arial" w:eastAsia="Arial" w:hAnsi="Arial"/>
          <w:sz w:val="19"/>
          <w:szCs w:val="19"/>
          <w:color w:val="auto"/>
        </w:rPr>
        <w:t>We also have a current shelf registration statement filed with the Securities and Exchange Commission under which we may issue additional debt securities, common stock and preferred stock that may be offered in one or more offerings on terms to be determined at the time of the offering. Net proceeds of any offering would be used for general corporate purposes, including repayment of existing indebtedness, share repurchases, capital expenditures and acquisitions.</w:t>
      </w:r>
    </w:p>
    <w:p>
      <w:pPr>
        <w:spacing w:after="0" w:line="91" w:lineRule="exact"/>
        <w:rPr>
          <w:sz w:val="20"/>
          <w:szCs w:val="20"/>
          <w:color w:val="auto"/>
        </w:rPr>
      </w:pPr>
    </w:p>
    <w:p>
      <w:pPr>
        <w:ind w:right="800" w:firstLine="357"/>
        <w:spacing w:after="0" w:line="253" w:lineRule="auto"/>
        <w:rPr>
          <w:sz w:val="20"/>
          <w:szCs w:val="20"/>
          <w:color w:val="auto"/>
        </w:rPr>
      </w:pPr>
      <w:r>
        <w:rPr>
          <w:rFonts w:ascii="Arial" w:cs="Arial" w:eastAsia="Arial" w:hAnsi="Arial"/>
          <w:sz w:val="19"/>
          <w:szCs w:val="19"/>
          <w:color w:val="auto"/>
        </w:rPr>
        <w:t>See Note 2 Acquisitions and Divestitures and Note 13 Long-term Debt and Credit Agreements of Notes to Consolidated Financial Statements for additional discussion of items impacting our liquidity.</w:t>
      </w:r>
    </w:p>
    <w:p>
      <w:pPr>
        <w:spacing w:after="0" w:line="80"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In 2018, the Company repurchased $4,000 million of outstanding shares to offset the dilutive impact of employee stock based compensation plans, including option exercises, restricted unit vesting and matching contributions under our savings plans, and to reduce share count when attractive opportunities arise. In December 2017, the Board of Directors authorized the repurchase of up to a total of $8 billion of Honeywell common stock, of which $3.7 billion remained available as of December 31, 2018 for additional share repurchases. This authorization included amounts remaining under and replaced the previously approved share repurchase program. Honeywell presently expects to repurchase outstanding shares from time to time to offset the dilutive impact of employee stock based compensation plans, including option exercises, restricted unit vesting and matching contributions under our savings plans. We will continue to seek to reduce share count via share repurchases as and when attractive opportunities arise.</w:t>
      </w:r>
    </w:p>
    <w:p>
      <w:pPr>
        <w:spacing w:after="0" w:line="96"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In addition to our normal operating cash requirements, our principal future cash requirements will be to fund capital expenditures, share repurchases, dividends, strategic acquisitions and debt repayments.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Specifically, we expect our primary cash requirements in 2019 to be as follows:</w:t>
      </w:r>
    </w:p>
    <w:p>
      <w:pPr>
        <w:spacing w:after="0" w:line="92" w:lineRule="exact"/>
        <w:rPr>
          <w:sz w:val="20"/>
          <w:szCs w:val="20"/>
          <w:color w:val="auto"/>
        </w:rPr>
      </w:pPr>
    </w:p>
    <w:p>
      <w:pPr>
        <w:ind w:left="540" w:right="380" w:hanging="168"/>
        <w:spacing w:after="0" w:line="253" w:lineRule="auto"/>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Capital expenditures—we expect to spend approximately $800 million for capital expenditures in 2019 primarily for growth, production and capacity expansion, cost reduction, maintenance, and replacement.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5" w:right="259" w:bottom="1440" w:gutter="0" w:footer="0" w:header="0"/>
        </w:sectPr>
      </w:pPr>
    </w:p>
    <w:bookmarkStart w:id="30" w:name="page31"/>
    <w:bookmarkEnd w:id="30"/>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Share repurchases—under the Company’s share repurchase program, $3.7 billion is available as of December 31, 2018 for additional share repurchases. Honeywell presently expects to repurchase outstanding shares from time to time to offset the dilutive impact of employee stock-based compensation plans, including option exercises, restricted unit vesting and matching contributions under our savings plans. Additionally, we will seek to reduce share count via share repurchases as and when attractive opportunities arise. The amount and timing of future repurchases may vary depending on market conditions and our level of operating, financing and other investing activities.</w:t>
      </w:r>
    </w:p>
    <w:p>
      <w:pPr>
        <w:spacing w:after="0" w:line="80" w:lineRule="exact"/>
        <w:rPr>
          <w:rFonts w:ascii="Arial" w:cs="Arial" w:eastAsia="Arial" w:hAnsi="Arial"/>
          <w:sz w:val="19"/>
          <w:szCs w:val="19"/>
          <w:color w:val="auto"/>
        </w:rPr>
      </w:pPr>
    </w:p>
    <w:p>
      <w:pPr>
        <w:ind w:left="540" w:right="380" w:hanging="168"/>
        <w:spacing w:after="0" w:line="253" w:lineRule="auto"/>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Dividends—we increased our quarterly dividend rate by 10% to $0.82 per share of common stock effective with the fourth quarter 2018 dividend. The Company intends to continue to pay quarterly dividends in 2019.</w:t>
      </w:r>
    </w:p>
    <w:p>
      <w:pPr>
        <w:spacing w:after="0" w:line="80"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In 2018, we realized $2,622 million in net cash proceeds from the spin-off of non-strategic businesses.</w:t>
      </w:r>
    </w:p>
    <w:p>
      <w:pPr>
        <w:spacing w:after="0" w:line="94" w:lineRule="exact"/>
        <w:rPr>
          <w:sz w:val="20"/>
          <w:szCs w:val="20"/>
          <w:color w:val="auto"/>
        </w:rPr>
      </w:pPr>
    </w:p>
    <w:p>
      <w:pPr>
        <w:ind w:right="180" w:firstLine="357"/>
        <w:spacing w:after="0" w:line="242" w:lineRule="auto"/>
        <w:rPr>
          <w:sz w:val="20"/>
          <w:szCs w:val="20"/>
          <w:color w:val="auto"/>
        </w:rPr>
      </w:pPr>
      <w:r>
        <w:rPr>
          <w:rFonts w:ascii="Arial" w:cs="Arial" w:eastAsia="Arial" w:hAnsi="Arial"/>
          <w:sz w:val="19"/>
          <w:szCs w:val="19"/>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Contractual Obligations and Probable Liability Payments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Following is a summary of our significant contractual obligations and probable liability payments at December 31, 2018:</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Payments by Period</w:t>
            </w:r>
          </w:p>
        </w:tc>
        <w:tc>
          <w:tcPr>
            <w:tcW w:w="6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55"/>
        </w:trPr>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gridSpan w:val="2"/>
          </w:tcPr>
          <w:p>
            <w:pPr>
              <w:jc w:val="right"/>
              <w:ind w:right="72"/>
              <w:spacing w:after="0" w:line="155" w:lineRule="exact"/>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7"/>
              <w:spacing w:after="0" w:line="155" w:lineRule="exact"/>
              <w:rPr>
                <w:sz w:val="20"/>
                <w:szCs w:val="20"/>
                <w:color w:val="auto"/>
              </w:rPr>
            </w:pPr>
            <w:r>
              <w:rPr>
                <w:rFonts w:ascii="Arial" w:cs="Arial" w:eastAsia="Arial" w:hAnsi="Arial"/>
                <w:sz w:val="16"/>
                <w:szCs w:val="16"/>
                <w:b w:val="1"/>
                <w:bCs w:val="1"/>
                <w:color w:val="auto"/>
              </w:rPr>
              <w:t>2022-</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90"/>
        </w:trPr>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8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8"/>
                <w:szCs w:val="8"/>
                <w:b w:val="1"/>
                <w:bCs w:val="1"/>
                <w:color w:val="auto"/>
              </w:rPr>
              <w:t>(6)(7)</w:t>
            </w:r>
          </w:p>
        </w:tc>
        <w:tc>
          <w:tcPr>
            <w:tcW w:w="300" w:type="dxa"/>
            <w:vAlign w:val="bottom"/>
          </w:tcPr>
          <w:p>
            <w:pPr>
              <w:spacing w:after="0"/>
              <w:rPr>
                <w:sz w:val="16"/>
                <w:szCs w:val="16"/>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6"/>
                <w:szCs w:val="16"/>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6"/>
                <w:szCs w:val="16"/>
                <w:color w:val="auto"/>
              </w:rPr>
            </w:pPr>
          </w:p>
        </w:tc>
        <w:tc>
          <w:tcPr>
            <w:tcW w:w="9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6"/>
                <w:szCs w:val="16"/>
                <w:b w:val="1"/>
                <w:bCs w:val="1"/>
                <w:color w:val="auto"/>
              </w:rPr>
              <w:t>Thereafter</w:t>
            </w:r>
          </w:p>
        </w:tc>
      </w:tr>
      <w:tr>
        <w:trPr>
          <w:trHeight w:val="237"/>
        </w:trPr>
        <w:tc>
          <w:tcPr>
            <w:tcW w:w="500" w:type="dxa"/>
            <w:vAlign w:val="bottom"/>
          </w:tcPr>
          <w:p>
            <w:pPr>
              <w:spacing w:after="0"/>
              <w:rPr>
                <w:sz w:val="20"/>
                <w:szCs w:val="20"/>
                <w:color w:val="auto"/>
              </w:rPr>
            </w:pPr>
          </w:p>
        </w:tc>
        <w:tc>
          <w:tcPr>
            <w:tcW w:w="50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Long-term debt, including capitalized leases</w:t>
            </w:r>
            <w:r>
              <w:rPr>
                <w:rFonts w:ascii="Arial" w:cs="Arial" w:eastAsia="Arial" w:hAnsi="Arial"/>
                <w:sz w:val="10"/>
                <w:szCs w:val="10"/>
                <w:color w:val="auto"/>
              </w:rPr>
              <w:t>(1)</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$ 12,628</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$ 2,872</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$ 3,761</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1,778</w:t>
            </w:r>
          </w:p>
        </w:tc>
        <w:tc>
          <w:tcPr>
            <w:tcW w:w="56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4,217</w:t>
            </w:r>
          </w:p>
        </w:tc>
      </w:tr>
      <w:tr>
        <w:trPr>
          <w:trHeight w:val="216"/>
        </w:trPr>
        <w:tc>
          <w:tcPr>
            <w:tcW w:w="500" w:type="dxa"/>
            <w:vAlign w:val="bottom"/>
          </w:tcPr>
          <w:p>
            <w:pPr>
              <w:spacing w:after="0"/>
              <w:rPr>
                <w:sz w:val="18"/>
                <w:szCs w:val="18"/>
                <w:color w:val="auto"/>
              </w:rPr>
            </w:pPr>
          </w:p>
        </w:tc>
        <w:tc>
          <w:tcPr>
            <w:tcW w:w="5060" w:type="dxa"/>
            <w:vAlign w:val="bottom"/>
            <w:gridSpan w:val="2"/>
          </w:tcPr>
          <w:p>
            <w:pPr>
              <w:spacing w:after="0" w:line="216" w:lineRule="exact"/>
              <w:rPr>
                <w:sz w:val="20"/>
                <w:szCs w:val="20"/>
                <w:color w:val="auto"/>
              </w:rPr>
            </w:pPr>
            <w:r>
              <w:rPr>
                <w:rFonts w:ascii="Arial" w:cs="Arial" w:eastAsia="Arial" w:hAnsi="Arial"/>
                <w:sz w:val="19"/>
                <w:szCs w:val="19"/>
                <w:color w:val="auto"/>
              </w:rPr>
              <w:t>Interest payments on long-term debt, including</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06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capitalized leases</w:t>
            </w:r>
          </w:p>
        </w:tc>
        <w:tc>
          <w:tcPr>
            <w:tcW w:w="860" w:type="dxa"/>
            <w:vAlign w:val="bottom"/>
          </w:tcPr>
          <w:p>
            <w:pPr>
              <w:jc w:val="right"/>
              <w:spacing w:after="0" w:line="216" w:lineRule="exact"/>
              <w:rPr>
                <w:sz w:val="20"/>
                <w:szCs w:val="20"/>
                <w:color w:val="auto"/>
              </w:rPr>
            </w:pPr>
            <w:r>
              <w:rPr>
                <w:rFonts w:ascii="Arial" w:cs="Arial" w:eastAsia="Arial" w:hAnsi="Arial"/>
                <w:sz w:val="19"/>
                <w:szCs w:val="19"/>
                <w:color w:val="auto"/>
              </w:rPr>
              <w:t>3,049</w:t>
            </w:r>
          </w:p>
        </w:tc>
        <w:tc>
          <w:tcPr>
            <w:tcW w:w="106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313</w:t>
            </w:r>
          </w:p>
        </w:tc>
        <w:tc>
          <w:tcPr>
            <w:tcW w:w="104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519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Arial" w:cs="Arial" w:eastAsia="Arial" w:hAnsi="Arial"/>
                <w:sz w:val="19"/>
                <w:szCs w:val="19"/>
                <w:color w:val="auto"/>
              </w:rPr>
              <w:t>389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3"/>
              <w:spacing w:after="0" w:line="216" w:lineRule="exact"/>
              <w:rPr>
                <w:sz w:val="20"/>
                <w:szCs w:val="20"/>
                <w:color w:val="auto"/>
              </w:rPr>
            </w:pPr>
            <w:r>
              <w:rPr>
                <w:rFonts w:ascii="Arial" w:cs="Arial" w:eastAsia="Arial" w:hAnsi="Arial"/>
                <w:sz w:val="19"/>
                <w:szCs w:val="19"/>
                <w:color w:val="auto"/>
              </w:rPr>
              <w:t>1,828</w:t>
            </w:r>
          </w:p>
        </w:tc>
      </w:tr>
      <w:tr>
        <w:trPr>
          <w:trHeight w:val="243"/>
        </w:trPr>
        <w:tc>
          <w:tcPr>
            <w:tcW w:w="500" w:type="dxa"/>
            <w:vAlign w:val="bottom"/>
          </w:tcPr>
          <w:p>
            <w:pPr>
              <w:spacing w:after="0"/>
              <w:rPr>
                <w:sz w:val="21"/>
                <w:szCs w:val="21"/>
                <w:color w:val="auto"/>
              </w:rPr>
            </w:pPr>
          </w:p>
        </w:tc>
        <w:tc>
          <w:tcPr>
            <w:tcW w:w="50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Minimum operating lease payments</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856</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210</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310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189</w:t>
            </w:r>
          </w:p>
        </w:tc>
        <w:tc>
          <w:tcPr>
            <w:tcW w:w="3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147</w:t>
            </w:r>
          </w:p>
        </w:tc>
      </w:tr>
      <w:tr>
        <w:trPr>
          <w:trHeight w:val="243"/>
        </w:trPr>
        <w:tc>
          <w:tcPr>
            <w:tcW w:w="500" w:type="dxa"/>
            <w:vAlign w:val="bottom"/>
          </w:tcPr>
          <w:p>
            <w:pPr>
              <w:spacing w:after="0"/>
              <w:rPr>
                <w:sz w:val="21"/>
                <w:szCs w:val="21"/>
                <w:color w:val="auto"/>
              </w:rPr>
            </w:pPr>
          </w:p>
        </w:tc>
        <w:tc>
          <w:tcPr>
            <w:tcW w:w="5060" w:type="dxa"/>
            <w:vAlign w:val="bottom"/>
            <w:gridSpan w:val="2"/>
          </w:tcPr>
          <w:p>
            <w:pPr>
              <w:spacing w:after="0"/>
              <w:rPr>
                <w:sz w:val="20"/>
                <w:szCs w:val="20"/>
                <w:color w:val="auto"/>
              </w:rPr>
            </w:pPr>
            <w:r>
              <w:rPr>
                <w:rFonts w:ascii="Arial" w:cs="Arial" w:eastAsia="Arial" w:hAnsi="Arial"/>
                <w:sz w:val="19"/>
                <w:szCs w:val="19"/>
                <w:color w:val="auto"/>
              </w:rPr>
              <w:t>Purchase obligations</w:t>
            </w:r>
            <w:r>
              <w:rPr>
                <w:rFonts w:ascii="Arial" w:cs="Arial" w:eastAsia="Arial" w:hAnsi="Arial"/>
                <w:sz w:val="10"/>
                <w:szCs w:val="10"/>
                <w:color w:val="auto"/>
              </w:rPr>
              <w:t>(2)</w:t>
            </w:r>
          </w:p>
        </w:tc>
        <w:tc>
          <w:tcPr>
            <w:tcW w:w="860" w:type="dxa"/>
            <w:vAlign w:val="bottom"/>
          </w:tcPr>
          <w:p>
            <w:pPr>
              <w:jc w:val="right"/>
              <w:spacing w:after="0"/>
              <w:rPr>
                <w:sz w:val="20"/>
                <w:szCs w:val="20"/>
                <w:color w:val="auto"/>
              </w:rPr>
            </w:pPr>
            <w:r>
              <w:rPr>
                <w:rFonts w:ascii="Arial" w:cs="Arial" w:eastAsia="Arial" w:hAnsi="Arial"/>
                <w:sz w:val="19"/>
                <w:szCs w:val="19"/>
                <w:color w:val="auto"/>
              </w:rPr>
              <w:t>2,002</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1,146</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578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250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3"/>
              <w:spacing w:after="0"/>
              <w:rPr>
                <w:sz w:val="20"/>
                <w:szCs w:val="20"/>
                <w:color w:val="auto"/>
              </w:rPr>
            </w:pPr>
            <w:r>
              <w:rPr>
                <w:rFonts w:ascii="Arial" w:cs="Arial" w:eastAsia="Arial" w:hAnsi="Arial"/>
                <w:sz w:val="19"/>
                <w:szCs w:val="19"/>
                <w:color w:val="auto"/>
              </w:rPr>
              <w:t>28</w:t>
            </w:r>
          </w:p>
        </w:tc>
      </w:tr>
      <w:tr>
        <w:trPr>
          <w:trHeight w:val="243"/>
        </w:trPr>
        <w:tc>
          <w:tcPr>
            <w:tcW w:w="500" w:type="dxa"/>
            <w:vAlign w:val="bottom"/>
          </w:tcPr>
          <w:p>
            <w:pPr>
              <w:spacing w:after="0"/>
              <w:rPr>
                <w:sz w:val="21"/>
                <w:szCs w:val="21"/>
                <w:color w:val="auto"/>
              </w:rPr>
            </w:pPr>
          </w:p>
        </w:tc>
        <w:tc>
          <w:tcPr>
            <w:tcW w:w="50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Estimated environmental liability payments</w:t>
            </w:r>
            <w:r>
              <w:rPr>
                <w:rFonts w:ascii="Arial" w:cs="Arial" w:eastAsia="Arial" w:hAnsi="Arial"/>
                <w:sz w:val="10"/>
                <w:szCs w:val="10"/>
                <w:color w:val="auto"/>
              </w:rPr>
              <w:t>(3)</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755</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175</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355</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172</w:t>
            </w:r>
          </w:p>
        </w:tc>
        <w:tc>
          <w:tcPr>
            <w:tcW w:w="3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53</w:t>
            </w:r>
          </w:p>
        </w:tc>
      </w:tr>
      <w:tr>
        <w:trPr>
          <w:trHeight w:val="243"/>
        </w:trPr>
        <w:tc>
          <w:tcPr>
            <w:tcW w:w="500" w:type="dxa"/>
            <w:vAlign w:val="bottom"/>
          </w:tcPr>
          <w:p>
            <w:pPr>
              <w:spacing w:after="0"/>
              <w:rPr>
                <w:sz w:val="21"/>
                <w:szCs w:val="21"/>
                <w:color w:val="auto"/>
              </w:rPr>
            </w:pPr>
          </w:p>
        </w:tc>
        <w:tc>
          <w:tcPr>
            <w:tcW w:w="5060" w:type="dxa"/>
            <w:vAlign w:val="bottom"/>
            <w:gridSpan w:val="2"/>
          </w:tcPr>
          <w:p>
            <w:pPr>
              <w:spacing w:after="0"/>
              <w:rPr>
                <w:sz w:val="20"/>
                <w:szCs w:val="20"/>
                <w:color w:val="auto"/>
              </w:rPr>
            </w:pPr>
            <w:r>
              <w:rPr>
                <w:rFonts w:ascii="Arial" w:cs="Arial" w:eastAsia="Arial" w:hAnsi="Arial"/>
                <w:sz w:val="19"/>
                <w:szCs w:val="19"/>
                <w:color w:val="auto"/>
              </w:rPr>
              <w:t>Asbestos related liability payments</w:t>
            </w:r>
            <w:r>
              <w:rPr>
                <w:rFonts w:ascii="Arial" w:cs="Arial" w:eastAsia="Arial" w:hAnsi="Arial"/>
                <w:sz w:val="10"/>
                <w:szCs w:val="10"/>
                <w:color w:val="auto"/>
              </w:rPr>
              <w:t>(4)</w:t>
            </w:r>
          </w:p>
        </w:tc>
        <w:tc>
          <w:tcPr>
            <w:tcW w:w="860" w:type="dxa"/>
            <w:vAlign w:val="bottom"/>
          </w:tcPr>
          <w:p>
            <w:pPr>
              <w:jc w:val="right"/>
              <w:spacing w:after="0"/>
              <w:rPr>
                <w:sz w:val="20"/>
                <w:szCs w:val="20"/>
                <w:color w:val="auto"/>
              </w:rPr>
            </w:pPr>
            <w:r>
              <w:rPr>
                <w:rFonts w:ascii="Arial" w:cs="Arial" w:eastAsia="Arial" w:hAnsi="Arial"/>
                <w:sz w:val="19"/>
                <w:szCs w:val="19"/>
                <w:color w:val="auto"/>
              </w:rPr>
              <w:t>2,514</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245</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786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710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3"/>
              <w:spacing w:after="0"/>
              <w:rPr>
                <w:sz w:val="20"/>
                <w:szCs w:val="20"/>
                <w:color w:val="auto"/>
              </w:rPr>
            </w:pPr>
            <w:r>
              <w:rPr>
                <w:rFonts w:ascii="Arial" w:cs="Arial" w:eastAsia="Arial" w:hAnsi="Arial"/>
                <w:sz w:val="19"/>
                <w:szCs w:val="19"/>
                <w:color w:val="auto"/>
              </w:rPr>
              <w:t>773</w:t>
            </w:r>
          </w:p>
        </w:tc>
      </w:tr>
      <w:tr>
        <w:trPr>
          <w:trHeight w:val="243"/>
        </w:trPr>
        <w:tc>
          <w:tcPr>
            <w:tcW w:w="500" w:type="dxa"/>
            <w:vAlign w:val="bottom"/>
          </w:tcPr>
          <w:p>
            <w:pPr>
              <w:spacing w:after="0"/>
              <w:rPr>
                <w:sz w:val="21"/>
                <w:szCs w:val="21"/>
                <w:color w:val="auto"/>
              </w:rPr>
            </w:pPr>
          </w:p>
        </w:tc>
        <w:tc>
          <w:tcPr>
            <w:tcW w:w="50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Asbestos insurance recoveries</w:t>
            </w:r>
            <w:r>
              <w:rPr>
                <w:rFonts w:ascii="Arial" w:cs="Arial" w:eastAsia="Arial" w:hAnsi="Arial"/>
                <w:sz w:val="10"/>
                <w:szCs w:val="10"/>
                <w:color w:val="auto"/>
              </w:rPr>
              <w:t>(5)</w:t>
            </w: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(477)</w:t>
            </w: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(40)</w:t>
            </w: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(114)</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(84)</w:t>
            </w:r>
          </w:p>
        </w:tc>
        <w:tc>
          <w:tcPr>
            <w:tcW w:w="300" w:type="dxa"/>
            <w:vAlign w:val="bottom"/>
            <w:shd w:val="clear" w:color="auto" w:fill="E5FFFF"/>
          </w:tcPr>
          <w:p>
            <w:pPr>
              <w:spacing w:after="0"/>
              <w:rPr>
                <w:sz w:val="21"/>
                <w:szCs w:val="21"/>
                <w:color w:val="auto"/>
              </w:rPr>
            </w:pPr>
          </w:p>
        </w:tc>
        <w:tc>
          <w:tcPr>
            <w:tcW w:w="2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(239)</w:t>
            </w:r>
          </w:p>
        </w:tc>
      </w:tr>
      <w:tr>
        <w:trPr>
          <w:trHeight w:val="250"/>
        </w:trPr>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$ 21,327</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$ 4,921</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$ 6,195</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3,404</w:t>
            </w:r>
          </w:p>
        </w:tc>
        <w:tc>
          <w:tcPr>
            <w:tcW w:w="560" w:type="dxa"/>
            <w:vAlign w:val="bottom"/>
            <w:gridSpan w:val="2"/>
          </w:tcPr>
          <w:p>
            <w:pPr>
              <w:jc w:val="right"/>
              <w:ind w:right="61"/>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3"/>
              <w:spacing w:after="0"/>
              <w:rPr>
                <w:sz w:val="20"/>
                <w:szCs w:val="20"/>
                <w:color w:val="auto"/>
              </w:rPr>
            </w:pPr>
            <w:r>
              <w:rPr>
                <w:rFonts w:ascii="Arial" w:cs="Arial" w:eastAsia="Arial" w:hAnsi="Arial"/>
                <w:sz w:val="19"/>
                <w:szCs w:val="19"/>
                <w:color w:val="auto"/>
              </w:rPr>
              <w:t>6,807</w:t>
            </w: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bl>
    <w:p>
      <w:pPr>
        <w:spacing w:after="0" w:line="162" w:lineRule="exact"/>
        <w:rPr>
          <w:sz w:val="20"/>
          <w:szCs w:val="20"/>
          <w:color w:val="auto"/>
        </w:rPr>
      </w:pPr>
    </w:p>
    <w:p>
      <w:pPr>
        <w:ind w:left="420" w:hanging="338"/>
        <w:spacing w:after="0"/>
        <w:tabs>
          <w:tab w:leader="none" w:pos="4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Assumes all long-term debt is outstanding until scheduled maturity.</w:t>
      </w:r>
    </w:p>
    <w:p>
      <w:pPr>
        <w:spacing w:after="0" w:line="78" w:lineRule="exact"/>
        <w:rPr>
          <w:rFonts w:ascii="Arial" w:cs="Arial" w:eastAsia="Arial" w:hAnsi="Arial"/>
          <w:sz w:val="19"/>
          <w:szCs w:val="19"/>
          <w:color w:val="auto"/>
        </w:rPr>
      </w:pPr>
    </w:p>
    <w:p>
      <w:pPr>
        <w:ind w:left="420" w:right="640" w:hanging="338"/>
        <w:spacing w:after="0" w:line="253" w:lineRule="auto"/>
        <w:tabs>
          <w:tab w:leader="none" w:pos="4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Purchase obligations are entered into with various vendors in the normal course of business and are consistent with our expected requirements.</w:t>
      </w:r>
    </w:p>
    <w:p>
      <w:pPr>
        <w:spacing w:after="0" w:line="66" w:lineRule="exact"/>
        <w:rPr>
          <w:rFonts w:ascii="Arial" w:cs="Arial" w:eastAsia="Arial" w:hAnsi="Arial"/>
          <w:sz w:val="19"/>
          <w:szCs w:val="19"/>
          <w:color w:val="auto"/>
        </w:rPr>
      </w:pPr>
    </w:p>
    <w:p>
      <w:pPr>
        <w:ind w:left="420" w:right="140" w:hanging="338"/>
        <w:spacing w:after="0" w:line="253" w:lineRule="auto"/>
        <w:tabs>
          <w:tab w:leader="none" w:pos="4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payment amounts in the table only reflect the environmental liabilities which are probable and reasonably estimable as of December 31, 2018.</w:t>
      </w:r>
    </w:p>
    <w:p>
      <w:pPr>
        <w:spacing w:after="0" w:line="66" w:lineRule="exact"/>
        <w:rPr>
          <w:rFonts w:ascii="Arial" w:cs="Arial" w:eastAsia="Arial" w:hAnsi="Arial"/>
          <w:sz w:val="19"/>
          <w:szCs w:val="19"/>
          <w:color w:val="auto"/>
        </w:rPr>
      </w:pPr>
    </w:p>
    <w:p>
      <w:pPr>
        <w:ind w:left="420" w:right="560" w:hanging="338"/>
        <w:spacing w:after="0" w:line="245" w:lineRule="auto"/>
        <w:tabs>
          <w:tab w:leader="none" w:pos="4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These amounts are estimates of asbestos related cash payments for NARCO and Bendix based on our asbestos related liabilities which are probable and reasonably estimable as of December 31, 2018. See Asbestos Matters in Note 20 Commitments and Contingencies of Notes to Consolidated Financial Statements for additional information.</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77" w:right="359" w:bottom="1440" w:gutter="0" w:footer="0" w:header="0"/>
        </w:sectPr>
      </w:pPr>
    </w:p>
    <w:bookmarkStart w:id="31" w:name="page32"/>
    <w:bookmarkEnd w:id="31"/>
    <w:p>
      <w:pPr>
        <w:ind w:left="420" w:right="60" w:hanging="338"/>
        <w:spacing w:after="0" w:line="245" w:lineRule="auto"/>
        <w:tabs>
          <w:tab w:leader="none" w:pos="4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These amounts represent our insurance recoveries that are deemed probable for asbestos related liabilities as of December 31, 2018. See Asbestos Matters in Note 20 Commitments and Contingencies of Notes to Consolidated Financial Statements for additional information.</w:t>
      </w:r>
    </w:p>
    <w:p>
      <w:pPr>
        <w:spacing w:after="0" w:line="73" w:lineRule="exact"/>
        <w:rPr>
          <w:rFonts w:ascii="Arial" w:cs="Arial" w:eastAsia="Arial" w:hAnsi="Arial"/>
          <w:sz w:val="19"/>
          <w:szCs w:val="19"/>
          <w:color w:val="auto"/>
        </w:rPr>
      </w:pPr>
    </w:p>
    <w:p>
      <w:pPr>
        <w:ind w:left="420" w:right="280" w:hanging="338"/>
        <w:spacing w:after="0" w:line="253" w:lineRule="auto"/>
        <w:tabs>
          <w:tab w:leader="none" w:pos="4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table excludes tax liability payments, including those for unrecognized tax benefits. See Note 5 Income Taxes of Notes to Consolidated Financial Statements for additional information.</w:t>
      </w:r>
    </w:p>
    <w:p>
      <w:pPr>
        <w:spacing w:after="0" w:line="66" w:lineRule="exact"/>
        <w:rPr>
          <w:rFonts w:ascii="Arial" w:cs="Arial" w:eastAsia="Arial" w:hAnsi="Arial"/>
          <w:sz w:val="19"/>
          <w:szCs w:val="19"/>
          <w:color w:val="auto"/>
        </w:rPr>
      </w:pPr>
    </w:p>
    <w:p>
      <w:pPr>
        <w:ind w:left="420" w:right="260" w:hanging="338"/>
        <w:spacing w:after="0" w:line="245" w:lineRule="auto"/>
        <w:tabs>
          <w:tab w:leader="none" w:pos="4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table excludes expected proceeds from the indemnification and reimbursement agreements entered into with Garrett and Resideo. See Note 20 Commitments and Contingencies of Notes to Consolidated Financial Statements for additional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Matters</w:t>
      </w:r>
    </w:p>
    <w:p>
      <w:pPr>
        <w:spacing w:after="0" w:line="130"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color w:val="auto"/>
        </w:rPr>
        <w:t>Accruals for environmental matters deemed probable and reasonably estimable were $395 million, $287 million and $195 million in 2018, 2017 and 2016. In addition, in 2018, 2017 and 2016 we incurred operating costs for ongoing businesses of approximately $95 million, $82 million and $83 million relating to compliance with environmental regulations.</w:t>
      </w:r>
    </w:p>
    <w:p>
      <w:pPr>
        <w:spacing w:after="0" w:line="87"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Spending related to known environmental matters was $218 million, $212 million and $228 million in 2018, 2017 and 2016 and is estimated to be approximately $175 million in 2019. We expect to fund expenditures for these environmental matters from operating cash flow. The timing of cash expenditures depends on several factors, including the timing of litigation and settlements of remediation liability, personal injury and property damage claims, regulatory approval of cleanup projects, execution timeframe of projects, remedial techniques to be utilized and agreement with other parties.</w:t>
      </w:r>
    </w:p>
    <w:p>
      <w:pPr>
        <w:spacing w:after="0" w:line="91" w:lineRule="exact"/>
        <w:rPr>
          <w:sz w:val="20"/>
          <w:szCs w:val="20"/>
          <w:color w:val="auto"/>
        </w:rPr>
      </w:pPr>
    </w:p>
    <w:p>
      <w:pPr>
        <w:jc w:val="both"/>
        <w:ind w:right="500" w:firstLine="357"/>
        <w:spacing w:after="0" w:line="245" w:lineRule="auto"/>
        <w:rPr>
          <w:sz w:val="20"/>
          <w:szCs w:val="20"/>
          <w:color w:val="auto"/>
        </w:rPr>
      </w:pPr>
      <w:r>
        <w:rPr>
          <w:rFonts w:ascii="Arial" w:cs="Arial" w:eastAsia="Arial" w:hAnsi="Arial"/>
          <w:sz w:val="19"/>
          <w:szCs w:val="19"/>
          <w:color w:val="auto"/>
        </w:rPr>
        <w:t>Reimbursements from Resideo for spending for environmental matters at certain sites as defined in the indemnification and reimbursement agreement was $ 25 million in 2018 and is expected to be $140 million in 2019. Such reimbursements will offset operating cash outflows incurred by the Company.</w:t>
      </w:r>
    </w:p>
    <w:p>
      <w:pPr>
        <w:spacing w:after="0" w:line="74" w:lineRule="exact"/>
        <w:rPr>
          <w:sz w:val="20"/>
          <w:szCs w:val="20"/>
          <w:color w:val="auto"/>
        </w:rPr>
      </w:pPr>
    </w:p>
    <w:p>
      <w:pPr>
        <w:ind w:right="620" w:firstLine="357"/>
        <w:spacing w:after="0" w:line="253" w:lineRule="auto"/>
        <w:rPr>
          <w:sz w:val="20"/>
          <w:szCs w:val="20"/>
          <w:color w:val="auto"/>
        </w:rPr>
      </w:pPr>
      <w:r>
        <w:rPr>
          <w:rFonts w:ascii="Arial" w:cs="Arial" w:eastAsia="Arial" w:hAnsi="Arial"/>
          <w:sz w:val="19"/>
          <w:szCs w:val="19"/>
          <w:color w:val="auto"/>
        </w:rPr>
        <w:t>See Note 20 Commitments and Contingencies of Notes to Consolidated Financial Statements for further discussion of our environmental matters and the indemnification and reimbursement agreement entered into with Resideo.</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Instruments</w:t>
      </w:r>
    </w:p>
    <w:p>
      <w:pPr>
        <w:spacing w:after="0" w:line="130" w:lineRule="exact"/>
        <w:rPr>
          <w:sz w:val="20"/>
          <w:szCs w:val="20"/>
          <w:color w:val="auto"/>
        </w:rPr>
      </w:pPr>
    </w:p>
    <w:p>
      <w:pPr>
        <w:ind w:right="220" w:firstLine="357"/>
        <w:spacing w:after="0" w:line="242" w:lineRule="auto"/>
        <w:rPr>
          <w:sz w:val="20"/>
          <w:szCs w:val="20"/>
          <w:color w:val="auto"/>
        </w:rPr>
      </w:pPr>
      <w:r>
        <w:rPr>
          <w:rFonts w:ascii="Arial" w:cs="Arial" w:eastAsia="Arial" w:hAnsi="Arial"/>
          <w:sz w:val="19"/>
          <w:szCs w:val="19"/>
          <w:color w:val="auto"/>
        </w:rPr>
        <w:t>The following table illustrates the potential change in fair value for interest rate sensitive instruments based on a hypothetical immediate one percentage point increase in interest rates across all maturities and the potential change in fair value for foreign exchange rate sensitive instruments based on a 10% weakening of the U.S. Dollar versus local currency exchange rates across all maturities at December 31, 2018 and 2017.</w:t>
      </w: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0"/>
              <w:spacing w:after="0" w:line="171" w:lineRule="exact"/>
              <w:rPr>
                <w:sz w:val="20"/>
                <w:szCs w:val="20"/>
                <w:color w:val="auto"/>
              </w:rPr>
            </w:pPr>
            <w:r>
              <w:rPr>
                <w:rFonts w:ascii="Arial" w:cs="Arial" w:eastAsia="Arial" w:hAnsi="Arial"/>
                <w:sz w:val="16"/>
                <w:szCs w:val="16"/>
                <w:b w:val="1"/>
                <w:bCs w:val="1"/>
                <w:color w:val="auto"/>
                <w:w w:val="99"/>
              </w:rPr>
              <w:t>Estimated</w:t>
            </w:r>
          </w:p>
        </w:tc>
      </w:tr>
      <w:tr>
        <w:trPr>
          <w:trHeight w:val="176"/>
        </w:trPr>
        <w:tc>
          <w:tcPr>
            <w:tcW w:w="49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0"/>
              <w:spacing w:after="0" w:line="176" w:lineRule="exact"/>
              <w:rPr>
                <w:sz w:val="20"/>
                <w:szCs w:val="20"/>
                <w:color w:val="auto"/>
              </w:rPr>
            </w:pPr>
            <w:r>
              <w:rPr>
                <w:rFonts w:ascii="Arial" w:cs="Arial" w:eastAsia="Arial" w:hAnsi="Arial"/>
                <w:sz w:val="16"/>
                <w:szCs w:val="16"/>
                <w:b w:val="1"/>
                <w:bCs w:val="1"/>
                <w:color w:val="auto"/>
                <w:w w:val="98"/>
              </w:rPr>
              <w:t>Increase</w:t>
            </w:r>
          </w:p>
        </w:tc>
      </w:tr>
      <w:tr>
        <w:trPr>
          <w:trHeight w:val="176"/>
        </w:trPr>
        <w:tc>
          <w:tcPr>
            <w:tcW w:w="49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28"/>
              <w:spacing w:after="0" w:line="176" w:lineRule="exact"/>
              <w:rPr>
                <w:sz w:val="20"/>
                <w:szCs w:val="20"/>
                <w:color w:val="auto"/>
              </w:rPr>
            </w:pPr>
            <w:r>
              <w:rPr>
                <w:rFonts w:ascii="Arial" w:cs="Arial" w:eastAsia="Arial" w:hAnsi="Arial"/>
                <w:sz w:val="16"/>
                <w:szCs w:val="16"/>
                <w:b w:val="1"/>
                <w:bCs w:val="1"/>
                <w:color w:val="auto"/>
                <w:w w:val="98"/>
              </w:rPr>
              <w:t>Face or</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(Decrease)</w:t>
            </w:r>
          </w:p>
        </w:tc>
      </w:tr>
      <w:tr>
        <w:trPr>
          <w:trHeight w:val="176"/>
        </w:trPr>
        <w:tc>
          <w:tcPr>
            <w:tcW w:w="49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28"/>
              <w:spacing w:after="0" w:line="176" w:lineRule="exact"/>
              <w:rPr>
                <w:sz w:val="20"/>
                <w:szCs w:val="20"/>
                <w:color w:val="auto"/>
              </w:rPr>
            </w:pPr>
            <w:r>
              <w:rPr>
                <w:rFonts w:ascii="Arial" w:cs="Arial" w:eastAsia="Arial" w:hAnsi="Arial"/>
                <w:sz w:val="16"/>
                <w:szCs w:val="16"/>
                <w:b w:val="1"/>
                <w:bCs w:val="1"/>
                <w:color w:val="auto"/>
                <w:w w:val="99"/>
              </w:rPr>
              <w:t>Notional</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67"/>
              <w:spacing w:after="0" w:line="176" w:lineRule="exact"/>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47"/>
              <w:spacing w:after="0" w:line="176" w:lineRule="exact"/>
              <w:rPr>
                <w:sz w:val="20"/>
                <w:szCs w:val="20"/>
                <w:color w:val="auto"/>
              </w:rPr>
            </w:pPr>
            <w:r>
              <w:rPr>
                <w:rFonts w:ascii="Arial" w:cs="Arial" w:eastAsia="Arial" w:hAnsi="Arial"/>
                <w:sz w:val="16"/>
                <w:szCs w:val="16"/>
                <w:b w:val="1"/>
                <w:bCs w:val="1"/>
                <w:color w:val="auto"/>
              </w:rPr>
              <w:t>Fair</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0"/>
              <w:spacing w:after="0" w:line="176" w:lineRule="exact"/>
              <w:rPr>
                <w:sz w:val="20"/>
                <w:szCs w:val="20"/>
                <w:color w:val="auto"/>
              </w:rPr>
            </w:pPr>
            <w:r>
              <w:rPr>
                <w:rFonts w:ascii="Arial" w:cs="Arial" w:eastAsia="Arial" w:hAnsi="Arial"/>
                <w:sz w:val="16"/>
                <w:szCs w:val="16"/>
                <w:b w:val="1"/>
                <w:bCs w:val="1"/>
                <w:color w:val="auto"/>
                <w:w w:val="99"/>
              </w:rPr>
              <w:t>in Fair</w:t>
            </w:r>
          </w:p>
        </w:tc>
      </w:tr>
      <w:tr>
        <w:trPr>
          <w:trHeight w:val="190"/>
        </w:trPr>
        <w:tc>
          <w:tcPr>
            <w:tcW w:w="49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6"/>
                <w:szCs w:val="16"/>
                <w:b w:val="1"/>
                <w:bCs w:val="1"/>
                <w:color w:val="auto"/>
                <w:w w:val="99"/>
              </w:rPr>
              <w:t>Amount</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8"/>
                <w:szCs w:val="8"/>
                <w:b w:val="1"/>
                <w:bCs w:val="1"/>
                <w:color w:val="auto"/>
              </w:rPr>
              <w:t>(1)</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8"/>
                <w:szCs w:val="8"/>
                <w:b w:val="1"/>
                <w:bCs w:val="1"/>
                <w:color w:val="auto"/>
              </w:rPr>
              <w:t>(1)</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6"/>
                <w:szCs w:val="16"/>
                <w:b w:val="1"/>
                <w:bCs w:val="1"/>
                <w:color w:val="auto"/>
                <w:w w:val="99"/>
              </w:rPr>
              <w:t>Value</w:t>
            </w:r>
            <w:r>
              <w:rPr>
                <w:rFonts w:ascii="Arial" w:cs="Arial" w:eastAsia="Arial" w:hAnsi="Arial"/>
                <w:sz w:val="8"/>
                <w:szCs w:val="8"/>
                <w:b w:val="1"/>
                <w:bCs w:val="1"/>
                <w:color w:val="auto"/>
                <w:w w:val="99"/>
              </w:rPr>
              <w:t>(2)</w:t>
            </w:r>
          </w:p>
        </w:tc>
      </w:tr>
      <w:tr>
        <w:trPr>
          <w:trHeight w:val="210"/>
        </w:trPr>
        <w:tc>
          <w:tcPr>
            <w:tcW w:w="492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December 31, 2018</w:t>
            </w:r>
          </w:p>
        </w:tc>
        <w:tc>
          <w:tcPr>
            <w:tcW w:w="17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16"/>
        </w:trPr>
        <w:tc>
          <w:tcPr>
            <w:tcW w:w="4920" w:type="dxa"/>
            <w:vAlign w:val="bottom"/>
          </w:tcPr>
          <w:p>
            <w:pPr>
              <w:spacing w:after="0" w:line="216" w:lineRule="exact"/>
              <w:rPr>
                <w:sz w:val="20"/>
                <w:szCs w:val="20"/>
                <w:color w:val="auto"/>
              </w:rPr>
            </w:pPr>
            <w:r>
              <w:rPr>
                <w:rFonts w:ascii="Arial" w:cs="Arial" w:eastAsia="Arial" w:hAnsi="Arial"/>
                <w:sz w:val="19"/>
                <w:szCs w:val="19"/>
                <w:b w:val="1"/>
                <w:bCs w:val="1"/>
                <w:color w:val="auto"/>
              </w:rPr>
              <w:t>Interest Rate Sensitive Instruments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4920" w:type="dxa"/>
            <w:vAlign w:val="bottom"/>
            <w:shd w:val="clear" w:color="auto" w:fill="E5FFFF"/>
          </w:tcPr>
          <w:p>
            <w:pPr>
              <w:ind w:left="180"/>
              <w:spacing w:after="0"/>
              <w:rPr>
                <w:sz w:val="20"/>
                <w:szCs w:val="20"/>
                <w:color w:val="auto"/>
              </w:rPr>
            </w:pPr>
            <w:r>
              <w:rPr>
                <w:rFonts w:ascii="Arial" w:cs="Arial" w:eastAsia="Arial" w:hAnsi="Arial"/>
                <w:sz w:val="19"/>
                <w:szCs w:val="19"/>
                <w:color w:val="auto"/>
              </w:rPr>
              <w:t>Long-term debt (including current maturities)</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12,628</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(12,628)</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(13,133)</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(654)</w:t>
            </w:r>
          </w:p>
        </w:tc>
      </w:tr>
      <w:tr>
        <w:trPr>
          <w:trHeight w:val="243"/>
        </w:trPr>
        <w:tc>
          <w:tcPr>
            <w:tcW w:w="4920" w:type="dxa"/>
            <w:vAlign w:val="bottom"/>
          </w:tcPr>
          <w:p>
            <w:pPr>
              <w:ind w:left="180"/>
              <w:spacing w:after="0"/>
              <w:rPr>
                <w:sz w:val="20"/>
                <w:szCs w:val="20"/>
                <w:color w:val="auto"/>
              </w:rPr>
            </w:pPr>
            <w:r>
              <w:rPr>
                <w:rFonts w:ascii="Arial" w:cs="Arial" w:eastAsia="Arial" w:hAnsi="Arial"/>
                <w:sz w:val="19"/>
                <w:szCs w:val="19"/>
                <w:color w:val="auto"/>
              </w:rPr>
              <w:t>Interest rate swap agreements</w:t>
            </w: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2,600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(45)</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(83)</w:t>
            </w:r>
          </w:p>
        </w:tc>
      </w:tr>
      <w:tr>
        <w:trPr>
          <w:trHeight w:val="216"/>
        </w:trPr>
        <w:tc>
          <w:tcPr>
            <w:tcW w:w="492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Foreign Exchange Rate Sensitive Instruments</w:t>
            </w:r>
          </w:p>
        </w:tc>
        <w:tc>
          <w:tcPr>
            <w:tcW w:w="17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9"/>
                <w:szCs w:val="19"/>
                <w:color w:val="auto"/>
              </w:rPr>
              <w:t>Foreign currency exchange contracts</w:t>
            </w:r>
            <w:r>
              <w:rPr>
                <w:rFonts w:ascii="Arial" w:cs="Arial" w:eastAsia="Arial" w:hAnsi="Arial"/>
                <w:sz w:val="10"/>
                <w:szCs w:val="10"/>
                <w:color w:val="auto"/>
              </w:rPr>
              <w:t>(3)</w:t>
            </w: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14,995</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115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115</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(742)</w:t>
            </w:r>
          </w:p>
        </w:tc>
      </w:tr>
      <w:tr>
        <w:trPr>
          <w:trHeight w:val="243"/>
        </w:trPr>
        <w:tc>
          <w:tcPr>
            <w:tcW w:w="4920" w:type="dxa"/>
            <w:vAlign w:val="bottom"/>
            <w:shd w:val="clear" w:color="auto" w:fill="E5FFFF"/>
          </w:tcPr>
          <w:p>
            <w:pPr>
              <w:ind w:left="180"/>
              <w:spacing w:after="0"/>
              <w:rPr>
                <w:sz w:val="20"/>
                <w:szCs w:val="20"/>
                <w:color w:val="auto"/>
              </w:rPr>
            </w:pPr>
            <w:r>
              <w:rPr>
                <w:rFonts w:ascii="Arial" w:cs="Arial" w:eastAsia="Arial" w:hAnsi="Arial"/>
                <w:sz w:val="19"/>
                <w:szCs w:val="19"/>
                <w:color w:val="auto"/>
              </w:rPr>
              <w:t>Cross currency swap agreements</w:t>
            </w:r>
          </w:p>
        </w:tc>
        <w:tc>
          <w:tcPr>
            <w:tcW w:w="1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1,200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(117)</w:t>
            </w:r>
          </w:p>
        </w:tc>
      </w:tr>
      <w:tr>
        <w:trPr>
          <w:trHeight w:val="216"/>
        </w:trPr>
        <w:tc>
          <w:tcPr>
            <w:tcW w:w="4920" w:type="dxa"/>
            <w:vAlign w:val="bottom"/>
          </w:tcPr>
          <w:p>
            <w:pPr>
              <w:spacing w:after="0" w:line="216" w:lineRule="exact"/>
              <w:rPr>
                <w:sz w:val="20"/>
                <w:szCs w:val="20"/>
                <w:color w:val="auto"/>
              </w:rPr>
            </w:pPr>
            <w:r>
              <w:rPr>
                <w:rFonts w:ascii="Arial" w:cs="Arial" w:eastAsia="Arial" w:hAnsi="Arial"/>
                <w:sz w:val="19"/>
                <w:szCs w:val="19"/>
                <w:b w:val="1"/>
                <w:bCs w:val="1"/>
                <w:color w:val="auto"/>
              </w:rPr>
              <w:t>December 31, 2017</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92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Interest Rate Sensitive Instruments</w:t>
            </w:r>
          </w:p>
        </w:tc>
        <w:tc>
          <w:tcPr>
            <w:tcW w:w="17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9"/>
                <w:szCs w:val="19"/>
                <w:color w:val="auto"/>
              </w:rPr>
              <w:t>Long-term debt (including current maturities)</w:t>
            </w:r>
          </w:p>
        </w:tc>
        <w:tc>
          <w:tcPr>
            <w:tcW w:w="19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13,924</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(13,924)</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(14,695)</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(782)</w:t>
            </w:r>
          </w:p>
        </w:tc>
      </w:tr>
      <w:tr>
        <w:trPr>
          <w:trHeight w:val="243"/>
        </w:trPr>
        <w:tc>
          <w:tcPr>
            <w:tcW w:w="4920" w:type="dxa"/>
            <w:vAlign w:val="bottom"/>
            <w:shd w:val="clear" w:color="auto" w:fill="E5FFFF"/>
          </w:tcPr>
          <w:p>
            <w:pPr>
              <w:ind w:left="180"/>
              <w:spacing w:after="0"/>
              <w:rPr>
                <w:sz w:val="20"/>
                <w:szCs w:val="20"/>
                <w:color w:val="auto"/>
              </w:rPr>
            </w:pPr>
            <w:r>
              <w:rPr>
                <w:rFonts w:ascii="Arial" w:cs="Arial" w:eastAsia="Arial" w:hAnsi="Arial"/>
                <w:sz w:val="19"/>
                <w:szCs w:val="19"/>
                <w:color w:val="auto"/>
              </w:rPr>
              <w:t>Interest rate swap agreements</w:t>
            </w:r>
          </w:p>
        </w:tc>
        <w:tc>
          <w:tcPr>
            <w:tcW w:w="1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2,600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(233)</w:t>
            </w:r>
          </w:p>
        </w:tc>
      </w:tr>
      <w:tr>
        <w:trPr>
          <w:trHeight w:val="216"/>
        </w:trPr>
        <w:tc>
          <w:tcPr>
            <w:tcW w:w="4920" w:type="dxa"/>
            <w:vAlign w:val="bottom"/>
          </w:tcPr>
          <w:p>
            <w:pPr>
              <w:spacing w:after="0" w:line="216" w:lineRule="exact"/>
              <w:rPr>
                <w:sz w:val="20"/>
                <w:szCs w:val="20"/>
                <w:color w:val="auto"/>
              </w:rPr>
            </w:pPr>
            <w:r>
              <w:rPr>
                <w:rFonts w:ascii="Arial" w:cs="Arial" w:eastAsia="Arial" w:hAnsi="Arial"/>
                <w:sz w:val="19"/>
                <w:szCs w:val="19"/>
                <w:b w:val="1"/>
                <w:bCs w:val="1"/>
                <w:color w:val="auto"/>
              </w:rPr>
              <w:t>Foreign Exchange Rate Sensitive Instruments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4920" w:type="dxa"/>
            <w:vAlign w:val="bottom"/>
            <w:shd w:val="clear" w:color="auto" w:fill="E5FFFF"/>
          </w:tcPr>
          <w:p>
            <w:pPr>
              <w:ind w:left="180"/>
              <w:spacing w:after="0"/>
              <w:rPr>
                <w:sz w:val="20"/>
                <w:szCs w:val="20"/>
                <w:color w:val="auto"/>
              </w:rPr>
            </w:pPr>
            <w:r>
              <w:rPr>
                <w:rFonts w:ascii="Arial" w:cs="Arial" w:eastAsia="Arial" w:hAnsi="Arial"/>
                <w:sz w:val="19"/>
                <w:szCs w:val="19"/>
                <w:color w:val="auto"/>
              </w:rPr>
              <w:t>Foreign currency exchange contracts</w:t>
            </w:r>
            <w:r>
              <w:rPr>
                <w:rFonts w:ascii="Arial" w:cs="Arial" w:eastAsia="Arial" w:hAnsi="Arial"/>
                <w:sz w:val="10"/>
                <w:szCs w:val="10"/>
                <w:color w:val="auto"/>
              </w:rPr>
              <w:t>(3)</w:t>
            </w:r>
          </w:p>
        </w:tc>
        <w:tc>
          <w:tcPr>
            <w:tcW w:w="1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9,273</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(58)</w:t>
            </w:r>
          </w:p>
        </w:tc>
      </w:tr>
      <w:tr>
        <w:trPr>
          <w:trHeight w:val="342"/>
        </w:trPr>
        <w:tc>
          <w:tcPr>
            <w:tcW w:w="4920" w:type="dxa"/>
            <w:vAlign w:val="bottom"/>
          </w:tcPr>
          <w:p>
            <w:pPr>
              <w:spacing w:after="0"/>
              <w:rPr>
                <w:sz w:val="24"/>
                <w:szCs w:val="24"/>
                <w:color w:val="auto"/>
              </w:rPr>
            </w:pPr>
          </w:p>
        </w:tc>
        <w:tc>
          <w:tcPr>
            <w:tcW w:w="1780" w:type="dxa"/>
            <w:vAlign w:val="bottom"/>
          </w:tcPr>
          <w:p>
            <w:pPr>
              <w:jc w:val="right"/>
              <w:ind w:right="783"/>
              <w:spacing w:after="0"/>
              <w:rPr>
                <w:sz w:val="20"/>
                <w:szCs w:val="20"/>
                <w:color w:val="auto"/>
              </w:rPr>
            </w:pPr>
            <w:r>
              <w:rPr>
                <w:rFonts w:ascii="Arial" w:cs="Arial" w:eastAsia="Arial" w:hAnsi="Arial"/>
                <w:sz w:val="19"/>
                <w:szCs w:val="19"/>
                <w:color w:val="auto"/>
              </w:rPr>
              <w:t>29</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9"/>
        </w:trPr>
        <w:tc>
          <w:tcPr>
            <w:tcW w:w="49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2" w:name="page33"/>
    <w:bookmarkEnd w:id="32"/>
    <w:p>
      <w:pPr>
        <w:ind w:left="420" w:hanging="338"/>
        <w:spacing w:after="0"/>
        <w:tabs>
          <w:tab w:leader="none" w:pos="4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Asset or (liability).</w:t>
      </w:r>
    </w:p>
    <w:p>
      <w:pPr>
        <w:spacing w:after="0" w:line="92" w:lineRule="exact"/>
        <w:rPr>
          <w:rFonts w:ascii="Arial" w:cs="Arial" w:eastAsia="Arial" w:hAnsi="Arial"/>
          <w:sz w:val="19"/>
          <w:szCs w:val="19"/>
          <w:color w:val="auto"/>
        </w:rPr>
      </w:pPr>
    </w:p>
    <w:p>
      <w:pPr>
        <w:ind w:left="420" w:right="380" w:hanging="338"/>
        <w:spacing w:after="0" w:line="242" w:lineRule="auto"/>
        <w:tabs>
          <w:tab w:leader="none" w:pos="4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 hypothetical immediate one percentage point decrease in interest rates across all maturities and a potential change in fair value of foreign exchange rate sensitive instruments based on a 10% strengthening of the U.S. dollar versus local currency exchange rates across all maturities will result in a change in fair value approximately equal to the inverse of the amount disclosed in the table.</w:t>
      </w:r>
    </w:p>
    <w:p>
      <w:pPr>
        <w:spacing w:after="0" w:line="77" w:lineRule="exact"/>
        <w:rPr>
          <w:rFonts w:ascii="Arial" w:cs="Arial" w:eastAsia="Arial" w:hAnsi="Arial"/>
          <w:sz w:val="19"/>
          <w:szCs w:val="19"/>
          <w:color w:val="auto"/>
        </w:rPr>
      </w:pPr>
    </w:p>
    <w:p>
      <w:pPr>
        <w:ind w:left="420" w:right="540" w:hanging="338"/>
        <w:spacing w:after="0" w:line="253" w:lineRule="auto"/>
        <w:tabs>
          <w:tab w:leader="none" w:pos="4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Changes in the fair value of foreign currency exchange contracts are offset by changes in the fair value, cash flows, or net investments of underlying hedged foreign currency transactions or foreign operations.</w:t>
      </w:r>
    </w:p>
    <w:p>
      <w:pPr>
        <w:spacing w:after="0" w:line="80" w:lineRule="exact"/>
        <w:rPr>
          <w:sz w:val="20"/>
          <w:szCs w:val="20"/>
          <w:color w:val="auto"/>
        </w:rPr>
      </w:pPr>
    </w:p>
    <w:p>
      <w:pPr>
        <w:ind w:right="900" w:firstLine="357"/>
        <w:spacing w:after="0" w:line="253" w:lineRule="auto"/>
        <w:rPr>
          <w:sz w:val="20"/>
          <w:szCs w:val="20"/>
          <w:color w:val="auto"/>
        </w:rPr>
      </w:pPr>
      <w:r>
        <w:rPr>
          <w:rFonts w:ascii="Arial" w:cs="Arial" w:eastAsia="Arial" w:hAnsi="Arial"/>
          <w:sz w:val="19"/>
          <w:szCs w:val="19"/>
          <w:color w:val="auto"/>
        </w:rPr>
        <w:t>See Note 15 Financial Instruments and Fair Value Measures of Notes to Consolidated Financial Statements for further discussion on the agreements.</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CRITICAL ACCOUNTING POLICIES</w:t>
      </w:r>
    </w:p>
    <w:p>
      <w:pPr>
        <w:spacing w:after="0" w:line="147" w:lineRule="exact"/>
        <w:rPr>
          <w:sz w:val="20"/>
          <w:szCs w:val="20"/>
          <w:color w:val="auto"/>
        </w:rPr>
      </w:pPr>
    </w:p>
    <w:p>
      <w:pPr>
        <w:ind w:right="120" w:firstLine="357"/>
        <w:spacing w:after="0" w:line="241" w:lineRule="auto"/>
        <w:rPr>
          <w:sz w:val="20"/>
          <w:szCs w:val="20"/>
          <w:color w:val="auto"/>
        </w:rPr>
      </w:pPr>
      <w:r>
        <w:rPr>
          <w:rFonts w:ascii="Arial" w:cs="Arial" w:eastAsia="Arial" w:hAnsi="Arial"/>
          <w:sz w:val="19"/>
          <w:szCs w:val="19"/>
          <w:color w:val="auto"/>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We consider the accounting policies discussed below to be critical to the understanding of our financial statements. Actual results could differ from our estimates and assumptions, and any such differences could be material to our consolidated financial statements.</w:t>
      </w:r>
    </w:p>
    <w:p>
      <w:pPr>
        <w:spacing w:after="0" w:line="67" w:lineRule="exact"/>
        <w:rPr>
          <w:sz w:val="20"/>
          <w:szCs w:val="20"/>
          <w:color w:val="auto"/>
        </w:rPr>
      </w:pPr>
    </w:p>
    <w:p>
      <w:pPr>
        <w:ind w:right="40" w:firstLine="357"/>
        <w:spacing w:after="0"/>
        <w:rPr>
          <w:sz w:val="20"/>
          <w:szCs w:val="20"/>
          <w:color w:val="auto"/>
        </w:rPr>
      </w:pPr>
      <w:r>
        <w:rPr>
          <w:rFonts w:ascii="Arial" w:cs="Arial" w:eastAsia="Arial" w:hAnsi="Arial"/>
          <w:sz w:val="19"/>
          <w:szCs w:val="19"/>
          <w:b w:val="1"/>
          <w:bCs w:val="1"/>
          <w:i w:val="1"/>
          <w:iCs w:val="1"/>
          <w:color w:val="auto"/>
        </w:rPr>
        <w:t>Contingent Liabilities</w:t>
      </w:r>
      <w:r>
        <w:rPr>
          <w:rFonts w:ascii="Arial" w:cs="Arial" w:eastAsia="Arial" w:hAnsi="Arial"/>
          <w:sz w:val="19"/>
          <w:szCs w:val="19"/>
          <w:color w:val="auto"/>
        </w:rPr>
        <w:t>—We are subject to a number of lawsuits, investigations and claims (some of which involve substantial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dollar amounts) that arise out of the conduct of our global business operations or those of previously owned entities, including matters relating to commercial transactions, government contracts, product liability (including asbestos), prior acquisitions and divestitures, employee benefit plans, intellectual property, legal and environmental, health and safety matters. We continually assess the likelihood of any adverse judgments or outcomes to our contingencies, as well as potential amounts or ranges of probable losses, and recognize a liability, if any, for these contingencies based on a thorough analysis of each matter with the assistance of outside legal counsel and, if applicable, other experts. Such analysis includes making judgments concerning matters such as the costs associated with environmental matters, the outcome of negotiations, the number and cost of pending and future asbestos claims,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20 Commitments and Contingencies of Notes to Consolidated Financial Statements for a discussion of management’s judgment applied in the recognition and measurement of our environmental and asbestos liabilities which represent our most significant contingencies.</w:t>
      </w:r>
    </w:p>
    <w:p>
      <w:pPr>
        <w:spacing w:after="0" w:line="77"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b w:val="1"/>
          <w:bCs w:val="1"/>
          <w:i w:val="1"/>
          <w:iCs w:val="1"/>
          <w:color w:val="auto"/>
        </w:rPr>
        <w:t>Asbestos Related Liabilities and Insurance Recoveries, and Indemnification Receivables</w:t>
      </w:r>
      <w:r>
        <w:rPr>
          <w:rFonts w:ascii="Arial" w:cs="Arial" w:eastAsia="Arial" w:hAnsi="Arial"/>
          <w:sz w:val="19"/>
          <w:szCs w:val="19"/>
          <w:color w:val="auto"/>
        </w:rPr>
        <w:t>—Honeywell’s involvement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asbestos related personal injury actions relates to two predecessor companies. Regarding North American Refractories Company (“NARCO”) asbestos related claims, we accrued for pending claims based on terms and conditions in agreements with NARCO, its former parent company, and certain asbestos claimants, and an estimate of the unsettled claims pending as of the time NARCO filed for bankruptcy protection. We also accrued for the estimated value of future NARCO asbestos related claims expected to be asserted against the NARCO Trust. The estimate of future NARCO claims was prepared in 2002, in the same year NARCO filed for bankruptcy protection, using NARCO tort system litigation experience based on a commonly accepted methodology used by numerous bankruptcy courts addressing 524(g) trusts. Accordingly, the estimated value of future NARCO asbestos claims was prepared before there was data on claims filings and payment rates in the NARCO Trust under the Trust Distribution Procedures and prepared when the stay of all NARCO asbestos claims was in effect (which remained in effect until NARCO emerged from Bankruptcy protection). Some critical assumptions underlying this commonly accepted methodology included claims filing rates, disease criteria and payment values contained in the Trust Distribution Procedures,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07" w:right="279" w:bottom="1440" w:gutter="0" w:footer="0" w:header="0"/>
        </w:sectPr>
      </w:pPr>
    </w:p>
    <w:bookmarkStart w:id="33" w:name="page34"/>
    <w:bookmarkEnd w:id="33"/>
    <w:p>
      <w:pPr>
        <w:ind w:right="20"/>
        <w:spacing w:after="0" w:line="239" w:lineRule="auto"/>
        <w:rPr>
          <w:sz w:val="20"/>
          <w:szCs w:val="20"/>
          <w:color w:val="auto"/>
        </w:rPr>
      </w:pPr>
      <w:r>
        <w:rPr>
          <w:rFonts w:ascii="Arial" w:cs="Arial" w:eastAsia="Arial" w:hAnsi="Arial"/>
          <w:sz w:val="19"/>
          <w:szCs w:val="19"/>
          <w:color w:val="auto"/>
        </w:rPr>
        <w:t>estimated approval rates of claims submitted to the NARCO Trust and epidemiological studies estimating disease instances. This estimate resulted in a range of estimated liability of $743 million to $961 million. We believe that no amount within this range is a better estimate than any other amount and accordingly, we have recorded the minimum amount in the range. Given the Trust’s lack of sufficiently reliable claims data since NARCO emerged from bankruptcy protection, it is not yet possible to update our estimated future claim costs based on actual NARCO Trust experience. Regarding Bendix Friction Materials (“Bendix”) asbestos related claims, we accrued for the estimated value of pending claims using average resolution values for the previous five years. We also accrued for the estimated value of future claims related to Bendix over the full term of epidemiological projections through 2059 based on historic and anticipated claims filing experience and dismissal rates, disease classifications, and average resolution values in the tort system for the previous five years.</w:t>
      </w:r>
    </w:p>
    <w:p>
      <w:pPr>
        <w:spacing w:after="0" w:line="95" w:lineRule="exact"/>
        <w:rPr>
          <w:sz w:val="20"/>
          <w:szCs w:val="20"/>
          <w:color w:val="auto"/>
        </w:rPr>
      </w:pPr>
    </w:p>
    <w:p>
      <w:pPr>
        <w:ind w:right="60" w:firstLine="357"/>
        <w:spacing w:after="0"/>
        <w:rPr>
          <w:sz w:val="20"/>
          <w:szCs w:val="20"/>
          <w:color w:val="auto"/>
        </w:rPr>
      </w:pPr>
      <w:r>
        <w:rPr>
          <w:rFonts w:ascii="Arial" w:cs="Arial" w:eastAsia="Arial" w:hAnsi="Arial"/>
          <w:sz w:val="19"/>
          <w:szCs w:val="19"/>
          <w:color w:val="auto"/>
        </w:rPr>
        <w:t>In connection with the recognition of liabilities for asbestos related matters, we record asbestos related insurance recoveries that are deemed probable. In assessing the probability of insurance recovery, we make judgments concerning insurance coverage that we believe are reasonable and consistent with our historical dealings and our knowledge of any pertinent solvency issues surrounding insurers. While the substantial majority of our insurance carriers are solvent, some of our individual carriers are insolvent, which has been considered in our analysis of probable recoveries. Projecting future events is subject to various uncertainties that could cause the insurance recovery on asbestos related liabilities to be higher or lower than that projected and recorded. Given the inherent uncertainty in making future projections, we reevaluate our projections concerning our probable insurance recoveries considering any changes to the projected liability, our recovery experience or other relevant factors that may impact future insurance recoveries.</w:t>
      </w:r>
    </w:p>
    <w:p>
      <w:pPr>
        <w:spacing w:after="0" w:line="305" w:lineRule="exact"/>
        <w:rPr>
          <w:sz w:val="20"/>
          <w:szCs w:val="20"/>
          <w:color w:val="auto"/>
        </w:rPr>
      </w:pPr>
    </w:p>
    <w:p>
      <w:pPr>
        <w:ind w:right="60" w:firstLine="357"/>
        <w:spacing w:after="0" w:line="242" w:lineRule="auto"/>
        <w:rPr>
          <w:sz w:val="20"/>
          <w:szCs w:val="20"/>
          <w:color w:val="auto"/>
        </w:rPr>
      </w:pPr>
      <w:r>
        <w:rPr>
          <w:rFonts w:ascii="Arial" w:cs="Arial" w:eastAsia="Arial" w:hAnsi="Arial"/>
          <w:sz w:val="19"/>
          <w:szCs w:val="19"/>
          <w:color w:val="auto"/>
        </w:rPr>
        <w:t>Additionally, in conjunction with the Garrett spin-off, the Company entered into an indemnification and reimbursement agreement with a Garrett subsidiary, pursuant to which Garrett’s subsidiary has an obligation to make cash payments to Honeywell as reimbursement for asbestos liabilities. Accordingly, the Company has recorded an indemnification receivable and we monitor the recoverability of such receivable, which is subject to terms of applicable credit agreements of Garrett and its general ability to pay.</w:t>
      </w:r>
    </w:p>
    <w:p>
      <w:pPr>
        <w:spacing w:after="0" w:line="91" w:lineRule="exact"/>
        <w:rPr>
          <w:sz w:val="20"/>
          <w:szCs w:val="20"/>
          <w:color w:val="auto"/>
        </w:rPr>
      </w:pPr>
    </w:p>
    <w:p>
      <w:pPr>
        <w:ind w:right="80" w:firstLine="357"/>
        <w:spacing w:after="0" w:line="245" w:lineRule="auto"/>
        <w:rPr>
          <w:sz w:val="20"/>
          <w:szCs w:val="20"/>
          <w:color w:val="auto"/>
        </w:rPr>
      </w:pPr>
      <w:r>
        <w:rPr>
          <w:rFonts w:ascii="Arial" w:cs="Arial" w:eastAsia="Arial" w:hAnsi="Arial"/>
          <w:sz w:val="19"/>
          <w:szCs w:val="19"/>
          <w:color w:val="auto"/>
        </w:rPr>
        <w:t>See Note 20 Commitments and Contingencies of Notes to Consolidated Financial Statements for a discussion of management’s judgments applied in the recognition and measurement of our asbestos-related liabilities and related insurance recoveries, and additional details regarding the indemnification and reimbursement agreement.</w:t>
      </w:r>
    </w:p>
    <w:p>
      <w:pPr>
        <w:spacing w:after="0" w:line="63" w:lineRule="exact"/>
        <w:rPr>
          <w:sz w:val="20"/>
          <w:szCs w:val="20"/>
          <w:color w:val="auto"/>
        </w:rPr>
      </w:pPr>
    </w:p>
    <w:p>
      <w:pPr>
        <w:ind w:right="100" w:firstLine="357"/>
        <w:spacing w:after="0" w:line="245" w:lineRule="auto"/>
        <w:rPr>
          <w:sz w:val="20"/>
          <w:szCs w:val="20"/>
          <w:color w:val="auto"/>
        </w:rPr>
      </w:pPr>
      <w:r>
        <w:rPr>
          <w:rFonts w:ascii="Arial" w:cs="Arial" w:eastAsia="Arial" w:hAnsi="Arial"/>
          <w:sz w:val="19"/>
          <w:szCs w:val="19"/>
          <w:b w:val="1"/>
          <w:bCs w:val="1"/>
          <w:i w:val="1"/>
          <w:iCs w:val="1"/>
          <w:color w:val="auto"/>
        </w:rPr>
        <w:t>Defined Benefit Pension Plans</w:t>
      </w:r>
      <w:r>
        <w:rPr>
          <w:rFonts w:ascii="Arial" w:cs="Arial" w:eastAsia="Arial" w:hAnsi="Arial"/>
          <w:sz w:val="19"/>
          <w:szCs w:val="19"/>
          <w:color w:val="auto"/>
        </w:rPr>
        <w:t>—We sponsor both funded and unfunded U.S. and non-U.S. defined benefit pension plans.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financial reporting purposes, net periodic pension (income) expense is calculated annually based upon a number of actuarial assumptions, including a discount rate for plan obligations and an expected long-term rate of return on plan assets. Changes in the discount rate and expected long-term rate of return on plan assets could materially affect the annual pension (income) expense amount. Annual pension (income) expense is comprised of service and interest cost, assumed return on plan assets, prior service amortization (Pension Ongoing (Income) Expense) and a potential mark-to-market adjustment (MTM Adjustment).</w:t>
      </w:r>
    </w:p>
    <w:p>
      <w:pPr>
        <w:spacing w:after="0" w:line="90" w:lineRule="exact"/>
        <w:rPr>
          <w:sz w:val="20"/>
          <w:szCs w:val="20"/>
          <w:color w:val="auto"/>
        </w:rPr>
      </w:pPr>
    </w:p>
    <w:p>
      <w:pPr>
        <w:ind w:right="380" w:firstLine="357"/>
        <w:spacing w:after="0" w:line="246" w:lineRule="auto"/>
        <w:rPr>
          <w:sz w:val="20"/>
          <w:szCs w:val="20"/>
          <w:color w:val="auto"/>
        </w:rPr>
      </w:pPr>
      <w:r>
        <w:rPr>
          <w:rFonts w:ascii="Arial" w:cs="Arial" w:eastAsia="Arial" w:hAnsi="Arial"/>
          <w:sz w:val="19"/>
          <w:szCs w:val="19"/>
          <w:color w:val="auto"/>
        </w:rPr>
        <w:t>The key assumptions used in developing our 2018, 2017 and 2016 net periodic pension (income) expense for our U.S. plans included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720" w:type="dxa"/>
            <w:vAlign w:val="bottom"/>
          </w:tcPr>
          <w:p>
            <w:pPr>
              <w:jc w:val="right"/>
              <w:ind w:right="86"/>
              <w:spacing w:after="0"/>
              <w:rPr>
                <w:sz w:val="20"/>
                <w:szCs w:val="20"/>
                <w:color w:val="auto"/>
              </w:rPr>
            </w:pPr>
            <w:r>
              <w:rPr>
                <w:rFonts w:ascii="Arial" w:cs="Arial" w:eastAsia="Arial" w:hAnsi="Arial"/>
                <w:sz w:val="16"/>
                <w:szCs w:val="16"/>
                <w:b w:val="1"/>
                <w:bCs w:val="1"/>
                <w:color w:val="auto"/>
              </w:rPr>
              <w:t>2018</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2017</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020" w:type="dxa"/>
            <w:vAlign w:val="bottom"/>
          </w:tcPr>
          <w:p>
            <w:pPr>
              <w:spacing w:after="0"/>
              <w:rPr>
                <w:sz w:val="16"/>
                <w:szCs w:val="16"/>
                <w:color w:val="auto"/>
              </w:rPr>
            </w:pPr>
          </w:p>
        </w:tc>
      </w:tr>
      <w:tr>
        <w:trPr>
          <w:trHeight w:val="210"/>
        </w:trPr>
        <w:tc>
          <w:tcPr>
            <w:tcW w:w="1000" w:type="dxa"/>
            <w:vAlign w:val="bottom"/>
          </w:tcPr>
          <w:p>
            <w:pPr>
              <w:spacing w:after="0"/>
              <w:rPr>
                <w:sz w:val="18"/>
                <w:szCs w:val="18"/>
                <w:color w:val="auto"/>
              </w:rPr>
            </w:pPr>
          </w:p>
        </w:tc>
        <w:tc>
          <w:tcPr>
            <w:tcW w:w="660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Discount Rate:</w:t>
            </w:r>
          </w:p>
        </w:tc>
        <w:tc>
          <w:tcPr>
            <w:tcW w:w="72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0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100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9"/>
                <w:szCs w:val="19"/>
                <w:color w:val="auto"/>
              </w:rPr>
              <w:t>Projected benefit obligation</w:t>
            </w:r>
          </w:p>
        </w:tc>
        <w:tc>
          <w:tcPr>
            <w:tcW w:w="720" w:type="dxa"/>
            <w:vAlign w:val="bottom"/>
          </w:tcPr>
          <w:p>
            <w:pPr>
              <w:jc w:val="right"/>
              <w:spacing w:after="0"/>
              <w:rPr>
                <w:sz w:val="20"/>
                <w:szCs w:val="20"/>
                <w:color w:val="auto"/>
              </w:rPr>
            </w:pPr>
            <w:r>
              <w:rPr>
                <w:rFonts w:ascii="Arial" w:cs="Arial" w:eastAsia="Arial" w:hAnsi="Arial"/>
                <w:sz w:val="19"/>
                <w:szCs w:val="19"/>
                <w:color w:val="auto"/>
              </w:rPr>
              <w:t>3.68%</w:t>
            </w:r>
          </w:p>
        </w:tc>
        <w:tc>
          <w:tcPr>
            <w:tcW w:w="1000" w:type="dxa"/>
            <w:vAlign w:val="bottom"/>
            <w:gridSpan w:val="2"/>
          </w:tcPr>
          <w:p>
            <w:pPr>
              <w:jc w:val="right"/>
              <w:ind w:right="40"/>
              <w:spacing w:after="0"/>
              <w:rPr>
                <w:sz w:val="20"/>
                <w:szCs w:val="20"/>
                <w:color w:val="auto"/>
              </w:rPr>
            </w:pPr>
            <w:r>
              <w:rPr>
                <w:rFonts w:ascii="Arial" w:cs="Arial" w:eastAsia="Arial" w:hAnsi="Arial"/>
                <w:sz w:val="19"/>
                <w:szCs w:val="19"/>
                <w:color w:val="auto"/>
              </w:rPr>
              <w:t>4.20%</w:t>
            </w: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4.46%</w:t>
            </w:r>
          </w:p>
        </w:tc>
        <w:tc>
          <w:tcPr>
            <w:tcW w:w="102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66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Service cost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3.77%</w:t>
            </w:r>
          </w:p>
        </w:tc>
        <w:tc>
          <w:tcPr>
            <w:tcW w:w="10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4.42%</w:t>
            </w:r>
          </w:p>
        </w:tc>
        <w:tc>
          <w:tcPr>
            <w:tcW w:w="10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4.69%</w:t>
            </w:r>
          </w:p>
        </w:tc>
        <w:tc>
          <w:tcPr>
            <w:tcW w:w="102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9"/>
                <w:szCs w:val="19"/>
                <w:color w:val="auto"/>
              </w:rPr>
              <w:t>Interest cost</w:t>
            </w:r>
          </w:p>
        </w:tc>
        <w:tc>
          <w:tcPr>
            <w:tcW w:w="720" w:type="dxa"/>
            <w:vAlign w:val="bottom"/>
          </w:tcPr>
          <w:p>
            <w:pPr>
              <w:jc w:val="right"/>
              <w:spacing w:after="0"/>
              <w:rPr>
                <w:sz w:val="20"/>
                <w:szCs w:val="20"/>
                <w:color w:val="auto"/>
              </w:rPr>
            </w:pPr>
            <w:r>
              <w:rPr>
                <w:rFonts w:ascii="Arial" w:cs="Arial" w:eastAsia="Arial" w:hAnsi="Arial"/>
                <w:sz w:val="19"/>
                <w:szCs w:val="19"/>
                <w:color w:val="auto"/>
              </w:rPr>
              <w:t>3.27%</w:t>
            </w:r>
          </w:p>
        </w:tc>
        <w:tc>
          <w:tcPr>
            <w:tcW w:w="1000" w:type="dxa"/>
            <w:vAlign w:val="bottom"/>
            <w:gridSpan w:val="2"/>
          </w:tcPr>
          <w:p>
            <w:pPr>
              <w:jc w:val="right"/>
              <w:ind w:right="40"/>
              <w:spacing w:after="0"/>
              <w:rPr>
                <w:sz w:val="20"/>
                <w:szCs w:val="20"/>
                <w:color w:val="auto"/>
              </w:rPr>
            </w:pPr>
            <w:r>
              <w:rPr>
                <w:rFonts w:ascii="Arial" w:cs="Arial" w:eastAsia="Arial" w:hAnsi="Arial"/>
                <w:sz w:val="19"/>
                <w:szCs w:val="19"/>
                <w:color w:val="auto"/>
              </w:rPr>
              <w:t>3.49%</w:t>
            </w: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3.59%</w:t>
            </w:r>
          </w:p>
        </w:tc>
        <w:tc>
          <w:tcPr>
            <w:tcW w:w="1020" w:type="dxa"/>
            <w:vAlign w:val="bottom"/>
          </w:tcPr>
          <w:p>
            <w:pPr>
              <w:spacing w:after="0"/>
              <w:rPr>
                <w:sz w:val="21"/>
                <w:szCs w:val="21"/>
                <w:color w:val="auto"/>
              </w:rPr>
            </w:pPr>
          </w:p>
        </w:tc>
      </w:tr>
      <w:tr>
        <w:trPr>
          <w:trHeight w:val="216"/>
        </w:trPr>
        <w:tc>
          <w:tcPr>
            <w:tcW w:w="1000" w:type="dxa"/>
            <w:vAlign w:val="bottom"/>
          </w:tcPr>
          <w:p>
            <w:pPr>
              <w:spacing w:after="0"/>
              <w:rPr>
                <w:sz w:val="18"/>
                <w:szCs w:val="18"/>
                <w:color w:val="auto"/>
              </w:rPr>
            </w:pPr>
          </w:p>
        </w:tc>
        <w:tc>
          <w:tcPr>
            <w:tcW w:w="660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Assets:</w:t>
            </w: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100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9"/>
                <w:szCs w:val="19"/>
                <w:color w:val="auto"/>
              </w:rPr>
              <w:t>Expected rate of return</w:t>
            </w:r>
          </w:p>
        </w:tc>
        <w:tc>
          <w:tcPr>
            <w:tcW w:w="720" w:type="dxa"/>
            <w:vAlign w:val="bottom"/>
          </w:tcPr>
          <w:p>
            <w:pPr>
              <w:jc w:val="right"/>
              <w:spacing w:after="0"/>
              <w:rPr>
                <w:sz w:val="20"/>
                <w:szCs w:val="20"/>
                <w:color w:val="auto"/>
              </w:rPr>
            </w:pPr>
            <w:r>
              <w:rPr>
                <w:rFonts w:ascii="Arial" w:cs="Arial" w:eastAsia="Arial" w:hAnsi="Arial"/>
                <w:sz w:val="19"/>
                <w:szCs w:val="19"/>
                <w:color w:val="auto"/>
              </w:rPr>
              <w:t>7.75%</w:t>
            </w:r>
          </w:p>
        </w:tc>
        <w:tc>
          <w:tcPr>
            <w:tcW w:w="1000" w:type="dxa"/>
            <w:vAlign w:val="bottom"/>
            <w:gridSpan w:val="2"/>
          </w:tcPr>
          <w:p>
            <w:pPr>
              <w:jc w:val="right"/>
              <w:ind w:right="40"/>
              <w:spacing w:after="0"/>
              <w:rPr>
                <w:sz w:val="20"/>
                <w:szCs w:val="20"/>
                <w:color w:val="auto"/>
              </w:rPr>
            </w:pPr>
            <w:r>
              <w:rPr>
                <w:rFonts w:ascii="Arial" w:cs="Arial" w:eastAsia="Arial" w:hAnsi="Arial"/>
                <w:sz w:val="19"/>
                <w:szCs w:val="19"/>
                <w:color w:val="auto"/>
              </w:rPr>
              <w:t>7.75%</w:t>
            </w: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7.75%</w:t>
            </w:r>
          </w:p>
        </w:tc>
        <w:tc>
          <w:tcPr>
            <w:tcW w:w="102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66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Actual rate of return</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w:t>
            </w:r>
          </w:p>
        </w:tc>
        <w:tc>
          <w:tcPr>
            <w:tcW w:w="10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20.5%</w:t>
            </w:r>
          </w:p>
        </w:tc>
        <w:tc>
          <w:tcPr>
            <w:tcW w:w="10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9.7%</w:t>
            </w:r>
          </w:p>
        </w:tc>
        <w:tc>
          <w:tcPr>
            <w:tcW w:w="1020" w:type="dxa"/>
            <w:vAlign w:val="bottom"/>
          </w:tcPr>
          <w:p>
            <w:pPr>
              <w:spacing w:after="0"/>
              <w:rPr>
                <w:sz w:val="21"/>
                <w:szCs w:val="21"/>
                <w:color w:val="auto"/>
              </w:rPr>
            </w:pPr>
          </w:p>
        </w:tc>
      </w:tr>
      <w:tr>
        <w:trPr>
          <w:trHeight w:val="261"/>
        </w:trPr>
        <w:tc>
          <w:tcPr>
            <w:tcW w:w="1000" w:type="dxa"/>
            <w:vAlign w:val="bottom"/>
          </w:tcPr>
          <w:p>
            <w:pPr>
              <w:spacing w:after="0"/>
              <w:rPr>
                <w:sz w:val="22"/>
                <w:szCs w:val="22"/>
                <w:color w:val="auto"/>
              </w:rPr>
            </w:pPr>
          </w:p>
        </w:tc>
        <w:tc>
          <w:tcPr>
            <w:tcW w:w="6600" w:type="dxa"/>
            <w:vAlign w:val="bottom"/>
          </w:tcPr>
          <w:p>
            <w:pPr>
              <w:ind w:left="360"/>
              <w:spacing w:after="0"/>
              <w:rPr>
                <w:sz w:val="20"/>
                <w:szCs w:val="20"/>
                <w:color w:val="auto"/>
              </w:rPr>
            </w:pPr>
            <w:r>
              <w:rPr>
                <w:rFonts w:ascii="Arial" w:cs="Arial" w:eastAsia="Arial" w:hAnsi="Arial"/>
                <w:sz w:val="19"/>
                <w:szCs w:val="19"/>
                <w:color w:val="auto"/>
              </w:rPr>
              <w:t>Actual 10 year average annual compounded rate of return</w:t>
            </w:r>
          </w:p>
        </w:tc>
        <w:tc>
          <w:tcPr>
            <w:tcW w:w="720" w:type="dxa"/>
            <w:vAlign w:val="bottom"/>
          </w:tcPr>
          <w:p>
            <w:pPr>
              <w:jc w:val="right"/>
              <w:spacing w:after="0"/>
              <w:rPr>
                <w:sz w:val="20"/>
                <w:szCs w:val="20"/>
                <w:color w:val="auto"/>
              </w:rPr>
            </w:pPr>
            <w:r>
              <w:rPr>
                <w:rFonts w:ascii="Arial" w:cs="Arial" w:eastAsia="Arial" w:hAnsi="Arial"/>
                <w:sz w:val="19"/>
                <w:szCs w:val="19"/>
                <w:color w:val="auto"/>
              </w:rPr>
              <w:t>11.0%</w:t>
            </w:r>
          </w:p>
        </w:tc>
        <w:tc>
          <w:tcPr>
            <w:tcW w:w="1000" w:type="dxa"/>
            <w:vAlign w:val="bottom"/>
            <w:gridSpan w:val="2"/>
          </w:tcPr>
          <w:p>
            <w:pPr>
              <w:jc w:val="right"/>
              <w:ind w:right="40"/>
              <w:spacing w:after="0"/>
              <w:rPr>
                <w:sz w:val="20"/>
                <w:szCs w:val="20"/>
                <w:color w:val="auto"/>
              </w:rPr>
            </w:pPr>
            <w:r>
              <w:rPr>
                <w:rFonts w:ascii="Arial" w:cs="Arial" w:eastAsia="Arial" w:hAnsi="Arial"/>
                <w:sz w:val="19"/>
                <w:szCs w:val="19"/>
                <w:color w:val="auto"/>
              </w:rPr>
              <w:t>7.4%</w:t>
            </w: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6.4%</w:t>
            </w:r>
          </w:p>
        </w:tc>
        <w:tc>
          <w:tcPr>
            <w:tcW w:w="1020" w:type="dxa"/>
            <w:vAlign w:val="bottom"/>
          </w:tcPr>
          <w:p>
            <w:pPr>
              <w:spacing w:after="0"/>
              <w:rPr>
                <w:sz w:val="22"/>
                <w:szCs w:val="22"/>
                <w:color w:val="auto"/>
              </w:rPr>
            </w:pPr>
          </w:p>
        </w:tc>
      </w:tr>
      <w:tr>
        <w:trPr>
          <w:trHeight w:val="311"/>
        </w:trPr>
        <w:tc>
          <w:tcPr>
            <w:tcW w:w="1000" w:type="dxa"/>
            <w:vAlign w:val="bottom"/>
          </w:tcPr>
          <w:p>
            <w:pPr>
              <w:spacing w:after="0"/>
              <w:rPr>
                <w:sz w:val="24"/>
                <w:szCs w:val="24"/>
                <w:color w:val="auto"/>
              </w:rPr>
            </w:pPr>
          </w:p>
        </w:tc>
        <w:tc>
          <w:tcPr>
            <w:tcW w:w="6600" w:type="dxa"/>
            <w:vAlign w:val="bottom"/>
          </w:tcPr>
          <w:p>
            <w:pPr>
              <w:ind w:left="4600"/>
              <w:spacing w:after="0"/>
              <w:rPr>
                <w:sz w:val="20"/>
                <w:szCs w:val="20"/>
                <w:color w:val="auto"/>
              </w:rPr>
            </w:pPr>
            <w:r>
              <w:rPr>
                <w:rFonts w:ascii="Arial" w:cs="Arial" w:eastAsia="Arial" w:hAnsi="Arial"/>
                <w:sz w:val="19"/>
                <w:szCs w:val="19"/>
                <w:color w:val="auto"/>
              </w:rPr>
              <w:t>31</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9"/>
        </w:trPr>
        <w:tc>
          <w:tcPr>
            <w:tcW w:w="1000" w:type="dxa"/>
            <w:vAlign w:val="bottom"/>
            <w:tcBorders>
              <w:bottom w:val="single" w:sz="8" w:color="auto"/>
            </w:tcBorders>
          </w:tcPr>
          <w:p>
            <w:pPr>
              <w:spacing w:after="0"/>
              <w:rPr>
                <w:sz w:val="18"/>
                <w:szCs w:val="18"/>
                <w:color w:val="auto"/>
              </w:rPr>
            </w:pPr>
          </w:p>
        </w:tc>
        <w:tc>
          <w:tcPr>
            <w:tcW w:w="66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34" w:name="page35"/>
    <w:bookmarkEnd w:id="34"/>
    <w:p>
      <w:pPr>
        <w:ind w:right="100" w:firstLine="357"/>
        <w:spacing w:after="0"/>
        <w:rPr>
          <w:sz w:val="20"/>
          <w:szCs w:val="20"/>
          <w:color w:val="auto"/>
        </w:rPr>
      </w:pPr>
      <w:r>
        <w:rPr>
          <w:rFonts w:ascii="Arial" w:cs="Arial" w:eastAsia="Arial" w:hAnsi="Arial"/>
          <w:sz w:val="19"/>
          <w:szCs w:val="19"/>
          <w:color w:val="auto"/>
        </w:rPr>
        <w:t>The MTM Adjustment represents the recognition of net actuarial gains or losses in excess of 10% of the greater of the fair value of plan assets or the plans’ projected benefit obligation (the corridor). Net actuarial gains and losses occur when the actual experience differs from any of the various assumptions used to value our pension plans or when assumptions change. The primary factors contributing to actuarial gains and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MTM charges were $37 million, $87 million and $273 million in 2018, 2017 and 2016.</w:t>
      </w:r>
    </w:p>
    <w:p>
      <w:pPr>
        <w:spacing w:after="0" w:line="91" w:lineRule="exact"/>
        <w:rPr>
          <w:sz w:val="20"/>
          <w:szCs w:val="20"/>
          <w:color w:val="auto"/>
        </w:rPr>
      </w:pPr>
    </w:p>
    <w:p>
      <w:pPr>
        <w:ind w:right="240" w:firstLine="357"/>
        <w:spacing w:after="0" w:line="241" w:lineRule="auto"/>
        <w:rPr>
          <w:sz w:val="20"/>
          <w:szCs w:val="20"/>
          <w:color w:val="auto"/>
        </w:rPr>
      </w:pPr>
      <w:r>
        <w:rPr>
          <w:rFonts w:ascii="Arial" w:cs="Arial" w:eastAsia="Arial" w:hAnsi="Arial"/>
          <w:sz w:val="19"/>
          <w:szCs w:val="19"/>
          <w:color w:val="auto"/>
        </w:rPr>
        <w:t>We determine the expected long-term rate of return on plan assets utilizing historical plan asset returns over varying long-term periods combined with our expectations of future market conditions and asset mix considerations (see Note 21 Pension and Other Postretirement Benefits of Notes to Consolidated Financial Statements for details on the actual various asset classes and targeted asset allocation percentages for our pension plans). We plan to use an expected rate of return on plan assets of 6.75% for 2019 down from 7.75% for 2018 reflecting a re-balancing of assets to more fixed income during 2018.</w:t>
      </w:r>
    </w:p>
    <w:p>
      <w:pPr>
        <w:spacing w:after="0" w:line="91" w:lineRule="exact"/>
        <w:rPr>
          <w:sz w:val="20"/>
          <w:szCs w:val="20"/>
          <w:color w:val="auto"/>
        </w:rPr>
      </w:pPr>
    </w:p>
    <w:p>
      <w:pPr>
        <w:ind w:right="60" w:firstLine="357"/>
        <w:spacing w:after="0" w:line="241" w:lineRule="auto"/>
        <w:rPr>
          <w:sz w:val="20"/>
          <w:szCs w:val="20"/>
          <w:color w:val="auto"/>
        </w:rPr>
      </w:pPr>
      <w:r>
        <w:rPr>
          <w:rFonts w:ascii="Arial" w:cs="Arial" w:eastAsia="Arial" w:hAnsi="Arial"/>
          <w:sz w:val="19"/>
          <w:szCs w:val="19"/>
          <w:color w:val="auto"/>
        </w:rPr>
        <w:t>The discount rate reflects the market rate on December 31 (measurement date) for high-quality fixed-income investments with maturities corresponding to our benefit obligations and is subject to change each year. The discount rate can be volatile from year to year as it is determined based upon prevailing interest rates as of the measurement date. We used a 4.35% discount rate to determine benefit obligations as of December 31, 2018, reflecting the increase in the market interest rate environment since the prior year-end.</w:t>
      </w:r>
    </w:p>
    <w:p>
      <w:pPr>
        <w:spacing w:after="0" w:line="311"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color w:val="auto"/>
        </w:rPr>
        <w:t>In addition to the potential for MTM Adjustments, changes in our expected rate of return on plan assets and discount rate resulting from economic events also affects future pension ongoing (income) expense. The following table highlights the sensitivity of our U.S. pension obligations and ongoing (income) expense to changes in these assumptions, assuming all other assumptions remain constant. These estimates exclude any potential MTM Adjustment:</w:t>
      </w: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8"/>
              </w:rPr>
              <w:t>Impact on 2019</w:t>
            </w:r>
          </w:p>
        </w:tc>
        <w:tc>
          <w:tcPr>
            <w:tcW w:w="30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176"/>
        </w:trPr>
        <w:tc>
          <w:tcPr>
            <w:tcW w:w="5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Pension Ongoing</w:t>
            </w:r>
          </w:p>
        </w:tc>
        <w:tc>
          <w:tcPr>
            <w:tcW w:w="30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190"/>
        </w:trPr>
        <w:tc>
          <w:tcPr>
            <w:tcW w:w="5720" w:type="dxa"/>
            <w:vAlign w:val="bottom"/>
            <w:tcBorders>
              <w:bottom w:val="single" w:sz="8" w:color="auto"/>
            </w:tcBorders>
          </w:tcPr>
          <w:p>
            <w:pPr>
              <w:ind w:left="2000"/>
              <w:spacing w:after="0"/>
              <w:rPr>
                <w:sz w:val="20"/>
                <w:szCs w:val="20"/>
                <w:color w:val="auto"/>
              </w:rPr>
            </w:pPr>
            <w:r>
              <w:rPr>
                <w:rFonts w:ascii="Arial" w:cs="Arial" w:eastAsia="Arial" w:hAnsi="Arial"/>
                <w:sz w:val="16"/>
                <w:szCs w:val="16"/>
                <w:b w:val="1"/>
                <w:bCs w:val="1"/>
                <w:color w:val="auto"/>
              </w:rPr>
              <w:t>Change in Assumption</w:t>
            </w:r>
          </w:p>
        </w:tc>
        <w:tc>
          <w:tcPr>
            <w:tcW w:w="30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Expense</w:t>
            </w:r>
          </w:p>
        </w:tc>
        <w:tc>
          <w:tcPr>
            <w:tcW w:w="300" w:type="dxa"/>
            <w:vAlign w:val="bottom"/>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Impact on PBO</w:t>
            </w:r>
          </w:p>
        </w:tc>
      </w:tr>
      <w:tr>
        <w:trPr>
          <w:trHeight w:val="237"/>
        </w:trPr>
        <w:tc>
          <w:tcPr>
            <w:tcW w:w="5720" w:type="dxa"/>
            <w:vAlign w:val="bottom"/>
            <w:shd w:val="clear" w:color="auto" w:fill="E5FFFF"/>
          </w:tcPr>
          <w:p>
            <w:pPr>
              <w:spacing w:after="0"/>
              <w:rPr>
                <w:sz w:val="20"/>
                <w:szCs w:val="20"/>
                <w:color w:val="auto"/>
              </w:rPr>
            </w:pPr>
            <w:r>
              <w:rPr>
                <w:rFonts w:ascii="Arial" w:cs="Arial" w:eastAsia="Arial" w:hAnsi="Arial"/>
                <w:sz w:val="19"/>
                <w:szCs w:val="19"/>
                <w:color w:val="auto"/>
              </w:rPr>
              <w:t>0.25 percentage point decrease in discount rate</w:t>
            </w:r>
          </w:p>
        </w:tc>
        <w:tc>
          <w:tcPr>
            <w:tcW w:w="300" w:type="dxa"/>
            <w:vAlign w:val="bottom"/>
            <w:shd w:val="clear" w:color="auto" w:fill="E5FFFF"/>
          </w:tcPr>
          <w:p>
            <w:pPr>
              <w:spacing w:after="0"/>
              <w:rPr>
                <w:sz w:val="20"/>
                <w:szCs w:val="20"/>
                <w:color w:val="auto"/>
              </w:rPr>
            </w:pPr>
          </w:p>
        </w:tc>
        <w:tc>
          <w:tcPr>
            <w:tcW w:w="238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Decrease $20 million</w:t>
            </w:r>
          </w:p>
        </w:tc>
        <w:tc>
          <w:tcPr>
            <w:tcW w:w="300" w:type="dxa"/>
            <w:vAlign w:val="bottom"/>
            <w:shd w:val="clear" w:color="auto" w:fill="E5FFFF"/>
          </w:tcPr>
          <w:p>
            <w:pPr>
              <w:spacing w:after="0"/>
              <w:rPr>
                <w:sz w:val="20"/>
                <w:szCs w:val="20"/>
                <w:color w:val="auto"/>
              </w:rPr>
            </w:pPr>
          </w:p>
        </w:tc>
        <w:tc>
          <w:tcPr>
            <w:tcW w:w="27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Increase $420 million</w:t>
            </w:r>
          </w:p>
        </w:tc>
      </w:tr>
      <w:tr>
        <w:trPr>
          <w:trHeight w:val="243"/>
        </w:trPr>
        <w:tc>
          <w:tcPr>
            <w:tcW w:w="5720" w:type="dxa"/>
            <w:vAlign w:val="bottom"/>
          </w:tcPr>
          <w:p>
            <w:pPr>
              <w:spacing w:after="0"/>
              <w:rPr>
                <w:sz w:val="20"/>
                <w:szCs w:val="20"/>
                <w:color w:val="auto"/>
              </w:rPr>
            </w:pPr>
            <w:r>
              <w:rPr>
                <w:rFonts w:ascii="Arial" w:cs="Arial" w:eastAsia="Arial" w:hAnsi="Arial"/>
                <w:sz w:val="19"/>
                <w:szCs w:val="19"/>
                <w:color w:val="auto"/>
              </w:rPr>
              <w:t>0.25 percentage point increase in discount rate</w:t>
            </w:r>
          </w:p>
        </w:tc>
        <w:tc>
          <w:tcPr>
            <w:tcW w:w="3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9"/>
                <w:szCs w:val="19"/>
                <w:color w:val="auto"/>
              </w:rPr>
              <w:t>Increase $20 million</w:t>
            </w:r>
          </w:p>
        </w:tc>
        <w:tc>
          <w:tcPr>
            <w:tcW w:w="30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9"/>
                <w:szCs w:val="19"/>
                <w:color w:val="auto"/>
              </w:rPr>
              <w:t>Decrease $410 million</w:t>
            </w:r>
          </w:p>
        </w:tc>
      </w:tr>
      <w:tr>
        <w:trPr>
          <w:trHeight w:val="216"/>
        </w:trPr>
        <w:tc>
          <w:tcPr>
            <w:tcW w:w="572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0.25 percentage point decrease in expected rate of return on</w:t>
            </w:r>
          </w:p>
        </w:tc>
        <w:tc>
          <w:tcPr>
            <w:tcW w:w="300" w:type="dxa"/>
            <w:vAlign w:val="bottom"/>
            <w:shd w:val="clear" w:color="auto" w:fill="E5FFFF"/>
          </w:tcPr>
          <w:p>
            <w:pPr>
              <w:spacing w:after="0"/>
              <w:rPr>
                <w:sz w:val="18"/>
                <w:szCs w:val="18"/>
                <w:color w:val="auto"/>
              </w:rPr>
            </w:pPr>
          </w:p>
        </w:tc>
        <w:tc>
          <w:tcPr>
            <w:tcW w:w="23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720" w:type="dxa"/>
            <w:vAlign w:val="bottom"/>
            <w:shd w:val="clear" w:color="auto" w:fill="E5FFFF"/>
          </w:tcPr>
          <w:p>
            <w:pPr>
              <w:spacing w:after="0"/>
              <w:rPr>
                <w:sz w:val="18"/>
                <w:szCs w:val="18"/>
                <w:color w:val="auto"/>
              </w:rPr>
            </w:pPr>
          </w:p>
        </w:tc>
      </w:tr>
      <w:tr>
        <w:trPr>
          <w:trHeight w:val="216"/>
        </w:trPr>
        <w:tc>
          <w:tcPr>
            <w:tcW w:w="572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assets</w:t>
            </w:r>
          </w:p>
        </w:tc>
        <w:tc>
          <w:tcPr>
            <w:tcW w:w="300" w:type="dxa"/>
            <w:vAlign w:val="bottom"/>
            <w:shd w:val="clear" w:color="auto" w:fill="E5FFFF"/>
          </w:tcPr>
          <w:p>
            <w:pPr>
              <w:spacing w:after="0"/>
              <w:rPr>
                <w:sz w:val="18"/>
                <w:szCs w:val="18"/>
                <w:color w:val="auto"/>
              </w:rPr>
            </w:pPr>
          </w:p>
        </w:tc>
        <w:tc>
          <w:tcPr>
            <w:tcW w:w="2380" w:type="dxa"/>
            <w:vAlign w:val="bottom"/>
            <w:shd w:val="clear" w:color="auto" w:fill="E5FFFF"/>
          </w:tcPr>
          <w:p>
            <w:pPr>
              <w:jc w:val="center"/>
              <w:spacing w:after="0" w:line="216" w:lineRule="exact"/>
              <w:rPr>
                <w:sz w:val="20"/>
                <w:szCs w:val="20"/>
                <w:color w:val="auto"/>
              </w:rPr>
            </w:pPr>
            <w:r>
              <w:rPr>
                <w:rFonts w:ascii="Arial" w:cs="Arial" w:eastAsia="Arial" w:hAnsi="Arial"/>
                <w:sz w:val="19"/>
                <w:szCs w:val="19"/>
                <w:color w:val="auto"/>
              </w:rPr>
              <w:t>Increase $41 million</w:t>
            </w:r>
          </w:p>
        </w:tc>
        <w:tc>
          <w:tcPr>
            <w:tcW w:w="300" w:type="dxa"/>
            <w:vAlign w:val="bottom"/>
            <w:shd w:val="clear" w:color="auto" w:fill="E5FFFF"/>
          </w:tcPr>
          <w:p>
            <w:pPr>
              <w:spacing w:after="0"/>
              <w:rPr>
                <w:sz w:val="18"/>
                <w:szCs w:val="18"/>
                <w:color w:val="auto"/>
              </w:rPr>
            </w:pPr>
          </w:p>
        </w:tc>
        <w:tc>
          <w:tcPr>
            <w:tcW w:w="2720" w:type="dxa"/>
            <w:vAlign w:val="bottom"/>
            <w:shd w:val="clear" w:color="auto" w:fill="E5FFFF"/>
          </w:tcPr>
          <w:p>
            <w:pPr>
              <w:jc w:val="center"/>
              <w:spacing w:after="0" w:line="216" w:lineRule="exact"/>
              <w:rPr>
                <w:sz w:val="20"/>
                <w:szCs w:val="20"/>
                <w:color w:val="auto"/>
              </w:rPr>
            </w:pPr>
            <w:r>
              <w:rPr>
                <w:rFonts w:ascii="Arial" w:cs="Arial" w:eastAsia="Arial" w:hAnsi="Arial"/>
                <w:sz w:val="19"/>
                <w:szCs w:val="19"/>
                <w:color w:val="auto"/>
              </w:rPr>
              <w:t>—</w:t>
            </w: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9"/>
                <w:szCs w:val="19"/>
                <w:color w:val="auto"/>
              </w:rPr>
              <w:t>0.25 percentage point increase in expected rate of return on</w:t>
            </w: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4"/>
        </w:trPr>
        <w:tc>
          <w:tcPr>
            <w:tcW w:w="5720" w:type="dxa"/>
            <w:vAlign w:val="bottom"/>
          </w:tcPr>
          <w:p>
            <w:pPr>
              <w:ind w:left="180"/>
              <w:spacing w:after="0"/>
              <w:rPr>
                <w:sz w:val="20"/>
                <w:szCs w:val="20"/>
                <w:color w:val="auto"/>
              </w:rPr>
            </w:pPr>
            <w:r>
              <w:rPr>
                <w:rFonts w:ascii="Arial" w:cs="Arial" w:eastAsia="Arial" w:hAnsi="Arial"/>
                <w:sz w:val="19"/>
                <w:szCs w:val="19"/>
                <w:color w:val="auto"/>
              </w:rPr>
              <w:t>assets</w:t>
            </w:r>
          </w:p>
        </w:tc>
        <w:tc>
          <w:tcPr>
            <w:tcW w:w="30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9"/>
                <w:szCs w:val="19"/>
                <w:color w:val="auto"/>
              </w:rPr>
              <w:t>Decrease $41 million</w:t>
            </w:r>
          </w:p>
        </w:tc>
        <w:tc>
          <w:tcPr>
            <w:tcW w:w="30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9"/>
                <w:szCs w:val="19"/>
                <w:color w:val="auto"/>
              </w:rPr>
              <w:t>—</w:t>
            </w:r>
          </w:p>
        </w:tc>
      </w:tr>
    </w:tbl>
    <w:p>
      <w:pPr>
        <w:spacing w:after="0" w:line="91"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Pension ongoing income for our world-wide pension plans is expected to be approximately $590 million in 2019 compared with pension ongoing income of $992 million in 2018. The expected decrease in pension income is primarily due to lower actual asset returns in 2018 and a lower expected return on asset assumption for 2019 in our U.S. and UK plans. Also, if required, an MTM Adjustment will be recorded in the fourth quarter of 2019 in accordance with our pension accounting method as previously described. It is difficult to reliably forecast or predict whether there will be a MTM Adjustment in 2019, and if one is required, what the magnitude of such adjustment will be. MTM Adjustments are primarily driven by events and circumstances beyond the control of the Company such as changes in interest rates and the performance of the financial markets.</w:t>
      </w:r>
    </w:p>
    <w:p>
      <w:pPr>
        <w:spacing w:after="0" w:line="67" w:lineRule="exact"/>
        <w:rPr>
          <w:sz w:val="20"/>
          <w:szCs w:val="20"/>
          <w:color w:val="auto"/>
        </w:rPr>
      </w:pPr>
    </w:p>
    <w:p>
      <w:pPr>
        <w:ind w:right="260" w:firstLine="357"/>
        <w:spacing w:after="0" w:line="245" w:lineRule="auto"/>
        <w:rPr>
          <w:sz w:val="20"/>
          <w:szCs w:val="20"/>
          <w:color w:val="auto"/>
        </w:rPr>
      </w:pPr>
      <w:r>
        <w:rPr>
          <w:rFonts w:ascii="Arial" w:cs="Arial" w:eastAsia="Arial" w:hAnsi="Arial"/>
          <w:sz w:val="19"/>
          <w:szCs w:val="19"/>
          <w:b w:val="1"/>
          <w:bCs w:val="1"/>
          <w:i w:val="1"/>
          <w:iCs w:val="1"/>
          <w:color w:val="auto"/>
        </w:rPr>
        <w:t>Long-Lived Assets (including Tangible and Finite-Lived Intangible Assets)</w:t>
      </w:r>
      <w:r>
        <w:rPr>
          <w:rFonts w:ascii="Arial" w:cs="Arial" w:eastAsia="Arial" w:hAnsi="Arial"/>
          <w:sz w:val="19"/>
          <w:szCs w:val="19"/>
          <w:color w:val="auto"/>
        </w:rPr>
        <w:t>—The determination of useful lives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depreciation/amortization purposes) and whether or not tangible and intangible assets are impaired involves the use of accounting estimates and assumptions, changes in which could materially impact our financial condition or operating performance if actual results differ from such estimates and assumptions. We evaluate the recoverability of the carrying amount of our long-lived assets whenever events or changes in circumstances indicate that the carrying amount of a long-lived asset group may not be fully recoverable. The principal factors in considering when to perform an impairment review are as follows: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35" w:name="page36"/>
    <w:bookmarkEnd w:id="35"/>
    <w:p>
      <w:pPr>
        <w:ind w:left="540" w:right="680" w:hanging="168"/>
        <w:spacing w:after="0" w:line="253"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Significant under-performance (i.e., declines in sales, earnings or cash flows) of a business or product line in relation to expectations;</w:t>
      </w:r>
    </w:p>
    <w:p>
      <w:pPr>
        <w:spacing w:after="0" w:line="66" w:lineRule="exact"/>
        <w:rPr>
          <w:rFonts w:ascii="Arial" w:cs="Arial" w:eastAsia="Arial" w:hAnsi="Arial"/>
          <w:sz w:val="19"/>
          <w:szCs w:val="19"/>
          <w:color w:val="auto"/>
        </w:rPr>
      </w:pPr>
    </w:p>
    <w:p>
      <w:pPr>
        <w:ind w:left="540" w:right="220" w:hanging="168"/>
        <w:spacing w:after="0" w:line="253"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Annual operating plans or strategic plan outlook that indicate an unfavorable trend in operating performance of a business or product line;</w:t>
      </w:r>
    </w:p>
    <w:p>
      <w:pPr>
        <w:spacing w:after="0" w:line="66" w:lineRule="exact"/>
        <w:rPr>
          <w:rFonts w:ascii="Arial" w:cs="Arial" w:eastAsia="Arial" w:hAnsi="Arial"/>
          <w:sz w:val="19"/>
          <w:szCs w:val="19"/>
          <w:color w:val="auto"/>
        </w:rPr>
      </w:pPr>
    </w:p>
    <w:p>
      <w:pPr>
        <w:ind w:left="540" w:hanging="168"/>
        <w:spacing w:after="0"/>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Significant negative industry or economic trends;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Significant changes or planned changes in our use of the assets.</w:t>
      </w:r>
    </w:p>
    <w:p>
      <w:pPr>
        <w:spacing w:after="0" w:line="119"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Once it is determined that an impairment review is necessary, recoverability of assets is measured by comparing the carrying amount of the asset grouping to the estimated future undiscounted cash flows. If the carrying amount exceeds the estimated future undiscounted cash flows, the asset grouping is considered to be impaired. The impairment is then measured as the difference between the carrying amount of the asset grouping and its fair value. We endeavor to utilize the best information available to measure fair value, which is usually either market prices (if available), level 1 or level 2 of the fair value hierarchy, or an estimate of the future discounted cash flow, level 3 of the fair value hierarchy. The key estimates in our discounted cash flow analysis include assumptions as to expected industry and business growth rates, sales volume, selling prices and costs, cash flows, and the discount rate selected. These estimates are subject to changes in the economic environment, including market interest rates and expected volatility. Management believes the estimates of future cash flows and fair values are reasonable; however, changes in estimates due to variance from assumptions could materially affect the valuations.</w:t>
      </w:r>
    </w:p>
    <w:p>
      <w:pPr>
        <w:spacing w:after="0" w:line="69" w:lineRule="exact"/>
        <w:rPr>
          <w:sz w:val="20"/>
          <w:szCs w:val="20"/>
          <w:color w:val="auto"/>
        </w:rPr>
      </w:pPr>
    </w:p>
    <w:p>
      <w:pPr>
        <w:ind w:firstLine="357"/>
        <w:spacing w:after="0" w:line="244" w:lineRule="auto"/>
        <w:rPr>
          <w:sz w:val="20"/>
          <w:szCs w:val="20"/>
          <w:color w:val="auto"/>
        </w:rPr>
      </w:pPr>
      <w:r>
        <w:rPr>
          <w:rFonts w:ascii="Arial" w:cs="Arial" w:eastAsia="Arial" w:hAnsi="Arial"/>
          <w:sz w:val="19"/>
          <w:szCs w:val="19"/>
          <w:b w:val="1"/>
          <w:bCs w:val="1"/>
          <w:i w:val="1"/>
          <w:iCs w:val="1"/>
          <w:color w:val="auto"/>
        </w:rPr>
        <w:t>Goodwill and Indefinite-Lived Intangible Assets Impairment Testing</w:t>
      </w:r>
      <w:r>
        <w:rPr>
          <w:rFonts w:ascii="Arial" w:cs="Arial" w:eastAsia="Arial" w:hAnsi="Arial"/>
          <w:sz w:val="19"/>
          <w:szCs w:val="19"/>
          <w:color w:val="auto"/>
        </w:rPr>
        <w:t>—Goodwill and intangible assets deemed to have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indefinite lives are not amortized, but are subject to annual, or more frequent if necessary, impairment testing. In testing goodwill and indefinite-lived intangible assets, the fair value is estimated utilizing a discounted cash flow approach utilizing cash flow forecasts in our five year strategic and annual operating plans adjusted for terminal value assumptions. These impairment tests involve the use of accounting estimates and assumptions, changes in which could materially impact our financial condition or operating performance if actual results differ from such estimates and assumptions. To address this uncertainty we perform sensitivity analysis on key estimates and assumptions.</w:t>
      </w:r>
    </w:p>
    <w:p>
      <w:pPr>
        <w:spacing w:after="0" w:line="66" w:lineRule="exact"/>
        <w:rPr>
          <w:sz w:val="20"/>
          <w:szCs w:val="20"/>
          <w:color w:val="auto"/>
        </w:rPr>
      </w:pPr>
    </w:p>
    <w:p>
      <w:pPr>
        <w:ind w:right="180" w:firstLine="357"/>
        <w:spacing w:after="0" w:line="248" w:lineRule="auto"/>
        <w:rPr>
          <w:sz w:val="20"/>
          <w:szCs w:val="20"/>
          <w:color w:val="auto"/>
        </w:rPr>
      </w:pP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—On a recurring basis, we assess the need for a valuation allowance against our deferred tax assets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considering all available positive and negative evidence, such as past operating results, projections of future taxable 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spacing w:after="0" w:line="70" w:lineRule="exact"/>
        <w:rPr>
          <w:sz w:val="20"/>
          <w:szCs w:val="20"/>
          <w:color w:val="auto"/>
        </w:rPr>
      </w:pPr>
    </w:p>
    <w:p>
      <w:pPr>
        <w:ind w:right="260" w:firstLine="357"/>
        <w:spacing w:after="0" w:line="253" w:lineRule="auto"/>
        <w:rPr>
          <w:sz w:val="20"/>
          <w:szCs w:val="20"/>
          <w:color w:val="auto"/>
        </w:rPr>
      </w:pPr>
      <w:r>
        <w:rPr>
          <w:rFonts w:ascii="Arial" w:cs="Arial" w:eastAsia="Arial" w:hAnsi="Arial"/>
          <w:sz w:val="19"/>
          <w:szCs w:val="19"/>
          <w:color w:val="auto"/>
        </w:rPr>
        <w:t>For further discussion of additional income tax policies and provision items recorded in regards to U.S Tax Reform, see Note 1 Summary of Significant Accounting Policies and Note 5 Income Taxes of Notes to Consolidated Financial Statements.</w:t>
      </w:r>
    </w:p>
    <w:p>
      <w:pPr>
        <w:spacing w:after="0" w:line="56"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b w:val="1"/>
          <w:bCs w:val="1"/>
          <w:i w:val="1"/>
          <w:iCs w:val="1"/>
          <w:color w:val="auto"/>
        </w:rPr>
        <w:t>Sales Recognition on Long-Term Contracts</w:t>
      </w:r>
      <w:r>
        <w:rPr>
          <w:rFonts w:ascii="Arial" w:cs="Arial" w:eastAsia="Arial" w:hAnsi="Arial"/>
          <w:sz w:val="19"/>
          <w:szCs w:val="19"/>
          <w:color w:val="auto"/>
        </w:rPr>
        <w:t>—We recognize sales for long-term contracts with performance obligations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satisfied over time using either an input or output method. We recognize revenue over time as we perform on these contracts based on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method, the extent of progress towards completion is measured based on the proportion of costs incurred to date to the total estimated costs at completion of the performance obligation. Due to the nature of the work required to be performed on many of our performance obligations, the estimation of total revenue and cost at completion requires judgment.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Cost estimates are largely based on negotiated or estimated purchase contract terms, historical performance trends and other economic projections. Significant factors that influence these estimates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6" w:name="page37"/>
    <w:bookmarkEnd w:id="36"/>
    <w:p>
      <w:pPr>
        <w:spacing w:after="0"/>
        <w:rPr>
          <w:sz w:val="20"/>
          <w:szCs w:val="20"/>
          <w:color w:val="auto"/>
        </w:rPr>
      </w:pPr>
      <w:r>
        <w:rPr>
          <w:rFonts w:ascii="Arial" w:cs="Arial" w:eastAsia="Arial" w:hAnsi="Arial"/>
          <w:sz w:val="19"/>
          <w:szCs w:val="19"/>
          <w:color w:val="auto"/>
        </w:rPr>
        <w:t>include inflationary trends, technical and schedule risk, internal and subcontractor performance trends, business volume assumptions, asset utilization, and anticipated labor agreements. Revenue and cost estimates are regularly monitored and revised based on changes in circumstances. Impacts from changes in estimates of net sales and cost of sales are recognized on a cumulative catch-up basis, which recognizes in the current period the cumulative effect of the changes on current and prior periods based on a performance obligation’s percentage of completion. Anticipated losses on long-term contracts are recognized when such losses become evident. We maintain financial controls over the customer qualification, contract pricing and estimation processes to reduce the risk of contract losses.</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91" w:right="319" w:bottom="1440" w:gutter="0" w:footer="0" w:header="0"/>
        </w:sectPr>
      </w:pPr>
    </w:p>
    <w:bookmarkStart w:id="37" w:name="page38"/>
    <w:bookmarkEnd w:id="37"/>
    <w:p>
      <w:pPr>
        <w:spacing w:after="0"/>
        <w:rPr>
          <w:sz w:val="20"/>
          <w:szCs w:val="20"/>
          <w:color w:val="auto"/>
        </w:rPr>
      </w:pPr>
      <w:r>
        <w:rPr>
          <w:rFonts w:ascii="Arial" w:cs="Arial" w:eastAsia="Arial" w:hAnsi="Arial"/>
          <w:sz w:val="23"/>
          <w:szCs w:val="23"/>
          <w:b w:val="1"/>
          <w:bCs w:val="1"/>
          <w:color w:val="auto"/>
        </w:rPr>
        <w:t>OTHER MATTERS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Litigation</w:t>
      </w:r>
    </w:p>
    <w:p>
      <w:pPr>
        <w:spacing w:after="0" w:line="130" w:lineRule="exact"/>
        <w:rPr>
          <w:sz w:val="20"/>
          <w:szCs w:val="20"/>
          <w:color w:val="auto"/>
        </w:rPr>
      </w:pPr>
    </w:p>
    <w:p>
      <w:pPr>
        <w:ind w:right="40" w:firstLine="357"/>
        <w:spacing w:after="0" w:line="253" w:lineRule="auto"/>
        <w:rPr>
          <w:sz w:val="20"/>
          <w:szCs w:val="20"/>
          <w:color w:val="auto"/>
        </w:rPr>
      </w:pPr>
      <w:r>
        <w:rPr>
          <w:rFonts w:ascii="Arial" w:cs="Arial" w:eastAsia="Arial" w:hAnsi="Arial"/>
          <w:sz w:val="19"/>
          <w:szCs w:val="19"/>
          <w:color w:val="auto"/>
        </w:rPr>
        <w:t>See Note 20 Commitments and Contingencies of Notes to Consolidated Financial Statements for a discussion of environmental, asbestos and other litigation matters.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130"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See Note 1 Summary of Significant Accounting Policies of Notes to Consolidated Financial Statements for a discussion of recent accounting pronouncements.</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7A. Quantitative and Qualitative Disclosures About Market Risks</w:t>
      </w:r>
    </w:p>
    <w:p>
      <w:pPr>
        <w:spacing w:after="0" w:line="147" w:lineRule="exact"/>
        <w:rPr>
          <w:sz w:val="20"/>
          <w:szCs w:val="20"/>
          <w:color w:val="auto"/>
        </w:rPr>
      </w:pPr>
    </w:p>
    <w:p>
      <w:pPr>
        <w:ind w:right="460" w:firstLine="357"/>
        <w:spacing w:after="0" w:line="253" w:lineRule="auto"/>
        <w:rPr>
          <w:sz w:val="20"/>
          <w:szCs w:val="20"/>
          <w:color w:val="auto"/>
        </w:rPr>
      </w:pPr>
      <w:r>
        <w:rPr>
          <w:rFonts w:ascii="Arial" w:cs="Arial" w:eastAsia="Arial" w:hAnsi="Arial"/>
          <w:sz w:val="19"/>
          <w:szCs w:val="19"/>
          <w:color w:val="auto"/>
        </w:rPr>
        <w:t>Information relating to market risks is included in Item 7. Management’s Discussion and Analysis of Financial Condition and Results of Operations under the caption “Financial Instruments”.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65" w:right="279" w:bottom="1440" w:gutter="0" w:footer="0" w:header="0"/>
        </w:sectPr>
      </w:pPr>
    </w:p>
    <w:bookmarkStart w:id="38" w:name="page39"/>
    <w:bookmarkEnd w:id="38"/>
    <w:p>
      <w:pPr>
        <w:spacing w:after="0"/>
        <w:rPr>
          <w:sz w:val="20"/>
          <w:szCs w:val="20"/>
          <w:color w:val="auto"/>
        </w:rPr>
      </w:pPr>
      <w:r>
        <w:rPr>
          <w:rFonts w:ascii="Arial" w:cs="Arial" w:eastAsia="Arial" w:hAnsi="Arial"/>
          <w:sz w:val="23"/>
          <w:szCs w:val="23"/>
          <w:b w:val="1"/>
          <w:bCs w:val="1"/>
          <w:color w:val="auto"/>
        </w:rPr>
        <w:t>Item 8. Financial Statements and Supplementary Data</w:t>
      </w:r>
    </w:p>
    <w:p>
      <w:pPr>
        <w:spacing w:after="0" w:line="181" w:lineRule="exact"/>
        <w:rPr>
          <w:sz w:val="20"/>
          <w:szCs w:val="20"/>
          <w:color w:val="auto"/>
        </w:rPr>
      </w:pPr>
    </w:p>
    <w:p>
      <w:pPr>
        <w:ind w:left="3760"/>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OPERATIONS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8"/>
          </w:tcPr>
          <w:p>
            <w:pPr>
              <w:jc w:val="center"/>
              <w:ind w:right="44"/>
              <w:spacing w:after="0"/>
              <w:rPr>
                <w:sz w:val="20"/>
                <w:szCs w:val="20"/>
                <w:color w:val="auto"/>
              </w:rPr>
            </w:pPr>
            <w:r>
              <w:rPr>
                <w:rFonts w:ascii="Arial" w:cs="Arial" w:eastAsia="Arial" w:hAnsi="Arial"/>
                <w:sz w:val="16"/>
                <w:szCs w:val="16"/>
                <w:b w:val="1"/>
                <w:bCs w:val="1"/>
                <w:color w:val="auto"/>
                <w:w w:val="98"/>
              </w:rPr>
              <w:t>Years Ended December 31,</w:t>
            </w:r>
          </w:p>
        </w:tc>
      </w:tr>
      <w:tr>
        <w:trPr>
          <w:trHeight w:val="169"/>
        </w:trPr>
        <w:tc>
          <w:tcPr>
            <w:tcW w:w="8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4"/>
              <w:spacing w:after="0" w:line="169" w:lineRule="exact"/>
              <w:rPr>
                <w:sz w:val="20"/>
                <w:szCs w:val="20"/>
                <w:color w:val="auto"/>
              </w:rPr>
            </w:pPr>
            <w:r>
              <w:rPr>
                <w:rFonts w:ascii="Arial" w:cs="Arial" w:eastAsia="Arial" w:hAnsi="Arial"/>
                <w:sz w:val="16"/>
                <w:szCs w:val="16"/>
                <w:b w:val="1"/>
                <w:bCs w:val="1"/>
                <w:color w:val="auto"/>
                <w:w w:val="95"/>
              </w:rPr>
              <w:t>2017</w:t>
            </w: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2016</w:t>
            </w:r>
          </w:p>
        </w:tc>
      </w:tr>
      <w:tr>
        <w:trPr>
          <w:trHeight w:val="155"/>
        </w:trPr>
        <w:tc>
          <w:tcPr>
            <w:tcW w:w="8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80" w:type="dxa"/>
            <w:vAlign w:val="bottom"/>
            <w:gridSpan w:val="5"/>
          </w:tcPr>
          <w:p>
            <w:pPr>
              <w:jc w:val="center"/>
              <w:spacing w:after="0" w:line="155" w:lineRule="exact"/>
              <w:rPr>
                <w:sz w:val="20"/>
                <w:szCs w:val="20"/>
                <w:color w:val="auto"/>
              </w:rPr>
            </w:pPr>
            <w:r>
              <w:rPr>
                <w:rFonts w:ascii="Arial" w:cs="Arial" w:eastAsia="Arial" w:hAnsi="Arial"/>
                <w:sz w:val="16"/>
                <w:szCs w:val="16"/>
                <w:b w:val="1"/>
                <w:bCs w:val="1"/>
                <w:color w:val="auto"/>
                <w:w w:val="98"/>
              </w:rPr>
              <w:t>(Dollars in millions,</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90"/>
        </w:trPr>
        <w:tc>
          <w:tcPr>
            <w:tcW w:w="8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8"/>
          </w:tcPr>
          <w:p>
            <w:pPr>
              <w:jc w:val="center"/>
              <w:ind w:right="44"/>
              <w:spacing w:after="0"/>
              <w:rPr>
                <w:sz w:val="20"/>
                <w:szCs w:val="20"/>
                <w:color w:val="auto"/>
              </w:rPr>
            </w:pPr>
            <w:r>
              <w:rPr>
                <w:rFonts w:ascii="Arial" w:cs="Arial" w:eastAsia="Arial" w:hAnsi="Arial"/>
                <w:sz w:val="16"/>
                <w:szCs w:val="16"/>
                <w:b w:val="1"/>
                <w:bCs w:val="1"/>
                <w:color w:val="auto"/>
                <w:w w:val="99"/>
              </w:rPr>
              <w:t>except per share amounts)</w:t>
            </w:r>
          </w:p>
        </w:tc>
      </w:tr>
      <w:tr>
        <w:trPr>
          <w:trHeight w:val="243"/>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Product sales</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32,848</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32,317</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31,362</w:t>
            </w:r>
          </w:p>
        </w:tc>
      </w:tr>
      <w:tr>
        <w:trPr>
          <w:trHeight w:val="250"/>
        </w:trPr>
        <w:tc>
          <w:tcPr>
            <w:tcW w:w="8200" w:type="dxa"/>
            <w:vAlign w:val="bottom"/>
          </w:tcPr>
          <w:p>
            <w:pPr>
              <w:spacing w:after="0"/>
              <w:rPr>
                <w:sz w:val="20"/>
                <w:szCs w:val="20"/>
                <w:color w:val="auto"/>
              </w:rPr>
            </w:pPr>
            <w:r>
              <w:rPr>
                <w:rFonts w:ascii="Arial" w:cs="Arial" w:eastAsia="Arial" w:hAnsi="Arial"/>
                <w:sz w:val="19"/>
                <w:szCs w:val="19"/>
                <w:color w:val="auto"/>
              </w:rPr>
              <w:t>Service sales</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8,954</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8,217</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7,940</w:t>
            </w:r>
          </w:p>
        </w:tc>
      </w:tr>
      <w:tr>
        <w:trPr>
          <w:trHeight w:val="243"/>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Net sales</w:t>
            </w: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41,802</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40,534</w:t>
            </w:r>
          </w:p>
        </w:tc>
        <w:tc>
          <w:tcPr>
            <w:tcW w:w="28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39,302</w:t>
            </w:r>
          </w:p>
        </w:tc>
      </w:tr>
      <w:tr>
        <w:trPr>
          <w:trHeight w:val="223"/>
        </w:trPr>
        <w:tc>
          <w:tcPr>
            <w:tcW w:w="8200" w:type="dxa"/>
            <w:vAlign w:val="bottom"/>
          </w:tcPr>
          <w:p>
            <w:pPr>
              <w:spacing w:after="0"/>
              <w:rPr>
                <w:sz w:val="20"/>
                <w:szCs w:val="20"/>
                <w:color w:val="auto"/>
              </w:rPr>
            </w:pPr>
            <w:r>
              <w:rPr>
                <w:rFonts w:ascii="Arial" w:cs="Arial" w:eastAsia="Arial" w:hAnsi="Arial"/>
                <w:sz w:val="19"/>
                <w:szCs w:val="19"/>
                <w:color w:val="auto"/>
              </w:rPr>
              <w:t>Costs, expenses and other</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3"/>
        </w:trPr>
        <w:tc>
          <w:tcPr>
            <w:tcW w:w="8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Cost of products sold</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23,634</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23,176</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22,612</w:t>
            </w:r>
          </w:p>
        </w:tc>
      </w:tr>
      <w:tr>
        <w:trPr>
          <w:trHeight w:val="250"/>
        </w:trPr>
        <w:tc>
          <w:tcPr>
            <w:tcW w:w="8200" w:type="dxa"/>
            <w:vAlign w:val="bottom"/>
          </w:tcPr>
          <w:p>
            <w:pPr>
              <w:ind w:left="360"/>
              <w:spacing w:after="0"/>
              <w:rPr>
                <w:sz w:val="20"/>
                <w:szCs w:val="20"/>
                <w:color w:val="auto"/>
              </w:rPr>
            </w:pPr>
            <w:r>
              <w:rPr>
                <w:rFonts w:ascii="Arial" w:cs="Arial" w:eastAsia="Arial" w:hAnsi="Arial"/>
                <w:sz w:val="19"/>
                <w:szCs w:val="19"/>
                <w:color w:val="auto"/>
              </w:rPr>
              <w:t>Cost of services sold</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5,412</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4,968</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5,065</w:t>
            </w:r>
          </w:p>
        </w:tc>
      </w:tr>
      <w:tr>
        <w:trPr>
          <w:trHeight w:val="243"/>
        </w:trPr>
        <w:tc>
          <w:tcPr>
            <w:tcW w:w="8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29,046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28,144</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27,677</w:t>
            </w:r>
          </w:p>
        </w:tc>
      </w:tr>
      <w:tr>
        <w:trPr>
          <w:trHeight w:val="243"/>
        </w:trPr>
        <w:tc>
          <w:tcPr>
            <w:tcW w:w="8200" w:type="dxa"/>
            <w:vAlign w:val="bottom"/>
          </w:tcPr>
          <w:p>
            <w:pPr>
              <w:ind w:left="360"/>
              <w:spacing w:after="0"/>
              <w:rPr>
                <w:sz w:val="20"/>
                <w:szCs w:val="20"/>
                <w:color w:val="auto"/>
              </w:rPr>
            </w:pPr>
            <w:r>
              <w:rPr>
                <w:rFonts w:ascii="Arial" w:cs="Arial" w:eastAsia="Arial" w:hAnsi="Arial"/>
                <w:sz w:val="19"/>
                <w:szCs w:val="19"/>
                <w:color w:val="auto"/>
              </w:rPr>
              <w:t>Selling, general and administrative expenses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6,051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6,087</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5,574</w:t>
            </w:r>
          </w:p>
        </w:tc>
      </w:tr>
      <w:tr>
        <w:trPr>
          <w:trHeight w:val="243"/>
        </w:trPr>
        <w:tc>
          <w:tcPr>
            <w:tcW w:w="8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Other (income) expense</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(1,149)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(963)</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(739)</w:t>
            </w:r>
          </w:p>
        </w:tc>
      </w:tr>
      <w:tr>
        <w:trPr>
          <w:trHeight w:val="250"/>
        </w:trPr>
        <w:tc>
          <w:tcPr>
            <w:tcW w:w="8200" w:type="dxa"/>
            <w:vAlign w:val="bottom"/>
          </w:tcPr>
          <w:p>
            <w:pPr>
              <w:ind w:left="360"/>
              <w:spacing w:after="0"/>
              <w:rPr>
                <w:sz w:val="20"/>
                <w:szCs w:val="20"/>
                <w:color w:val="auto"/>
              </w:rPr>
            </w:pPr>
            <w:r>
              <w:rPr>
                <w:rFonts w:ascii="Arial" w:cs="Arial" w:eastAsia="Arial" w:hAnsi="Arial"/>
                <w:sz w:val="19"/>
                <w:szCs w:val="19"/>
                <w:color w:val="auto"/>
              </w:rPr>
              <w:t>Interest and other financial charges</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367</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316</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338</w:t>
            </w:r>
          </w:p>
        </w:tc>
      </w:tr>
      <w:tr>
        <w:trPr>
          <w:trHeight w:val="243"/>
        </w:trPr>
        <w:tc>
          <w:tcPr>
            <w:tcW w:w="82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34,315</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33,584</w:t>
            </w:r>
          </w:p>
        </w:tc>
        <w:tc>
          <w:tcPr>
            <w:tcW w:w="28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32,850</w:t>
            </w:r>
          </w:p>
        </w:tc>
      </w:tr>
      <w:tr>
        <w:trPr>
          <w:trHeight w:val="250"/>
        </w:trPr>
        <w:tc>
          <w:tcPr>
            <w:tcW w:w="8200" w:type="dxa"/>
            <w:vAlign w:val="bottom"/>
          </w:tcPr>
          <w:p>
            <w:pPr>
              <w:spacing w:after="0"/>
              <w:rPr>
                <w:sz w:val="20"/>
                <w:szCs w:val="20"/>
                <w:color w:val="auto"/>
              </w:rPr>
            </w:pPr>
            <w:r>
              <w:rPr>
                <w:rFonts w:ascii="Arial" w:cs="Arial" w:eastAsia="Arial" w:hAnsi="Arial"/>
                <w:sz w:val="19"/>
                <w:szCs w:val="19"/>
                <w:color w:val="auto"/>
              </w:rPr>
              <w:t>Income before taxes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7,487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6,950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6,452</w:t>
            </w:r>
          </w:p>
        </w:tc>
      </w:tr>
      <w:tr>
        <w:trPr>
          <w:trHeight w:val="243"/>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Tax expense</w:t>
            </w: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659</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5,362</w:t>
            </w:r>
          </w:p>
        </w:tc>
        <w:tc>
          <w:tcPr>
            <w:tcW w:w="28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1,603</w:t>
            </w:r>
          </w:p>
        </w:tc>
      </w:tr>
      <w:tr>
        <w:trPr>
          <w:trHeight w:val="250"/>
        </w:trPr>
        <w:tc>
          <w:tcPr>
            <w:tcW w:w="8200" w:type="dxa"/>
            <w:vAlign w:val="bottom"/>
          </w:tcPr>
          <w:p>
            <w:pPr>
              <w:spacing w:after="0"/>
              <w:rPr>
                <w:sz w:val="20"/>
                <w:szCs w:val="20"/>
                <w:color w:val="auto"/>
              </w:rPr>
            </w:pPr>
            <w:r>
              <w:rPr>
                <w:rFonts w:ascii="Arial" w:cs="Arial" w:eastAsia="Arial" w:hAnsi="Arial"/>
                <w:sz w:val="19"/>
                <w:szCs w:val="19"/>
                <w:color w:val="auto"/>
              </w:rPr>
              <w:t>Net income</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6,828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1,588</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4,849</w:t>
            </w:r>
          </w:p>
        </w:tc>
      </w:tr>
      <w:tr>
        <w:trPr>
          <w:trHeight w:val="243"/>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Less: Net income attributable to the noncontrolling interest</w:t>
            </w: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63</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43</w:t>
            </w:r>
          </w:p>
        </w:tc>
        <w:tc>
          <w:tcPr>
            <w:tcW w:w="28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37</w:t>
            </w:r>
          </w:p>
        </w:tc>
      </w:tr>
      <w:tr>
        <w:trPr>
          <w:trHeight w:val="250"/>
        </w:trPr>
        <w:tc>
          <w:tcPr>
            <w:tcW w:w="8200" w:type="dxa"/>
            <w:vAlign w:val="bottom"/>
          </w:tcPr>
          <w:p>
            <w:pPr>
              <w:spacing w:after="0"/>
              <w:rPr>
                <w:sz w:val="20"/>
                <w:szCs w:val="20"/>
                <w:color w:val="auto"/>
              </w:rPr>
            </w:pPr>
            <w:r>
              <w:rPr>
                <w:rFonts w:ascii="Arial" w:cs="Arial" w:eastAsia="Arial" w:hAnsi="Arial"/>
                <w:sz w:val="19"/>
                <w:szCs w:val="19"/>
                <w:color w:val="auto"/>
              </w:rPr>
              <w:t>Net income attributable to Honeywell</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6,765</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1,545</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4,812</w:t>
            </w:r>
          </w:p>
        </w:tc>
      </w:tr>
      <w:tr>
        <w:trPr>
          <w:trHeight w:val="20"/>
        </w:trPr>
        <w:tc>
          <w:tcPr>
            <w:tcW w:w="8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Earnings per share of common stock—basic</w:t>
            </w: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9.10</w:t>
            </w:r>
          </w:p>
        </w:tc>
        <w:tc>
          <w:tcPr>
            <w:tcW w:w="300" w:type="dxa"/>
            <w:vAlign w:val="bottom"/>
            <w:shd w:val="clear" w:color="auto" w:fill="E5FFFF"/>
          </w:tcPr>
          <w:p>
            <w:pPr>
              <w:spacing w:after="0"/>
              <w:rPr>
                <w:sz w:val="20"/>
                <w:szCs w:val="20"/>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2.03</w:t>
            </w:r>
          </w:p>
        </w:tc>
        <w:tc>
          <w:tcPr>
            <w:tcW w:w="280" w:type="dxa"/>
            <w:vAlign w:val="bottom"/>
            <w:shd w:val="clear" w:color="auto" w:fill="E5FFFF"/>
          </w:tcPr>
          <w:p>
            <w:pPr>
              <w:spacing w:after="0"/>
              <w:rPr>
                <w:sz w:val="20"/>
                <w:szCs w:val="20"/>
                <w:color w:val="auto"/>
              </w:rPr>
            </w:pPr>
          </w:p>
        </w:tc>
        <w:tc>
          <w:tcPr>
            <w:tcW w:w="20" w:type="dxa"/>
            <w:vAlign w:val="bottom"/>
            <w:tcBorders>
              <w:bottom w:val="single" w:sz="8" w:color="auto"/>
            </w:tcBorders>
            <w:shd w:val="clear" w:color="auto" w:fill="E5FFFF"/>
          </w:tcPr>
          <w:p>
            <w:pPr>
              <w:spacing w:after="0"/>
              <w:rPr>
                <w:sz w:val="20"/>
                <w:szCs w:val="20"/>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6.30</w:t>
            </w:r>
          </w:p>
        </w:tc>
      </w:tr>
      <w:tr>
        <w:trPr>
          <w:trHeight w:val="20"/>
        </w:trPr>
        <w:tc>
          <w:tcPr>
            <w:tcW w:w="8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8200" w:type="dxa"/>
            <w:vAlign w:val="bottom"/>
          </w:tcPr>
          <w:p>
            <w:pPr>
              <w:spacing w:after="0"/>
              <w:rPr>
                <w:sz w:val="20"/>
                <w:szCs w:val="20"/>
                <w:color w:val="auto"/>
              </w:rPr>
            </w:pPr>
            <w:r>
              <w:rPr>
                <w:rFonts w:ascii="Arial" w:cs="Arial" w:eastAsia="Arial" w:hAnsi="Arial"/>
                <w:sz w:val="19"/>
                <w:szCs w:val="19"/>
                <w:color w:val="auto"/>
              </w:rPr>
              <w:t>Earnings per share of common stock—assuming dilution</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8.98</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2.00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6.21</w:t>
            </w:r>
          </w:p>
        </w:tc>
      </w:tr>
      <w:tr>
        <w:trPr>
          <w:trHeight w:val="20"/>
        </w:trPr>
        <w:tc>
          <w:tcPr>
            <w:tcW w:w="8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Consolidated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COMPREHENSIVE INCOME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center"/>
              <w:ind w:right="48"/>
              <w:spacing w:after="0"/>
              <w:rPr>
                <w:sz w:val="20"/>
                <w:szCs w:val="20"/>
                <w:color w:val="auto"/>
              </w:rPr>
            </w:pPr>
            <w:r>
              <w:rPr>
                <w:rFonts w:ascii="Arial" w:cs="Arial" w:eastAsia="Arial" w:hAnsi="Arial"/>
                <w:sz w:val="16"/>
                <w:szCs w:val="16"/>
                <w:b w:val="1"/>
                <w:bCs w:val="1"/>
                <w:color w:val="auto"/>
                <w:w w:val="98"/>
              </w:rPr>
              <w:t>Years Ended December 31,</w:t>
            </w:r>
          </w:p>
        </w:tc>
      </w:tr>
      <w:tr>
        <w:trPr>
          <w:trHeight w:val="169"/>
        </w:trPr>
        <w:tc>
          <w:tcPr>
            <w:tcW w:w="8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74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ind w:right="108"/>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8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5"/>
          </w:tcPr>
          <w:p>
            <w:pPr>
              <w:jc w:val="center"/>
              <w:ind w:right="68"/>
              <w:spacing w:after="0"/>
              <w:rPr>
                <w:sz w:val="20"/>
                <w:szCs w:val="20"/>
                <w:color w:val="auto"/>
              </w:rPr>
            </w:pPr>
            <w:r>
              <w:rPr>
                <w:rFonts w:ascii="Arial" w:cs="Arial" w:eastAsia="Arial" w:hAnsi="Arial"/>
                <w:sz w:val="16"/>
                <w:szCs w:val="16"/>
                <w:b w:val="1"/>
                <w:bCs w:val="1"/>
                <w:color w:val="auto"/>
                <w:w w:val="99"/>
              </w:rPr>
              <w:t>(Dollars in millions)</w:t>
            </w:r>
          </w:p>
        </w:tc>
      </w:tr>
      <w:tr>
        <w:trPr>
          <w:trHeight w:val="243"/>
        </w:trPr>
        <w:tc>
          <w:tcPr>
            <w:tcW w:w="8500" w:type="dxa"/>
            <w:vAlign w:val="bottom"/>
            <w:shd w:val="clear" w:color="auto" w:fill="E5FFFF"/>
          </w:tcPr>
          <w:p>
            <w:pPr>
              <w:spacing w:after="0"/>
              <w:rPr>
                <w:sz w:val="20"/>
                <w:szCs w:val="20"/>
                <w:color w:val="auto"/>
              </w:rPr>
            </w:pPr>
            <w:r>
              <w:rPr>
                <w:rFonts w:ascii="Arial" w:cs="Arial" w:eastAsia="Arial" w:hAnsi="Arial"/>
                <w:sz w:val="19"/>
                <w:szCs w:val="19"/>
                <w:color w:val="auto"/>
              </w:rPr>
              <w:t>Net income</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6,828</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$ 1,588</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$ 4,849</w:t>
            </w:r>
          </w:p>
        </w:tc>
      </w:tr>
      <w:tr>
        <w:trPr>
          <w:trHeight w:val="216"/>
        </w:trPr>
        <w:tc>
          <w:tcPr>
            <w:tcW w:w="8500" w:type="dxa"/>
            <w:vAlign w:val="bottom"/>
          </w:tcPr>
          <w:p>
            <w:pPr>
              <w:ind w:left="180"/>
              <w:spacing w:after="0" w:line="216" w:lineRule="exact"/>
              <w:rPr>
                <w:sz w:val="20"/>
                <w:szCs w:val="20"/>
                <w:color w:val="auto"/>
              </w:rPr>
            </w:pPr>
            <w:r>
              <w:rPr>
                <w:rFonts w:ascii="Arial" w:cs="Arial" w:eastAsia="Arial" w:hAnsi="Arial"/>
                <w:sz w:val="19"/>
                <w:szCs w:val="19"/>
                <w:color w:val="auto"/>
              </w:rPr>
              <w:t>Other comprehensive income (loss), net of tax</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3"/>
        </w:trPr>
        <w:tc>
          <w:tcPr>
            <w:tcW w:w="85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Foreign exchange translation adjustment</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(685)</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(37)</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(52)</w:t>
            </w:r>
          </w:p>
        </w:tc>
      </w:tr>
      <w:tr>
        <w:trPr>
          <w:trHeight w:val="243"/>
        </w:trPr>
        <w:tc>
          <w:tcPr>
            <w:tcW w:w="8500" w:type="dxa"/>
            <w:vAlign w:val="bottom"/>
          </w:tcPr>
          <w:p>
            <w:pPr>
              <w:ind w:left="540"/>
              <w:spacing w:after="0"/>
              <w:rPr>
                <w:sz w:val="20"/>
                <w:szCs w:val="20"/>
                <w:color w:val="auto"/>
              </w:rPr>
            </w:pPr>
            <w:r>
              <w:rPr>
                <w:rFonts w:ascii="Arial" w:cs="Arial" w:eastAsia="Arial" w:hAnsi="Arial"/>
                <w:sz w:val="19"/>
                <w:szCs w:val="19"/>
                <w:color w:val="auto"/>
              </w:rPr>
              <w:t>Actuarial gains (losses)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(602)</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753</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(443)</w:t>
            </w:r>
          </w:p>
        </w:tc>
      </w:tr>
      <w:tr>
        <w:trPr>
          <w:trHeight w:val="243"/>
        </w:trPr>
        <w:tc>
          <w:tcPr>
            <w:tcW w:w="8500" w:type="dxa"/>
            <w:vAlign w:val="bottom"/>
            <w:shd w:val="clear" w:color="auto" w:fill="E5FFFF"/>
          </w:tcPr>
          <w:p>
            <w:pPr>
              <w:ind w:left="540"/>
              <w:spacing w:after="0"/>
              <w:rPr>
                <w:sz w:val="20"/>
                <w:szCs w:val="20"/>
                <w:color w:val="auto"/>
              </w:rPr>
            </w:pPr>
            <w:r>
              <w:rPr>
                <w:rFonts w:ascii="Arial" w:cs="Arial" w:eastAsia="Arial" w:hAnsi="Arial"/>
                <w:sz w:val="19"/>
                <w:szCs w:val="19"/>
                <w:color w:val="auto"/>
              </w:rPr>
              <w:t>Prior service (cost) credit</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(59)</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(18)</w:t>
            </w:r>
          </w:p>
        </w:tc>
      </w:tr>
      <w:tr>
        <w:trPr>
          <w:trHeight w:val="243"/>
        </w:trPr>
        <w:tc>
          <w:tcPr>
            <w:tcW w:w="8500" w:type="dxa"/>
            <w:vAlign w:val="bottom"/>
          </w:tcPr>
          <w:p>
            <w:pPr>
              <w:ind w:left="540"/>
              <w:spacing w:after="0"/>
              <w:rPr>
                <w:sz w:val="20"/>
                <w:szCs w:val="20"/>
                <w:color w:val="auto"/>
              </w:rPr>
            </w:pPr>
            <w:r>
              <w:rPr>
                <w:rFonts w:ascii="Arial" w:cs="Arial" w:eastAsia="Arial" w:hAnsi="Arial"/>
                <w:sz w:val="19"/>
                <w:szCs w:val="19"/>
                <w:color w:val="auto"/>
              </w:rPr>
              <w:t>Prior service credit recognized during year</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(74)</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(70)</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(78)</w:t>
            </w:r>
          </w:p>
        </w:tc>
      </w:tr>
      <w:tr>
        <w:trPr>
          <w:trHeight w:val="243"/>
        </w:trPr>
        <w:tc>
          <w:tcPr>
            <w:tcW w:w="8500" w:type="dxa"/>
            <w:vAlign w:val="bottom"/>
            <w:shd w:val="clear" w:color="auto" w:fill="E5FFFF"/>
          </w:tcPr>
          <w:p>
            <w:pPr>
              <w:ind w:left="540"/>
              <w:spacing w:after="0"/>
              <w:rPr>
                <w:sz w:val="20"/>
                <w:szCs w:val="20"/>
                <w:color w:val="auto"/>
              </w:rPr>
            </w:pPr>
            <w:r>
              <w:rPr>
                <w:rFonts w:ascii="Arial" w:cs="Arial" w:eastAsia="Arial" w:hAnsi="Arial"/>
                <w:sz w:val="19"/>
                <w:szCs w:val="19"/>
                <w:color w:val="auto"/>
              </w:rPr>
              <w:t>Actuarial losses recognized during year</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83</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236</w:t>
            </w:r>
          </w:p>
        </w:tc>
      </w:tr>
      <w:tr>
        <w:trPr>
          <w:trHeight w:val="243"/>
        </w:trPr>
        <w:tc>
          <w:tcPr>
            <w:tcW w:w="8500" w:type="dxa"/>
            <w:vAlign w:val="bottom"/>
          </w:tcPr>
          <w:p>
            <w:pPr>
              <w:ind w:left="540"/>
              <w:spacing w:after="0"/>
              <w:rPr>
                <w:sz w:val="20"/>
                <w:szCs w:val="20"/>
                <w:color w:val="auto"/>
              </w:rPr>
            </w:pPr>
            <w:r>
              <w:rPr>
                <w:rFonts w:ascii="Arial" w:cs="Arial" w:eastAsia="Arial" w:hAnsi="Arial"/>
                <w:sz w:val="19"/>
                <w:szCs w:val="19"/>
                <w:color w:val="auto"/>
              </w:rPr>
              <w:t>Settlements and curtailments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19</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(5)</w:t>
            </w:r>
          </w:p>
        </w:tc>
      </w:tr>
      <w:tr>
        <w:trPr>
          <w:trHeight w:val="243"/>
        </w:trPr>
        <w:tc>
          <w:tcPr>
            <w:tcW w:w="8500" w:type="dxa"/>
            <w:vAlign w:val="bottom"/>
            <w:shd w:val="clear" w:color="auto" w:fill="E5FFFF"/>
          </w:tcPr>
          <w:p>
            <w:pPr>
              <w:ind w:left="540"/>
              <w:spacing w:after="0"/>
              <w:rPr>
                <w:sz w:val="20"/>
                <w:szCs w:val="20"/>
                <w:color w:val="auto"/>
              </w:rPr>
            </w:pPr>
            <w:r>
              <w:rPr>
                <w:rFonts w:ascii="Arial" w:cs="Arial" w:eastAsia="Arial" w:hAnsi="Arial"/>
                <w:sz w:val="19"/>
                <w:szCs w:val="19"/>
                <w:color w:val="auto"/>
              </w:rPr>
              <w:t>Foreign exchange translation and other</w:t>
            </w:r>
          </w:p>
        </w:tc>
        <w:tc>
          <w:tcPr>
            <w:tcW w:w="16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31</w:t>
            </w: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(49)</w:t>
            </w: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73</w:t>
            </w:r>
          </w:p>
        </w:tc>
      </w:tr>
      <w:tr>
        <w:trPr>
          <w:trHeight w:val="250"/>
        </w:trPr>
        <w:tc>
          <w:tcPr>
            <w:tcW w:w="8500" w:type="dxa"/>
            <w:vAlign w:val="bottom"/>
          </w:tcPr>
          <w:p>
            <w:pPr>
              <w:ind w:left="360"/>
              <w:spacing w:after="0"/>
              <w:rPr>
                <w:sz w:val="20"/>
                <w:szCs w:val="20"/>
                <w:color w:val="auto"/>
              </w:rPr>
            </w:pPr>
            <w:r>
              <w:rPr>
                <w:rFonts w:ascii="Arial" w:cs="Arial" w:eastAsia="Arial" w:hAnsi="Arial"/>
                <w:sz w:val="19"/>
                <w:szCs w:val="19"/>
                <w:color w:val="auto"/>
              </w:rPr>
              <w:t>Pensions and other postretirement benefit adjustments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(606)</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677</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(235)</w:t>
            </w:r>
          </w:p>
        </w:tc>
      </w:tr>
      <w:tr>
        <w:trPr>
          <w:trHeight w:val="243"/>
        </w:trPr>
        <w:tc>
          <w:tcPr>
            <w:tcW w:w="8500" w:type="dxa"/>
            <w:vAlign w:val="bottom"/>
            <w:shd w:val="clear" w:color="auto" w:fill="E5FFFF"/>
          </w:tcPr>
          <w:p>
            <w:pPr>
              <w:ind w:left="540"/>
              <w:spacing w:after="0"/>
              <w:rPr>
                <w:sz w:val="20"/>
                <w:szCs w:val="20"/>
                <w:color w:val="auto"/>
              </w:rPr>
            </w:pPr>
            <w:r>
              <w:rPr>
                <w:rFonts w:ascii="Arial" w:cs="Arial" w:eastAsia="Arial" w:hAnsi="Arial"/>
                <w:sz w:val="19"/>
                <w:szCs w:val="19"/>
                <w:color w:val="auto"/>
              </w:rPr>
              <w:t>Effective portion of cash flow hedges recognized in other comprehensive income</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89</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(101)</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103</w:t>
            </w:r>
          </w:p>
        </w:tc>
      </w:tr>
      <w:tr>
        <w:trPr>
          <w:trHeight w:val="250"/>
        </w:trPr>
        <w:tc>
          <w:tcPr>
            <w:tcW w:w="8500" w:type="dxa"/>
            <w:vAlign w:val="bottom"/>
          </w:tcPr>
          <w:p>
            <w:pPr>
              <w:ind w:left="540"/>
              <w:spacing w:after="0"/>
              <w:rPr>
                <w:sz w:val="20"/>
                <w:szCs w:val="20"/>
                <w:color w:val="auto"/>
              </w:rPr>
            </w:pPr>
            <w:r>
              <w:rPr>
                <w:rFonts w:ascii="Arial" w:cs="Arial" w:eastAsia="Arial" w:hAnsi="Arial"/>
                <w:sz w:val="19"/>
                <w:szCs w:val="19"/>
                <w:color w:val="auto"/>
              </w:rPr>
              <w:t>Less: reclassification adjustment for (losses) gains included in net income</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60</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r>
      <w:tr>
        <w:trPr>
          <w:trHeight w:val="243"/>
        </w:trPr>
        <w:tc>
          <w:tcPr>
            <w:tcW w:w="85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Changes in fair value of effective cash flow hedges</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85</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(161)</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108</w:t>
            </w:r>
          </w:p>
        </w:tc>
      </w:tr>
      <w:tr>
        <w:trPr>
          <w:trHeight w:val="243"/>
        </w:trPr>
        <w:tc>
          <w:tcPr>
            <w:tcW w:w="8500" w:type="dxa"/>
            <w:vAlign w:val="bottom"/>
          </w:tcPr>
          <w:p>
            <w:pPr>
              <w:ind w:left="180"/>
              <w:spacing w:after="0"/>
              <w:rPr>
                <w:sz w:val="20"/>
                <w:szCs w:val="20"/>
                <w:color w:val="auto"/>
              </w:rPr>
            </w:pPr>
            <w:r>
              <w:rPr>
                <w:rFonts w:ascii="Arial" w:cs="Arial" w:eastAsia="Arial" w:hAnsi="Arial"/>
                <w:sz w:val="19"/>
                <w:szCs w:val="19"/>
                <w:color w:val="auto"/>
              </w:rPr>
              <w:t>Other comprehensive income (loss), net of tax</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(1,206)</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479</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(179)</w:t>
            </w:r>
          </w:p>
        </w:tc>
      </w:tr>
      <w:tr>
        <w:trPr>
          <w:trHeight w:val="243"/>
        </w:trPr>
        <w:tc>
          <w:tcPr>
            <w:tcW w:w="8500" w:type="dxa"/>
            <w:vAlign w:val="bottom"/>
            <w:shd w:val="clear" w:color="auto" w:fill="E5FFFF"/>
          </w:tcPr>
          <w:p>
            <w:pPr>
              <w:spacing w:after="0"/>
              <w:rPr>
                <w:sz w:val="20"/>
                <w:szCs w:val="20"/>
                <w:color w:val="auto"/>
              </w:rPr>
            </w:pPr>
            <w:r>
              <w:rPr>
                <w:rFonts w:ascii="Arial" w:cs="Arial" w:eastAsia="Arial" w:hAnsi="Arial"/>
                <w:sz w:val="19"/>
                <w:szCs w:val="19"/>
                <w:color w:val="auto"/>
              </w:rPr>
              <w:t>Comprehensive income</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5,622</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2,067</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4,670</w:t>
            </w:r>
          </w:p>
        </w:tc>
      </w:tr>
      <w:tr>
        <w:trPr>
          <w:trHeight w:val="250"/>
        </w:trPr>
        <w:tc>
          <w:tcPr>
            <w:tcW w:w="8500" w:type="dxa"/>
            <w:vAlign w:val="bottom"/>
          </w:tcPr>
          <w:p>
            <w:pPr>
              <w:ind w:left="360"/>
              <w:spacing w:after="0"/>
              <w:rPr>
                <w:sz w:val="20"/>
                <w:szCs w:val="20"/>
                <w:color w:val="auto"/>
              </w:rPr>
            </w:pPr>
            <w:r>
              <w:rPr>
                <w:rFonts w:ascii="Arial" w:cs="Arial" w:eastAsia="Arial" w:hAnsi="Arial"/>
                <w:sz w:val="19"/>
                <w:szCs w:val="19"/>
                <w:color w:val="auto"/>
              </w:rPr>
              <w:t>Less: Comprehensive income attributable to the noncontrolling interest</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w:t>
            </w: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51</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w:t>
            </w:r>
          </w:p>
        </w:tc>
      </w:tr>
      <w:tr>
        <w:trPr>
          <w:trHeight w:val="243"/>
        </w:trPr>
        <w:tc>
          <w:tcPr>
            <w:tcW w:w="8500" w:type="dxa"/>
            <w:vAlign w:val="bottom"/>
            <w:shd w:val="clear" w:color="auto" w:fill="E5FFFF"/>
          </w:tcPr>
          <w:p>
            <w:pPr>
              <w:spacing w:after="0"/>
              <w:rPr>
                <w:sz w:val="20"/>
                <w:szCs w:val="20"/>
                <w:color w:val="auto"/>
              </w:rPr>
            </w:pPr>
            <w:r>
              <w:rPr>
                <w:rFonts w:ascii="Arial" w:cs="Arial" w:eastAsia="Arial" w:hAnsi="Arial"/>
                <w:sz w:val="19"/>
                <w:szCs w:val="19"/>
                <w:color w:val="auto"/>
              </w:rPr>
              <w:t>Comprehensive income attributable to Honeywell</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5,569</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$ 2,016</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$ 4,641</w:t>
            </w:r>
          </w:p>
        </w:tc>
      </w:tr>
      <w:tr>
        <w:trPr>
          <w:trHeight w:val="20"/>
        </w:trPr>
        <w:tc>
          <w:tcPr>
            <w:tcW w:w="8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Consolidated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BALANCE SHEET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9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4"/>
              <w:spacing w:after="0" w:line="169" w:lineRule="exact"/>
              <w:rPr>
                <w:sz w:val="20"/>
                <w:szCs w:val="20"/>
                <w:color w:val="auto"/>
              </w:rPr>
            </w:pPr>
            <w:r>
              <w:rPr>
                <w:rFonts w:ascii="Arial" w:cs="Arial" w:eastAsia="Arial" w:hAnsi="Arial"/>
                <w:sz w:val="16"/>
                <w:szCs w:val="16"/>
                <w:b w:val="1"/>
                <w:bCs w:val="1"/>
                <w:color w:val="auto"/>
              </w:rPr>
              <w:t>2017</w:t>
            </w:r>
          </w:p>
        </w:tc>
      </w:tr>
      <w:tr>
        <w:trPr>
          <w:trHeight w:val="237"/>
        </w:trPr>
        <w:tc>
          <w:tcPr>
            <w:tcW w:w="9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4"/>
          </w:tcPr>
          <w:p>
            <w:pPr>
              <w:jc w:val="right"/>
              <w:ind w:right="284"/>
              <w:spacing w:after="0"/>
              <w:rPr>
                <w:sz w:val="20"/>
                <w:szCs w:val="20"/>
                <w:color w:val="auto"/>
              </w:rPr>
            </w:pPr>
            <w:r>
              <w:rPr>
                <w:rFonts w:ascii="Arial" w:cs="Arial" w:eastAsia="Arial" w:hAnsi="Arial"/>
                <w:sz w:val="16"/>
                <w:szCs w:val="16"/>
                <w:b w:val="1"/>
                <w:bCs w:val="1"/>
                <w:color w:val="auto"/>
              </w:rPr>
              <w:t>(Dollars in millions)</w:t>
            </w:r>
          </w:p>
        </w:tc>
      </w:tr>
      <w:tr>
        <w:trPr>
          <w:trHeight w:val="176"/>
        </w:trPr>
        <w:tc>
          <w:tcPr>
            <w:tcW w:w="9200" w:type="dxa"/>
            <w:vAlign w:val="bottom"/>
            <w:shd w:val="clear" w:color="auto" w:fill="E5FFFF"/>
          </w:tcPr>
          <w:p>
            <w:pPr>
              <w:spacing w:after="0" w:line="176" w:lineRule="exact"/>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r>
      <w:tr>
        <w:trPr>
          <w:trHeight w:val="216"/>
        </w:trPr>
        <w:tc>
          <w:tcPr>
            <w:tcW w:w="9200" w:type="dxa"/>
            <w:vAlign w:val="bottom"/>
          </w:tcPr>
          <w:p>
            <w:pPr>
              <w:spacing w:after="0" w:line="216" w:lineRule="exact"/>
              <w:rPr>
                <w:sz w:val="20"/>
                <w:szCs w:val="20"/>
                <w:color w:val="auto"/>
              </w:rPr>
            </w:pPr>
            <w:r>
              <w:rPr>
                <w:rFonts w:ascii="Arial" w:cs="Arial" w:eastAsia="Arial" w:hAnsi="Arial"/>
                <w:sz w:val="19"/>
                <w:szCs w:val="19"/>
                <w:color w:val="auto"/>
              </w:rPr>
              <w:t>Current assets: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3"/>
        </w:trPr>
        <w:tc>
          <w:tcPr>
            <w:tcW w:w="92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Cash and cash equivalents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9,287</w:t>
            </w:r>
          </w:p>
        </w:tc>
        <w:tc>
          <w:tcPr>
            <w:tcW w:w="4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7,059</w:t>
            </w:r>
          </w:p>
        </w:tc>
      </w:tr>
      <w:tr>
        <w:trPr>
          <w:trHeight w:val="243"/>
        </w:trPr>
        <w:tc>
          <w:tcPr>
            <w:tcW w:w="9200" w:type="dxa"/>
            <w:vAlign w:val="bottom"/>
          </w:tcPr>
          <w:p>
            <w:pPr>
              <w:ind w:left="180"/>
              <w:spacing w:after="0"/>
              <w:rPr>
                <w:sz w:val="20"/>
                <w:szCs w:val="20"/>
                <w:color w:val="auto"/>
              </w:rPr>
            </w:pPr>
            <w:r>
              <w:rPr>
                <w:rFonts w:ascii="Arial" w:cs="Arial" w:eastAsia="Arial" w:hAnsi="Arial"/>
                <w:sz w:val="19"/>
                <w:szCs w:val="19"/>
                <w:color w:val="auto"/>
              </w:rPr>
              <w:t>Short-term investments</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1,623</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3,758</w:t>
            </w:r>
          </w:p>
        </w:tc>
      </w:tr>
      <w:tr>
        <w:trPr>
          <w:trHeight w:val="243"/>
        </w:trPr>
        <w:tc>
          <w:tcPr>
            <w:tcW w:w="92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Accounts receivable—net</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7,508</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8,866</w:t>
            </w:r>
          </w:p>
        </w:tc>
      </w:tr>
      <w:tr>
        <w:trPr>
          <w:trHeight w:val="243"/>
        </w:trPr>
        <w:tc>
          <w:tcPr>
            <w:tcW w:w="9200" w:type="dxa"/>
            <w:vAlign w:val="bottom"/>
          </w:tcPr>
          <w:p>
            <w:pPr>
              <w:ind w:left="180"/>
              <w:spacing w:after="0"/>
              <w:rPr>
                <w:sz w:val="20"/>
                <w:szCs w:val="20"/>
                <w:color w:val="auto"/>
              </w:rPr>
            </w:pPr>
            <w:r>
              <w:rPr>
                <w:rFonts w:ascii="Arial" w:cs="Arial" w:eastAsia="Arial" w:hAnsi="Arial"/>
                <w:sz w:val="19"/>
                <w:szCs w:val="19"/>
                <w:color w:val="auto"/>
              </w:rPr>
              <w:t>Inventories</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4,326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4,613</w:t>
            </w:r>
          </w:p>
        </w:tc>
      </w:tr>
      <w:tr>
        <w:trPr>
          <w:trHeight w:val="243"/>
        </w:trPr>
        <w:tc>
          <w:tcPr>
            <w:tcW w:w="92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Other current assets</w:t>
            </w:r>
          </w:p>
        </w:tc>
        <w:tc>
          <w:tcPr>
            <w:tcW w:w="16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1,618</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1,706</w:t>
            </w:r>
          </w:p>
        </w:tc>
      </w:tr>
      <w:tr>
        <w:trPr>
          <w:trHeight w:val="250"/>
        </w:trPr>
        <w:tc>
          <w:tcPr>
            <w:tcW w:w="9200" w:type="dxa"/>
            <w:vAlign w:val="bottom"/>
          </w:tcPr>
          <w:p>
            <w:pPr>
              <w:ind w:left="720"/>
              <w:spacing w:after="0"/>
              <w:rPr>
                <w:sz w:val="20"/>
                <w:szCs w:val="20"/>
                <w:color w:val="auto"/>
              </w:rPr>
            </w:pPr>
            <w:r>
              <w:rPr>
                <w:rFonts w:ascii="Arial" w:cs="Arial" w:eastAsia="Arial" w:hAnsi="Arial"/>
                <w:sz w:val="19"/>
                <w:szCs w:val="19"/>
                <w:color w:val="auto"/>
              </w:rPr>
              <w:t>Total current assets</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24,362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26,002</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Investments and long-term receivables</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742</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667</w:t>
            </w:r>
          </w:p>
        </w:tc>
      </w:tr>
      <w:tr>
        <w:trPr>
          <w:trHeight w:val="243"/>
        </w:trPr>
        <w:tc>
          <w:tcPr>
            <w:tcW w:w="9200" w:type="dxa"/>
            <w:vAlign w:val="bottom"/>
          </w:tcPr>
          <w:p>
            <w:pPr>
              <w:spacing w:after="0"/>
              <w:rPr>
                <w:sz w:val="20"/>
                <w:szCs w:val="20"/>
                <w:color w:val="auto"/>
              </w:rPr>
            </w:pPr>
            <w:r>
              <w:rPr>
                <w:rFonts w:ascii="Arial" w:cs="Arial" w:eastAsia="Arial" w:hAnsi="Arial"/>
                <w:sz w:val="19"/>
                <w:szCs w:val="19"/>
                <w:color w:val="auto"/>
              </w:rPr>
              <w:t>Property, plant and equipment—net</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5,296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5,926</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Goodwill</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15,546</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18,277</w:t>
            </w:r>
          </w:p>
        </w:tc>
      </w:tr>
      <w:tr>
        <w:trPr>
          <w:trHeight w:val="243"/>
        </w:trPr>
        <w:tc>
          <w:tcPr>
            <w:tcW w:w="9200" w:type="dxa"/>
            <w:vAlign w:val="bottom"/>
          </w:tcPr>
          <w:p>
            <w:pPr>
              <w:spacing w:after="0"/>
              <w:rPr>
                <w:sz w:val="20"/>
                <w:szCs w:val="20"/>
                <w:color w:val="auto"/>
              </w:rPr>
            </w:pPr>
            <w:r>
              <w:rPr>
                <w:rFonts w:ascii="Arial" w:cs="Arial" w:eastAsia="Arial" w:hAnsi="Arial"/>
                <w:sz w:val="19"/>
                <w:szCs w:val="19"/>
                <w:color w:val="auto"/>
              </w:rPr>
              <w:t>Other intangible assets—net</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4,139</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4,496</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Insurance recoveries for asbestos related liabilities</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437</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479</w:t>
            </w:r>
          </w:p>
        </w:tc>
      </w:tr>
      <w:tr>
        <w:trPr>
          <w:trHeight w:val="243"/>
        </w:trPr>
        <w:tc>
          <w:tcPr>
            <w:tcW w:w="9200" w:type="dxa"/>
            <w:vAlign w:val="bottom"/>
          </w:tcPr>
          <w:p>
            <w:pPr>
              <w:spacing w:after="0"/>
              <w:rPr>
                <w:sz w:val="20"/>
                <w:szCs w:val="20"/>
                <w:color w:val="auto"/>
              </w:rPr>
            </w:pPr>
            <w:r>
              <w:rPr>
                <w:rFonts w:ascii="Arial" w:cs="Arial" w:eastAsia="Arial" w:hAnsi="Arial"/>
                <w:sz w:val="19"/>
                <w:szCs w:val="19"/>
                <w:color w:val="auto"/>
              </w:rPr>
              <w:t>Deferred income taxes</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382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251</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Other assets</w:t>
            </w:r>
          </w:p>
        </w:tc>
        <w:tc>
          <w:tcPr>
            <w:tcW w:w="16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6,869</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3,372</w:t>
            </w:r>
          </w:p>
        </w:tc>
      </w:tr>
      <w:tr>
        <w:trPr>
          <w:trHeight w:val="250"/>
        </w:trPr>
        <w:tc>
          <w:tcPr>
            <w:tcW w:w="9200" w:type="dxa"/>
            <w:vAlign w:val="bottom"/>
          </w:tcPr>
          <w:p>
            <w:pPr>
              <w:ind w:left="720"/>
              <w:spacing w:after="0"/>
              <w:rPr>
                <w:sz w:val="20"/>
                <w:szCs w:val="20"/>
                <w:color w:val="auto"/>
              </w:rPr>
            </w:pPr>
            <w:r>
              <w:rPr>
                <w:rFonts w:ascii="Arial" w:cs="Arial" w:eastAsia="Arial" w:hAnsi="Arial"/>
                <w:sz w:val="19"/>
                <w:szCs w:val="19"/>
                <w:color w:val="auto"/>
              </w:rPr>
              <w:t>Total assets</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57,773</w:t>
            </w:r>
          </w:p>
        </w:tc>
        <w:tc>
          <w:tcPr>
            <w:tcW w:w="4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59,470</w:t>
            </w:r>
          </w:p>
        </w:tc>
      </w:tr>
      <w:tr>
        <w:trPr>
          <w:trHeight w:val="20"/>
        </w:trPr>
        <w:tc>
          <w:tcPr>
            <w:tcW w:w="9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9200" w:type="dxa"/>
            <w:vAlign w:val="bottom"/>
            <w:shd w:val="clear" w:color="auto" w:fill="E5FFFF"/>
          </w:tcPr>
          <w:p>
            <w:pPr>
              <w:spacing w:after="0" w:line="170" w:lineRule="exact"/>
              <w:rPr>
                <w:sz w:val="20"/>
                <w:szCs w:val="20"/>
                <w:color w:val="auto"/>
              </w:rPr>
            </w:pPr>
            <w:r>
              <w:rPr>
                <w:rFonts w:ascii="Arial" w:cs="Arial" w:eastAsia="Arial" w:hAnsi="Arial"/>
                <w:sz w:val="16"/>
                <w:szCs w:val="16"/>
                <w:b w:val="1"/>
                <w:bCs w:val="1"/>
                <w:color w:val="auto"/>
              </w:rPr>
              <w:t>LIABILITIES</w:t>
            </w:r>
          </w:p>
        </w:tc>
        <w:tc>
          <w:tcPr>
            <w:tcW w:w="16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r>
      <w:tr>
        <w:trPr>
          <w:trHeight w:val="216"/>
        </w:trPr>
        <w:tc>
          <w:tcPr>
            <w:tcW w:w="9200" w:type="dxa"/>
            <w:vAlign w:val="bottom"/>
          </w:tcPr>
          <w:p>
            <w:pPr>
              <w:spacing w:after="0" w:line="216" w:lineRule="exact"/>
              <w:rPr>
                <w:sz w:val="20"/>
                <w:szCs w:val="20"/>
                <w:color w:val="auto"/>
              </w:rPr>
            </w:pPr>
            <w:r>
              <w:rPr>
                <w:rFonts w:ascii="Arial" w:cs="Arial" w:eastAsia="Arial" w:hAnsi="Arial"/>
                <w:sz w:val="19"/>
                <w:szCs w:val="19"/>
                <w:color w:val="auto"/>
              </w:rPr>
              <w:t>Current liabilities: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3"/>
        </w:trPr>
        <w:tc>
          <w:tcPr>
            <w:tcW w:w="92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Accounts payable</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5,607</w:t>
            </w:r>
          </w:p>
        </w:tc>
        <w:tc>
          <w:tcPr>
            <w:tcW w:w="4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6,584</w:t>
            </w:r>
          </w:p>
        </w:tc>
      </w:tr>
      <w:tr>
        <w:trPr>
          <w:trHeight w:val="243"/>
        </w:trPr>
        <w:tc>
          <w:tcPr>
            <w:tcW w:w="9200" w:type="dxa"/>
            <w:vAlign w:val="bottom"/>
          </w:tcPr>
          <w:p>
            <w:pPr>
              <w:ind w:left="180"/>
              <w:spacing w:after="0"/>
              <w:rPr>
                <w:sz w:val="20"/>
                <w:szCs w:val="20"/>
                <w:color w:val="auto"/>
              </w:rPr>
            </w:pPr>
            <w:r>
              <w:rPr>
                <w:rFonts w:ascii="Arial" w:cs="Arial" w:eastAsia="Arial" w:hAnsi="Arial"/>
                <w:sz w:val="19"/>
                <w:szCs w:val="19"/>
                <w:color w:val="auto"/>
              </w:rPr>
              <w:t>Commercial paper and other short-term borrowings</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3,586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3,958</w:t>
            </w:r>
          </w:p>
        </w:tc>
      </w:tr>
      <w:tr>
        <w:trPr>
          <w:trHeight w:val="243"/>
        </w:trPr>
        <w:tc>
          <w:tcPr>
            <w:tcW w:w="92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Current maturities of long-term debt</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2,872</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1,351</w:t>
            </w:r>
          </w:p>
        </w:tc>
      </w:tr>
      <w:tr>
        <w:trPr>
          <w:trHeight w:val="250"/>
        </w:trPr>
        <w:tc>
          <w:tcPr>
            <w:tcW w:w="9200" w:type="dxa"/>
            <w:vAlign w:val="bottom"/>
          </w:tcPr>
          <w:p>
            <w:pPr>
              <w:ind w:left="180"/>
              <w:spacing w:after="0"/>
              <w:rPr>
                <w:sz w:val="20"/>
                <w:szCs w:val="20"/>
                <w:color w:val="auto"/>
              </w:rPr>
            </w:pPr>
            <w:r>
              <w:rPr>
                <w:rFonts w:ascii="Arial" w:cs="Arial" w:eastAsia="Arial" w:hAnsi="Arial"/>
                <w:sz w:val="19"/>
                <w:szCs w:val="19"/>
                <w:color w:val="auto"/>
              </w:rPr>
              <w:t>Accrued liabilities</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6,859</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6,968</w:t>
            </w:r>
          </w:p>
        </w:tc>
      </w:tr>
      <w:tr>
        <w:trPr>
          <w:trHeight w:val="243"/>
        </w:trPr>
        <w:tc>
          <w:tcPr>
            <w:tcW w:w="920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 current liabilities</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18,924</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18,861</w:t>
            </w:r>
          </w:p>
        </w:tc>
      </w:tr>
      <w:tr>
        <w:trPr>
          <w:trHeight w:val="243"/>
        </w:trPr>
        <w:tc>
          <w:tcPr>
            <w:tcW w:w="9200" w:type="dxa"/>
            <w:vAlign w:val="bottom"/>
          </w:tcPr>
          <w:p>
            <w:pPr>
              <w:spacing w:after="0"/>
              <w:rPr>
                <w:sz w:val="20"/>
                <w:szCs w:val="20"/>
                <w:color w:val="auto"/>
              </w:rPr>
            </w:pPr>
            <w:r>
              <w:rPr>
                <w:rFonts w:ascii="Arial" w:cs="Arial" w:eastAsia="Arial" w:hAnsi="Arial"/>
                <w:sz w:val="19"/>
                <w:szCs w:val="19"/>
                <w:color w:val="auto"/>
              </w:rPr>
              <w:t>Long-term debt</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9,756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12,573</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Deferred income taxes</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1,713</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2,664</w:t>
            </w:r>
          </w:p>
        </w:tc>
      </w:tr>
      <w:tr>
        <w:trPr>
          <w:trHeight w:val="243"/>
        </w:trPr>
        <w:tc>
          <w:tcPr>
            <w:tcW w:w="9200" w:type="dxa"/>
            <w:vAlign w:val="bottom"/>
          </w:tcPr>
          <w:p>
            <w:pPr>
              <w:spacing w:after="0"/>
              <w:rPr>
                <w:sz w:val="20"/>
                <w:szCs w:val="20"/>
                <w:color w:val="auto"/>
              </w:rPr>
            </w:pPr>
            <w:r>
              <w:rPr>
                <w:rFonts w:ascii="Arial" w:cs="Arial" w:eastAsia="Arial" w:hAnsi="Arial"/>
                <w:sz w:val="19"/>
                <w:szCs w:val="19"/>
                <w:color w:val="auto"/>
              </w:rPr>
              <w:t>Postretirement benefit obligations other than pensions</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344</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512</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Asbestos related liabilities</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2,269</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2,260</w:t>
            </w:r>
          </w:p>
        </w:tc>
      </w:tr>
      <w:tr>
        <w:trPr>
          <w:trHeight w:val="243"/>
        </w:trPr>
        <w:tc>
          <w:tcPr>
            <w:tcW w:w="9200" w:type="dxa"/>
            <w:vAlign w:val="bottom"/>
          </w:tcPr>
          <w:p>
            <w:pPr>
              <w:spacing w:after="0"/>
              <w:rPr>
                <w:sz w:val="20"/>
                <w:szCs w:val="20"/>
                <w:color w:val="auto"/>
              </w:rPr>
            </w:pPr>
            <w:r>
              <w:rPr>
                <w:rFonts w:ascii="Arial" w:cs="Arial" w:eastAsia="Arial" w:hAnsi="Arial"/>
                <w:sz w:val="19"/>
                <w:szCs w:val="19"/>
                <w:color w:val="auto"/>
              </w:rPr>
              <w:t>Other liabilities</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6,402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5,930</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Redeemable noncontrolling interest</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w:t>
            </w:r>
          </w:p>
        </w:tc>
      </w:tr>
      <w:tr>
        <w:trPr>
          <w:trHeight w:val="176"/>
        </w:trPr>
        <w:tc>
          <w:tcPr>
            <w:tcW w:w="9200" w:type="dxa"/>
            <w:vAlign w:val="bottom"/>
          </w:tcPr>
          <w:p>
            <w:pPr>
              <w:spacing w:after="0" w:line="176" w:lineRule="exact"/>
              <w:rPr>
                <w:sz w:val="20"/>
                <w:szCs w:val="20"/>
                <w:color w:val="auto"/>
              </w:rPr>
            </w:pPr>
            <w:r>
              <w:rPr>
                <w:rFonts w:ascii="Arial" w:cs="Arial" w:eastAsia="Arial" w:hAnsi="Arial"/>
                <w:sz w:val="16"/>
                <w:szCs w:val="16"/>
                <w:b w:val="1"/>
                <w:bCs w:val="1"/>
                <w:color w:val="auto"/>
              </w:rPr>
              <w:t>SHAREOWNERS’ EQUITY</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Capital—common stock issued</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958</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958</w:t>
            </w:r>
          </w:p>
        </w:tc>
      </w:tr>
      <w:tr>
        <w:trPr>
          <w:trHeight w:val="243"/>
        </w:trPr>
        <w:tc>
          <w:tcPr>
            <w:tcW w:w="9200" w:type="dxa"/>
            <w:vAlign w:val="bottom"/>
          </w:tcPr>
          <w:p>
            <w:pPr>
              <w:ind w:left="540"/>
              <w:spacing w:after="0"/>
              <w:rPr>
                <w:sz w:val="20"/>
                <w:szCs w:val="20"/>
                <w:color w:val="auto"/>
              </w:rPr>
            </w:pPr>
            <w:r>
              <w:rPr>
                <w:rFonts w:ascii="Arial" w:cs="Arial" w:eastAsia="Arial" w:hAnsi="Arial"/>
                <w:sz w:val="19"/>
                <w:szCs w:val="19"/>
                <w:color w:val="auto"/>
              </w:rPr>
              <w:t>—additional paid-in capital</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6,452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6,212</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Common stock held in treasury, at cost</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(19,771)</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(15,914)</w:t>
            </w:r>
          </w:p>
        </w:tc>
      </w:tr>
      <w:tr>
        <w:trPr>
          <w:trHeight w:val="243"/>
        </w:trPr>
        <w:tc>
          <w:tcPr>
            <w:tcW w:w="9200" w:type="dxa"/>
            <w:vAlign w:val="bottom"/>
          </w:tcPr>
          <w:p>
            <w:pPr>
              <w:spacing w:after="0"/>
              <w:rPr>
                <w:sz w:val="20"/>
                <w:szCs w:val="20"/>
                <w:color w:val="auto"/>
              </w:rPr>
            </w:pPr>
            <w:r>
              <w:rPr>
                <w:rFonts w:ascii="Arial" w:cs="Arial" w:eastAsia="Arial" w:hAnsi="Arial"/>
                <w:sz w:val="19"/>
                <w:szCs w:val="19"/>
                <w:color w:val="auto"/>
              </w:rPr>
              <w:t>Accumulated other comprehensive income (loss)</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(3,437)</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(2,235)</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Retained earnings</w:t>
            </w:r>
          </w:p>
        </w:tc>
        <w:tc>
          <w:tcPr>
            <w:tcW w:w="16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33,978</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27,481</w:t>
            </w:r>
          </w:p>
        </w:tc>
      </w:tr>
      <w:tr>
        <w:trPr>
          <w:trHeight w:val="250"/>
        </w:trPr>
        <w:tc>
          <w:tcPr>
            <w:tcW w:w="9200" w:type="dxa"/>
            <w:vAlign w:val="bottom"/>
          </w:tcPr>
          <w:p>
            <w:pPr>
              <w:ind w:left="720"/>
              <w:spacing w:after="0"/>
              <w:rPr>
                <w:sz w:val="20"/>
                <w:szCs w:val="20"/>
                <w:color w:val="auto"/>
              </w:rPr>
            </w:pPr>
            <w:r>
              <w:rPr>
                <w:rFonts w:ascii="Arial" w:cs="Arial" w:eastAsia="Arial" w:hAnsi="Arial"/>
                <w:sz w:val="19"/>
                <w:szCs w:val="19"/>
                <w:color w:val="auto"/>
              </w:rPr>
              <w:t>Total Honeywell shareowners’ equity</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18,180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16,502</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Noncontrolling interest</w:t>
            </w:r>
          </w:p>
        </w:tc>
        <w:tc>
          <w:tcPr>
            <w:tcW w:w="16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178</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163</w:t>
            </w:r>
          </w:p>
        </w:tc>
      </w:tr>
      <w:tr>
        <w:trPr>
          <w:trHeight w:val="257"/>
        </w:trPr>
        <w:tc>
          <w:tcPr>
            <w:tcW w:w="9200" w:type="dxa"/>
            <w:vAlign w:val="bottom"/>
          </w:tcPr>
          <w:p>
            <w:pPr>
              <w:ind w:left="720"/>
              <w:spacing w:after="0"/>
              <w:rPr>
                <w:sz w:val="20"/>
                <w:szCs w:val="20"/>
                <w:color w:val="auto"/>
              </w:rPr>
            </w:pPr>
            <w:r>
              <w:rPr>
                <w:rFonts w:ascii="Arial" w:cs="Arial" w:eastAsia="Arial" w:hAnsi="Arial"/>
                <w:sz w:val="19"/>
                <w:szCs w:val="19"/>
                <w:color w:val="auto"/>
              </w:rPr>
              <w:t>Total shareowners’ equity</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18,358</w:t>
            </w:r>
          </w:p>
        </w:tc>
        <w:tc>
          <w:tcPr>
            <w:tcW w:w="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16,665</w:t>
            </w:r>
          </w:p>
        </w:tc>
      </w:tr>
      <w:tr>
        <w:trPr>
          <w:trHeight w:val="243"/>
        </w:trPr>
        <w:tc>
          <w:tcPr>
            <w:tcW w:w="920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 liabilities, redeemable noncontrolling interest and shareowners’ equity</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57,773</w:t>
            </w:r>
          </w:p>
        </w:tc>
        <w:tc>
          <w:tcPr>
            <w:tcW w:w="4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59,470</w:t>
            </w:r>
          </w:p>
        </w:tc>
      </w:tr>
      <w:tr>
        <w:trPr>
          <w:trHeight w:val="20"/>
        </w:trPr>
        <w:tc>
          <w:tcPr>
            <w:tcW w:w="9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Consolidated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CASH FLOWS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center"/>
              <w:ind w:right="81"/>
              <w:spacing w:after="0"/>
              <w:rPr>
                <w:sz w:val="20"/>
                <w:szCs w:val="20"/>
                <w:color w:val="auto"/>
              </w:rPr>
            </w:pPr>
            <w:r>
              <w:rPr>
                <w:rFonts w:ascii="Arial" w:cs="Arial" w:eastAsia="Arial" w:hAnsi="Arial"/>
                <w:sz w:val="16"/>
                <w:szCs w:val="16"/>
                <w:b w:val="1"/>
                <w:bCs w:val="1"/>
                <w:color w:val="auto"/>
                <w:w w:val="98"/>
              </w:rPr>
              <w:t>Years Ended December 31,</w:t>
            </w:r>
          </w:p>
        </w:tc>
      </w:tr>
      <w:tr>
        <w:trPr>
          <w:trHeight w:val="169"/>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1"/>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1"/>
              <w:spacing w:after="0" w:line="169" w:lineRule="exact"/>
              <w:rPr>
                <w:sz w:val="20"/>
                <w:szCs w:val="20"/>
                <w:color w:val="auto"/>
              </w:rPr>
            </w:pPr>
            <w:r>
              <w:rPr>
                <w:rFonts w:ascii="Arial" w:cs="Arial" w:eastAsia="Arial" w:hAnsi="Arial"/>
                <w:sz w:val="16"/>
                <w:szCs w:val="16"/>
                <w:b w:val="1"/>
                <w:bCs w:val="1"/>
                <w:color w:val="auto"/>
                <w:w w:val="95"/>
              </w:rPr>
              <w:t>2017</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6"/>
          </w:tcPr>
          <w:p>
            <w:pPr>
              <w:jc w:val="center"/>
              <w:ind w:left="401"/>
              <w:spacing w:after="0"/>
              <w:rPr>
                <w:sz w:val="20"/>
                <w:szCs w:val="20"/>
                <w:color w:val="auto"/>
              </w:rPr>
            </w:pPr>
            <w:r>
              <w:rPr>
                <w:rFonts w:ascii="Arial" w:cs="Arial" w:eastAsia="Arial" w:hAnsi="Arial"/>
                <w:sz w:val="16"/>
                <w:szCs w:val="16"/>
                <w:b w:val="1"/>
                <w:bCs w:val="1"/>
                <w:color w:val="auto"/>
                <w:w w:val="98"/>
              </w:rPr>
              <w:t>(Dollars in millions)</w:t>
            </w:r>
          </w:p>
        </w:tc>
        <w:tc>
          <w:tcPr>
            <w:tcW w:w="640" w:type="dxa"/>
            <w:vAlign w:val="bottom"/>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8460" w:type="dxa"/>
            <w:vAlign w:val="bottom"/>
            <w:shd w:val="clear" w:color="auto" w:fill="E5FFFF"/>
          </w:tcPr>
          <w:p>
            <w:pPr>
              <w:spacing w:after="0" w:line="176" w:lineRule="exact"/>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E5FFFF"/>
          </w:tcPr>
          <w:p>
            <w:pPr>
              <w:spacing w:after="0"/>
              <w:rPr>
                <w:sz w:val="15"/>
                <w:szCs w:val="15"/>
                <w:color w:val="auto"/>
              </w:rPr>
            </w:pPr>
          </w:p>
        </w:tc>
        <w:tc>
          <w:tcPr>
            <w:tcW w:w="64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64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640" w:type="dxa"/>
            <w:vAlign w:val="bottom"/>
            <w:shd w:val="clear" w:color="auto" w:fill="E5FF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4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6,828</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1,588</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4,849</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280"/>
              <w:spacing w:after="0"/>
              <w:rPr>
                <w:sz w:val="20"/>
                <w:szCs w:val="20"/>
                <w:color w:val="auto"/>
              </w:rPr>
            </w:pPr>
            <w:r>
              <w:rPr>
                <w:rFonts w:ascii="Arial" w:cs="Arial" w:eastAsia="Arial" w:hAnsi="Arial"/>
                <w:sz w:val="16"/>
                <w:szCs w:val="16"/>
                <w:color w:val="auto"/>
              </w:rPr>
              <w:t>Less: Net income attributable to the noncontrolling interest</w:t>
            </w:r>
          </w:p>
        </w:tc>
        <w:tc>
          <w:tcPr>
            <w:tcW w:w="16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63</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43</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37</w:t>
            </w:r>
          </w:p>
        </w:tc>
      </w:tr>
      <w:tr>
        <w:trPr>
          <w:trHeight w:val="250"/>
        </w:trPr>
        <w:tc>
          <w:tcPr>
            <w:tcW w:w="20" w:type="dxa"/>
            <w:vAlign w:val="bottom"/>
          </w:tcPr>
          <w:p>
            <w:pPr>
              <w:spacing w:after="0"/>
              <w:rPr>
                <w:sz w:val="21"/>
                <w:szCs w:val="21"/>
                <w:color w:val="auto"/>
              </w:rPr>
            </w:pPr>
          </w:p>
        </w:tc>
        <w:tc>
          <w:tcPr>
            <w:tcW w:w="8460" w:type="dxa"/>
            <w:vAlign w:val="bottom"/>
          </w:tcPr>
          <w:p>
            <w:pPr>
              <w:ind w:left="280"/>
              <w:spacing w:after="0"/>
              <w:rPr>
                <w:sz w:val="20"/>
                <w:szCs w:val="20"/>
                <w:color w:val="auto"/>
              </w:rPr>
            </w:pPr>
            <w:r>
              <w:rPr>
                <w:rFonts w:ascii="Arial" w:cs="Arial" w:eastAsia="Arial" w:hAnsi="Arial"/>
                <w:sz w:val="16"/>
                <w:szCs w:val="16"/>
                <w:color w:val="auto"/>
              </w:rPr>
              <w:t>Net income attributable to Honeywell</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6,765</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1,545</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4,812</w:t>
            </w:r>
          </w:p>
        </w:tc>
      </w:tr>
      <w:tr>
        <w:trPr>
          <w:trHeight w:val="176"/>
        </w:trPr>
        <w:tc>
          <w:tcPr>
            <w:tcW w:w="20" w:type="dxa"/>
            <w:vAlign w:val="bottom"/>
          </w:tcPr>
          <w:p>
            <w:pPr>
              <w:spacing w:after="0"/>
              <w:rPr>
                <w:sz w:val="15"/>
                <w:szCs w:val="15"/>
                <w:color w:val="auto"/>
              </w:rPr>
            </w:pPr>
          </w:p>
        </w:tc>
        <w:tc>
          <w:tcPr>
            <w:tcW w:w="8460" w:type="dxa"/>
            <w:vAlign w:val="bottom"/>
            <w:shd w:val="clear" w:color="auto" w:fill="E5FFFF"/>
          </w:tcPr>
          <w:p>
            <w:pPr>
              <w:ind w:left="280"/>
              <w:spacing w:after="0" w:line="176" w:lineRule="exact"/>
              <w:rPr>
                <w:sz w:val="20"/>
                <w:szCs w:val="20"/>
                <w:color w:val="auto"/>
              </w:rPr>
            </w:pPr>
            <w:r>
              <w:rPr>
                <w:rFonts w:ascii="Arial" w:cs="Arial" w:eastAsia="Arial" w:hAnsi="Arial"/>
                <w:sz w:val="16"/>
                <w:szCs w:val="16"/>
                <w:color w:val="auto"/>
              </w:rPr>
              <w:t>Adjustments to reconcile net income attributable to Honeywell to net cash provided by operating activities:</w:t>
            </w:r>
          </w:p>
        </w:tc>
        <w:tc>
          <w:tcPr>
            <w:tcW w:w="160" w:type="dxa"/>
            <w:vAlign w:val="bottom"/>
            <w:shd w:val="clear" w:color="auto" w:fill="E5FFFF"/>
          </w:tcPr>
          <w:p>
            <w:pPr>
              <w:spacing w:after="0"/>
              <w:rPr>
                <w:sz w:val="15"/>
                <w:szCs w:val="15"/>
                <w:color w:val="auto"/>
              </w:rPr>
            </w:pPr>
          </w:p>
        </w:tc>
        <w:tc>
          <w:tcPr>
            <w:tcW w:w="64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64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640" w:type="dxa"/>
            <w:vAlign w:val="bottom"/>
            <w:shd w:val="clear" w:color="auto" w:fill="E5FF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460" w:type="dxa"/>
            <w:vAlign w:val="bottom"/>
          </w:tcPr>
          <w:p>
            <w:pPr>
              <w:ind w:left="56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721</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717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Amortization</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395</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398</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304</w:t>
            </w:r>
          </w:p>
        </w:tc>
      </w:tr>
      <w:tr>
        <w:trPr>
          <w:trHeight w:val="243"/>
        </w:trPr>
        <w:tc>
          <w:tcPr>
            <w:tcW w:w="20" w:type="dxa"/>
            <w:vAlign w:val="bottom"/>
          </w:tcPr>
          <w:p>
            <w:pPr>
              <w:spacing w:after="0"/>
              <w:rPr>
                <w:sz w:val="21"/>
                <w:szCs w:val="21"/>
                <w:color w:val="auto"/>
              </w:rPr>
            </w:pPr>
          </w:p>
        </w:tc>
        <w:tc>
          <w:tcPr>
            <w:tcW w:w="8460" w:type="dxa"/>
            <w:vAlign w:val="bottom"/>
          </w:tcPr>
          <w:p>
            <w:pPr>
              <w:ind w:left="560"/>
              <w:spacing w:after="0"/>
              <w:rPr>
                <w:sz w:val="20"/>
                <w:szCs w:val="20"/>
                <w:color w:val="auto"/>
              </w:rPr>
            </w:pPr>
            <w:r>
              <w:rPr>
                <w:rFonts w:ascii="Arial" w:cs="Arial" w:eastAsia="Arial" w:hAnsi="Arial"/>
                <w:sz w:val="16"/>
                <w:szCs w:val="16"/>
                <w:color w:val="auto"/>
              </w:rPr>
              <w:t>(Gain) loss on sale of non-strategic businesses and assets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Repositioning and other charges</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1,091</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973</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690</w:t>
            </w:r>
          </w:p>
        </w:tc>
      </w:tr>
      <w:tr>
        <w:trPr>
          <w:trHeight w:val="243"/>
        </w:trPr>
        <w:tc>
          <w:tcPr>
            <w:tcW w:w="20" w:type="dxa"/>
            <w:vAlign w:val="bottom"/>
          </w:tcPr>
          <w:p>
            <w:pPr>
              <w:spacing w:after="0"/>
              <w:rPr>
                <w:sz w:val="21"/>
                <w:szCs w:val="21"/>
                <w:color w:val="auto"/>
              </w:rPr>
            </w:pPr>
          </w:p>
        </w:tc>
        <w:tc>
          <w:tcPr>
            <w:tcW w:w="8460" w:type="dxa"/>
            <w:vAlign w:val="bottom"/>
          </w:tcPr>
          <w:p>
            <w:pPr>
              <w:ind w:left="560"/>
              <w:spacing w:after="0"/>
              <w:rPr>
                <w:sz w:val="20"/>
                <w:szCs w:val="20"/>
                <w:color w:val="auto"/>
              </w:rPr>
            </w:pPr>
            <w:r>
              <w:rPr>
                <w:rFonts w:ascii="Arial" w:cs="Arial" w:eastAsia="Arial" w:hAnsi="Arial"/>
                <w:sz w:val="16"/>
                <w:szCs w:val="16"/>
                <w:color w:val="auto"/>
              </w:rPr>
              <w:t>Net payments for repositioning and other charges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(652)</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(628)</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Pension and other postretirement (income) expense</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(987)</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(647)</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(360)</w:t>
            </w:r>
          </w:p>
        </w:tc>
      </w:tr>
      <w:tr>
        <w:trPr>
          <w:trHeight w:val="243"/>
        </w:trPr>
        <w:tc>
          <w:tcPr>
            <w:tcW w:w="20" w:type="dxa"/>
            <w:vAlign w:val="bottom"/>
          </w:tcPr>
          <w:p>
            <w:pPr>
              <w:spacing w:after="0"/>
              <w:rPr>
                <w:sz w:val="21"/>
                <w:szCs w:val="21"/>
                <w:color w:val="auto"/>
              </w:rPr>
            </w:pPr>
          </w:p>
        </w:tc>
        <w:tc>
          <w:tcPr>
            <w:tcW w:w="8460" w:type="dxa"/>
            <w:vAlign w:val="bottom"/>
          </w:tcPr>
          <w:p>
            <w:pPr>
              <w:ind w:left="560"/>
              <w:spacing w:after="0"/>
              <w:rPr>
                <w:sz w:val="20"/>
                <w:szCs w:val="20"/>
                <w:color w:val="auto"/>
              </w:rPr>
            </w:pPr>
            <w:r>
              <w:rPr>
                <w:rFonts w:ascii="Arial" w:cs="Arial" w:eastAsia="Arial" w:hAnsi="Arial"/>
                <w:sz w:val="16"/>
                <w:szCs w:val="16"/>
                <w:color w:val="auto"/>
              </w:rPr>
              <w:t>Pension and other postretirement benefit payments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(106)</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Stock compensation expense</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175</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176</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184</w:t>
            </w:r>
          </w:p>
        </w:tc>
      </w:tr>
      <w:tr>
        <w:trPr>
          <w:trHeight w:val="243"/>
        </w:trPr>
        <w:tc>
          <w:tcPr>
            <w:tcW w:w="20" w:type="dxa"/>
            <w:vAlign w:val="bottom"/>
          </w:tcPr>
          <w:p>
            <w:pPr>
              <w:spacing w:after="0"/>
              <w:rPr>
                <w:sz w:val="21"/>
                <w:szCs w:val="21"/>
                <w:color w:val="auto"/>
              </w:rPr>
            </w:pPr>
          </w:p>
        </w:tc>
        <w:tc>
          <w:tcPr>
            <w:tcW w:w="8460" w:type="dxa"/>
            <w:vAlign w:val="bottom"/>
          </w:tcPr>
          <w:p>
            <w:pPr>
              <w:ind w:left="56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(586)</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2,452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(694)</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1,642</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194</w:t>
            </w:r>
          </w:p>
        </w:tc>
      </w:tr>
      <w:tr>
        <w:trPr>
          <w:trHeight w:val="176"/>
        </w:trPr>
        <w:tc>
          <w:tcPr>
            <w:tcW w:w="20" w:type="dxa"/>
            <w:vAlign w:val="bottom"/>
          </w:tcPr>
          <w:p>
            <w:pPr>
              <w:spacing w:after="0"/>
              <w:rPr>
                <w:sz w:val="15"/>
                <w:szCs w:val="15"/>
                <w:color w:val="auto"/>
              </w:rPr>
            </w:pPr>
          </w:p>
        </w:tc>
        <w:tc>
          <w:tcPr>
            <w:tcW w:w="8460" w:type="dxa"/>
            <w:vAlign w:val="bottom"/>
          </w:tcPr>
          <w:p>
            <w:pPr>
              <w:ind w:left="560"/>
              <w:spacing w:after="0" w:line="176" w:lineRule="exact"/>
              <w:rPr>
                <w:sz w:val="20"/>
                <w:szCs w:val="20"/>
                <w:color w:val="auto"/>
              </w:rPr>
            </w:pPr>
            <w:r>
              <w:rPr>
                <w:rFonts w:ascii="Arial" w:cs="Arial" w:eastAsia="Arial" w:hAnsi="Arial"/>
                <w:sz w:val="16"/>
                <w:szCs w:val="16"/>
                <w:color w:val="auto"/>
              </w:rPr>
              <w:t>Changes in assets and liabilities, net of the effects of acquisitions and divestitures: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860"/>
              <w:spacing w:after="0"/>
              <w:rPr>
                <w:sz w:val="20"/>
                <w:szCs w:val="20"/>
                <w:color w:val="auto"/>
              </w:rPr>
            </w:pPr>
            <w:r>
              <w:rPr>
                <w:rFonts w:ascii="Arial" w:cs="Arial" w:eastAsia="Arial" w:hAnsi="Arial"/>
                <w:sz w:val="16"/>
                <w:szCs w:val="16"/>
                <w:color w:val="auto"/>
              </w:rPr>
              <w:t>Accounts receivable</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(236)</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(682)</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(547)</w:t>
            </w:r>
          </w:p>
        </w:tc>
      </w:tr>
      <w:tr>
        <w:trPr>
          <w:trHeight w:val="243"/>
        </w:trPr>
        <w:tc>
          <w:tcPr>
            <w:tcW w:w="20" w:type="dxa"/>
            <w:vAlign w:val="bottom"/>
          </w:tcPr>
          <w:p>
            <w:pPr>
              <w:spacing w:after="0"/>
              <w:rPr>
                <w:sz w:val="21"/>
                <w:szCs w:val="21"/>
                <w:color w:val="auto"/>
              </w:rPr>
            </w:pPr>
          </w:p>
        </w:tc>
        <w:tc>
          <w:tcPr>
            <w:tcW w:w="8460" w:type="dxa"/>
            <w:vAlign w:val="bottom"/>
          </w:tcPr>
          <w:p>
            <w:pPr>
              <w:ind w:left="86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(503)</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(259)</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860"/>
              <w:spacing w:after="0"/>
              <w:rPr>
                <w:sz w:val="20"/>
                <w:szCs w:val="20"/>
                <w:color w:val="auto"/>
              </w:rPr>
            </w:pPr>
            <w:r>
              <w:rPr>
                <w:rFonts w:ascii="Arial" w:cs="Arial" w:eastAsia="Arial" w:hAnsi="Arial"/>
                <w:sz w:val="16"/>
                <w:szCs w:val="16"/>
                <w:color w:val="auto"/>
              </w:rPr>
              <w:t>Other current assets</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218</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(568)</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w:t>
            </w:r>
          </w:p>
        </w:tc>
      </w:tr>
      <w:tr>
        <w:trPr>
          <w:trHeight w:val="243"/>
        </w:trPr>
        <w:tc>
          <w:tcPr>
            <w:tcW w:w="20" w:type="dxa"/>
            <w:vAlign w:val="bottom"/>
          </w:tcPr>
          <w:p>
            <w:pPr>
              <w:spacing w:after="0"/>
              <w:rPr>
                <w:sz w:val="21"/>
                <w:szCs w:val="21"/>
                <w:color w:val="auto"/>
              </w:rPr>
            </w:pPr>
          </w:p>
        </w:tc>
        <w:tc>
          <w:tcPr>
            <w:tcW w:w="8460" w:type="dxa"/>
            <w:vAlign w:val="bottom"/>
          </w:tcPr>
          <w:p>
            <w:pPr>
              <w:ind w:left="86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733</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924</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860"/>
              <w:spacing w:after="0"/>
              <w:rPr>
                <w:sz w:val="20"/>
                <w:szCs w:val="20"/>
                <w:color w:val="auto"/>
              </w:rPr>
            </w:pPr>
            <w:r>
              <w:rPr>
                <w:rFonts w:ascii="Arial" w:cs="Arial" w:eastAsia="Arial" w:hAnsi="Arial"/>
                <w:sz w:val="16"/>
                <w:szCs w:val="16"/>
                <w:color w:val="auto"/>
              </w:rPr>
              <w:t>Accrued liabilities</w:t>
            </w:r>
          </w:p>
        </w:tc>
        <w:tc>
          <w:tcPr>
            <w:tcW w:w="16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74</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22</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233</w:t>
            </w:r>
          </w:p>
        </w:tc>
      </w:tr>
      <w:tr>
        <w:trPr>
          <w:trHeight w:val="257"/>
        </w:trPr>
        <w:tc>
          <w:tcPr>
            <w:tcW w:w="20" w:type="dxa"/>
            <w:vAlign w:val="bottom"/>
          </w:tcPr>
          <w:p>
            <w:pPr>
              <w:spacing w:after="0"/>
              <w:rPr>
                <w:sz w:val="22"/>
                <w:szCs w:val="22"/>
                <w:color w:val="auto"/>
              </w:rPr>
            </w:pPr>
          </w:p>
        </w:tc>
        <w:tc>
          <w:tcPr>
            <w:tcW w:w="8460" w:type="dxa"/>
            <w:vAlign w:val="bottom"/>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6,434</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5,966</w:t>
            </w:r>
          </w:p>
        </w:tc>
        <w:tc>
          <w:tcPr>
            <w:tcW w:w="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5,498</w:t>
            </w:r>
          </w:p>
        </w:tc>
      </w:tr>
      <w:tr>
        <w:trPr>
          <w:trHeight w:val="176"/>
        </w:trPr>
        <w:tc>
          <w:tcPr>
            <w:tcW w:w="20" w:type="dxa"/>
            <w:vAlign w:val="bottom"/>
          </w:tcPr>
          <w:p>
            <w:pPr>
              <w:spacing w:after="0"/>
              <w:rPr>
                <w:sz w:val="15"/>
                <w:szCs w:val="15"/>
                <w:color w:val="auto"/>
              </w:rPr>
            </w:pPr>
          </w:p>
        </w:tc>
        <w:tc>
          <w:tcPr>
            <w:tcW w:w="8460" w:type="dxa"/>
            <w:vAlign w:val="bottom"/>
            <w:shd w:val="clear" w:color="auto" w:fill="E5FFFF"/>
          </w:tcPr>
          <w:p>
            <w:pPr>
              <w:spacing w:after="0" w:line="176" w:lineRule="exact"/>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shd w:val="clear" w:color="auto" w:fill="E5FFFF"/>
          </w:tcPr>
          <w:p>
            <w:pPr>
              <w:spacing w:after="0"/>
              <w:rPr>
                <w:sz w:val="15"/>
                <w:szCs w:val="15"/>
                <w:color w:val="auto"/>
              </w:rPr>
            </w:pPr>
          </w:p>
        </w:tc>
        <w:tc>
          <w:tcPr>
            <w:tcW w:w="64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64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640" w:type="dxa"/>
            <w:vAlign w:val="bottom"/>
            <w:shd w:val="clear" w:color="auto" w:fill="E5FF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460" w:type="dxa"/>
            <w:vAlign w:val="bottom"/>
          </w:tcPr>
          <w:p>
            <w:pPr>
              <w:ind w:left="280"/>
              <w:spacing w:after="0"/>
              <w:rPr>
                <w:sz w:val="20"/>
                <w:szCs w:val="20"/>
                <w:color w:val="auto"/>
              </w:rPr>
            </w:pPr>
            <w:r>
              <w:rPr>
                <w:rFonts w:ascii="Arial" w:cs="Arial" w:eastAsia="Arial" w:hAnsi="Arial"/>
                <w:sz w:val="16"/>
                <w:szCs w:val="16"/>
                <w:color w:val="auto"/>
              </w:rPr>
              <w:t>Expenditures for property, plant and equipment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(828)</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(1,095)</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280"/>
              <w:spacing w:after="0"/>
              <w:rPr>
                <w:sz w:val="20"/>
                <w:szCs w:val="20"/>
                <w:color w:val="auto"/>
              </w:rPr>
            </w:pPr>
            <w:r>
              <w:rPr>
                <w:rFonts w:ascii="Arial" w:cs="Arial" w:eastAsia="Arial" w:hAnsi="Arial"/>
                <w:sz w:val="16"/>
                <w:szCs w:val="16"/>
                <w:color w:val="auto"/>
              </w:rPr>
              <w:t>Proceeds from disposals of property, plant and equipment</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86</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20" w:type="dxa"/>
            <w:vAlign w:val="bottom"/>
          </w:tcPr>
          <w:p>
            <w:pPr>
              <w:spacing w:after="0"/>
              <w:rPr>
                <w:sz w:val="21"/>
                <w:szCs w:val="21"/>
                <w:color w:val="auto"/>
              </w:rPr>
            </w:pPr>
          </w:p>
        </w:tc>
        <w:tc>
          <w:tcPr>
            <w:tcW w:w="8460" w:type="dxa"/>
            <w:vAlign w:val="bottom"/>
          </w:tcPr>
          <w:p>
            <w:pPr>
              <w:ind w:left="280"/>
              <w:spacing w:after="0"/>
              <w:rPr>
                <w:sz w:val="20"/>
                <w:szCs w:val="20"/>
                <w:color w:val="auto"/>
              </w:rPr>
            </w:pPr>
            <w:r>
              <w:rPr>
                <w:rFonts w:ascii="Arial" w:cs="Arial" w:eastAsia="Arial" w:hAnsi="Arial"/>
                <w:sz w:val="16"/>
                <w:szCs w:val="16"/>
                <w:color w:val="auto"/>
              </w:rPr>
              <w:t>Increase in investments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(4,059)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(6,743)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(3,954)</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280"/>
              <w:spacing w:after="0"/>
              <w:rPr>
                <w:sz w:val="20"/>
                <w:szCs w:val="20"/>
                <w:color w:val="auto"/>
              </w:rPr>
            </w:pPr>
            <w:r>
              <w:rPr>
                <w:rFonts w:ascii="Arial" w:cs="Arial" w:eastAsia="Arial" w:hAnsi="Arial"/>
                <w:sz w:val="16"/>
                <w:szCs w:val="16"/>
                <w:color w:val="auto"/>
              </w:rPr>
              <w:t>Decrease in investments</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6,032</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4,414</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3,681</w:t>
            </w:r>
          </w:p>
        </w:tc>
      </w:tr>
      <w:tr>
        <w:trPr>
          <w:trHeight w:val="243"/>
        </w:trPr>
        <w:tc>
          <w:tcPr>
            <w:tcW w:w="20" w:type="dxa"/>
            <w:vAlign w:val="bottom"/>
          </w:tcPr>
          <w:p>
            <w:pPr>
              <w:spacing w:after="0"/>
              <w:rPr>
                <w:sz w:val="21"/>
                <w:szCs w:val="21"/>
                <w:color w:val="auto"/>
              </w:rPr>
            </w:pPr>
          </w:p>
        </w:tc>
        <w:tc>
          <w:tcPr>
            <w:tcW w:w="8460" w:type="dxa"/>
            <w:vAlign w:val="bottom"/>
          </w:tcPr>
          <w:p>
            <w:pPr>
              <w:ind w:left="280"/>
              <w:spacing w:after="0"/>
              <w:rPr>
                <w:sz w:val="20"/>
                <w:szCs w:val="20"/>
                <w:color w:val="auto"/>
              </w:rPr>
            </w:pPr>
            <w:r>
              <w:rPr>
                <w:rFonts w:ascii="Arial" w:cs="Arial" w:eastAsia="Arial" w:hAnsi="Arial"/>
                <w:sz w:val="16"/>
                <w:szCs w:val="16"/>
                <w:color w:val="auto"/>
              </w:rPr>
              <w:t>Cash paid for acquisitions, net of cash acquired</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(535)</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(2,573)</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280"/>
              <w:spacing w:after="0"/>
              <w:rPr>
                <w:sz w:val="20"/>
                <w:szCs w:val="20"/>
                <w:color w:val="auto"/>
              </w:rPr>
            </w:pPr>
            <w:r>
              <w:rPr>
                <w:rFonts w:ascii="Arial" w:cs="Arial" w:eastAsia="Arial" w:hAnsi="Arial"/>
                <w:sz w:val="16"/>
                <w:szCs w:val="16"/>
                <w:color w:val="auto"/>
              </w:rPr>
              <w:t>Proceeds from sales of businesses, net of fees paid</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296</w:t>
            </w:r>
          </w:p>
        </w:tc>
      </w:tr>
      <w:tr>
        <w:trPr>
          <w:trHeight w:val="250"/>
        </w:trPr>
        <w:tc>
          <w:tcPr>
            <w:tcW w:w="20" w:type="dxa"/>
            <w:vAlign w:val="bottom"/>
          </w:tcPr>
          <w:p>
            <w:pPr>
              <w:spacing w:after="0"/>
              <w:rPr>
                <w:sz w:val="21"/>
                <w:szCs w:val="21"/>
                <w:color w:val="auto"/>
              </w:rPr>
            </w:pPr>
          </w:p>
        </w:tc>
        <w:tc>
          <w:tcPr>
            <w:tcW w:w="8460" w:type="dxa"/>
            <w:vAlign w:val="bottom"/>
          </w:tcPr>
          <w:p>
            <w:pPr>
              <w:ind w:left="2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1000"/>
              <w:spacing w:after="0"/>
              <w:rPr>
                <w:sz w:val="20"/>
                <w:szCs w:val="20"/>
                <w:color w:val="auto"/>
              </w:rPr>
            </w:pPr>
            <w:r>
              <w:rPr>
                <w:rFonts w:ascii="Arial" w:cs="Arial" w:eastAsia="Arial" w:hAnsi="Arial"/>
                <w:sz w:val="16"/>
                <w:szCs w:val="16"/>
                <w:color w:val="auto"/>
              </w:rPr>
              <w:t>Net cash provided by (used for) investing activities</w:t>
            </w:r>
          </w:p>
        </w:tc>
        <w:tc>
          <w:tcPr>
            <w:tcW w:w="16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1,027</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(3,574)</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(3,342)</w:t>
            </w:r>
          </w:p>
        </w:tc>
      </w:tr>
      <w:tr>
        <w:trPr>
          <w:trHeight w:val="183"/>
        </w:trPr>
        <w:tc>
          <w:tcPr>
            <w:tcW w:w="84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280"/>
              <w:spacing w:after="0"/>
              <w:rPr>
                <w:sz w:val="20"/>
                <w:szCs w:val="20"/>
                <w:color w:val="auto"/>
              </w:rPr>
            </w:pPr>
            <w:r>
              <w:rPr>
                <w:rFonts w:ascii="Arial" w:cs="Arial" w:eastAsia="Arial" w:hAnsi="Arial"/>
                <w:sz w:val="16"/>
                <w:szCs w:val="16"/>
                <w:color w:val="auto"/>
              </w:rPr>
              <w:t>Proceeds from issuance of commercial paper and other short-term borrowings</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23,891</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13,701</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18,997</w:t>
            </w:r>
          </w:p>
        </w:tc>
      </w:tr>
      <w:tr>
        <w:trPr>
          <w:trHeight w:val="243"/>
        </w:trPr>
        <w:tc>
          <w:tcPr>
            <w:tcW w:w="20" w:type="dxa"/>
            <w:vAlign w:val="bottom"/>
          </w:tcPr>
          <w:p>
            <w:pPr>
              <w:spacing w:after="0"/>
              <w:rPr>
                <w:sz w:val="21"/>
                <w:szCs w:val="21"/>
                <w:color w:val="auto"/>
              </w:rPr>
            </w:pPr>
          </w:p>
        </w:tc>
        <w:tc>
          <w:tcPr>
            <w:tcW w:w="8460" w:type="dxa"/>
            <w:vAlign w:val="bottom"/>
          </w:tcPr>
          <w:p>
            <w:pPr>
              <w:ind w:left="280"/>
              <w:spacing w:after="0"/>
              <w:rPr>
                <w:sz w:val="20"/>
                <w:szCs w:val="20"/>
                <w:color w:val="auto"/>
              </w:rPr>
            </w:pPr>
            <w:r>
              <w:rPr>
                <w:rFonts w:ascii="Arial" w:cs="Arial" w:eastAsia="Arial" w:hAnsi="Arial"/>
                <w:sz w:val="16"/>
                <w:szCs w:val="16"/>
                <w:color w:val="auto"/>
              </w:rPr>
              <w:t>Payments of commercial paper and other short-term borrowings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(24,095)</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(13,532)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(21,461)</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280"/>
              <w:spacing w:after="0"/>
              <w:rPr>
                <w:sz w:val="20"/>
                <w:szCs w:val="20"/>
                <w:color w:val="auto"/>
              </w:rPr>
            </w:pPr>
            <w:r>
              <w:rPr>
                <w:rFonts w:ascii="Arial" w:cs="Arial" w:eastAsia="Arial" w:hAnsi="Arial"/>
                <w:sz w:val="16"/>
                <w:szCs w:val="16"/>
                <w:color w:val="auto"/>
              </w:rPr>
              <w:t>Proceeds from issuance of common stock</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267</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520</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409</w:t>
            </w:r>
          </w:p>
        </w:tc>
      </w:tr>
      <w:tr>
        <w:trPr>
          <w:trHeight w:val="243"/>
        </w:trPr>
        <w:tc>
          <w:tcPr>
            <w:tcW w:w="20" w:type="dxa"/>
            <w:vAlign w:val="bottom"/>
          </w:tcPr>
          <w:p>
            <w:pPr>
              <w:spacing w:after="0"/>
              <w:rPr>
                <w:sz w:val="21"/>
                <w:szCs w:val="21"/>
                <w:color w:val="auto"/>
              </w:rPr>
            </w:pPr>
          </w:p>
        </w:tc>
        <w:tc>
          <w:tcPr>
            <w:tcW w:w="8460" w:type="dxa"/>
            <w:vAlign w:val="bottom"/>
          </w:tcPr>
          <w:p>
            <w:pPr>
              <w:ind w:left="280"/>
              <w:spacing w:after="0"/>
              <w:rPr>
                <w:sz w:val="20"/>
                <w:szCs w:val="20"/>
                <w:color w:val="auto"/>
              </w:rPr>
            </w:pPr>
            <w:r>
              <w:rPr>
                <w:rFonts w:ascii="Arial" w:cs="Arial" w:eastAsia="Arial" w:hAnsi="Arial"/>
                <w:sz w:val="16"/>
                <w:szCs w:val="16"/>
                <w:color w:val="auto"/>
              </w:rPr>
              <w:t>Proceeds from issuance of long-term debt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1,238</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9,245</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280"/>
              <w:spacing w:after="0"/>
              <w:rPr>
                <w:sz w:val="20"/>
                <w:szCs w:val="20"/>
                <w:color w:val="auto"/>
              </w:rPr>
            </w:pPr>
            <w:r>
              <w:rPr>
                <w:rFonts w:ascii="Arial" w:cs="Arial" w:eastAsia="Arial" w:hAnsi="Arial"/>
                <w:sz w:val="16"/>
                <w:szCs w:val="16"/>
                <w:color w:val="auto"/>
              </w:rPr>
              <w:t>Payments of long-term debt</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(1,330)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(292)</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(2,839)</w:t>
            </w:r>
          </w:p>
        </w:tc>
      </w:tr>
      <w:tr>
        <w:trPr>
          <w:trHeight w:val="243"/>
        </w:trPr>
        <w:tc>
          <w:tcPr>
            <w:tcW w:w="20" w:type="dxa"/>
            <w:vAlign w:val="bottom"/>
          </w:tcPr>
          <w:p>
            <w:pPr>
              <w:spacing w:after="0"/>
              <w:rPr>
                <w:sz w:val="21"/>
                <w:szCs w:val="21"/>
                <w:color w:val="auto"/>
              </w:rPr>
            </w:pPr>
          </w:p>
        </w:tc>
        <w:tc>
          <w:tcPr>
            <w:tcW w:w="846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(4,000)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(2,889)</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(2,079)</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280"/>
              <w:spacing w:after="0"/>
              <w:rPr>
                <w:sz w:val="20"/>
                <w:szCs w:val="20"/>
                <w:color w:val="auto"/>
              </w:rPr>
            </w:pPr>
            <w:r>
              <w:rPr>
                <w:rFonts w:ascii="Arial" w:cs="Arial" w:eastAsia="Arial" w:hAnsi="Arial"/>
                <w:sz w:val="16"/>
                <w:szCs w:val="16"/>
                <w:color w:val="auto"/>
              </w:rPr>
              <w:t>Cash dividends paid</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(2,272)</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(2,119)</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(1,915)</w:t>
            </w:r>
          </w:p>
        </w:tc>
      </w:tr>
      <w:tr>
        <w:trPr>
          <w:trHeight w:val="243"/>
        </w:trPr>
        <w:tc>
          <w:tcPr>
            <w:tcW w:w="20" w:type="dxa"/>
            <w:vAlign w:val="bottom"/>
          </w:tcPr>
          <w:p>
            <w:pPr>
              <w:spacing w:after="0"/>
              <w:rPr>
                <w:sz w:val="21"/>
                <w:szCs w:val="21"/>
                <w:color w:val="auto"/>
              </w:rPr>
            </w:pPr>
          </w:p>
        </w:tc>
        <w:tc>
          <w:tcPr>
            <w:tcW w:w="8460" w:type="dxa"/>
            <w:vAlign w:val="bottom"/>
          </w:tcPr>
          <w:p>
            <w:pPr>
              <w:ind w:left="280"/>
              <w:spacing w:after="0"/>
              <w:rPr>
                <w:sz w:val="20"/>
                <w:szCs w:val="20"/>
                <w:color w:val="auto"/>
              </w:rPr>
            </w:pPr>
            <w:r>
              <w:rPr>
                <w:rFonts w:ascii="Arial" w:cs="Arial" w:eastAsia="Arial" w:hAnsi="Arial"/>
                <w:sz w:val="16"/>
                <w:szCs w:val="16"/>
                <w:color w:val="auto"/>
              </w:rPr>
              <w:t>Payments to purchase the noncontrolling interest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280"/>
              <w:spacing w:after="0"/>
              <w:rPr>
                <w:sz w:val="20"/>
                <w:szCs w:val="20"/>
                <w:color w:val="auto"/>
              </w:rPr>
            </w:pPr>
            <w:r>
              <w:rPr>
                <w:rFonts w:ascii="Arial" w:cs="Arial" w:eastAsia="Arial" w:hAnsi="Arial"/>
                <w:sz w:val="16"/>
                <w:szCs w:val="16"/>
                <w:color w:val="auto"/>
              </w:rPr>
              <w:t>Pre-separation funding</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2,801</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269</w:t>
            </w:r>
          </w:p>
        </w:tc>
      </w:tr>
      <w:tr>
        <w:trPr>
          <w:trHeight w:val="243"/>
        </w:trPr>
        <w:tc>
          <w:tcPr>
            <w:tcW w:w="20" w:type="dxa"/>
            <w:vAlign w:val="bottom"/>
          </w:tcPr>
          <w:p>
            <w:pPr>
              <w:spacing w:after="0"/>
              <w:rPr>
                <w:sz w:val="21"/>
                <w:szCs w:val="21"/>
                <w:color w:val="auto"/>
              </w:rPr>
            </w:pPr>
          </w:p>
        </w:tc>
        <w:tc>
          <w:tcPr>
            <w:tcW w:w="8460" w:type="dxa"/>
            <w:vAlign w:val="bottom"/>
          </w:tcPr>
          <w:p>
            <w:pPr>
              <w:ind w:left="280"/>
              <w:spacing w:after="0"/>
              <w:rPr>
                <w:sz w:val="20"/>
                <w:szCs w:val="20"/>
                <w:color w:val="auto"/>
              </w:rPr>
            </w:pPr>
            <w:r>
              <w:rPr>
                <w:rFonts w:ascii="Arial" w:cs="Arial" w:eastAsia="Arial" w:hAnsi="Arial"/>
                <w:sz w:val="16"/>
                <w:szCs w:val="16"/>
                <w:color w:val="auto"/>
              </w:rPr>
              <w:t>Pre-spin borrowing</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280"/>
              <w:spacing w:after="0"/>
              <w:rPr>
                <w:sz w:val="20"/>
                <w:szCs w:val="20"/>
                <w:color w:val="auto"/>
              </w:rPr>
            </w:pPr>
            <w:r>
              <w:rPr>
                <w:rFonts w:ascii="Arial" w:cs="Arial" w:eastAsia="Arial" w:hAnsi="Arial"/>
                <w:sz w:val="16"/>
                <w:szCs w:val="16"/>
                <w:color w:val="auto"/>
              </w:rPr>
              <w:t>Spin-off cash</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(179)</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w:t>
            </w:r>
          </w:p>
        </w:tc>
      </w:tr>
      <w:tr>
        <w:trPr>
          <w:trHeight w:val="250"/>
        </w:trPr>
        <w:tc>
          <w:tcPr>
            <w:tcW w:w="20" w:type="dxa"/>
            <w:vAlign w:val="bottom"/>
          </w:tcPr>
          <w:p>
            <w:pPr>
              <w:spacing w:after="0"/>
              <w:rPr>
                <w:sz w:val="21"/>
                <w:szCs w:val="21"/>
                <w:color w:val="auto"/>
              </w:rPr>
            </w:pPr>
          </w:p>
        </w:tc>
        <w:tc>
          <w:tcPr>
            <w:tcW w:w="8460" w:type="dxa"/>
            <w:vAlign w:val="bottom"/>
          </w:tcPr>
          <w:p>
            <w:pPr>
              <w:ind w:left="2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ind w:left="1000"/>
              <w:spacing w:after="0"/>
              <w:rPr>
                <w:sz w:val="20"/>
                <w:szCs w:val="20"/>
                <w:color w:val="auto"/>
              </w:rPr>
            </w:pPr>
            <w:r>
              <w:rPr>
                <w:rFonts w:ascii="Arial" w:cs="Arial" w:eastAsia="Arial" w:hAnsi="Arial"/>
                <w:sz w:val="16"/>
                <w:szCs w:val="16"/>
                <w:color w:val="auto"/>
              </w:rPr>
              <w:t>Net cash (used for) provided by financing activities</w:t>
            </w:r>
          </w:p>
        </w:tc>
        <w:tc>
          <w:tcPr>
            <w:tcW w:w="16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(5,032)</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(3,516)</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346</w:t>
            </w:r>
          </w:p>
        </w:tc>
      </w:tr>
      <w:tr>
        <w:trPr>
          <w:trHeight w:val="257"/>
        </w:trPr>
        <w:tc>
          <w:tcPr>
            <w:tcW w:w="8480" w:type="dxa"/>
            <w:vAlign w:val="bottom"/>
            <w:gridSpan w:val="2"/>
          </w:tcPr>
          <w:p>
            <w:pPr>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340</w:t>
            </w:r>
          </w:p>
        </w:tc>
        <w:tc>
          <w:tcPr>
            <w:tcW w:w="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2,228</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(784)</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2,388</w:t>
            </w:r>
          </w:p>
        </w:tc>
      </w:tr>
      <w:tr>
        <w:trPr>
          <w:trHeight w:val="250"/>
        </w:trPr>
        <w:tc>
          <w:tcPr>
            <w:tcW w:w="848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7,059</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7,843</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5,455</w:t>
            </w:r>
          </w:p>
        </w:tc>
      </w:tr>
      <w:tr>
        <w:trPr>
          <w:trHeight w:val="243"/>
        </w:trPr>
        <w:tc>
          <w:tcPr>
            <w:tcW w:w="20" w:type="dxa"/>
            <w:vAlign w:val="bottom"/>
          </w:tcPr>
          <w:p>
            <w:pPr>
              <w:spacing w:after="0"/>
              <w:rPr>
                <w:sz w:val="21"/>
                <w:szCs w:val="21"/>
                <w:color w:val="auto"/>
              </w:rPr>
            </w:pPr>
          </w:p>
        </w:tc>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9,287</w:t>
            </w:r>
          </w:p>
        </w:tc>
        <w:tc>
          <w:tcPr>
            <w:tcW w:w="4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7,059</w:t>
            </w:r>
          </w:p>
        </w:tc>
        <w:tc>
          <w:tcPr>
            <w:tcW w:w="4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7,843</w:t>
            </w: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Consolidated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SHAREOWNERS’ EQUITY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8"/>
              </w:rPr>
              <w:t>Years Ended December 31,</w:t>
            </w:r>
          </w:p>
        </w:tc>
        <w:tc>
          <w:tcPr>
            <w:tcW w:w="6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592"/>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572"/>
              <w:spacing w:after="0" w:line="169" w:lineRule="exact"/>
              <w:rPr>
                <w:sz w:val="20"/>
                <w:szCs w:val="20"/>
                <w:color w:val="auto"/>
              </w:rPr>
            </w:pPr>
            <w:r>
              <w:rPr>
                <w:rFonts w:ascii="Arial" w:cs="Arial" w:eastAsia="Arial" w:hAnsi="Arial"/>
                <w:sz w:val="16"/>
                <w:szCs w:val="16"/>
                <w:b w:val="1"/>
                <w:bCs w:val="1"/>
                <w:color w:val="auto"/>
                <w:w w:val="95"/>
              </w:rPr>
              <w:t>2017</w:t>
            </w: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612"/>
              <w:spacing w:after="0" w:line="169" w:lineRule="exact"/>
              <w:rPr>
                <w:sz w:val="20"/>
                <w:szCs w:val="20"/>
                <w:color w:val="auto"/>
              </w:rPr>
            </w:pPr>
            <w:r>
              <w:rPr>
                <w:rFonts w:ascii="Arial" w:cs="Arial" w:eastAsia="Arial" w:hAnsi="Arial"/>
                <w:sz w:val="16"/>
                <w:szCs w:val="16"/>
                <w:b w:val="1"/>
                <w:bCs w:val="1"/>
                <w:color w:val="auto"/>
              </w:rPr>
              <w:t>2016</w:t>
            </w:r>
          </w:p>
        </w:tc>
      </w:tr>
      <w:tr>
        <w:trPr>
          <w:trHeight w:val="169"/>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ind w:right="252"/>
              <w:spacing w:after="0" w:line="169" w:lineRule="exact"/>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232"/>
              <w:spacing w:after="0" w:line="169" w:lineRule="exact"/>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right"/>
              <w:ind w:right="272"/>
              <w:spacing w:after="0" w:line="169" w:lineRule="exact"/>
              <w:rPr>
                <w:sz w:val="20"/>
                <w:szCs w:val="20"/>
                <w:color w:val="auto"/>
              </w:rPr>
            </w:pPr>
            <w:r>
              <w:rPr>
                <w:rFonts w:ascii="Arial" w:cs="Arial" w:eastAsia="Arial" w:hAnsi="Arial"/>
                <w:sz w:val="16"/>
                <w:szCs w:val="16"/>
                <w:b w:val="1"/>
                <w:bCs w:val="1"/>
                <w:color w:val="auto"/>
              </w:rPr>
              <w:t>$</w:t>
            </w:r>
          </w:p>
        </w:tc>
      </w:tr>
      <w:tr>
        <w:trPr>
          <w:trHeight w:val="237"/>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Common stock, par value</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957.6</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958</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957.6</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958</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957.6</w:t>
            </w:r>
          </w:p>
        </w:tc>
        <w:tc>
          <w:tcPr>
            <w:tcW w:w="110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958</w:t>
            </w: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Additional paid-in capital</w:t>
            </w: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6,212</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5,781</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5,377</w:t>
            </w:r>
          </w:p>
        </w:tc>
      </w:tr>
      <w:tr>
        <w:trPr>
          <w:trHeight w:val="243"/>
        </w:trPr>
        <w:tc>
          <w:tcPr>
            <w:tcW w:w="20" w:type="dxa"/>
            <w:vAlign w:val="bottom"/>
          </w:tcPr>
          <w:p>
            <w:pPr>
              <w:spacing w:after="0"/>
              <w:rPr>
                <w:sz w:val="21"/>
                <w:szCs w:val="21"/>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Issued for employee savings and option plans</w:t>
            </w:r>
          </w:p>
        </w:tc>
        <w:tc>
          <w:tcPr>
            <w:tcW w:w="6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183</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Stock-based compensation expense</w:t>
            </w:r>
          </w:p>
        </w:tc>
        <w:tc>
          <w:tcPr>
            <w:tcW w:w="66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171</w:t>
            </w:r>
          </w:p>
        </w:tc>
      </w:tr>
      <w:tr>
        <w:trPr>
          <w:trHeight w:val="250"/>
        </w:trPr>
        <w:tc>
          <w:tcPr>
            <w:tcW w:w="20" w:type="dxa"/>
            <w:vAlign w:val="bottom"/>
          </w:tcPr>
          <w:p>
            <w:pPr>
              <w:spacing w:after="0"/>
              <w:rPr>
                <w:sz w:val="21"/>
                <w:szCs w:val="21"/>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Other owner changes</w:t>
            </w: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spacing w:after="0"/>
              <w:rPr>
                <w:sz w:val="20"/>
                <w:szCs w:val="20"/>
                <w:color w:val="auto"/>
              </w:rPr>
            </w:pPr>
            <w:r>
              <w:rPr>
                <w:rFonts w:ascii="Arial" w:cs="Arial" w:eastAsia="Arial" w:hAnsi="Arial"/>
                <w:sz w:val="18"/>
                <w:szCs w:val="18"/>
                <w:color w:val="auto"/>
              </w:rPr>
              <w:t>Ending balance</w:t>
            </w:r>
          </w:p>
        </w:tc>
        <w:tc>
          <w:tcPr>
            <w:tcW w:w="66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6,452</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6,212</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5,781</w:t>
            </w: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Treasury stock</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(206.7)</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(15,914)</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(196.8)</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(13,366)</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(187.2)</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(11,664)</w:t>
            </w:r>
          </w:p>
        </w:tc>
      </w:tr>
      <w:tr>
        <w:trPr>
          <w:trHeight w:val="243"/>
        </w:trPr>
        <w:tc>
          <w:tcPr>
            <w:tcW w:w="20" w:type="dxa"/>
            <w:vAlign w:val="bottom"/>
          </w:tcPr>
          <w:p>
            <w:pPr>
              <w:spacing w:after="0"/>
              <w:rPr>
                <w:sz w:val="21"/>
                <w:szCs w:val="21"/>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Reacquired stock or repurchases of common stock</w:t>
            </w:r>
          </w:p>
        </w:tc>
        <w:tc>
          <w:tcPr>
            <w:tcW w:w="660" w:type="dxa"/>
            <w:vAlign w:val="bottom"/>
          </w:tcPr>
          <w:p>
            <w:pPr>
              <w:jc w:val="right"/>
              <w:spacing w:after="0"/>
              <w:rPr>
                <w:sz w:val="20"/>
                <w:szCs w:val="20"/>
                <w:color w:val="auto"/>
              </w:rPr>
            </w:pPr>
            <w:r>
              <w:rPr>
                <w:rFonts w:ascii="Arial" w:cs="Arial" w:eastAsia="Arial" w:hAnsi="Arial"/>
                <w:sz w:val="18"/>
                <w:szCs w:val="18"/>
                <w:color w:val="auto"/>
              </w:rPr>
              <w:t>(26.5)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(2,889)</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(2,079)</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Issued for employee savings and option plans</w:t>
            </w: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341</w:t>
            </w:r>
          </w:p>
        </w:tc>
        <w:tc>
          <w:tcPr>
            <w:tcW w:w="300" w:type="dxa"/>
            <w:vAlign w:val="bottom"/>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377</w:t>
            </w:r>
          </w:p>
        </w:tc>
      </w:tr>
      <w:tr>
        <w:trPr>
          <w:trHeight w:val="257"/>
        </w:trPr>
        <w:tc>
          <w:tcPr>
            <w:tcW w:w="564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660" w:type="dxa"/>
            <w:vAlign w:val="bottom"/>
          </w:tcPr>
          <w:p>
            <w:pPr>
              <w:jc w:val="right"/>
              <w:spacing w:after="0"/>
              <w:rPr>
                <w:sz w:val="20"/>
                <w:szCs w:val="20"/>
                <w:color w:val="auto"/>
              </w:rPr>
            </w:pPr>
            <w:r>
              <w:rPr>
                <w:rFonts w:ascii="Arial" w:cs="Arial" w:eastAsia="Arial" w:hAnsi="Arial"/>
                <w:sz w:val="18"/>
                <w:szCs w:val="18"/>
                <w:color w:val="auto"/>
              </w:rPr>
              <w:t>(228.0)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(19,771)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(206.7)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(15,914)</w:t>
            </w:r>
          </w:p>
        </w:tc>
        <w:tc>
          <w:tcPr>
            <w:tcW w:w="3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(13,366)</w:t>
            </w:r>
          </w:p>
        </w:tc>
      </w:tr>
      <w:tr>
        <w:trPr>
          <w:trHeight w:val="203"/>
        </w:trPr>
        <w:tc>
          <w:tcPr>
            <w:tcW w:w="20" w:type="dxa"/>
            <w:vAlign w:val="bottom"/>
          </w:tcPr>
          <w:p>
            <w:pPr>
              <w:spacing w:after="0"/>
              <w:rPr>
                <w:sz w:val="17"/>
                <w:szCs w:val="17"/>
                <w:color w:val="auto"/>
              </w:rPr>
            </w:pPr>
          </w:p>
        </w:tc>
        <w:tc>
          <w:tcPr>
            <w:tcW w:w="56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Retained earnings</w:t>
            </w:r>
          </w:p>
        </w:tc>
        <w:tc>
          <w:tcPr>
            <w:tcW w:w="660" w:type="dxa"/>
            <w:vAlign w:val="bottom"/>
            <w:tcBorders>
              <w:top w:val="single" w:sz="8" w:color="auto"/>
            </w:tcBorders>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60" w:type="dxa"/>
            <w:vAlign w:val="bottom"/>
            <w:tcBorders>
              <w:top w:val="single" w:sz="8" w:color="auto"/>
            </w:tcBorders>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60" w:type="dxa"/>
            <w:vAlign w:val="bottom"/>
            <w:tcBorders>
              <w:top w:val="single" w:sz="8" w:color="auto"/>
            </w:tcBorders>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60" w:type="dxa"/>
            <w:vAlign w:val="bottom"/>
            <w:tcBorders>
              <w:top w:val="single" w:sz="8" w:color="auto"/>
            </w:tcBorders>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spacing w:after="0"/>
              <w:rPr>
                <w:sz w:val="17"/>
                <w:szCs w:val="17"/>
                <w:color w:val="auto"/>
              </w:rPr>
            </w:pPr>
          </w:p>
        </w:tc>
      </w:tr>
      <w:tr>
        <w:trPr>
          <w:trHeight w:val="243"/>
        </w:trPr>
        <w:tc>
          <w:tcPr>
            <w:tcW w:w="564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6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27,481</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28,046</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25,480</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Adoption of new accounting standards</w:t>
            </w:r>
          </w:p>
        </w:tc>
        <w:tc>
          <w:tcPr>
            <w:tcW w:w="66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264</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Net income attributable to Honeywell</w:t>
            </w:r>
          </w:p>
        </w:tc>
        <w:tc>
          <w:tcPr>
            <w:tcW w:w="6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6,765</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1,545</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4,812</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Dividends on common stock</w:t>
            </w:r>
          </w:p>
        </w:tc>
        <w:tc>
          <w:tcPr>
            <w:tcW w:w="66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(2,279)</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(2,101)</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(1,883)</w:t>
            </w:r>
          </w:p>
        </w:tc>
      </w:tr>
      <w:tr>
        <w:trPr>
          <w:trHeight w:val="243"/>
        </w:trPr>
        <w:tc>
          <w:tcPr>
            <w:tcW w:w="20" w:type="dxa"/>
            <w:vAlign w:val="bottom"/>
          </w:tcPr>
          <w:p>
            <w:pPr>
              <w:spacing w:after="0"/>
              <w:rPr>
                <w:sz w:val="21"/>
                <w:szCs w:val="21"/>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Spin-offs</w:t>
            </w:r>
          </w:p>
        </w:tc>
        <w:tc>
          <w:tcPr>
            <w:tcW w:w="6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1,749</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(362)</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Redemption value adjustment</w:t>
            </w: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564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66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33,978</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27,481</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28,046</w:t>
            </w:r>
          </w:p>
        </w:tc>
      </w:tr>
      <w:tr>
        <w:trPr>
          <w:trHeight w:val="203"/>
        </w:trPr>
        <w:tc>
          <w:tcPr>
            <w:tcW w:w="20" w:type="dxa"/>
            <w:vAlign w:val="bottom"/>
          </w:tcPr>
          <w:p>
            <w:pPr>
              <w:spacing w:after="0"/>
              <w:rPr>
                <w:sz w:val="17"/>
                <w:szCs w:val="17"/>
                <w:color w:val="auto"/>
              </w:rPr>
            </w:pPr>
          </w:p>
        </w:tc>
        <w:tc>
          <w:tcPr>
            <w:tcW w:w="56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Accumulated other comprehensive income (loss)</w:t>
            </w:r>
          </w:p>
        </w:tc>
        <w:tc>
          <w:tcPr>
            <w:tcW w:w="6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60" w:type="dxa"/>
            <w:vAlign w:val="bottom"/>
            <w:tcBorders>
              <w:top w:val="single" w:sz="8" w:color="auto"/>
            </w:tcBorders>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spacing w:after="0"/>
              <w:rPr>
                <w:sz w:val="17"/>
                <w:szCs w:val="17"/>
                <w:color w:val="auto"/>
              </w:rPr>
            </w:pPr>
          </w:p>
        </w:tc>
      </w:tr>
      <w:tr>
        <w:trPr>
          <w:trHeight w:val="243"/>
        </w:trPr>
        <w:tc>
          <w:tcPr>
            <w:tcW w:w="564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6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(2,235)</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(2,714)</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(2,535)</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Foreign exchange translation adjustment</w:t>
            </w:r>
          </w:p>
        </w:tc>
        <w:tc>
          <w:tcPr>
            <w:tcW w:w="66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(728)</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20" w:type="dxa"/>
            <w:vAlign w:val="bottom"/>
          </w:tcPr>
          <w:p>
            <w:pPr>
              <w:spacing w:after="0"/>
              <w:rPr>
                <w:sz w:val="21"/>
                <w:szCs w:val="21"/>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Pensions and other postretirement benefit adjustments</w:t>
            </w:r>
          </w:p>
        </w:tc>
        <w:tc>
          <w:tcPr>
            <w:tcW w:w="6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(559)</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(235)</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Changes in fair value of effective cash flow hedges</w:t>
            </w: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85</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(161)</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108</w:t>
            </w:r>
          </w:p>
        </w:tc>
      </w:tr>
      <w:tr>
        <w:trPr>
          <w:trHeight w:val="257"/>
        </w:trPr>
        <w:tc>
          <w:tcPr>
            <w:tcW w:w="564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66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(3,437)</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(2,235)</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(2,714)</w:t>
            </w:r>
          </w:p>
        </w:tc>
      </w:tr>
      <w:tr>
        <w:trPr>
          <w:trHeight w:val="203"/>
        </w:trPr>
        <w:tc>
          <w:tcPr>
            <w:tcW w:w="20" w:type="dxa"/>
            <w:vAlign w:val="bottom"/>
          </w:tcPr>
          <w:p>
            <w:pPr>
              <w:spacing w:after="0"/>
              <w:rPr>
                <w:sz w:val="17"/>
                <w:szCs w:val="17"/>
                <w:color w:val="auto"/>
              </w:rPr>
            </w:pPr>
          </w:p>
        </w:tc>
        <w:tc>
          <w:tcPr>
            <w:tcW w:w="56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Noncontrolling interest</w:t>
            </w:r>
          </w:p>
        </w:tc>
        <w:tc>
          <w:tcPr>
            <w:tcW w:w="6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60" w:type="dxa"/>
            <w:vAlign w:val="bottom"/>
            <w:tcBorders>
              <w:top w:val="single" w:sz="8" w:color="auto"/>
            </w:tcBorders>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spacing w:after="0"/>
              <w:rPr>
                <w:sz w:val="17"/>
                <w:szCs w:val="17"/>
                <w:color w:val="auto"/>
              </w:rPr>
            </w:pPr>
          </w:p>
        </w:tc>
      </w:tr>
      <w:tr>
        <w:trPr>
          <w:trHeight w:val="243"/>
        </w:trPr>
        <w:tc>
          <w:tcPr>
            <w:tcW w:w="564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6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135</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Acquisitions, divestitures, and other</w:t>
            </w:r>
          </w:p>
        </w:tc>
        <w:tc>
          <w:tcPr>
            <w:tcW w:w="66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31</w:t>
            </w:r>
          </w:p>
        </w:tc>
      </w:tr>
      <w:tr>
        <w:trPr>
          <w:trHeight w:val="243"/>
        </w:trPr>
        <w:tc>
          <w:tcPr>
            <w:tcW w:w="20" w:type="dxa"/>
            <w:vAlign w:val="bottom"/>
          </w:tcPr>
          <w:p>
            <w:pPr>
              <w:spacing w:after="0"/>
              <w:rPr>
                <w:sz w:val="21"/>
                <w:szCs w:val="21"/>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w:t>
            </w:r>
          </w:p>
        </w:tc>
        <w:tc>
          <w:tcPr>
            <w:tcW w:w="6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37</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Foreign exchange translation adjustment</w:t>
            </w:r>
          </w:p>
        </w:tc>
        <w:tc>
          <w:tcPr>
            <w:tcW w:w="66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20" w:type="dxa"/>
            <w:vAlign w:val="bottom"/>
          </w:tcPr>
          <w:p>
            <w:pPr>
              <w:spacing w:after="0"/>
              <w:rPr>
                <w:sz w:val="21"/>
                <w:szCs w:val="21"/>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Dividends paid</w:t>
            </w: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spacing w:after="0"/>
              <w:rPr>
                <w:sz w:val="20"/>
                <w:szCs w:val="20"/>
                <w:color w:val="auto"/>
              </w:rPr>
            </w:pPr>
            <w:r>
              <w:rPr>
                <w:rFonts w:ascii="Arial" w:cs="Arial" w:eastAsia="Arial" w:hAnsi="Arial"/>
                <w:sz w:val="18"/>
                <w:szCs w:val="18"/>
                <w:color w:val="auto"/>
              </w:rPr>
              <w:t>Ending balance</w:t>
            </w:r>
          </w:p>
        </w:tc>
        <w:tc>
          <w:tcPr>
            <w:tcW w:w="66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163</w:t>
            </w:r>
          </w:p>
        </w:tc>
        <w:tc>
          <w:tcPr>
            <w:tcW w:w="300" w:type="dxa"/>
            <w:vAlign w:val="bottom"/>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178</w:t>
            </w:r>
          </w:p>
        </w:tc>
      </w:tr>
      <w:tr>
        <w:trPr>
          <w:trHeight w:val="250"/>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Total shareowners’ equity</w:t>
            </w:r>
          </w:p>
        </w:tc>
        <w:tc>
          <w:tcPr>
            <w:tcW w:w="660" w:type="dxa"/>
            <w:vAlign w:val="bottom"/>
          </w:tcPr>
          <w:p>
            <w:pPr>
              <w:jc w:val="right"/>
              <w:spacing w:after="0"/>
              <w:rPr>
                <w:sz w:val="20"/>
                <w:szCs w:val="20"/>
                <w:color w:val="auto"/>
              </w:rPr>
            </w:pPr>
            <w:r>
              <w:rPr>
                <w:rFonts w:ascii="Arial" w:cs="Arial" w:eastAsia="Arial" w:hAnsi="Arial"/>
                <w:sz w:val="18"/>
                <w:szCs w:val="18"/>
                <w:color w:val="auto"/>
              </w:rPr>
              <w:t>729.6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18,358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750.9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16,665</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760.8</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18,883</w:t>
            </w: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Consolidated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 Summary of Significant Accounting Policies</w:t>
      </w:r>
    </w:p>
    <w:p>
      <w:pPr>
        <w:spacing w:after="0" w:line="106" w:lineRule="exact"/>
        <w:rPr>
          <w:sz w:val="20"/>
          <w:szCs w:val="20"/>
          <w:color w:val="auto"/>
        </w:rPr>
      </w:pPr>
    </w:p>
    <w:p>
      <w:pPr>
        <w:ind w:right="380" w:firstLine="357"/>
        <w:spacing w:after="0" w:line="258" w:lineRule="auto"/>
        <w:rPr>
          <w:sz w:val="20"/>
          <w:szCs w:val="20"/>
          <w:color w:val="auto"/>
        </w:rPr>
      </w:pPr>
      <w:r>
        <w:rPr>
          <w:rFonts w:ascii="Arial" w:cs="Arial" w:eastAsia="Arial" w:hAnsi="Arial"/>
          <w:sz w:val="19"/>
          <w:szCs w:val="19"/>
          <w:b w:val="1"/>
          <w:bCs w:val="1"/>
          <w:i w:val="1"/>
          <w:iCs w:val="1"/>
          <w:color w:val="auto"/>
        </w:rPr>
        <w:t>Accounting Principles</w:t>
      </w:r>
      <w:r>
        <w:rPr>
          <w:rFonts w:ascii="Arial" w:cs="Arial" w:eastAsia="Arial" w:hAnsi="Arial"/>
          <w:sz w:val="19"/>
          <w:szCs w:val="19"/>
          <w:color w:val="auto"/>
        </w:rPr>
        <w:t>—The financial statements and accompanying notes are prepared in accordance with accounting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principles generally accepted in the United States of America. The following is a description of Honeywell’s significant accounting policies.</w:t>
      </w:r>
    </w:p>
    <w:p>
      <w:pPr>
        <w:spacing w:after="0" w:line="52"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b w:val="1"/>
          <w:bCs w:val="1"/>
          <w:i w:val="1"/>
          <w:iCs w:val="1"/>
          <w:color w:val="auto"/>
        </w:rPr>
        <w:t>Principles of Consolidation</w:t>
      </w:r>
      <w:r>
        <w:rPr>
          <w:rFonts w:ascii="Arial" w:cs="Arial" w:eastAsia="Arial" w:hAnsi="Arial"/>
          <w:sz w:val="19"/>
          <w:szCs w:val="19"/>
          <w:color w:val="auto"/>
        </w:rPr>
        <w:t>—The consolidated financial statements include the accounts of Honeywell International Inc. and 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its subsidiaries and entities in which a controlling interest is maintained. Our consolidation policy requires equity investments that we exercise significant influence over but do not control the investee and are not the primary beneficiary of the investee’s activities to be accounted for using the equity method. Investments through which we are not able to exercise significant influence over the investee and which we do not have readily determinable fair values are accounted for under the cost method. All intercompany transactions and balances are eliminated in consolidation.</w:t>
      </w:r>
    </w:p>
    <w:p>
      <w:pPr>
        <w:spacing w:after="0" w:line="66"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b w:val="1"/>
          <w:bCs w:val="1"/>
          <w:i w:val="1"/>
          <w:iCs w:val="1"/>
          <w:color w:val="auto"/>
        </w:rPr>
        <w:t>Property, Plant and Equipment</w:t>
      </w:r>
      <w:r>
        <w:rPr>
          <w:rFonts w:ascii="Arial" w:cs="Arial" w:eastAsia="Arial" w:hAnsi="Arial"/>
          <w:sz w:val="19"/>
          <w:szCs w:val="19"/>
          <w:color w:val="auto"/>
        </w:rPr>
        <w:t>—Property, plant and equipment are recorded at cost, including any asset retirement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obligations, less accumulated depreciation. For financial reporting, the straight-line method of depreciation is used over the estimated useful lives of 10 to 50 years for buildings and improvements and 2 to 16 years for machinery and equipment. Recognition of the fair value of obligations associated with the retirement of tangible long-lived assets is required when there is a legal obligation to incur such costs. Upon initial recognition of a liability, the cost is capitalized as part of the related long-lived asset and depreciated over the corresponding asset’s useful life.</w:t>
      </w:r>
    </w:p>
    <w:p>
      <w:pPr>
        <w:spacing w:after="0" w:line="53" w:lineRule="exact"/>
        <w:rPr>
          <w:sz w:val="20"/>
          <w:szCs w:val="20"/>
          <w:color w:val="auto"/>
        </w:rPr>
      </w:pPr>
    </w:p>
    <w:p>
      <w:pPr>
        <w:jc w:val="both"/>
        <w:ind w:right="300" w:firstLine="357"/>
        <w:spacing w:after="0" w:line="248" w:lineRule="auto"/>
        <w:rPr>
          <w:sz w:val="20"/>
          <w:szCs w:val="20"/>
          <w:color w:val="auto"/>
        </w:rPr>
      </w:pPr>
      <w:r>
        <w:rPr>
          <w:rFonts w:ascii="Arial" w:cs="Arial" w:eastAsia="Arial" w:hAnsi="Arial"/>
          <w:sz w:val="19"/>
          <w:szCs w:val="19"/>
          <w:b w:val="1"/>
          <w:bCs w:val="1"/>
          <w:i w:val="1"/>
          <w:iCs w:val="1"/>
          <w:color w:val="auto"/>
        </w:rPr>
        <w:t>Goodwill and Indefinite-Lived Intangible Assets</w:t>
      </w:r>
      <w:r>
        <w:rPr>
          <w:rFonts w:ascii="Arial" w:cs="Arial" w:eastAsia="Arial" w:hAnsi="Arial"/>
          <w:sz w:val="19"/>
          <w:szCs w:val="19"/>
          <w:color w:val="auto"/>
        </w:rPr>
        <w:t>—Goodwill and indefinite-lived intangible assets are subject to impairment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testing annually as of March 31, and whenever events or changes in circumstances indicate that the carrying amount may not be fully recoverable. This testing compares carrying values to fair values and, when appropriate, the carrying value of these assets is reduced to fair value. We completed our annual goodwill impairment test as of March 31, 2018 and determined that there was no impairment as of that date.</w:t>
      </w:r>
    </w:p>
    <w:p>
      <w:pPr>
        <w:spacing w:after="0" w:line="60" w:lineRule="exact"/>
        <w:rPr>
          <w:sz w:val="20"/>
          <w:szCs w:val="20"/>
          <w:color w:val="auto"/>
        </w:rPr>
      </w:pPr>
    </w:p>
    <w:p>
      <w:pPr>
        <w:jc w:val="both"/>
        <w:ind w:right="240" w:firstLine="357"/>
        <w:spacing w:after="0" w:line="258" w:lineRule="auto"/>
        <w:rPr>
          <w:sz w:val="20"/>
          <w:szCs w:val="20"/>
          <w:color w:val="auto"/>
        </w:rPr>
      </w:pPr>
      <w:r>
        <w:rPr>
          <w:rFonts w:ascii="Arial" w:cs="Arial" w:eastAsia="Arial" w:hAnsi="Arial"/>
          <w:sz w:val="19"/>
          <w:szCs w:val="19"/>
          <w:b w:val="1"/>
          <w:bCs w:val="1"/>
          <w:i w:val="1"/>
          <w:iCs w:val="1"/>
          <w:color w:val="auto"/>
        </w:rPr>
        <w:t>Other Intangible Assets with Determinable Lives</w:t>
      </w:r>
      <w:r>
        <w:rPr>
          <w:rFonts w:ascii="Arial" w:cs="Arial" w:eastAsia="Arial" w:hAnsi="Arial"/>
          <w:sz w:val="19"/>
          <w:szCs w:val="19"/>
          <w:color w:val="auto"/>
        </w:rPr>
        <w:t>—Other intangible assets with determinable lives consist of customer lists,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technology, patents and trademarks and other intangibles and are amortized over their estimated useful lives, ranging from 2 to 24 years.</w:t>
      </w:r>
    </w:p>
    <w:p>
      <w:pPr>
        <w:spacing w:after="0" w:line="52" w:lineRule="exact"/>
        <w:rPr>
          <w:sz w:val="20"/>
          <w:szCs w:val="20"/>
          <w:color w:val="auto"/>
        </w:rPr>
      </w:pPr>
    </w:p>
    <w:p>
      <w:pPr>
        <w:ind w:firstLine="357"/>
        <w:spacing w:after="0"/>
        <w:rPr>
          <w:sz w:val="20"/>
          <w:szCs w:val="20"/>
          <w:color w:val="auto"/>
        </w:rPr>
      </w:pPr>
      <w:r>
        <w:rPr>
          <w:rFonts w:ascii="Arial" w:cs="Arial" w:eastAsia="Arial" w:hAnsi="Arial"/>
          <w:sz w:val="19"/>
          <w:szCs w:val="19"/>
          <w:b w:val="1"/>
          <w:bCs w:val="1"/>
          <w:i w:val="1"/>
          <w:iCs w:val="1"/>
          <w:color w:val="auto"/>
        </w:rPr>
        <w:t>Sales Recognition</w:t>
      </w:r>
      <w:r>
        <w:rPr>
          <w:rFonts w:ascii="Arial" w:cs="Arial" w:eastAsia="Arial" w:hAnsi="Arial"/>
          <w:sz w:val="19"/>
          <w:szCs w:val="19"/>
          <w:color w:val="auto"/>
        </w:rPr>
        <w:t>—Product and service sales are recognized when or as we transfer control of the promised products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services to our customer. Revenue is measured as the amount of consideration we expect to receive in exchange for transferring goods or providing services. Service sales, principally representing repair, maintenance and engineering activities are recognized over the contractual period or as services are rendered. Sales under long-term contracts with performance obligations satisfied over time are recognized using either an input or output method. We recognize revenue over time as we perform on these contracts because of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method, the extent of progress towards completion is measured based on the proportion of costs incurred to date to the total estimated costs at completion of the performance obligation. We review our cost estimates on significant contracts on a periodic basis, or when circumstances change and warrant a modification to a previous estimate.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Provisions for anticipated losses on long-term contracts are recorded in full when such losses become evident, to the extent required.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The customer funding for costs incurred for nonrecurring engineering and development activities of our products under agreements with commercial customers is deferred and subsequently recognized as revenue as products are delivered to the customers. Additionally, expenses incurred, up to the customer agreed funded amount, are deferred as an asset and recognized as cost of sales when products are delivered to the customer. The deferred customer funding and costs result in recognition of deferred costs (asset) and deferred revenue (liability) on our Consolidated Balance Sheet.</w:t>
      </w:r>
    </w:p>
    <w:p>
      <w:pPr>
        <w:spacing w:after="0" w:line="91" w:lineRule="exact"/>
        <w:rPr>
          <w:sz w:val="20"/>
          <w:szCs w:val="20"/>
          <w:color w:val="auto"/>
        </w:rPr>
      </w:pPr>
    </w:p>
    <w:p>
      <w:pPr>
        <w:ind w:right="840" w:firstLine="357"/>
        <w:spacing w:after="0" w:line="253" w:lineRule="auto"/>
        <w:rPr>
          <w:sz w:val="20"/>
          <w:szCs w:val="20"/>
          <w:color w:val="auto"/>
        </w:rPr>
      </w:pPr>
      <w:r>
        <w:rPr>
          <w:rFonts w:ascii="Arial" w:cs="Arial" w:eastAsia="Arial" w:hAnsi="Arial"/>
          <w:sz w:val="19"/>
          <w:szCs w:val="19"/>
          <w:color w:val="auto"/>
        </w:rPr>
        <w:t>Revenues for our mechanical service programs are recognized as performance obligations are satisfied over time, with recognition reflecting a series of distinct services using the output method.</w:t>
      </w:r>
    </w:p>
    <w:p>
      <w:pPr>
        <w:spacing w:after="0" w:line="80" w:lineRule="exact"/>
        <w:rPr>
          <w:sz w:val="20"/>
          <w:szCs w:val="20"/>
          <w:color w:val="auto"/>
        </w:rPr>
      </w:pPr>
    </w:p>
    <w:p>
      <w:pPr>
        <w:ind w:right="120" w:firstLine="357"/>
        <w:spacing w:after="0"/>
        <w:rPr>
          <w:sz w:val="20"/>
          <w:szCs w:val="20"/>
          <w:color w:val="auto"/>
        </w:rPr>
      </w:pPr>
      <w:r>
        <w:rPr>
          <w:rFonts w:ascii="Arial" w:cs="Arial" w:eastAsia="Arial" w:hAnsi="Arial"/>
          <w:sz w:val="19"/>
          <w:szCs w:val="19"/>
          <w:color w:val="auto"/>
        </w:rPr>
        <w:t>The terms of a contract or the historical business practice can give rise to variable consideration due to, but not limited to, cash-based incentives, rebates, performance awards, or credits. We estimate variable consideration at the most likely amount we will receive from customers. We include estimated amounts in the transaction price to the extent it is probable that a significant reversal of cumulative revenue recognized for such transaction will not occur, or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91"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For the years ended 2017 and 2016, prior to the adoption of the revenue recognition standard (see Note 7 Revenue Recognition and Contracts with Customers), product and service sales were recognized when persuasive evidence of an arrangement existed, product delivery had occurred or services had been rendered, pricing was fixed or determinable, and collection was reasonably assured. Service sales, principally representing repair, maintenance and engineering activities were recognized over the contractual period or as services were rendered. Sales under long-term contracts were recorded on a percentage-of-completion method measured on the cost-to-cost basis for engineering-type contracts and the units-of-delivery basis for production-type contracts. Provisions for anticipated losses on long-term contracts were recorded in full when such losses became evident. Revenues from contracts with multiple element arrangements were recognized as each element was earned based on the relative fair value of each element provided the delivered elements had value to customers on a standalone basis. Amounts allocated to each element were based on its objectively determined fair value, such as the sales price for the product or service when it was sold separately or competitor prices for similar products or services.</w:t>
      </w:r>
    </w:p>
    <w:p>
      <w:pPr>
        <w:spacing w:after="0" w:line="68"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b w:val="1"/>
          <w:bCs w:val="1"/>
          <w:i w:val="1"/>
          <w:iCs w:val="1"/>
          <w:color w:val="auto"/>
        </w:rPr>
        <w:t>Environmental</w:t>
      </w:r>
      <w:r>
        <w:rPr>
          <w:rFonts w:ascii="Arial" w:cs="Arial" w:eastAsia="Arial" w:hAnsi="Arial"/>
          <w:sz w:val="19"/>
          <w:szCs w:val="19"/>
          <w:color w:val="auto"/>
        </w:rPr>
        <w:t>—We accrue costs related to environmental matters when it is probable that we have incurred a liability related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 contaminated site and the amount can be reasonably estimated. For additional information, see Note 20 Commitments and Contingencies.</w:t>
      </w:r>
    </w:p>
    <w:p>
      <w:pPr>
        <w:spacing w:after="0" w:line="38" w:lineRule="exact"/>
        <w:rPr>
          <w:sz w:val="20"/>
          <w:szCs w:val="20"/>
          <w:color w:val="auto"/>
        </w:rPr>
      </w:pPr>
    </w:p>
    <w:p>
      <w:pPr>
        <w:ind w:firstLine="357"/>
        <w:spacing w:after="0" w:line="243" w:lineRule="auto"/>
        <w:rPr>
          <w:sz w:val="20"/>
          <w:szCs w:val="20"/>
          <w:color w:val="auto"/>
        </w:rPr>
      </w:pPr>
      <w:r>
        <w:rPr>
          <w:rFonts w:ascii="Arial" w:cs="Arial" w:eastAsia="Arial" w:hAnsi="Arial"/>
          <w:sz w:val="19"/>
          <w:szCs w:val="19"/>
          <w:b w:val="1"/>
          <w:bCs w:val="1"/>
          <w:i w:val="1"/>
          <w:iCs w:val="1"/>
          <w:color w:val="auto"/>
        </w:rPr>
        <w:t>Asbestos Related Liabilities and Insurance Recoveries, and Indemnification Receivables</w:t>
      </w:r>
      <w:r>
        <w:rPr>
          <w:rFonts w:ascii="Arial" w:cs="Arial" w:eastAsia="Arial" w:hAnsi="Arial"/>
          <w:sz w:val="19"/>
          <w:szCs w:val="19"/>
          <w:color w:val="auto"/>
        </w:rPr>
        <w:t>—We recognize a liability for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asbestos related contingency that is probable of occurrence and reasonably estimable. In connection with the recognition of liabilities for asbestos related matters, we record asbestos related insurance recoveries that are deemed probable. Additionally, in conjunction with the Garrett spin-off, the Company entered into an indemnification and reimbursement agreement with a Garrett subsidiary, pursuant to which Garrett’s subsidiary has an obligation to make cash payments to Honeywell as reimbursement for asbestos liabilities. Accordingly, the Company has recorded an indemnification receivable and we monitor the recoverability of such receivable, which is subject to terms of applicable credit agreements of Garrett and its general ability to pay. For additional information, see Note 20 Commitments and Contingencies.</w:t>
      </w:r>
    </w:p>
    <w:p>
      <w:pPr>
        <w:spacing w:after="0" w:line="67" w:lineRule="exact"/>
        <w:rPr>
          <w:sz w:val="20"/>
          <w:szCs w:val="20"/>
          <w:color w:val="auto"/>
        </w:rPr>
      </w:pPr>
    </w:p>
    <w:p>
      <w:pPr>
        <w:ind w:right="40" w:firstLine="357"/>
        <w:spacing w:after="0" w:line="248" w:lineRule="auto"/>
        <w:rPr>
          <w:sz w:val="20"/>
          <w:szCs w:val="20"/>
          <w:color w:val="auto"/>
        </w:rPr>
      </w:pPr>
      <w:r>
        <w:rPr>
          <w:rFonts w:ascii="Arial" w:cs="Arial" w:eastAsia="Arial" w:hAnsi="Arial"/>
          <w:sz w:val="19"/>
          <w:szCs w:val="19"/>
          <w:b w:val="1"/>
          <w:bCs w:val="1"/>
          <w:i w:val="1"/>
          <w:iCs w:val="1"/>
          <w:color w:val="auto"/>
        </w:rPr>
        <w:t>Aerospace Sales Incentives</w:t>
      </w:r>
      <w:r>
        <w:rPr>
          <w:rFonts w:ascii="Arial" w:cs="Arial" w:eastAsia="Arial" w:hAnsi="Arial"/>
          <w:sz w:val="19"/>
          <w:szCs w:val="19"/>
          <w:color w:val="auto"/>
        </w:rPr>
        <w:t>—We provide sales incentives to commercial aircraft manufacturers and airlines in connection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their selection of our aircraft equipment, predominately wheel and braking system hardware, avionics, and auxiliary power units, for installation on commercial aircraft. These incentives consist of free or deeply discounted products, credits for future purchases of product or upfront cash payments. These costs are generally recognized in the period incurred as cost of products sold or as a reduction to relevant sales, as appropriate.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57"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70" w:lineRule="exact"/>
        <w:rPr>
          <w:sz w:val="20"/>
          <w:szCs w:val="20"/>
          <w:color w:val="auto"/>
        </w:rPr>
      </w:pPr>
    </w:p>
    <w:p>
      <w:pPr>
        <w:jc w:val="both"/>
        <w:ind w:right="260" w:firstLine="357"/>
        <w:spacing w:after="0" w:line="258" w:lineRule="auto"/>
        <w:rPr>
          <w:sz w:val="20"/>
          <w:szCs w:val="20"/>
          <w:color w:val="auto"/>
        </w:rPr>
      </w:pPr>
      <w:r>
        <w:rPr>
          <w:rFonts w:ascii="Arial" w:cs="Arial" w:eastAsia="Arial" w:hAnsi="Arial"/>
          <w:sz w:val="19"/>
          <w:szCs w:val="19"/>
          <w:b w:val="1"/>
          <w:bCs w:val="1"/>
          <w:i w:val="1"/>
          <w:iCs w:val="1"/>
          <w:color w:val="auto"/>
        </w:rPr>
        <w:t>Research and Development</w:t>
      </w:r>
      <w:r>
        <w:rPr>
          <w:rFonts w:ascii="Arial" w:cs="Arial" w:eastAsia="Arial" w:hAnsi="Arial"/>
          <w:sz w:val="19"/>
          <w:szCs w:val="19"/>
          <w:color w:val="auto"/>
        </w:rPr>
        <w:t>—Research and development costs for company-sponsored research and development projects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are expensed as incurred. Such costs are principally included in cost of products sold and were $1,809 million, $1,835 million and $1,864 million in 2018, 2017 and 2016.</w:t>
      </w:r>
    </w:p>
    <w:p>
      <w:pPr>
        <w:spacing w:after="0" w:line="52" w:lineRule="exact"/>
        <w:rPr>
          <w:sz w:val="20"/>
          <w:szCs w:val="20"/>
          <w:color w:val="auto"/>
        </w:rPr>
      </w:pPr>
    </w:p>
    <w:p>
      <w:pPr>
        <w:ind w:right="40" w:firstLine="357"/>
        <w:spacing w:after="0" w:line="245" w:lineRule="auto"/>
        <w:rPr>
          <w:sz w:val="20"/>
          <w:szCs w:val="20"/>
          <w:color w:val="auto"/>
        </w:rPr>
      </w:pPr>
      <w:r>
        <w:rPr>
          <w:rFonts w:ascii="Arial" w:cs="Arial" w:eastAsia="Arial" w:hAnsi="Arial"/>
          <w:sz w:val="19"/>
          <w:szCs w:val="19"/>
          <w:b w:val="1"/>
          <w:bCs w:val="1"/>
          <w:i w:val="1"/>
          <w:iCs w:val="1"/>
          <w:color w:val="auto"/>
        </w:rPr>
        <w:t>Stock-Based Compensation Plans</w:t>
      </w:r>
      <w:r>
        <w:rPr>
          <w:rFonts w:ascii="Arial" w:cs="Arial" w:eastAsia="Arial" w:hAnsi="Arial"/>
          <w:sz w:val="19"/>
          <w:szCs w:val="19"/>
          <w:color w:val="auto"/>
        </w:rPr>
        <w:t>—The principal awards issued under our stock-based compensation plans, which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described in Note 19 Stock-Based Compensation Plans, are non-qualified stock options and restricted stock units.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expenses. Forfeitures are estimated at the time of grant to recognize expense for those awards that are expected to vest and are based on our historical forfeiture rates.</w:t>
      </w:r>
    </w:p>
    <w:p>
      <w:pPr>
        <w:spacing w:after="0" w:line="66" w:lineRule="exact"/>
        <w:rPr>
          <w:sz w:val="20"/>
          <w:szCs w:val="20"/>
          <w:color w:val="auto"/>
        </w:rPr>
      </w:pPr>
    </w:p>
    <w:p>
      <w:pPr>
        <w:ind w:right="100" w:firstLine="357"/>
        <w:spacing w:after="0" w:line="248" w:lineRule="auto"/>
        <w:rPr>
          <w:sz w:val="20"/>
          <w:szCs w:val="20"/>
          <w:color w:val="auto"/>
        </w:rPr>
      </w:pPr>
      <w:r>
        <w:rPr>
          <w:rFonts w:ascii="Arial" w:cs="Arial" w:eastAsia="Arial" w:hAnsi="Arial"/>
          <w:sz w:val="19"/>
          <w:szCs w:val="19"/>
          <w:b w:val="1"/>
          <w:bCs w:val="1"/>
          <w:i w:val="1"/>
          <w:iCs w:val="1"/>
          <w:color w:val="auto"/>
        </w:rPr>
        <w:t>Pension Benefits</w:t>
      </w:r>
      <w:r>
        <w:rPr>
          <w:rFonts w:ascii="Arial" w:cs="Arial" w:eastAsia="Arial" w:hAnsi="Arial"/>
          <w:sz w:val="19"/>
          <w:szCs w:val="19"/>
          <w:color w:val="auto"/>
        </w:rPr>
        <w:t>—On January 1, 2018, we retrospectively adopted the new accounting guidance on presentation of net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periodic pension costs. That guidance requires that we disaggregate the service cost component of net benefit costs and report those costs in the same line item or items in the Consolidated Statement of Operations as other compensation costs arising from services rendered by the pertinent employees during the period. The other non-service components of net benefit costs are required to be presented separately from the service cost component.</w:t>
      </w:r>
    </w:p>
    <w:p>
      <w:pPr>
        <w:spacing w:after="0" w:line="84"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Following the adoption of this guidance, we continue to record the service cost component of Pension ongoing (income) expense in Costs of products and services sold and Selling, general and administrative expenses. The remaining components of net benefit costs within Pension ongoing (income) expense, primarily interest costs and assumed return on plan assets, are now recorded in Other (income) expense. See Note 4 Other (Income) Expense for amounts that were reclassified. We will continue to recognize net actuarial gains or losses in excess of 10% of the greater of the fair value of plan assets or the plans’ projected benefit obligation (the corridor) annually in the fourth quarter each year (MTM Adjustment). The MTM Adjustment will also be reported in Other (income) expense.</w:t>
      </w:r>
    </w:p>
    <w:p>
      <w:pPr>
        <w:spacing w:after="0" w:line="286" w:lineRule="exact"/>
        <w:rPr>
          <w:sz w:val="20"/>
          <w:szCs w:val="20"/>
          <w:color w:val="auto"/>
        </w:rPr>
      </w:pPr>
    </w:p>
    <w:p>
      <w:pPr>
        <w:ind w:right="20" w:firstLine="357"/>
        <w:spacing w:after="0" w:line="244" w:lineRule="auto"/>
        <w:rPr>
          <w:sz w:val="20"/>
          <w:szCs w:val="20"/>
          <w:color w:val="auto"/>
        </w:rPr>
      </w:pPr>
      <w:r>
        <w:rPr>
          <w:rFonts w:ascii="Arial" w:cs="Arial" w:eastAsia="Arial" w:hAnsi="Arial"/>
          <w:sz w:val="19"/>
          <w:szCs w:val="19"/>
          <w:b w:val="1"/>
          <w:bCs w:val="1"/>
          <w:i w:val="1"/>
          <w:iCs w:val="1"/>
          <w:color w:val="auto"/>
        </w:rPr>
        <w:t>Foreign Currency Translation</w:t>
      </w:r>
      <w:r>
        <w:rPr>
          <w:rFonts w:ascii="Arial" w:cs="Arial" w:eastAsia="Arial" w:hAnsi="Arial"/>
          <w:sz w:val="19"/>
          <w:szCs w:val="19"/>
          <w:color w:val="auto"/>
        </w:rPr>
        <w:t>—Assets and liabilities of subsidiaries operating outside the United States with a functional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currency other than U.S. 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(loss). For subsidiaries operating in highly inflationary 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subsidiaries are included in earnings.</w:t>
      </w:r>
    </w:p>
    <w:p>
      <w:pPr>
        <w:spacing w:after="0" w:line="52" w:lineRule="exact"/>
        <w:rPr>
          <w:sz w:val="20"/>
          <w:szCs w:val="20"/>
          <w:color w:val="auto"/>
        </w:rPr>
      </w:pPr>
    </w:p>
    <w:p>
      <w:pPr>
        <w:ind w:firstLine="357"/>
        <w:spacing w:after="0" w:line="244" w:lineRule="auto"/>
        <w:rPr>
          <w:sz w:val="20"/>
          <w:szCs w:val="20"/>
          <w:color w:val="auto"/>
        </w:rPr>
      </w:pPr>
      <w:r>
        <w:rPr>
          <w:rFonts w:ascii="Arial" w:cs="Arial" w:eastAsia="Arial" w:hAnsi="Arial"/>
          <w:sz w:val="19"/>
          <w:szCs w:val="19"/>
          <w:b w:val="1"/>
          <w:bCs w:val="1"/>
          <w:i w:val="1"/>
          <w:iCs w:val="1"/>
          <w:color w:val="auto"/>
        </w:rPr>
        <w:t>Derivative Financial Instruments</w:t>
      </w:r>
      <w:r>
        <w:rPr>
          <w:rFonts w:ascii="Arial" w:cs="Arial" w:eastAsia="Arial" w:hAnsi="Arial"/>
          <w:sz w:val="19"/>
          <w:szCs w:val="19"/>
          <w:color w:val="auto"/>
        </w:rPr>
        <w:t>—We minimize our risks from interest and foreign currency exchange rate fluctuations through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normal operating and financing activities and, when deemed appropriate through the use of derivative financial instruments. Derivative financial instruments are used to manage risk and are not used for trading or other speculative purposes. We do not use leveraged derivative financial instruments. Derivative financial instruments that qualify for hedge accounting must be designated and effective as a hedge of the identified risk exposure at the inception of the contract. Accordingly, changes in fair value of the derivative contract must be highly correlated with changes in fair value of the underlying hedged item at inception of the hedge and over the life of the hedge contract.</w:t>
      </w:r>
    </w:p>
    <w:p>
      <w:pPr>
        <w:spacing w:after="0" w:line="90"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All derivatives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 designated as cash flow hedges, the effective portion of the changes in fair value of the derivatives are recorded in Accumulated other comprehensive income (loss) and subsequently recognized in earnings when the hedged items impact earnings. Cash flows of such derivative financial instruments are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20"/>
        <w:spacing w:after="0"/>
        <w:rPr>
          <w:sz w:val="20"/>
          <w:szCs w:val="20"/>
          <w:color w:val="auto"/>
        </w:rPr>
      </w:pPr>
      <w:r>
        <w:rPr>
          <w:rFonts w:ascii="Arial" w:cs="Arial" w:eastAsia="Arial" w:hAnsi="Arial"/>
          <w:sz w:val="19"/>
          <w:szCs w:val="19"/>
          <w:color w:val="auto"/>
        </w:rPr>
        <w:t>classified consistent with the underlying hedged item. We have elected to exclude the time value of the derivatives (i.e., the forward points) from the assessment of hedge effectiveness and recognize the initial value of the excluded component in earnings using the amortization approach. For derivative instruments that are designated and qualify as a net investment hedge, the effective portion of the derivative’s gain or loss is reported as a component of Other comprehensive income (loss) and recorded in Accumulated other comprehensive income (loss). The gain or loss will be subsequently reclassified into net earnings when the hedged net investment is either sold or substantially liquidated.</w:t>
      </w:r>
    </w:p>
    <w:p>
      <w:pPr>
        <w:spacing w:after="0" w:line="70"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—Significant judgment is required in evaluating tax positions. We establish additional reserves for income taxes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when, despite the belief that tax positions are fully supportable, there remain certain positions that do not meet the minimum recognition threshold. The approach for evaluating certain and uncertain tax positions is defined by the authoritative guidance which determines when a tax position is more likely than not to be sustained upon examination by the applicable taxing authority. In the normal course of business, the Company and its subsidiaries are examined by various federal, state and foreign tax authorities. We regularly assess the potential outcomes of these examinations and any future examinations for the current or prior years in determining the adequacy of our provision for income taxes. We continually assess the likelihood and amount of potential adjustments and adjust the income tax provision, the current tax liability and deferred taxes in the period in which the facts that give rise to a change in estimate become known. For discussion of the impacts from what is commonly referred to as the U.S. Tax Cuts and Jobs Act (“U.S Tax Reform”), see Note 5 Income Taxes.</w:t>
      </w:r>
    </w:p>
    <w:p>
      <w:pPr>
        <w:spacing w:after="0" w:line="66" w:lineRule="exact"/>
        <w:rPr>
          <w:sz w:val="20"/>
          <w:szCs w:val="20"/>
          <w:color w:val="auto"/>
        </w:rPr>
      </w:pPr>
    </w:p>
    <w:p>
      <w:pPr>
        <w:ind w:firstLine="357"/>
        <w:spacing w:after="0" w:line="280" w:lineRule="auto"/>
        <w:rPr>
          <w:sz w:val="20"/>
          <w:szCs w:val="20"/>
          <w:color w:val="auto"/>
        </w:rPr>
      </w:pPr>
      <w:r>
        <w:rPr>
          <w:rFonts w:ascii="Arial" w:cs="Arial" w:eastAsia="Arial" w:hAnsi="Arial"/>
          <w:sz w:val="19"/>
          <w:szCs w:val="19"/>
          <w:b w:val="1"/>
          <w:bCs w:val="1"/>
          <w:i w:val="1"/>
          <w:iCs w:val="1"/>
          <w:color w:val="auto"/>
        </w:rPr>
        <w:t>Cash and cash equivalents</w:t>
      </w:r>
      <w:r>
        <w:rPr>
          <w:rFonts w:ascii="Arial" w:cs="Arial" w:eastAsia="Arial" w:hAnsi="Arial"/>
          <w:sz w:val="19"/>
          <w:szCs w:val="19"/>
          <w:color w:val="auto"/>
        </w:rPr>
        <w:t>—Cash and cash equivalents include cash on hand and highly liquid investments having an original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maturity of three months or less.</w:t>
      </w:r>
    </w:p>
    <w:p>
      <w:pPr>
        <w:spacing w:after="0" w:line="30" w:lineRule="exact"/>
        <w:rPr>
          <w:sz w:val="20"/>
          <w:szCs w:val="20"/>
          <w:color w:val="auto"/>
        </w:rPr>
      </w:pPr>
    </w:p>
    <w:p>
      <w:pPr>
        <w:ind w:right="460" w:firstLine="357"/>
        <w:spacing w:after="0" w:line="258" w:lineRule="auto"/>
        <w:rPr>
          <w:sz w:val="20"/>
          <w:szCs w:val="20"/>
          <w:color w:val="auto"/>
        </w:rPr>
      </w:pPr>
      <w:r>
        <w:rPr>
          <w:rFonts w:ascii="Arial" w:cs="Arial" w:eastAsia="Arial" w:hAnsi="Arial"/>
          <w:sz w:val="19"/>
          <w:szCs w:val="19"/>
          <w:b w:val="1"/>
          <w:bCs w:val="1"/>
          <w:i w:val="1"/>
          <w:iCs w:val="1"/>
          <w:color w:val="auto"/>
        </w:rPr>
        <w:t>Earnings Per Share</w:t>
      </w:r>
      <w:r>
        <w:rPr>
          <w:rFonts w:ascii="Arial" w:cs="Arial" w:eastAsia="Arial" w:hAnsi="Arial"/>
          <w:sz w:val="19"/>
          <w:szCs w:val="19"/>
          <w:color w:val="auto"/>
        </w:rPr>
        <w:t>—Basic earnings per share is based on the weighted average number of common shares outstanding.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Diluted earnings per share is based on the weighted average number of common shares outstanding and all dilutive potential common shares outstanding.</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Reclassifications</w:t>
      </w:r>
      <w:r>
        <w:rPr>
          <w:rFonts w:ascii="Arial" w:cs="Arial" w:eastAsia="Arial" w:hAnsi="Arial"/>
          <w:sz w:val="19"/>
          <w:szCs w:val="19"/>
          <w:color w:val="auto"/>
        </w:rPr>
        <w:t>—Certain prior year amounts have been reclassified to conform to the current year presentation.</w:t>
      </w:r>
    </w:p>
    <w:p>
      <w:pPr>
        <w:spacing w:after="0" w:line="92" w:lineRule="exact"/>
        <w:rPr>
          <w:sz w:val="20"/>
          <w:szCs w:val="20"/>
          <w:color w:val="auto"/>
        </w:rPr>
      </w:pPr>
    </w:p>
    <w:p>
      <w:pPr>
        <w:ind w:right="80" w:firstLine="357"/>
        <w:spacing w:after="0" w:line="251" w:lineRule="auto"/>
        <w:rPr>
          <w:sz w:val="20"/>
          <w:szCs w:val="20"/>
          <w:color w:val="auto"/>
        </w:rPr>
      </w:pPr>
      <w:r>
        <w:rPr>
          <w:rFonts w:ascii="Arial" w:cs="Arial" w:eastAsia="Arial" w:hAnsi="Arial"/>
          <w:sz w:val="19"/>
          <w:szCs w:val="19"/>
          <w:b w:val="1"/>
          <w:bCs w:val="1"/>
          <w:i w:val="1"/>
          <w:iCs w:val="1"/>
          <w:color w:val="auto"/>
        </w:rPr>
        <w:t>Recent Accounting Pronouncements</w:t>
      </w:r>
      <w:r>
        <w:rPr>
          <w:rFonts w:ascii="Arial" w:cs="Arial" w:eastAsia="Arial" w:hAnsi="Arial"/>
          <w:sz w:val="19"/>
          <w:szCs w:val="19"/>
          <w:color w:val="auto"/>
        </w:rPr>
        <w:t>—We consider the applicability and impact of all Accounting Standards Updates (ASUs)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issued by the Financial Accounting Standards Board (FASB). ASUs not listed below were assessed and determined to be either not applicable or are expected to have minimal impact on our consolidated results of operations, financial position and cash flows (consolidated financial statements).</w:t>
      </w:r>
    </w:p>
    <w:p>
      <w:pPr>
        <w:spacing w:after="0" w:line="82"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In February 2016, the FASB issued guidance on accounting for leases which requires lessees to recognize most leases on their balance sheets for the rights and obligations created by those leases. The guidance requires enhanced disclosures regarding the amount, timing, and uncertainty of cash flows arising from leases that will be effective for interim and annual periods beginning after December 15, 2018. The standard allows modified retrospective transition method where an entity can elect to apply the transition provisions at the adoption date and recognize a cumulative-effect adjustment to the opening balance of retained earnings in the period of adoption.</w:t>
      </w:r>
    </w:p>
    <w:p>
      <w:pPr>
        <w:spacing w:after="0" w:line="94"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Effective January 1, 2019, the Company adopted the new lease accounting standard using the modified retrospective transition option of applying the new standard at the adoption date. In addition, we elected the package of practical expedients permitted under the transition guidance within the new standard, which among other things, allowed us to carry forward the historical lease classification. Adoption of the new standard resulted in the recording of additional net lease assets and lease liabilities of approximately $0.7 billion. The adoption of this standard did not have a material impact related to existing leases and as a result, a cumulative-effect adjustment was not recorded. We are currently working to complete the implementation of new processes and information technology tools to</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57" w:right="27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assist in our ongoing lease data collection and analysis, and updating our accounting policies and internal controls in connection with the adoption of the new standard.</w:t>
      </w:r>
    </w:p>
    <w:p>
      <w:pPr>
        <w:spacing w:after="0" w:line="8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In October 2016, the FASB issued an accounting standard update which requires an entity to recognize the income tax consequences of an intra-entity transfer of an asset, other than inventory, at the time the entity transfer occurs rather than when the asset is ultimately transferred to a third party, as required under current U.S. GAAP. The guidance is intended to reduce diversity in practice, particularly for transfers involving intellectual property. We adopted the accounting standard update as of January 1, 2018. The guidance requires application on a modified retrospective basis. The adoption of this guidance increases our deferred tax assets by $339 million with a cumulative-effect adjustment to retained earnings of the same amount.</w:t>
      </w:r>
    </w:p>
    <w:p>
      <w:pPr>
        <w:spacing w:after="0" w:line="94" w:lineRule="exact"/>
        <w:rPr>
          <w:sz w:val="20"/>
          <w:szCs w:val="20"/>
          <w:color w:val="auto"/>
        </w:rPr>
      </w:pPr>
    </w:p>
    <w:p>
      <w:pPr>
        <w:ind w:right="140" w:firstLine="357"/>
        <w:spacing w:after="0"/>
        <w:rPr>
          <w:sz w:val="20"/>
          <w:szCs w:val="20"/>
          <w:color w:val="auto"/>
        </w:rPr>
      </w:pPr>
      <w:r>
        <w:rPr>
          <w:rFonts w:ascii="Arial" w:cs="Arial" w:eastAsia="Arial" w:hAnsi="Arial"/>
          <w:sz w:val="19"/>
          <w:szCs w:val="19"/>
          <w:color w:val="auto"/>
        </w:rPr>
        <w:t>In August 2017, the FASB issued amendments to hedge accounting guidance. These amendments are intended to better align risk management strategies and financial reporting for hedging relationships. Under the new guidance, more hedging strategies will be eligible for hedge accounting and the application of hedge accounting is simplified. In addition, the new guidance amends presentation and disclosure requirements. The Company adopted this standard effective January 1, 2018 using a modified retrospective approach. The adoption did not have a material impact on the Company’s financial position, results of operations, or cash flows.</w:t>
      </w:r>
    </w:p>
    <w:p>
      <w:pPr>
        <w:spacing w:after="0" w:line="94" w:lineRule="exact"/>
        <w:rPr>
          <w:sz w:val="20"/>
          <w:szCs w:val="20"/>
          <w:color w:val="auto"/>
        </w:rPr>
      </w:pPr>
    </w:p>
    <w:p>
      <w:pPr>
        <w:ind w:right="40" w:firstLine="357"/>
        <w:spacing w:after="0" w:line="241" w:lineRule="auto"/>
        <w:rPr>
          <w:sz w:val="20"/>
          <w:szCs w:val="20"/>
          <w:color w:val="auto"/>
        </w:rPr>
      </w:pPr>
      <w:r>
        <w:rPr>
          <w:rFonts w:ascii="Arial" w:cs="Arial" w:eastAsia="Arial" w:hAnsi="Arial"/>
          <w:sz w:val="19"/>
          <w:szCs w:val="19"/>
          <w:color w:val="auto"/>
        </w:rPr>
        <w:t>In February 2018, the FASB issued guidance that allows for an entity to elect to reclassify the income tax effects on items within accumulated other comprehensive income resulting from U.S. Tax Reform to retained earnings. The guidance is effective for fiscal years beginning after December 15, 2018 with early adoption permitted, including interim periods within those years. Upon adoption, the Company does not expect to elect to reclassify the stranded income tax effects of U.S. Tax Reform from accumulated other comprehensive income to retained earnings.</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 Acquisitions and Divestitures</w:t>
      </w:r>
    </w:p>
    <w:p>
      <w:pPr>
        <w:spacing w:after="0" w:line="130" w:lineRule="exact"/>
        <w:rPr>
          <w:sz w:val="20"/>
          <w:szCs w:val="20"/>
          <w:color w:val="auto"/>
        </w:rPr>
      </w:pPr>
    </w:p>
    <w:p>
      <w:pPr>
        <w:ind w:right="40" w:firstLine="357"/>
        <w:spacing w:after="0" w:line="241" w:lineRule="auto"/>
        <w:rPr>
          <w:sz w:val="20"/>
          <w:szCs w:val="20"/>
          <w:color w:val="auto"/>
        </w:rPr>
      </w:pPr>
      <w:r>
        <w:rPr>
          <w:rFonts w:ascii="Arial" w:cs="Arial" w:eastAsia="Arial" w:hAnsi="Arial"/>
          <w:sz w:val="19"/>
          <w:szCs w:val="19"/>
          <w:color w:val="auto"/>
        </w:rPr>
        <w:t>During 2018, we acquired businesses for an aggregate cost (net of cash and debt assumed) of approximately $535 million, mainly due to the November 2018 acquisition of Transnorm, a global leader in high-performance conveyor and warehouse solutions. Transnorm is part of Safety and Productivity Solutions. The preliminary determination of the assets and liabilities acquired with Transnorm have been included in the Consolidated Balance Sheet as of December 31, 2018, including $338 million allocated to goodwill, which is non-deductible for tax purposes.</w:t>
      </w:r>
    </w:p>
    <w:p>
      <w:pPr>
        <w:spacing w:after="0" w:line="91" w:lineRule="exact"/>
        <w:rPr>
          <w:sz w:val="20"/>
          <w:szCs w:val="20"/>
          <w:color w:val="auto"/>
        </w:rPr>
      </w:pPr>
    </w:p>
    <w:p>
      <w:pPr>
        <w:ind w:right="480" w:firstLine="357"/>
        <w:spacing w:after="0" w:line="253" w:lineRule="auto"/>
        <w:rPr>
          <w:sz w:val="20"/>
          <w:szCs w:val="20"/>
          <w:color w:val="auto"/>
        </w:rPr>
      </w:pPr>
      <w:r>
        <w:rPr>
          <w:rFonts w:ascii="Arial" w:cs="Arial" w:eastAsia="Arial" w:hAnsi="Arial"/>
          <w:sz w:val="19"/>
          <w:szCs w:val="19"/>
          <w:color w:val="auto"/>
        </w:rPr>
        <w:t>During 2017 there were no significant acquisitions individually or in aggregate. During 2016, we acquired businesses for an aggregate cost (net of cash and debt assumed) of $2,538 million.</w:t>
      </w:r>
    </w:p>
    <w:p>
      <w:pPr>
        <w:spacing w:after="0" w:line="8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In August 2016, the Company acquired Intelligrated, a leading provider of supply chain and warehouse automation technologies, for an aggregate value, net of cash acquired, of $ 1,488 million. Intelligrated is part of Safety and Productivity Solutions. Management recorded goodwill and intangible assets acquired of, $1,121 million and $507 million, respectively. The Intelligrated identifiable intangible assets primarily include customer relationships, technology, and trade name that are being amortized over their estimated lives ranging from 1 to 15 years using straight line and accelerated amortization methods. The goodwill is non-deductible for tax purposes.</w:t>
      </w:r>
    </w:p>
    <w:p>
      <w:pPr>
        <w:spacing w:after="0" w:line="94" w:lineRule="exact"/>
        <w:rPr>
          <w:sz w:val="20"/>
          <w:szCs w:val="20"/>
          <w:color w:val="auto"/>
        </w:rPr>
      </w:pPr>
    </w:p>
    <w:p>
      <w:pPr>
        <w:ind w:right="380" w:firstLine="357"/>
        <w:spacing w:after="0" w:line="245" w:lineRule="auto"/>
        <w:rPr>
          <w:sz w:val="20"/>
          <w:szCs w:val="20"/>
          <w:color w:val="auto"/>
        </w:rPr>
      </w:pPr>
      <w:r>
        <w:rPr>
          <w:rFonts w:ascii="Arial" w:cs="Arial" w:eastAsia="Arial" w:hAnsi="Arial"/>
          <w:sz w:val="19"/>
          <w:szCs w:val="19"/>
          <w:color w:val="auto"/>
        </w:rPr>
        <w:t>In April 2016, the Company completed the acquisition of Xtralis International Holdings Limited (“Xtralis”), a leading global provider of aspiration smoke detection and perimeter security technologies, for an aggregate cost, net of cash acquired and debt assumed, of $515 million. Xtralis is part of Honeywell Building Technologies.</w:t>
      </w:r>
    </w:p>
    <w:p>
      <w:pPr>
        <w:spacing w:after="0" w:line="87" w:lineRule="exact"/>
        <w:rPr>
          <w:sz w:val="20"/>
          <w:szCs w:val="20"/>
          <w:color w:val="auto"/>
        </w:rPr>
      </w:pPr>
    </w:p>
    <w:p>
      <w:pPr>
        <w:ind w:right="120" w:firstLine="357"/>
        <w:spacing w:after="0" w:line="245" w:lineRule="auto"/>
        <w:rPr>
          <w:sz w:val="20"/>
          <w:szCs w:val="20"/>
          <w:color w:val="auto"/>
        </w:rPr>
      </w:pPr>
      <w:r>
        <w:rPr>
          <w:rFonts w:ascii="Arial" w:cs="Arial" w:eastAsia="Arial" w:hAnsi="Arial"/>
          <w:sz w:val="19"/>
          <w:szCs w:val="19"/>
          <w:color w:val="auto"/>
        </w:rPr>
        <w:t>In February 2016, the Company acquired 100 percent of the issued and outstanding shares of COM DEV International (“COM DEV”), a leading satellite and space components provider, for an aggregate value, net of cash acquired and debt assumed, of $347 million. COM DEV is part of Aerospace.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58" w:right="2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ind w:right="160" w:firstLine="357"/>
        <w:spacing w:after="0" w:line="245" w:lineRule="auto"/>
        <w:rPr>
          <w:sz w:val="20"/>
          <w:szCs w:val="20"/>
          <w:color w:val="auto"/>
        </w:rPr>
      </w:pPr>
      <w:r>
        <w:rPr>
          <w:rFonts w:ascii="Arial" w:cs="Arial" w:eastAsia="Arial" w:hAnsi="Arial"/>
          <w:sz w:val="19"/>
          <w:szCs w:val="19"/>
          <w:color w:val="auto"/>
        </w:rPr>
        <w:t>In January 2016, the Company acquired the remaining 30 percent noncontrolling interest in UOP Russell LLC, which develops technology and manufactures modular equipment to process natural gas, for $240 million. UOP Russell LLC is part of Performance Materials and Technologies.</w:t>
      </w:r>
    </w:p>
    <w:p>
      <w:pPr>
        <w:spacing w:after="0" w:line="87"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On October 1, 2018, the Company completed the tax-free spin-off to Honeywell shareowners of its Transportation Systems business, part of Aerospace, into a standalone publicly-traded company, Garrett Motion Inc. (“Garrett”). On October 29, 2018, the Company completed the tax-free spin-off to Honeywell shareowners of its Homes and Global Distribution business, part of Home and Building Technologies (renamed Honeywell Building Technologies following the spin-off), into a standalone publicly-traded company, Resideo Technologies, Inc. (“Resideo”). The assets of approximately $5.5 billion, including approximately $2.8 billion of goodwill and net of recorded indemnification receivables, and liabilities of approximately $7.2 billion associated with spin-off entities have been removed through Retained Earnings from the Company’s Consolidated Balance Sheet as of the effective date of the spin-off. The results of operations and cash flows are included in the Consolidated Statement of Operations and Consolidated Statement of Cash Flows through the effective date of the spin -off. The Income before taxes attributable to the spin-off businesses were $0.4 billion, $0.5 billion, and $0.6 billion for 2018, 2017 and 2016.</w:t>
      </w:r>
    </w:p>
    <w:p>
      <w:pPr>
        <w:spacing w:after="0" w:line="93"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Honeywell shareowners of record as of the close of business on October 16, 2018 received one share of Resideo common stock for every 6 shares of Honeywell common stock. Immediately prior to the effective date of the spin-off, Resideo incurred debt of $1.2 billion to make a cash distribution to the Company.</w:t>
      </w:r>
    </w:p>
    <w:p>
      <w:pPr>
        <w:spacing w:after="0" w:line="87" w:lineRule="exact"/>
        <w:rPr>
          <w:sz w:val="20"/>
          <w:szCs w:val="20"/>
          <w:color w:val="auto"/>
        </w:rPr>
      </w:pPr>
    </w:p>
    <w:p>
      <w:pPr>
        <w:ind w:right="80" w:firstLine="357"/>
        <w:spacing w:after="0" w:line="245" w:lineRule="auto"/>
        <w:rPr>
          <w:sz w:val="20"/>
          <w:szCs w:val="20"/>
          <w:color w:val="auto"/>
        </w:rPr>
      </w:pPr>
      <w:r>
        <w:rPr>
          <w:rFonts w:ascii="Arial" w:cs="Arial" w:eastAsia="Arial" w:hAnsi="Arial"/>
          <w:sz w:val="19"/>
          <w:szCs w:val="19"/>
          <w:color w:val="auto"/>
        </w:rPr>
        <w:t>Honeywell shareowners of record as of the close of business on September 18, 2018 received one share of Garrett common stock for every 10 shares of Honeywell common stock. Immediately prior to the effective date of the spin-off, Garrett incurred debt of $1.6 billion to make a cash distribution to the Company.</w:t>
      </w:r>
    </w:p>
    <w:p>
      <w:pPr>
        <w:spacing w:after="0" w:line="87"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In 2018 in connection with the spin-off, the Company entered into certain agreements with Resideo and Garrett to effect our legal and structural separation, including transition services agreements to provide certain administrative and other services for a limited time, and tax matters and indemnity agreements. As of the end of 2018, most of those agreements are still in effect.</w:t>
      </w:r>
    </w:p>
    <w:p>
      <w:pPr>
        <w:spacing w:after="0" w:line="74" w:lineRule="exact"/>
        <w:rPr>
          <w:sz w:val="20"/>
          <w:szCs w:val="20"/>
          <w:color w:val="auto"/>
        </w:rPr>
      </w:pPr>
    </w:p>
    <w:p>
      <w:pPr>
        <w:ind w:right="280" w:firstLine="357"/>
        <w:spacing w:after="0" w:line="241" w:lineRule="auto"/>
        <w:rPr>
          <w:sz w:val="20"/>
          <w:szCs w:val="20"/>
          <w:color w:val="auto"/>
        </w:rPr>
      </w:pPr>
      <w:r>
        <w:rPr>
          <w:rFonts w:ascii="Arial" w:cs="Arial" w:eastAsia="Arial" w:hAnsi="Arial"/>
          <w:sz w:val="19"/>
          <w:szCs w:val="19"/>
          <w:color w:val="auto"/>
        </w:rPr>
        <w:t>On October 1, 2016, the Company completed the tax-free spin-off to Honeywell shareowners of its Resins and Chemicals business, part of Performance Materials and Technologies, into a standalone, publicly-traded company (named AdvanSix Inc. (“AdvanSix”)). The assets and liabilities associated with AdvanSix have been removed from the Company’s Consolidated Balance Sheet as of the effective date of the spin-off. The results of operations for AdvanSix are included in the Consolidated Statement of Operations through the effective date of the spin-off.</w:t>
      </w:r>
    </w:p>
    <w:p>
      <w:pPr>
        <w:spacing w:after="0" w:line="91"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color w:val="auto"/>
        </w:rPr>
        <w:t>Honeywell shareowners of record as of the close of business on September 16, 2016 received one share of AdvanSix common stock for every 25 shares of Honeywell common stock. Immediately prior to the effective date of the spin-off, AdvanSix incurred debt to make a cash distribution of $269 million to the Company. At the same time, AdvanSix also incurred $38 million of borrowings in order to fund its post spin-off working capital.</w:t>
      </w:r>
    </w:p>
    <w:p>
      <w:pPr>
        <w:spacing w:after="0" w:line="91" w:lineRule="exact"/>
        <w:rPr>
          <w:sz w:val="20"/>
          <w:szCs w:val="20"/>
          <w:color w:val="auto"/>
        </w:rPr>
      </w:pPr>
    </w:p>
    <w:p>
      <w:pPr>
        <w:ind w:right="80" w:firstLine="357"/>
        <w:spacing w:after="0" w:line="245" w:lineRule="auto"/>
        <w:rPr>
          <w:sz w:val="20"/>
          <w:szCs w:val="20"/>
          <w:color w:val="auto"/>
        </w:rPr>
      </w:pPr>
      <w:r>
        <w:rPr>
          <w:rFonts w:ascii="Arial" w:cs="Arial" w:eastAsia="Arial" w:hAnsi="Arial"/>
          <w:sz w:val="19"/>
          <w:szCs w:val="19"/>
          <w:color w:val="auto"/>
        </w:rPr>
        <w:t>In 2016 in connection with the spin-off, the Company entered into certain agreements with AdvanSix to effect our legal and structural separation including a transition services agreement with AdvanSix to provide certain administrative and other services for a limited time. As of the end of 2018, those agreements have ended.</w:t>
      </w:r>
    </w:p>
    <w:p>
      <w:pPr>
        <w:spacing w:after="0" w:line="87" w:lineRule="exact"/>
        <w:rPr>
          <w:sz w:val="20"/>
          <w:szCs w:val="20"/>
          <w:color w:val="auto"/>
        </w:rPr>
      </w:pPr>
    </w:p>
    <w:p>
      <w:pPr>
        <w:ind w:right="420" w:firstLine="357"/>
        <w:spacing w:after="0" w:line="245" w:lineRule="auto"/>
        <w:rPr>
          <w:sz w:val="20"/>
          <w:szCs w:val="20"/>
          <w:color w:val="auto"/>
        </w:rPr>
      </w:pPr>
      <w:r>
        <w:rPr>
          <w:rFonts w:ascii="Arial" w:cs="Arial" w:eastAsia="Arial" w:hAnsi="Arial"/>
          <w:sz w:val="19"/>
          <w:szCs w:val="19"/>
          <w:color w:val="auto"/>
        </w:rPr>
        <w:t>On September 16, 2016, the Company completed the sale of Honeywell Technology Solutions Inc. for a sale price of $300 million. The Company recognized a pre-tax gain of $176 million, which was recorded in Other (income) expense. The Honeywell Technology Solutions Inc. business was part of Aerospace.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57"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3. Repositioning and Other Charges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 summary of repositioning and other charges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225"/>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8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4"/>
                <w:szCs w:val="14"/>
                <w:color w:val="auto"/>
              </w:rPr>
            </w:pPr>
          </w:p>
        </w:tc>
        <w:tc>
          <w:tcPr>
            <w:tcW w:w="560" w:type="dxa"/>
            <w:vAlign w:val="bottom"/>
            <w:tcBorders>
              <w:bottom w:val="single" w:sz="8" w:color="auto"/>
            </w:tcBorders>
          </w:tcPr>
          <w:p>
            <w:pPr>
              <w:jc w:val="right"/>
              <w:ind w:right="8"/>
              <w:spacing w:after="0" w:line="169" w:lineRule="exact"/>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5"/>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8780" w:type="dxa"/>
            <w:vAlign w:val="bottom"/>
            <w:shd w:val="clear" w:color="auto" w:fill="E5FFFF"/>
          </w:tcPr>
          <w:p>
            <w:pPr>
              <w:spacing w:after="0"/>
              <w:rPr>
                <w:sz w:val="20"/>
                <w:szCs w:val="20"/>
                <w:color w:val="auto"/>
              </w:rPr>
            </w:pPr>
            <w:r>
              <w:rPr>
                <w:rFonts w:ascii="Arial" w:cs="Arial" w:eastAsia="Arial" w:hAnsi="Arial"/>
                <w:sz w:val="19"/>
                <w:szCs w:val="19"/>
                <w:color w:val="auto"/>
              </w:rPr>
              <w:t>Severance</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289</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$ 305</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283</w:t>
            </w:r>
          </w:p>
        </w:tc>
      </w:tr>
      <w:tr>
        <w:trPr>
          <w:trHeight w:val="243"/>
        </w:trPr>
        <w:tc>
          <w:tcPr>
            <w:tcW w:w="8780" w:type="dxa"/>
            <w:vAlign w:val="bottom"/>
          </w:tcPr>
          <w:p>
            <w:pPr>
              <w:spacing w:after="0"/>
              <w:rPr>
                <w:sz w:val="20"/>
                <w:szCs w:val="20"/>
                <w:color w:val="auto"/>
              </w:rPr>
            </w:pPr>
            <w:r>
              <w:rPr>
                <w:rFonts w:ascii="Arial" w:cs="Arial" w:eastAsia="Arial" w:hAnsi="Arial"/>
                <w:sz w:val="19"/>
                <w:szCs w:val="19"/>
                <w:color w:val="auto"/>
              </w:rPr>
              <w:t>Asset impairments</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162</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142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43</w:t>
            </w:r>
          </w:p>
        </w:tc>
      </w:tr>
      <w:tr>
        <w:trPr>
          <w:trHeight w:val="243"/>
        </w:trPr>
        <w:tc>
          <w:tcPr>
            <w:tcW w:w="8780" w:type="dxa"/>
            <w:vAlign w:val="bottom"/>
            <w:shd w:val="clear" w:color="auto" w:fill="E5FFFF"/>
          </w:tcPr>
          <w:p>
            <w:pPr>
              <w:spacing w:after="0"/>
              <w:rPr>
                <w:sz w:val="20"/>
                <w:szCs w:val="20"/>
                <w:color w:val="auto"/>
              </w:rPr>
            </w:pPr>
            <w:r>
              <w:rPr>
                <w:rFonts w:ascii="Arial" w:cs="Arial" w:eastAsia="Arial" w:hAnsi="Arial"/>
                <w:sz w:val="19"/>
                <w:szCs w:val="19"/>
                <w:color w:val="auto"/>
              </w:rPr>
              <w:t>Exit costs</w:t>
            </w: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79</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60</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w:t>
            </w:r>
          </w:p>
        </w:tc>
      </w:tr>
      <w:tr>
        <w:trPr>
          <w:trHeight w:val="250"/>
        </w:trPr>
        <w:tc>
          <w:tcPr>
            <w:tcW w:w="8780" w:type="dxa"/>
            <w:vAlign w:val="bottom"/>
          </w:tcPr>
          <w:p>
            <w:pPr>
              <w:spacing w:after="0"/>
              <w:rPr>
                <w:sz w:val="20"/>
                <w:szCs w:val="20"/>
                <w:color w:val="auto"/>
              </w:rPr>
            </w:pPr>
            <w:r>
              <w:rPr>
                <w:rFonts w:ascii="Arial" w:cs="Arial" w:eastAsia="Arial" w:hAnsi="Arial"/>
                <w:sz w:val="19"/>
                <w:szCs w:val="19"/>
                <w:color w:val="auto"/>
              </w:rPr>
              <w:t>Reserve adjustments</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32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(109)</w:t>
            </w:r>
          </w:p>
        </w:tc>
      </w:tr>
      <w:tr>
        <w:trPr>
          <w:trHeight w:val="243"/>
        </w:trPr>
        <w:tc>
          <w:tcPr>
            <w:tcW w:w="87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Total net repositioning charge</w:t>
            </w: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520</w:t>
            </w:r>
          </w:p>
        </w:tc>
        <w:tc>
          <w:tcPr>
            <w:tcW w:w="320" w:type="dxa"/>
            <w:vAlign w:val="bottom"/>
            <w:shd w:val="clear" w:color="auto" w:fill="E5FFFF"/>
          </w:tcPr>
          <w:p>
            <w:pPr>
              <w:spacing w:after="0"/>
              <w:rPr>
                <w:sz w:val="21"/>
                <w:szCs w:val="21"/>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491</w:t>
            </w:r>
          </w:p>
        </w:tc>
        <w:tc>
          <w:tcPr>
            <w:tcW w:w="3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260</w:t>
            </w:r>
          </w:p>
        </w:tc>
      </w:tr>
      <w:tr>
        <w:trPr>
          <w:trHeight w:val="250"/>
        </w:trPr>
        <w:tc>
          <w:tcPr>
            <w:tcW w:w="8780" w:type="dxa"/>
            <w:vAlign w:val="bottom"/>
          </w:tcPr>
          <w:p>
            <w:pPr>
              <w:spacing w:after="0"/>
              <w:rPr>
                <w:sz w:val="20"/>
                <w:szCs w:val="20"/>
                <w:color w:val="auto"/>
              </w:rPr>
            </w:pPr>
            <w:r>
              <w:rPr>
                <w:rFonts w:ascii="Arial" w:cs="Arial" w:eastAsia="Arial" w:hAnsi="Arial"/>
                <w:sz w:val="19"/>
                <w:szCs w:val="19"/>
                <w:color w:val="auto"/>
              </w:rPr>
              <w:t>Asbestos related litigation charges, net of insurance and indemnities</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163</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159</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217</w:t>
            </w:r>
          </w:p>
        </w:tc>
      </w:tr>
      <w:tr>
        <w:trPr>
          <w:trHeight w:val="243"/>
        </w:trPr>
        <w:tc>
          <w:tcPr>
            <w:tcW w:w="8780" w:type="dxa"/>
            <w:vAlign w:val="bottom"/>
            <w:shd w:val="clear" w:color="auto" w:fill="E5FFFF"/>
          </w:tcPr>
          <w:p>
            <w:pPr>
              <w:spacing w:after="0"/>
              <w:rPr>
                <w:sz w:val="20"/>
                <w:szCs w:val="20"/>
                <w:color w:val="auto"/>
              </w:rPr>
            </w:pPr>
            <w:r>
              <w:rPr>
                <w:rFonts w:ascii="Arial" w:cs="Arial" w:eastAsia="Arial" w:hAnsi="Arial"/>
                <w:sz w:val="19"/>
                <w:szCs w:val="19"/>
                <w:color w:val="auto"/>
              </w:rPr>
              <w:t>Probable and reasonably estimable environmental liabilities, net of indemnities</w:t>
            </w: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345</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287</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195</w:t>
            </w:r>
          </w:p>
        </w:tc>
      </w:tr>
      <w:tr>
        <w:trPr>
          <w:trHeight w:val="250"/>
        </w:trPr>
        <w:tc>
          <w:tcPr>
            <w:tcW w:w="8780" w:type="dxa"/>
            <w:vAlign w:val="bottom"/>
          </w:tcPr>
          <w:p>
            <w:pPr>
              <w:spacing w:after="0"/>
              <w:rPr>
                <w:sz w:val="20"/>
                <w:szCs w:val="20"/>
                <w:color w:val="auto"/>
              </w:rPr>
            </w:pPr>
            <w:r>
              <w:rPr>
                <w:rFonts w:ascii="Arial" w:cs="Arial" w:eastAsia="Arial" w:hAnsi="Arial"/>
                <w:sz w:val="19"/>
                <w:szCs w:val="19"/>
                <w:color w:val="auto"/>
              </w:rPr>
              <w:t>Other</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w:t>
            </w:r>
          </w:p>
        </w:tc>
        <w:tc>
          <w:tcPr>
            <w:tcW w:w="32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w:t>
            </w:r>
          </w:p>
        </w:tc>
      </w:tr>
      <w:tr>
        <w:trPr>
          <w:trHeight w:val="243"/>
        </w:trPr>
        <w:tc>
          <w:tcPr>
            <w:tcW w:w="87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Total net repositioning and other charges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1,091</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$ 973</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690</w:t>
            </w:r>
          </w:p>
        </w:tc>
      </w:tr>
      <w:tr>
        <w:trPr>
          <w:trHeight w:val="20"/>
        </w:trPr>
        <w:tc>
          <w:tcPr>
            <w:tcW w:w="8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pre-tax distribution of total net repositioning and other charges by classification: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192"/>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8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9"/>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560" w:type="dxa"/>
            <w:vAlign w:val="bottom"/>
            <w:tcBorders>
              <w:bottom w:val="single" w:sz="8" w:color="auto"/>
            </w:tcBorders>
          </w:tcPr>
          <w:p>
            <w:pPr>
              <w:jc w:val="right"/>
              <w:ind w:right="12"/>
              <w:spacing w:after="0" w:line="169" w:lineRule="exact"/>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4"/>
                <w:szCs w:val="14"/>
                <w:color w:val="auto"/>
              </w:rPr>
            </w:pPr>
          </w:p>
        </w:tc>
        <w:tc>
          <w:tcPr>
            <w:tcW w:w="600" w:type="dxa"/>
            <w:vAlign w:val="bottom"/>
            <w:tcBorders>
              <w:bottom w:val="single" w:sz="8" w:color="auto"/>
            </w:tcBorders>
          </w:tcPr>
          <w:p>
            <w:pPr>
              <w:jc w:val="right"/>
              <w:ind w:right="32"/>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8860" w:type="dxa"/>
            <w:vAlign w:val="bottom"/>
            <w:shd w:val="clear" w:color="auto" w:fill="E5FFFF"/>
          </w:tcPr>
          <w:p>
            <w:pPr>
              <w:spacing w:after="0"/>
              <w:rPr>
                <w:sz w:val="20"/>
                <w:szCs w:val="20"/>
                <w:color w:val="auto"/>
              </w:rPr>
            </w:pPr>
            <w:r>
              <w:rPr>
                <w:rFonts w:ascii="Arial" w:cs="Arial" w:eastAsia="Arial" w:hAnsi="Arial"/>
                <w:sz w:val="19"/>
                <w:szCs w:val="19"/>
                <w:color w:val="auto"/>
              </w:rPr>
              <w:t>Cost of products and services sold</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811</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$ 736</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$ 517</w:t>
            </w:r>
          </w:p>
        </w:tc>
      </w:tr>
      <w:tr>
        <w:trPr>
          <w:trHeight w:val="243"/>
        </w:trPr>
        <w:tc>
          <w:tcPr>
            <w:tcW w:w="8860" w:type="dxa"/>
            <w:vAlign w:val="bottom"/>
          </w:tcPr>
          <w:p>
            <w:pPr>
              <w:spacing w:after="0"/>
              <w:rPr>
                <w:sz w:val="20"/>
                <w:szCs w:val="20"/>
                <w:color w:val="auto"/>
              </w:rPr>
            </w:pPr>
            <w:r>
              <w:rPr>
                <w:rFonts w:ascii="Arial" w:cs="Arial" w:eastAsia="Arial" w:hAnsi="Arial"/>
                <w:sz w:val="19"/>
                <w:szCs w:val="19"/>
                <w:color w:val="auto"/>
              </w:rPr>
              <w:t>Selling, general and administrative expenses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239</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187</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126</w:t>
            </w:r>
          </w:p>
        </w:tc>
      </w:tr>
      <w:tr>
        <w:trPr>
          <w:trHeight w:val="243"/>
        </w:trPr>
        <w:tc>
          <w:tcPr>
            <w:tcW w:w="8860" w:type="dxa"/>
            <w:vAlign w:val="bottom"/>
            <w:shd w:val="clear" w:color="auto" w:fill="E5FFFF"/>
          </w:tcPr>
          <w:p>
            <w:pPr>
              <w:spacing w:after="0"/>
              <w:rPr>
                <w:sz w:val="20"/>
                <w:szCs w:val="20"/>
                <w:color w:val="auto"/>
              </w:rPr>
            </w:pPr>
            <w:r>
              <w:rPr>
                <w:rFonts w:ascii="Arial" w:cs="Arial" w:eastAsia="Arial" w:hAnsi="Arial"/>
                <w:sz w:val="19"/>
                <w:szCs w:val="19"/>
                <w:color w:val="auto"/>
              </w:rPr>
              <w:t>Other (income) expense</w:t>
            </w:r>
          </w:p>
        </w:tc>
        <w:tc>
          <w:tcPr>
            <w:tcW w:w="16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41</w:t>
            </w:r>
          </w:p>
        </w:tc>
        <w:tc>
          <w:tcPr>
            <w:tcW w:w="300" w:type="dxa"/>
            <w:vAlign w:val="bottom"/>
            <w:shd w:val="clear" w:color="auto" w:fill="E5FFFF"/>
          </w:tcPr>
          <w:p>
            <w:pPr>
              <w:spacing w:after="0"/>
              <w:rPr>
                <w:sz w:val="21"/>
                <w:szCs w:val="21"/>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50</w:t>
            </w:r>
          </w:p>
        </w:tc>
        <w:tc>
          <w:tcPr>
            <w:tcW w:w="320" w:type="dxa"/>
            <w:vAlign w:val="bottom"/>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47</w:t>
            </w:r>
          </w:p>
        </w:tc>
      </w:tr>
      <w:tr>
        <w:trPr>
          <w:trHeight w:val="250"/>
        </w:trPr>
        <w:tc>
          <w:tcPr>
            <w:tcW w:w="88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1,091</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$ 973</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$ 690</w:t>
            </w:r>
          </w:p>
        </w:tc>
      </w:tr>
      <w:tr>
        <w:trPr>
          <w:trHeight w:val="20"/>
        </w:trPr>
        <w:tc>
          <w:tcPr>
            <w:tcW w:w="8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pre-tax impact of total net repositioning and other charges by segment: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192"/>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8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8"/>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560" w:type="dxa"/>
            <w:vAlign w:val="bottom"/>
            <w:tcBorders>
              <w:bottom w:val="single" w:sz="8" w:color="auto"/>
            </w:tcBorders>
          </w:tcPr>
          <w:p>
            <w:pPr>
              <w:jc w:val="right"/>
              <w:ind w:right="12"/>
              <w:spacing w:after="0" w:line="169" w:lineRule="exact"/>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4"/>
                <w:szCs w:val="14"/>
                <w:color w:val="auto"/>
              </w:rPr>
            </w:pPr>
          </w:p>
        </w:tc>
        <w:tc>
          <w:tcPr>
            <w:tcW w:w="600" w:type="dxa"/>
            <w:vAlign w:val="bottom"/>
            <w:tcBorders>
              <w:bottom w:val="single" w:sz="8" w:color="auto"/>
            </w:tcBorders>
          </w:tcPr>
          <w:p>
            <w:pPr>
              <w:jc w:val="right"/>
              <w:ind w:right="32"/>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8860" w:type="dxa"/>
            <w:vAlign w:val="bottom"/>
            <w:shd w:val="clear" w:color="auto" w:fill="E5FFFF"/>
          </w:tcPr>
          <w:p>
            <w:pPr>
              <w:spacing w:after="0"/>
              <w:rPr>
                <w:sz w:val="20"/>
                <w:szCs w:val="20"/>
                <w:color w:val="auto"/>
              </w:rPr>
            </w:pPr>
            <w:r>
              <w:rPr>
                <w:rFonts w:ascii="Arial" w:cs="Arial" w:eastAsia="Arial" w:hAnsi="Arial"/>
                <w:sz w:val="19"/>
                <w:szCs w:val="19"/>
                <w:color w:val="auto"/>
              </w:rPr>
              <w:t>Aerospace</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154</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$ 248</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$ 293</w:t>
            </w:r>
          </w:p>
        </w:tc>
      </w:tr>
      <w:tr>
        <w:trPr>
          <w:trHeight w:val="243"/>
        </w:trPr>
        <w:tc>
          <w:tcPr>
            <w:tcW w:w="8860" w:type="dxa"/>
            <w:vAlign w:val="bottom"/>
          </w:tcPr>
          <w:p>
            <w:pPr>
              <w:spacing w:after="0"/>
              <w:rPr>
                <w:sz w:val="20"/>
                <w:szCs w:val="20"/>
                <w:color w:val="auto"/>
              </w:rPr>
            </w:pPr>
            <w:r>
              <w:rPr>
                <w:rFonts w:ascii="Arial" w:cs="Arial" w:eastAsia="Arial" w:hAnsi="Arial"/>
                <w:sz w:val="19"/>
                <w:szCs w:val="19"/>
                <w:color w:val="auto"/>
              </w:rPr>
              <w:t>Honeywell Building Technologies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111</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78</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28</w:t>
            </w:r>
          </w:p>
        </w:tc>
      </w:tr>
      <w:tr>
        <w:trPr>
          <w:trHeight w:val="243"/>
        </w:trPr>
        <w:tc>
          <w:tcPr>
            <w:tcW w:w="8860" w:type="dxa"/>
            <w:vAlign w:val="bottom"/>
            <w:shd w:val="clear" w:color="auto" w:fill="E5FFFF"/>
          </w:tcPr>
          <w:p>
            <w:pPr>
              <w:spacing w:after="0"/>
              <w:rPr>
                <w:sz w:val="20"/>
                <w:szCs w:val="20"/>
                <w:color w:val="auto"/>
              </w:rPr>
            </w:pPr>
            <w:r>
              <w:rPr>
                <w:rFonts w:ascii="Arial" w:cs="Arial" w:eastAsia="Arial" w:hAnsi="Arial"/>
                <w:sz w:val="19"/>
                <w:szCs w:val="19"/>
                <w:color w:val="auto"/>
              </w:rPr>
              <w:t>Performance Materials and Technologies</w:t>
            </w:r>
          </w:p>
        </w:tc>
        <w:tc>
          <w:tcPr>
            <w:tcW w:w="16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191</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102</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101</w:t>
            </w:r>
          </w:p>
        </w:tc>
      </w:tr>
      <w:tr>
        <w:trPr>
          <w:trHeight w:val="243"/>
        </w:trPr>
        <w:tc>
          <w:tcPr>
            <w:tcW w:w="8860" w:type="dxa"/>
            <w:vAlign w:val="bottom"/>
          </w:tcPr>
          <w:p>
            <w:pPr>
              <w:spacing w:after="0"/>
              <w:rPr>
                <w:sz w:val="20"/>
                <w:szCs w:val="20"/>
                <w:color w:val="auto"/>
              </w:rPr>
            </w:pPr>
            <w:r>
              <w:rPr>
                <w:rFonts w:ascii="Arial" w:cs="Arial" w:eastAsia="Arial" w:hAnsi="Arial"/>
                <w:sz w:val="19"/>
                <w:szCs w:val="19"/>
                <w:color w:val="auto"/>
              </w:rPr>
              <w:t>Safety and Productivity Solutions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133</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51</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1</w:t>
            </w:r>
          </w:p>
        </w:tc>
      </w:tr>
      <w:tr>
        <w:trPr>
          <w:trHeight w:val="243"/>
        </w:trPr>
        <w:tc>
          <w:tcPr>
            <w:tcW w:w="8860" w:type="dxa"/>
            <w:vAlign w:val="bottom"/>
            <w:shd w:val="clear" w:color="auto" w:fill="E5FFFF"/>
          </w:tcPr>
          <w:p>
            <w:pPr>
              <w:spacing w:after="0"/>
              <w:rPr>
                <w:sz w:val="20"/>
                <w:szCs w:val="20"/>
                <w:color w:val="auto"/>
              </w:rPr>
            </w:pPr>
            <w:r>
              <w:rPr>
                <w:rFonts w:ascii="Arial" w:cs="Arial" w:eastAsia="Arial" w:hAnsi="Arial"/>
                <w:sz w:val="19"/>
                <w:szCs w:val="19"/>
                <w:color w:val="auto"/>
              </w:rPr>
              <w:t>Corporate</w:t>
            </w:r>
          </w:p>
        </w:tc>
        <w:tc>
          <w:tcPr>
            <w:tcW w:w="16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502</w:t>
            </w:r>
          </w:p>
        </w:tc>
        <w:tc>
          <w:tcPr>
            <w:tcW w:w="300" w:type="dxa"/>
            <w:vAlign w:val="bottom"/>
            <w:shd w:val="clear" w:color="auto" w:fill="E5FFFF"/>
          </w:tcPr>
          <w:p>
            <w:pPr>
              <w:spacing w:after="0"/>
              <w:rPr>
                <w:sz w:val="21"/>
                <w:szCs w:val="21"/>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494</w:t>
            </w:r>
          </w:p>
        </w:tc>
        <w:tc>
          <w:tcPr>
            <w:tcW w:w="320" w:type="dxa"/>
            <w:vAlign w:val="bottom"/>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267</w:t>
            </w:r>
          </w:p>
        </w:tc>
      </w:tr>
      <w:tr>
        <w:trPr>
          <w:trHeight w:val="250"/>
        </w:trPr>
        <w:tc>
          <w:tcPr>
            <w:tcW w:w="88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1,091</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$ 973</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$ 690</w:t>
            </w:r>
          </w:p>
        </w:tc>
      </w:tr>
      <w:tr>
        <w:trPr>
          <w:trHeight w:val="20"/>
        </w:trPr>
        <w:tc>
          <w:tcPr>
            <w:tcW w:w="8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In 2018, we recognized repositioning charges totaling $530 million including severance costs of $289 million related to workforce reductions of 6,486 manufacturing and administrative positions across our segments. The workforce reductions were primarily related to planned site closures, mainly in Safety and Productivity Solutions, Performance Materials and Technologies and Honeywell Building Technologies, as we transition manufacturing sites to more cost-effective locations. The workforce reductions were also related to our productivity and ongoing functional transformation initiatives. The repositioning charge included asset impairments of $162 million mainly related to manufacturing plant and equipment associated with planned site closures. Asset impairments also included the write-down of a legacy property in Corporate in connection with its planned disposition and the write-off of certain capitalized assets in Corporate. The repositioning charge included exit costs of $79 million primarily related to a termination fee associated with the early cancellation of a supply agreement for certain raw materials in Performance Materials and Technologies and for closure obligations associated with planned site closures.</w:t>
      </w:r>
    </w:p>
    <w:p>
      <w:pPr>
        <w:spacing w:after="0" w:line="93" w:lineRule="exact"/>
        <w:rPr>
          <w:sz w:val="20"/>
          <w:szCs w:val="20"/>
          <w:color w:val="auto"/>
        </w:rPr>
      </w:pPr>
    </w:p>
    <w:p>
      <w:pPr>
        <w:ind w:right="40" w:firstLine="357"/>
        <w:spacing w:after="0" w:line="253" w:lineRule="auto"/>
        <w:rPr>
          <w:sz w:val="20"/>
          <w:szCs w:val="20"/>
          <w:color w:val="auto"/>
        </w:rPr>
      </w:pPr>
      <w:r>
        <w:rPr>
          <w:rFonts w:ascii="Arial" w:cs="Arial" w:eastAsia="Arial" w:hAnsi="Arial"/>
          <w:sz w:val="19"/>
          <w:szCs w:val="19"/>
          <w:color w:val="auto"/>
        </w:rPr>
        <w:t>In 2017, we recognized repositioning charges totaling $507 million including severance costs of $305 million related to workforce reductions of 7,096 manufacturing and administrative positions across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120"/>
        <w:spacing w:after="0"/>
        <w:rPr>
          <w:sz w:val="20"/>
          <w:szCs w:val="20"/>
          <w:color w:val="auto"/>
        </w:rPr>
      </w:pPr>
      <w:r>
        <w:rPr>
          <w:rFonts w:ascii="Arial" w:cs="Arial" w:eastAsia="Arial" w:hAnsi="Arial"/>
          <w:sz w:val="19"/>
          <w:szCs w:val="19"/>
          <w:color w:val="auto"/>
        </w:rPr>
        <w:t>our segments. The workforce reductions were primarily related to cost savings actions taken in connection with our productivity and ongoing functional transformation initiatives and with site transitions, in each of our segments, to more cost-effective locations. The repositioning charge included asset impairments of $142 million principally in our Corporate segment related to the write-down of legacy properties and certain equipment in connection with their planned disposition and the write-down of a research and development facility in connection with a planned exit from such facility. The repositioning charge included exit costs of $60 million principally for closure obligations associated with site transitions in each of our segments and for lease exit obligations in our Corporate segment.</w:t>
      </w:r>
    </w:p>
    <w:p>
      <w:pPr>
        <w:spacing w:after="0" w:line="91"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In 2016, we recognized repositioning charges totaling $369 million including severance costs of $283 million related to workforce reductions of 6,585 manufacturing and administrative positions across our segments. The workforce reductions were primarily related to cost savings actions taken in connection with our productivity and ongoing functional transformation initiatives; the separation of the former Automation and Control Solutions reporting segment into two new reporting segments; site transitions in each of our segments to more cost-effective locations; and achieving acquisition-related synergies. The repositioning charge included asset impairments of $43 million principally related to the write-off of certain intangible assets in connection with the sale of a Performance Materials and Technologies business. The repositioning charge included exit costs of $ 43 million principally for expenses related to the spin-off of our AdvanSix business and closure obligations associated with site transitions. Also, $109 million of previously established accruals, primarily for severance, were returned to income as a result of higher attrition than anticipated in prior severance programs resulting in lower required severance payments, lower than expected severance costs in certain repositioning actions, and changes in scope of previously announced repositioning actions.</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status of our total repositioning reserves:</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Severance</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264"/>
              <w:spacing w:after="0"/>
              <w:rPr>
                <w:sz w:val="20"/>
                <w:szCs w:val="20"/>
                <w:color w:val="auto"/>
              </w:rPr>
            </w:pPr>
            <w:r>
              <w:rPr>
                <w:rFonts w:ascii="Arial" w:cs="Arial" w:eastAsia="Arial" w:hAnsi="Arial"/>
                <w:sz w:val="16"/>
                <w:szCs w:val="16"/>
                <w:b w:val="1"/>
                <w:bCs w:val="1"/>
                <w:color w:val="auto"/>
              </w:rPr>
              <w:t>Asset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ind w:right="24"/>
              <w:spacing w:after="0"/>
              <w:rPr>
                <w:sz w:val="20"/>
                <w:szCs w:val="20"/>
                <w:color w:val="auto"/>
              </w:rPr>
            </w:pPr>
            <w:r>
              <w:rPr>
                <w:rFonts w:ascii="Arial" w:cs="Arial" w:eastAsia="Arial" w:hAnsi="Arial"/>
                <w:sz w:val="16"/>
                <w:szCs w:val="16"/>
                <w:b w:val="1"/>
                <w:bCs w:val="1"/>
                <w:color w:val="auto"/>
                <w:w w:val="95"/>
              </w:rPr>
              <w:t>Exit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0"/>
        </w:trPr>
        <w:tc>
          <w:tcPr>
            <w:tcW w:w="6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b w:val="1"/>
                <w:bCs w:val="1"/>
                <w:color w:val="auto"/>
              </w:rPr>
              <w:t>Costs</w:t>
            </w:r>
          </w:p>
        </w:tc>
        <w:tc>
          <w:tcPr>
            <w:tcW w:w="30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6"/>
                <w:szCs w:val="16"/>
                <w:b w:val="1"/>
                <w:bCs w:val="1"/>
                <w:color w:val="auto"/>
              </w:rPr>
              <w:t>Impairments</w:t>
            </w:r>
          </w:p>
        </w:tc>
        <w:tc>
          <w:tcPr>
            <w:tcW w:w="300" w:type="dxa"/>
            <w:vAlign w:val="bottom"/>
          </w:tcPr>
          <w:p>
            <w:pPr>
              <w:spacing w:after="0"/>
              <w:rPr>
                <w:sz w:val="16"/>
                <w:szCs w:val="16"/>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Costs</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w w:val="94"/>
              </w:rPr>
              <w:t>Total</w:t>
            </w:r>
          </w:p>
        </w:tc>
      </w:tr>
      <w:tr>
        <w:trPr>
          <w:trHeight w:val="237"/>
        </w:trPr>
        <w:tc>
          <w:tcPr>
            <w:tcW w:w="616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2015</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6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329</w:t>
            </w:r>
          </w:p>
        </w:tc>
        <w:tc>
          <w:tcPr>
            <w:tcW w:w="54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350</w:t>
            </w:r>
          </w:p>
        </w:tc>
      </w:tr>
      <w:tr>
        <w:trPr>
          <w:trHeight w:val="243"/>
        </w:trPr>
        <w:tc>
          <w:tcPr>
            <w:tcW w:w="6160" w:type="dxa"/>
            <w:vAlign w:val="bottom"/>
          </w:tcPr>
          <w:p>
            <w:pPr>
              <w:ind w:left="180"/>
              <w:spacing w:after="0"/>
              <w:rPr>
                <w:sz w:val="20"/>
                <w:szCs w:val="20"/>
                <w:color w:val="auto"/>
              </w:rPr>
            </w:pPr>
            <w:r>
              <w:rPr>
                <w:rFonts w:ascii="Arial" w:cs="Arial" w:eastAsia="Arial" w:hAnsi="Arial"/>
                <w:sz w:val="19"/>
                <w:szCs w:val="19"/>
                <w:color w:val="auto"/>
              </w:rPr>
              <w:t>2016 charges</w:t>
            </w:r>
          </w:p>
        </w:tc>
        <w:tc>
          <w:tcPr>
            <w:tcW w:w="180" w:type="dxa"/>
            <w:vAlign w:val="bottom"/>
          </w:tcPr>
          <w:p>
            <w:pPr>
              <w:spacing w:after="0"/>
              <w:rPr>
                <w:sz w:val="21"/>
                <w:szCs w:val="21"/>
                <w:color w:val="auto"/>
              </w:rPr>
            </w:pPr>
          </w:p>
        </w:tc>
        <w:tc>
          <w:tcPr>
            <w:tcW w:w="760" w:type="dxa"/>
            <w:vAlign w:val="bottom"/>
          </w:tcPr>
          <w:p>
            <w:pPr>
              <w:jc w:val="right"/>
              <w:ind w:right="24"/>
              <w:spacing w:after="0"/>
              <w:rPr>
                <w:sz w:val="20"/>
                <w:szCs w:val="20"/>
                <w:color w:val="auto"/>
              </w:rPr>
            </w:pPr>
            <w:r>
              <w:rPr>
                <w:rFonts w:ascii="Arial" w:cs="Arial" w:eastAsia="Arial" w:hAnsi="Arial"/>
                <w:sz w:val="19"/>
                <w:szCs w:val="19"/>
                <w:color w:val="auto"/>
              </w:rPr>
              <w:t>283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64"/>
              <w:spacing w:after="0"/>
              <w:rPr>
                <w:sz w:val="20"/>
                <w:szCs w:val="20"/>
                <w:color w:val="auto"/>
              </w:rPr>
            </w:pPr>
            <w:r>
              <w:rPr>
                <w:rFonts w:ascii="Arial" w:cs="Arial" w:eastAsia="Arial" w:hAnsi="Arial"/>
                <w:sz w:val="19"/>
                <w:szCs w:val="19"/>
                <w:color w:val="auto"/>
              </w:rPr>
              <w:t>43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43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369</w:t>
            </w:r>
          </w:p>
        </w:tc>
      </w:tr>
      <w:tr>
        <w:trPr>
          <w:trHeight w:val="243"/>
        </w:trPr>
        <w:tc>
          <w:tcPr>
            <w:tcW w:w="61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2016 usage—cash</w:t>
            </w: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(203)</w:t>
            </w: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(228)</w:t>
            </w:r>
          </w:p>
        </w:tc>
      </w:tr>
      <w:tr>
        <w:trPr>
          <w:trHeight w:val="243"/>
        </w:trPr>
        <w:tc>
          <w:tcPr>
            <w:tcW w:w="6160" w:type="dxa"/>
            <w:vAlign w:val="bottom"/>
          </w:tcPr>
          <w:p>
            <w:pPr>
              <w:ind w:left="180"/>
              <w:spacing w:after="0"/>
              <w:rPr>
                <w:sz w:val="20"/>
                <w:szCs w:val="20"/>
                <w:color w:val="auto"/>
              </w:rPr>
            </w:pPr>
            <w:r>
              <w:rPr>
                <w:rFonts w:ascii="Arial" w:cs="Arial" w:eastAsia="Arial" w:hAnsi="Arial"/>
                <w:sz w:val="19"/>
                <w:szCs w:val="19"/>
                <w:color w:val="auto"/>
              </w:rPr>
              <w:t>2016 usage—noncash</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(6)</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(43)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(49)</w:t>
            </w:r>
          </w:p>
        </w:tc>
      </w:tr>
      <w:tr>
        <w:trPr>
          <w:trHeight w:val="243"/>
        </w:trPr>
        <w:tc>
          <w:tcPr>
            <w:tcW w:w="61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Adjustments</w:t>
            </w: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(106)</w:t>
            </w: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(109)</w:t>
            </w:r>
          </w:p>
        </w:tc>
      </w:tr>
      <w:tr>
        <w:trPr>
          <w:trHeight w:val="250"/>
        </w:trPr>
        <w:tc>
          <w:tcPr>
            <w:tcW w:w="6160" w:type="dxa"/>
            <w:vAlign w:val="bottom"/>
          </w:tcPr>
          <w:p>
            <w:pPr>
              <w:ind w:left="180"/>
              <w:spacing w:after="0"/>
              <w:rPr>
                <w:sz w:val="20"/>
                <w:szCs w:val="20"/>
                <w:color w:val="auto"/>
              </w:rPr>
            </w:pPr>
            <w:r>
              <w:rPr>
                <w:rFonts w:ascii="Arial" w:cs="Arial" w:eastAsia="Arial" w:hAnsi="Arial"/>
                <w:sz w:val="19"/>
                <w:szCs w:val="19"/>
                <w:color w:val="auto"/>
              </w:rPr>
              <w:t>Foreign currency translation</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r>
      <w:tr>
        <w:trPr>
          <w:trHeight w:val="243"/>
        </w:trPr>
        <w:tc>
          <w:tcPr>
            <w:tcW w:w="616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2016</w:t>
            </w:r>
          </w:p>
        </w:tc>
        <w:tc>
          <w:tcPr>
            <w:tcW w:w="180" w:type="dxa"/>
            <w:vAlign w:val="bottom"/>
            <w:tcBorders>
              <w:bottom w:val="single" w:sz="8" w:color="auto"/>
            </w:tcBorders>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ind w:right="24"/>
              <w:spacing w:after="0"/>
              <w:rPr>
                <w:sz w:val="20"/>
                <w:szCs w:val="20"/>
                <w:color w:val="auto"/>
              </w:rPr>
            </w:pPr>
            <w:r>
              <w:rPr>
                <w:rFonts w:ascii="Arial" w:cs="Arial" w:eastAsia="Arial" w:hAnsi="Arial"/>
                <w:sz w:val="19"/>
                <w:szCs w:val="19"/>
                <w:color w:val="auto"/>
              </w:rPr>
              <w:t>298</w:t>
            </w:r>
          </w:p>
        </w:tc>
        <w:tc>
          <w:tcPr>
            <w:tcW w:w="300" w:type="dxa"/>
            <w:vAlign w:val="bottom"/>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33</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331</w:t>
            </w:r>
          </w:p>
        </w:tc>
      </w:tr>
      <w:tr>
        <w:trPr>
          <w:trHeight w:val="250"/>
        </w:trPr>
        <w:tc>
          <w:tcPr>
            <w:tcW w:w="6160" w:type="dxa"/>
            <w:vAlign w:val="bottom"/>
          </w:tcPr>
          <w:p>
            <w:pPr>
              <w:ind w:left="180"/>
              <w:spacing w:after="0"/>
              <w:rPr>
                <w:sz w:val="20"/>
                <w:szCs w:val="20"/>
                <w:color w:val="auto"/>
              </w:rPr>
            </w:pPr>
            <w:r>
              <w:rPr>
                <w:rFonts w:ascii="Arial" w:cs="Arial" w:eastAsia="Arial" w:hAnsi="Arial"/>
                <w:sz w:val="19"/>
                <w:szCs w:val="19"/>
                <w:color w:val="auto"/>
              </w:rPr>
              <w:t>2017 charges</w:t>
            </w:r>
          </w:p>
        </w:tc>
        <w:tc>
          <w:tcPr>
            <w:tcW w:w="180" w:type="dxa"/>
            <w:vAlign w:val="bottom"/>
          </w:tcPr>
          <w:p>
            <w:pPr>
              <w:spacing w:after="0"/>
              <w:rPr>
                <w:sz w:val="21"/>
                <w:szCs w:val="21"/>
                <w:color w:val="auto"/>
              </w:rPr>
            </w:pPr>
          </w:p>
        </w:tc>
        <w:tc>
          <w:tcPr>
            <w:tcW w:w="760" w:type="dxa"/>
            <w:vAlign w:val="bottom"/>
          </w:tcPr>
          <w:p>
            <w:pPr>
              <w:jc w:val="right"/>
              <w:ind w:right="24"/>
              <w:spacing w:after="0"/>
              <w:rPr>
                <w:sz w:val="20"/>
                <w:szCs w:val="20"/>
                <w:color w:val="auto"/>
              </w:rPr>
            </w:pPr>
            <w:r>
              <w:rPr>
                <w:rFonts w:ascii="Arial" w:cs="Arial" w:eastAsia="Arial" w:hAnsi="Arial"/>
                <w:sz w:val="19"/>
                <w:szCs w:val="19"/>
                <w:color w:val="auto"/>
              </w:rPr>
              <w:t>305</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64"/>
              <w:spacing w:after="0"/>
              <w:rPr>
                <w:sz w:val="20"/>
                <w:szCs w:val="20"/>
                <w:color w:val="auto"/>
              </w:rPr>
            </w:pPr>
            <w:r>
              <w:rPr>
                <w:rFonts w:ascii="Arial" w:cs="Arial" w:eastAsia="Arial" w:hAnsi="Arial"/>
                <w:sz w:val="19"/>
                <w:szCs w:val="19"/>
                <w:color w:val="auto"/>
              </w:rPr>
              <w:t>142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60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507</w:t>
            </w:r>
          </w:p>
        </w:tc>
      </w:tr>
      <w:tr>
        <w:trPr>
          <w:trHeight w:val="243"/>
        </w:trPr>
        <w:tc>
          <w:tcPr>
            <w:tcW w:w="61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2017 usage—cash</w:t>
            </w: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(163)</w:t>
            </w: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(177)</w:t>
            </w:r>
          </w:p>
        </w:tc>
      </w:tr>
      <w:tr>
        <w:trPr>
          <w:trHeight w:val="243"/>
        </w:trPr>
        <w:tc>
          <w:tcPr>
            <w:tcW w:w="6160" w:type="dxa"/>
            <w:vAlign w:val="bottom"/>
          </w:tcPr>
          <w:p>
            <w:pPr>
              <w:ind w:left="180"/>
              <w:spacing w:after="0"/>
              <w:rPr>
                <w:sz w:val="20"/>
                <w:szCs w:val="20"/>
                <w:color w:val="auto"/>
              </w:rPr>
            </w:pPr>
            <w:r>
              <w:rPr>
                <w:rFonts w:ascii="Arial" w:cs="Arial" w:eastAsia="Arial" w:hAnsi="Arial"/>
                <w:sz w:val="19"/>
                <w:szCs w:val="19"/>
                <w:color w:val="auto"/>
              </w:rPr>
              <w:t>2017 usage—noncash</w:t>
            </w:r>
          </w:p>
        </w:tc>
        <w:tc>
          <w:tcPr>
            <w:tcW w:w="180" w:type="dxa"/>
            <w:vAlign w:val="bottom"/>
          </w:tcPr>
          <w:p>
            <w:pPr>
              <w:spacing w:after="0"/>
              <w:rPr>
                <w:sz w:val="21"/>
                <w:szCs w:val="21"/>
                <w:color w:val="auto"/>
              </w:rPr>
            </w:pPr>
          </w:p>
        </w:tc>
        <w:tc>
          <w:tcPr>
            <w:tcW w:w="76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(142)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(142)</w:t>
            </w:r>
          </w:p>
        </w:tc>
      </w:tr>
      <w:tr>
        <w:trPr>
          <w:trHeight w:val="243"/>
        </w:trPr>
        <w:tc>
          <w:tcPr>
            <w:tcW w:w="61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Adjustments and reclassifications</w:t>
            </w: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w:t>
            </w: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w:t>
            </w:r>
          </w:p>
        </w:tc>
      </w:tr>
      <w:tr>
        <w:trPr>
          <w:trHeight w:val="250"/>
        </w:trPr>
        <w:tc>
          <w:tcPr>
            <w:tcW w:w="6160" w:type="dxa"/>
            <w:vAlign w:val="bottom"/>
          </w:tcPr>
          <w:p>
            <w:pPr>
              <w:ind w:left="180"/>
              <w:spacing w:after="0"/>
              <w:rPr>
                <w:sz w:val="20"/>
                <w:szCs w:val="20"/>
                <w:color w:val="auto"/>
              </w:rPr>
            </w:pPr>
            <w:r>
              <w:rPr>
                <w:rFonts w:ascii="Arial" w:cs="Arial" w:eastAsia="Arial" w:hAnsi="Arial"/>
                <w:sz w:val="19"/>
                <w:szCs w:val="19"/>
                <w:color w:val="auto"/>
              </w:rPr>
              <w:t>Foreign currency translation</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15</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17</w:t>
            </w:r>
          </w:p>
        </w:tc>
      </w:tr>
      <w:tr>
        <w:trPr>
          <w:trHeight w:val="243"/>
        </w:trPr>
        <w:tc>
          <w:tcPr>
            <w:tcW w:w="616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2017</w:t>
            </w:r>
          </w:p>
        </w:tc>
        <w:tc>
          <w:tcPr>
            <w:tcW w:w="180" w:type="dxa"/>
            <w:vAlign w:val="bottom"/>
            <w:tcBorders>
              <w:bottom w:val="single" w:sz="8" w:color="auto"/>
            </w:tcBorders>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ind w:right="24"/>
              <w:spacing w:after="0"/>
              <w:rPr>
                <w:sz w:val="20"/>
                <w:szCs w:val="20"/>
                <w:color w:val="auto"/>
              </w:rPr>
            </w:pPr>
            <w:r>
              <w:rPr>
                <w:rFonts w:ascii="Arial" w:cs="Arial" w:eastAsia="Arial" w:hAnsi="Arial"/>
                <w:sz w:val="19"/>
                <w:szCs w:val="19"/>
                <w:color w:val="auto"/>
              </w:rPr>
              <w:t>442</w:t>
            </w:r>
          </w:p>
        </w:tc>
        <w:tc>
          <w:tcPr>
            <w:tcW w:w="300" w:type="dxa"/>
            <w:vAlign w:val="bottom"/>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71</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513</w:t>
            </w:r>
          </w:p>
        </w:tc>
      </w:tr>
      <w:tr>
        <w:trPr>
          <w:trHeight w:val="250"/>
        </w:trPr>
        <w:tc>
          <w:tcPr>
            <w:tcW w:w="6160" w:type="dxa"/>
            <w:vAlign w:val="bottom"/>
          </w:tcPr>
          <w:p>
            <w:pPr>
              <w:ind w:left="180"/>
              <w:spacing w:after="0"/>
              <w:rPr>
                <w:sz w:val="20"/>
                <w:szCs w:val="20"/>
                <w:color w:val="auto"/>
              </w:rPr>
            </w:pPr>
            <w:r>
              <w:rPr>
                <w:rFonts w:ascii="Arial" w:cs="Arial" w:eastAsia="Arial" w:hAnsi="Arial"/>
                <w:sz w:val="19"/>
                <w:szCs w:val="19"/>
                <w:color w:val="auto"/>
              </w:rPr>
              <w:t>2018 charges</w:t>
            </w:r>
          </w:p>
        </w:tc>
        <w:tc>
          <w:tcPr>
            <w:tcW w:w="180" w:type="dxa"/>
            <w:vAlign w:val="bottom"/>
          </w:tcPr>
          <w:p>
            <w:pPr>
              <w:spacing w:after="0"/>
              <w:rPr>
                <w:sz w:val="21"/>
                <w:szCs w:val="21"/>
                <w:color w:val="auto"/>
              </w:rPr>
            </w:pPr>
          </w:p>
        </w:tc>
        <w:tc>
          <w:tcPr>
            <w:tcW w:w="760" w:type="dxa"/>
            <w:vAlign w:val="bottom"/>
          </w:tcPr>
          <w:p>
            <w:pPr>
              <w:jc w:val="right"/>
              <w:ind w:right="24"/>
              <w:spacing w:after="0"/>
              <w:rPr>
                <w:sz w:val="20"/>
                <w:szCs w:val="20"/>
                <w:color w:val="auto"/>
              </w:rPr>
            </w:pPr>
            <w:r>
              <w:rPr>
                <w:rFonts w:ascii="Arial" w:cs="Arial" w:eastAsia="Arial" w:hAnsi="Arial"/>
                <w:sz w:val="19"/>
                <w:szCs w:val="19"/>
                <w:color w:val="auto"/>
              </w:rPr>
              <w:t>289</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64"/>
              <w:spacing w:after="0"/>
              <w:rPr>
                <w:sz w:val="20"/>
                <w:szCs w:val="20"/>
                <w:color w:val="auto"/>
              </w:rPr>
            </w:pPr>
            <w:r>
              <w:rPr>
                <w:rFonts w:ascii="Arial" w:cs="Arial" w:eastAsia="Arial" w:hAnsi="Arial"/>
                <w:sz w:val="19"/>
                <w:szCs w:val="19"/>
                <w:color w:val="auto"/>
              </w:rPr>
              <w:t>162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79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530</w:t>
            </w:r>
          </w:p>
        </w:tc>
      </w:tr>
      <w:tr>
        <w:trPr>
          <w:trHeight w:val="243"/>
        </w:trPr>
        <w:tc>
          <w:tcPr>
            <w:tcW w:w="61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2018 usage—cash</w:t>
            </w: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(218)</w:t>
            </w: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(285)</w:t>
            </w:r>
          </w:p>
        </w:tc>
      </w:tr>
      <w:tr>
        <w:trPr>
          <w:trHeight w:val="243"/>
        </w:trPr>
        <w:tc>
          <w:tcPr>
            <w:tcW w:w="6160" w:type="dxa"/>
            <w:vAlign w:val="bottom"/>
          </w:tcPr>
          <w:p>
            <w:pPr>
              <w:ind w:left="180"/>
              <w:spacing w:after="0"/>
              <w:rPr>
                <w:sz w:val="20"/>
                <w:szCs w:val="20"/>
                <w:color w:val="auto"/>
              </w:rPr>
            </w:pPr>
            <w:r>
              <w:rPr>
                <w:rFonts w:ascii="Arial" w:cs="Arial" w:eastAsia="Arial" w:hAnsi="Arial"/>
                <w:sz w:val="19"/>
                <w:szCs w:val="19"/>
                <w:color w:val="auto"/>
              </w:rPr>
              <w:t>2018 usage—noncash</w:t>
            </w:r>
          </w:p>
        </w:tc>
        <w:tc>
          <w:tcPr>
            <w:tcW w:w="180" w:type="dxa"/>
            <w:vAlign w:val="bottom"/>
          </w:tcPr>
          <w:p>
            <w:pPr>
              <w:spacing w:after="0"/>
              <w:rPr>
                <w:sz w:val="21"/>
                <w:szCs w:val="21"/>
                <w:color w:val="auto"/>
              </w:rPr>
            </w:pPr>
          </w:p>
        </w:tc>
        <w:tc>
          <w:tcPr>
            <w:tcW w:w="76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(163)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(163)</w:t>
            </w:r>
          </w:p>
        </w:tc>
      </w:tr>
      <w:tr>
        <w:trPr>
          <w:trHeight w:val="243"/>
        </w:trPr>
        <w:tc>
          <w:tcPr>
            <w:tcW w:w="61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Divestitures</w:t>
            </w: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w:t>
            </w: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w:t>
            </w:r>
          </w:p>
        </w:tc>
      </w:tr>
      <w:tr>
        <w:trPr>
          <w:trHeight w:val="243"/>
        </w:trPr>
        <w:tc>
          <w:tcPr>
            <w:tcW w:w="6160" w:type="dxa"/>
            <w:vAlign w:val="bottom"/>
          </w:tcPr>
          <w:p>
            <w:pPr>
              <w:ind w:left="180"/>
              <w:spacing w:after="0"/>
              <w:rPr>
                <w:sz w:val="20"/>
                <w:szCs w:val="20"/>
                <w:color w:val="auto"/>
              </w:rPr>
            </w:pPr>
            <w:r>
              <w:rPr>
                <w:rFonts w:ascii="Arial" w:cs="Arial" w:eastAsia="Arial" w:hAnsi="Arial"/>
                <w:sz w:val="19"/>
                <w:szCs w:val="19"/>
                <w:color w:val="auto"/>
              </w:rPr>
              <w:t>Adjustments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(8)</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64"/>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43"/>
        </w:trPr>
        <w:tc>
          <w:tcPr>
            <w:tcW w:w="61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Foreign currency translation</w:t>
            </w:r>
          </w:p>
        </w:tc>
        <w:tc>
          <w:tcPr>
            <w:tcW w:w="180" w:type="dxa"/>
            <w:vAlign w:val="bottom"/>
            <w:tcBorders>
              <w:bottom w:val="single" w:sz="8" w:color="auto"/>
            </w:tcBorders>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w:t>
            </w:r>
          </w:p>
        </w:tc>
        <w:tc>
          <w:tcPr>
            <w:tcW w:w="300" w:type="dxa"/>
            <w:vAlign w:val="bottom"/>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w:t>
            </w:r>
          </w:p>
        </w:tc>
      </w:tr>
      <w:tr>
        <w:trPr>
          <w:trHeight w:val="250"/>
        </w:trPr>
        <w:tc>
          <w:tcPr>
            <w:tcW w:w="6160" w:type="dxa"/>
            <w:vAlign w:val="bottom"/>
          </w:tcPr>
          <w:p>
            <w:pPr>
              <w:spacing w:after="0"/>
              <w:rPr>
                <w:sz w:val="20"/>
                <w:szCs w:val="20"/>
                <w:color w:val="auto"/>
              </w:rPr>
            </w:pPr>
            <w:r>
              <w:rPr>
                <w:rFonts w:ascii="Arial" w:cs="Arial" w:eastAsia="Arial" w:hAnsi="Arial"/>
                <w:sz w:val="19"/>
                <w:szCs w:val="19"/>
                <w:color w:val="auto"/>
              </w:rPr>
              <w:t>Balance at December 31, 2018</w:t>
            </w: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60" w:type="dxa"/>
            <w:vAlign w:val="bottom"/>
          </w:tcPr>
          <w:p>
            <w:pPr>
              <w:jc w:val="right"/>
              <w:ind w:right="24"/>
              <w:spacing w:after="0"/>
              <w:rPr>
                <w:sz w:val="20"/>
                <w:szCs w:val="20"/>
                <w:color w:val="auto"/>
              </w:rPr>
            </w:pPr>
            <w:r>
              <w:rPr>
                <w:rFonts w:ascii="Arial" w:cs="Arial" w:eastAsia="Arial" w:hAnsi="Arial"/>
                <w:sz w:val="19"/>
                <w:szCs w:val="19"/>
                <w:color w:val="auto"/>
              </w:rPr>
              <w:t>489</w:t>
            </w:r>
          </w:p>
        </w:tc>
        <w:tc>
          <w:tcPr>
            <w:tcW w:w="540" w:type="dxa"/>
            <w:vAlign w:val="bottom"/>
            <w:gridSpan w:val="2"/>
          </w:tcPr>
          <w:p>
            <w:pPr>
              <w:jc w:val="right"/>
              <w:ind w:right="41"/>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64"/>
              <w:spacing w:after="0"/>
              <w:rPr>
                <w:sz w:val="20"/>
                <w:szCs w:val="20"/>
                <w:color w:val="auto"/>
              </w:rPr>
            </w:pPr>
            <w:r>
              <w:rPr>
                <w:rFonts w:ascii="Arial" w:cs="Arial" w:eastAsia="Arial" w:hAnsi="Arial"/>
                <w:sz w:val="19"/>
                <w:szCs w:val="19"/>
                <w:color w:val="auto"/>
              </w:rPr>
              <w:t>—</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77</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566</w:t>
            </w:r>
          </w:p>
        </w:tc>
      </w:tr>
      <w:tr>
        <w:trPr>
          <w:trHeight w:val="20"/>
        </w:trPr>
        <w:tc>
          <w:tcPr>
            <w:tcW w:w="6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560" w:firstLine="357"/>
        <w:spacing w:after="0" w:line="253" w:lineRule="auto"/>
        <w:rPr>
          <w:sz w:val="20"/>
          <w:szCs w:val="20"/>
          <w:color w:val="auto"/>
        </w:rPr>
      </w:pPr>
      <w:r>
        <w:rPr>
          <w:rFonts w:ascii="Arial" w:cs="Arial" w:eastAsia="Arial" w:hAnsi="Arial"/>
          <w:sz w:val="19"/>
          <w:szCs w:val="19"/>
          <w:color w:val="auto"/>
        </w:rPr>
        <w:t>Certain repositioning projects will recognize exit costs in future periods when the actual liability is incurred. Such exit costs incurred in 2018, 2017 and 2016 were not significant.</w:t>
      </w:r>
    </w:p>
    <w:p>
      <w:pPr>
        <w:spacing w:after="0" w:line="80" w:lineRule="exact"/>
        <w:rPr>
          <w:sz w:val="20"/>
          <w:szCs w:val="20"/>
          <w:color w:val="auto"/>
        </w:rPr>
      </w:pPr>
    </w:p>
    <w:p>
      <w:pPr>
        <w:ind w:right="260" w:firstLine="357"/>
        <w:spacing w:after="0" w:line="253" w:lineRule="auto"/>
        <w:rPr>
          <w:sz w:val="20"/>
          <w:szCs w:val="20"/>
          <w:color w:val="auto"/>
        </w:rPr>
      </w:pPr>
      <w:r>
        <w:rPr>
          <w:rFonts w:ascii="Arial" w:cs="Arial" w:eastAsia="Arial" w:hAnsi="Arial"/>
          <w:sz w:val="19"/>
          <w:szCs w:val="19"/>
          <w:color w:val="auto"/>
        </w:rPr>
        <w:t>In 2018, the other charge of $63 million mainly relates to reserves taken due to the required wind-down of our activities in Iran and the evaluation of potential resolution of a certain legal matter.</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58" w:right="279" w:bottom="1440" w:gutter="0" w:footer="0" w:header="0"/>
        </w:sectPr>
      </w:pPr>
    </w:p>
    <w:bookmarkStart w:id="51" w:name="page52"/>
    <w:bookmarkEnd w:id="5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4. Other (Income) Expense</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345"/>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7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5"/>
              <w:spacing w:after="0" w:line="169" w:lineRule="exact"/>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5"/>
              <w:spacing w:after="0" w:line="169" w:lineRule="exact"/>
              <w:rPr>
                <w:sz w:val="20"/>
                <w:szCs w:val="20"/>
                <w:color w:val="auto"/>
              </w:rPr>
            </w:pPr>
            <w:r>
              <w:rPr>
                <w:rFonts w:ascii="Arial" w:cs="Arial" w:eastAsia="Arial" w:hAnsi="Arial"/>
                <w:sz w:val="16"/>
                <w:szCs w:val="16"/>
                <w:b w:val="1"/>
                <w:bCs w:val="1"/>
                <w:color w:val="auto"/>
              </w:rPr>
              <w:t>2016</w:t>
            </w:r>
          </w:p>
        </w:tc>
      </w:tr>
      <w:tr>
        <w:trPr>
          <w:trHeight w:val="210"/>
        </w:trPr>
        <w:tc>
          <w:tcPr>
            <w:tcW w:w="74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Interest income</w:t>
            </w:r>
          </w:p>
        </w:tc>
        <w:tc>
          <w:tcPr>
            <w:tcW w:w="18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w w:val="94"/>
              </w:rPr>
              <w:t>$</w:t>
            </w:r>
          </w:p>
        </w:tc>
        <w:tc>
          <w:tcPr>
            <w:tcW w:w="68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(217)</w:t>
            </w:r>
          </w:p>
        </w:tc>
        <w:tc>
          <w:tcPr>
            <w:tcW w:w="460" w:type="dxa"/>
            <w:vAlign w:val="bottom"/>
            <w:gridSpan w:val="2"/>
            <w:shd w:val="clear" w:color="auto" w:fill="E5FFFF"/>
          </w:tcPr>
          <w:p>
            <w:pPr>
              <w:jc w:val="right"/>
              <w:ind w:right="20"/>
              <w:spacing w:after="0" w:line="210" w:lineRule="exact"/>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(151)</w:t>
            </w:r>
          </w:p>
        </w:tc>
        <w:tc>
          <w:tcPr>
            <w:tcW w:w="480" w:type="dxa"/>
            <w:vAlign w:val="bottom"/>
            <w:gridSpan w:val="2"/>
            <w:shd w:val="clear" w:color="auto" w:fill="E5FFFF"/>
          </w:tcPr>
          <w:p>
            <w:pPr>
              <w:jc w:val="right"/>
              <w:ind w:right="40"/>
              <w:spacing w:after="0" w:line="210" w:lineRule="exact"/>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(106)</w:t>
            </w:r>
          </w:p>
        </w:tc>
      </w:tr>
      <w:tr>
        <w:trPr>
          <w:trHeight w:val="243"/>
        </w:trPr>
        <w:tc>
          <w:tcPr>
            <w:tcW w:w="7480" w:type="dxa"/>
            <w:vAlign w:val="bottom"/>
          </w:tcPr>
          <w:p>
            <w:pPr>
              <w:spacing w:after="0"/>
              <w:rPr>
                <w:sz w:val="20"/>
                <w:szCs w:val="20"/>
                <w:color w:val="auto"/>
              </w:rPr>
            </w:pPr>
            <w:r>
              <w:rPr>
                <w:rFonts w:ascii="Arial" w:cs="Arial" w:eastAsia="Arial" w:hAnsi="Arial"/>
                <w:sz w:val="19"/>
                <w:szCs w:val="19"/>
                <w:color w:val="auto"/>
              </w:rPr>
              <w:t>Pension ongoing income—non-service</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(1,165)</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(875)</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(605)</w:t>
            </w:r>
          </w:p>
        </w:tc>
      </w:tr>
      <w:tr>
        <w:trPr>
          <w:trHeight w:val="243"/>
        </w:trPr>
        <w:tc>
          <w:tcPr>
            <w:tcW w:w="7480" w:type="dxa"/>
            <w:vAlign w:val="bottom"/>
            <w:shd w:val="clear" w:color="auto" w:fill="E5FFFF"/>
          </w:tcPr>
          <w:p>
            <w:pPr>
              <w:spacing w:after="0"/>
              <w:rPr>
                <w:sz w:val="20"/>
                <w:szCs w:val="20"/>
                <w:color w:val="auto"/>
              </w:rPr>
            </w:pPr>
            <w:r>
              <w:rPr>
                <w:rFonts w:ascii="Arial" w:cs="Arial" w:eastAsia="Arial" w:hAnsi="Arial"/>
                <w:sz w:val="19"/>
                <w:szCs w:val="19"/>
                <w:color w:val="auto"/>
              </w:rPr>
              <w:t>Other postretirement income—non-service</w:t>
            </w:r>
          </w:p>
        </w:tc>
        <w:tc>
          <w:tcPr>
            <w:tcW w:w="1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w:t>
            </w:r>
          </w:p>
        </w:tc>
      </w:tr>
      <w:tr>
        <w:trPr>
          <w:trHeight w:val="243"/>
        </w:trPr>
        <w:tc>
          <w:tcPr>
            <w:tcW w:w="7480" w:type="dxa"/>
            <w:vAlign w:val="bottom"/>
          </w:tcPr>
          <w:p>
            <w:pPr>
              <w:spacing w:after="0"/>
              <w:rPr>
                <w:sz w:val="20"/>
                <w:szCs w:val="20"/>
                <w:color w:val="auto"/>
              </w:rPr>
            </w:pPr>
            <w:r>
              <w:rPr>
                <w:rFonts w:ascii="Arial" w:cs="Arial" w:eastAsia="Arial" w:hAnsi="Arial"/>
                <w:sz w:val="19"/>
                <w:szCs w:val="19"/>
                <w:color w:val="auto"/>
              </w:rPr>
              <w:t>Equity income of affiliated companies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(50)</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(39)</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243"/>
        </w:trPr>
        <w:tc>
          <w:tcPr>
            <w:tcW w:w="7480" w:type="dxa"/>
            <w:vAlign w:val="bottom"/>
            <w:shd w:val="clear" w:color="auto" w:fill="E5FFFF"/>
          </w:tcPr>
          <w:p>
            <w:pPr>
              <w:spacing w:after="0"/>
              <w:rPr>
                <w:sz w:val="20"/>
                <w:szCs w:val="20"/>
                <w:color w:val="auto"/>
              </w:rPr>
            </w:pPr>
            <w:r>
              <w:rPr>
                <w:rFonts w:ascii="Arial" w:cs="Arial" w:eastAsia="Arial" w:hAnsi="Arial"/>
                <w:sz w:val="19"/>
                <w:szCs w:val="19"/>
                <w:color w:val="auto"/>
              </w:rPr>
              <w:t>Loss (gain) on sale of non-strategic business and assets</w:t>
            </w:r>
          </w:p>
        </w:tc>
        <w:tc>
          <w:tcPr>
            <w:tcW w:w="1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(178)</w:t>
            </w:r>
          </w:p>
        </w:tc>
      </w:tr>
      <w:tr>
        <w:trPr>
          <w:trHeight w:val="243"/>
        </w:trPr>
        <w:tc>
          <w:tcPr>
            <w:tcW w:w="7480" w:type="dxa"/>
            <w:vAlign w:val="bottom"/>
          </w:tcPr>
          <w:p>
            <w:pPr>
              <w:spacing w:after="0"/>
              <w:rPr>
                <w:sz w:val="20"/>
                <w:szCs w:val="20"/>
                <w:color w:val="auto"/>
              </w:rPr>
            </w:pPr>
            <w:r>
              <w:rPr>
                <w:rFonts w:ascii="Arial" w:cs="Arial" w:eastAsia="Arial" w:hAnsi="Arial"/>
                <w:sz w:val="19"/>
                <w:szCs w:val="19"/>
                <w:color w:val="auto"/>
              </w:rPr>
              <w:t>Foreign exchange</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(63)</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18</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ind w:right="5"/>
              <w:spacing w:after="0"/>
              <w:rPr>
                <w:sz w:val="20"/>
                <w:szCs w:val="20"/>
                <w:color w:val="auto"/>
              </w:rPr>
            </w:pPr>
            <w:r>
              <w:rPr>
                <w:rFonts w:ascii="Arial" w:cs="Arial" w:eastAsia="Arial" w:hAnsi="Arial"/>
                <w:sz w:val="19"/>
                <w:szCs w:val="19"/>
                <w:color w:val="auto"/>
              </w:rPr>
              <w:t>12</w:t>
            </w:r>
          </w:p>
        </w:tc>
      </w:tr>
      <w:tr>
        <w:trPr>
          <w:trHeight w:val="243"/>
        </w:trPr>
        <w:tc>
          <w:tcPr>
            <w:tcW w:w="7480" w:type="dxa"/>
            <w:vAlign w:val="bottom"/>
            <w:shd w:val="clear" w:color="auto" w:fill="E5FFFF"/>
          </w:tcPr>
          <w:p>
            <w:pPr>
              <w:spacing w:after="0"/>
              <w:rPr>
                <w:sz w:val="20"/>
                <w:szCs w:val="20"/>
                <w:color w:val="auto"/>
              </w:rPr>
            </w:pPr>
            <w:r>
              <w:rPr>
                <w:rFonts w:ascii="Arial" w:cs="Arial" w:eastAsia="Arial" w:hAnsi="Arial"/>
                <w:sz w:val="19"/>
                <w:szCs w:val="19"/>
                <w:color w:val="auto"/>
              </w:rPr>
              <w:t>Separation costs</w:t>
            </w:r>
          </w:p>
        </w:tc>
        <w:tc>
          <w:tcPr>
            <w:tcW w:w="1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321</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w:t>
            </w:r>
          </w:p>
        </w:tc>
      </w:tr>
      <w:tr>
        <w:trPr>
          <w:trHeight w:val="250"/>
        </w:trPr>
        <w:tc>
          <w:tcPr>
            <w:tcW w:w="7480" w:type="dxa"/>
            <w:vAlign w:val="bottom"/>
          </w:tcPr>
          <w:p>
            <w:pPr>
              <w:spacing w:after="0"/>
              <w:rPr>
                <w:sz w:val="20"/>
                <w:szCs w:val="20"/>
                <w:color w:val="auto"/>
              </w:rPr>
            </w:pPr>
            <w:r>
              <w:rPr>
                <w:rFonts w:ascii="Arial" w:cs="Arial" w:eastAsia="Arial" w:hAnsi="Arial"/>
                <w:sz w:val="19"/>
                <w:szCs w:val="19"/>
                <w:color w:val="auto"/>
              </w:rPr>
              <w:t>Other (net)</w:t>
            </w: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57</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82</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201</w:t>
            </w:r>
          </w:p>
        </w:tc>
      </w:tr>
      <w:tr>
        <w:trPr>
          <w:trHeight w:val="216"/>
        </w:trPr>
        <w:tc>
          <w:tcPr>
            <w:tcW w:w="7480" w:type="dxa"/>
            <w:vAlign w:val="bottom"/>
            <w:shd w:val="clear" w:color="auto" w:fill="E5FFFF"/>
          </w:tcPr>
          <w:p>
            <w:pPr>
              <w:spacing w:after="0"/>
              <w:rPr>
                <w:sz w:val="18"/>
                <w:szCs w:val="18"/>
                <w:color w:val="auto"/>
              </w:rPr>
            </w:pPr>
          </w:p>
        </w:tc>
        <w:tc>
          <w:tcPr>
            <w:tcW w:w="18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w w:val="94"/>
              </w:rPr>
              <w:t>$</w:t>
            </w:r>
          </w:p>
        </w:tc>
        <w:tc>
          <w:tcPr>
            <w:tcW w:w="68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(1,149)</w:t>
            </w:r>
          </w:p>
        </w:tc>
        <w:tc>
          <w:tcPr>
            <w:tcW w:w="460" w:type="dxa"/>
            <w:vAlign w:val="bottom"/>
            <w:gridSpan w:val="2"/>
            <w:shd w:val="clear" w:color="auto" w:fill="E5FFFF"/>
          </w:tcPr>
          <w:p>
            <w:pPr>
              <w:jc w:val="right"/>
              <w:ind w:right="20"/>
              <w:spacing w:after="0" w:line="216" w:lineRule="exact"/>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(963)</w:t>
            </w:r>
          </w:p>
        </w:tc>
        <w:tc>
          <w:tcPr>
            <w:tcW w:w="480" w:type="dxa"/>
            <w:vAlign w:val="bottom"/>
            <w:gridSpan w:val="2"/>
            <w:shd w:val="clear" w:color="auto" w:fill="E5FFFF"/>
          </w:tcPr>
          <w:p>
            <w:pPr>
              <w:jc w:val="right"/>
              <w:ind w:right="40"/>
              <w:spacing w:after="0" w:line="216" w:lineRule="exact"/>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(739)</w:t>
            </w:r>
          </w:p>
        </w:tc>
      </w:tr>
      <w:tr>
        <w:trPr>
          <w:trHeight w:val="20"/>
        </w:trPr>
        <w:tc>
          <w:tcPr>
            <w:tcW w:w="7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260" w:firstLine="357"/>
        <w:spacing w:after="0" w:line="253" w:lineRule="auto"/>
        <w:rPr>
          <w:sz w:val="20"/>
          <w:szCs w:val="20"/>
          <w:color w:val="auto"/>
        </w:rPr>
      </w:pPr>
      <w:r>
        <w:rPr>
          <w:rFonts w:ascii="Arial" w:cs="Arial" w:eastAsia="Arial" w:hAnsi="Arial"/>
          <w:sz w:val="19"/>
          <w:szCs w:val="19"/>
          <w:color w:val="auto"/>
        </w:rPr>
        <w:t>Separation costs are associated with the spin-offs of our Homes and Global Distribution business and Transportation Systems business, and are primarily associated with third party services.</w:t>
      </w:r>
    </w:p>
    <w:p>
      <w:pPr>
        <w:spacing w:after="0" w:line="80" w:lineRule="exact"/>
        <w:rPr>
          <w:sz w:val="20"/>
          <w:szCs w:val="20"/>
          <w:color w:val="auto"/>
        </w:rPr>
      </w:pPr>
    </w:p>
    <w:p>
      <w:pPr>
        <w:ind w:right="60" w:firstLine="357"/>
        <w:spacing w:after="0" w:line="253" w:lineRule="auto"/>
        <w:rPr>
          <w:sz w:val="20"/>
          <w:szCs w:val="20"/>
          <w:color w:val="auto"/>
        </w:rPr>
      </w:pPr>
      <w:r>
        <w:rPr>
          <w:rFonts w:ascii="Arial" w:cs="Arial" w:eastAsia="Arial" w:hAnsi="Arial"/>
          <w:sz w:val="19"/>
          <w:szCs w:val="19"/>
          <w:color w:val="auto"/>
        </w:rPr>
        <w:t>For the year ended December 31, 2018 and 2017, Other (net) includes asset impairments in Corporate related to the write-down of a legacy property in connection with its planned disposition. See Note 3 Repositioning and Other Charges.</w:t>
      </w:r>
    </w:p>
    <w:p>
      <w:pPr>
        <w:spacing w:after="0" w:line="80" w:lineRule="exact"/>
        <w:rPr>
          <w:sz w:val="20"/>
          <w:szCs w:val="20"/>
          <w:color w:val="auto"/>
        </w:rPr>
      </w:pPr>
    </w:p>
    <w:p>
      <w:pPr>
        <w:ind w:right="920" w:firstLine="357"/>
        <w:spacing w:after="0" w:line="253" w:lineRule="auto"/>
        <w:rPr>
          <w:sz w:val="20"/>
          <w:szCs w:val="20"/>
          <w:color w:val="auto"/>
        </w:rPr>
      </w:pPr>
      <w:r>
        <w:rPr>
          <w:rFonts w:ascii="Arial" w:cs="Arial" w:eastAsia="Arial" w:hAnsi="Arial"/>
          <w:sz w:val="19"/>
          <w:szCs w:val="19"/>
          <w:color w:val="auto"/>
        </w:rPr>
        <w:t>Refer to Note 2 Acquisitions and Divestitures and Note 13 Long-term Debt and Credit Agreements for further details of transactions recognized in 2016 within Other (income) expense.</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before taxes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11"/>
          </w:tcPr>
          <w:p>
            <w:pPr>
              <w:jc w:val="right"/>
              <w:ind w:right="366"/>
              <w:spacing w:after="0"/>
              <w:rPr>
                <w:sz w:val="20"/>
                <w:szCs w:val="20"/>
                <w:color w:val="auto"/>
              </w:rPr>
            </w:pPr>
            <w:r>
              <w:rPr>
                <w:rFonts w:ascii="Arial" w:cs="Arial" w:eastAsia="Arial" w:hAnsi="Arial"/>
                <w:sz w:val="16"/>
                <w:szCs w:val="16"/>
                <w:b w:val="1"/>
                <w:bCs w:val="1"/>
                <w:color w:val="auto"/>
              </w:rPr>
              <w:t>Years Ended December 31,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8"/>
              <w:spacing w:after="0" w:line="169"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6"/>
              <w:spacing w:after="0" w:line="169" w:lineRule="exact"/>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3960" w:type="dxa"/>
            <w:vAlign w:val="bottom"/>
            <w:shd w:val="clear" w:color="auto" w:fill="E5FFFF"/>
          </w:tcPr>
          <w:p>
            <w:pPr>
              <w:spacing w:after="0"/>
              <w:rPr>
                <w:sz w:val="20"/>
                <w:szCs w:val="20"/>
                <w:color w:val="auto"/>
              </w:rPr>
            </w:pPr>
            <w:r>
              <w:rPr>
                <w:rFonts w:ascii="Arial" w:cs="Arial" w:eastAsia="Arial" w:hAnsi="Arial"/>
                <w:sz w:val="19"/>
                <w:szCs w:val="19"/>
                <w:color w:val="auto"/>
              </w:rPr>
              <w:t>U.S.</w:t>
            </w:r>
          </w:p>
        </w:tc>
        <w:tc>
          <w:tcPr>
            <w:tcW w:w="36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2,919</w:t>
            </w:r>
          </w:p>
        </w:tc>
        <w:tc>
          <w:tcPr>
            <w:tcW w:w="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ind w:left="40"/>
              <w:spacing w:after="0"/>
              <w:rPr>
                <w:sz w:val="20"/>
                <w:szCs w:val="20"/>
                <w:color w:val="auto"/>
              </w:rPr>
            </w:pPr>
            <w:r>
              <w:rPr>
                <w:rFonts w:ascii="Arial" w:cs="Arial" w:eastAsia="Arial" w:hAnsi="Arial"/>
                <w:sz w:val="19"/>
                <w:szCs w:val="19"/>
                <w:color w:val="auto"/>
              </w:rPr>
              <w:t>2,873</w:t>
            </w:r>
          </w:p>
        </w:tc>
        <w:tc>
          <w:tcPr>
            <w:tcW w:w="50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ind w:left="80"/>
              <w:spacing w:after="0"/>
              <w:rPr>
                <w:sz w:val="20"/>
                <w:szCs w:val="20"/>
                <w:color w:val="auto"/>
              </w:rPr>
            </w:pPr>
            <w:r>
              <w:rPr>
                <w:rFonts w:ascii="Arial" w:cs="Arial" w:eastAsia="Arial" w:hAnsi="Arial"/>
                <w:sz w:val="19"/>
                <w:szCs w:val="19"/>
                <w:color w:val="auto"/>
              </w:rPr>
              <w:t>2,981</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Arial" w:cs="Arial" w:eastAsia="Arial" w:hAnsi="Arial"/>
                <w:sz w:val="19"/>
                <w:szCs w:val="19"/>
                <w:color w:val="auto"/>
              </w:rPr>
              <w:t>Non-U.S.</w:t>
            </w:r>
          </w:p>
        </w:tc>
        <w:tc>
          <w:tcPr>
            <w:tcW w:w="35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4,568</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4,077</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9"/>
                <w:szCs w:val="19"/>
                <w:color w:val="auto"/>
              </w:rPr>
              <w:t>3,471</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shd w:val="clear" w:color="auto" w:fill="E5FFFF"/>
          </w:tcPr>
          <w:p>
            <w:pPr>
              <w:spacing w:after="0"/>
              <w:rPr>
                <w:sz w:val="21"/>
                <w:szCs w:val="21"/>
                <w:color w:val="auto"/>
              </w:rPr>
            </w:pPr>
          </w:p>
        </w:tc>
        <w:tc>
          <w:tcPr>
            <w:tcW w:w="36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7,487</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ind w:left="40"/>
              <w:spacing w:after="0"/>
              <w:rPr>
                <w:sz w:val="20"/>
                <w:szCs w:val="20"/>
                <w:color w:val="auto"/>
              </w:rPr>
            </w:pPr>
            <w:r>
              <w:rPr>
                <w:rFonts w:ascii="Arial" w:cs="Arial" w:eastAsia="Arial" w:hAnsi="Arial"/>
                <w:sz w:val="19"/>
                <w:szCs w:val="19"/>
                <w:color w:val="auto"/>
              </w:rPr>
              <w:t>6,950</w:t>
            </w:r>
          </w:p>
        </w:tc>
        <w:tc>
          <w:tcPr>
            <w:tcW w:w="50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ind w:left="80"/>
              <w:spacing w:after="0"/>
              <w:rPr>
                <w:sz w:val="20"/>
                <w:szCs w:val="20"/>
                <w:color w:val="auto"/>
              </w:rPr>
            </w:pPr>
            <w:r>
              <w:rPr>
                <w:rFonts w:ascii="Arial" w:cs="Arial" w:eastAsia="Arial" w:hAnsi="Arial"/>
                <w:sz w:val="19"/>
                <w:szCs w:val="19"/>
                <w:color w:val="auto"/>
              </w:rPr>
              <w:t>6,452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Tax expense (benefit)</w:t>
            </w:r>
          </w:p>
        </w:tc>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460" w:type="dxa"/>
            <w:vAlign w:val="bottom"/>
            <w:gridSpan w:val="2"/>
            <w:vMerge w:val="continue"/>
          </w:tcPr>
          <w:p>
            <w:pPr>
              <w:spacing w:after="0"/>
              <w:rPr>
                <w:sz w:val="24"/>
                <w:szCs w:val="24"/>
                <w:color w:val="auto"/>
              </w:rPr>
            </w:pPr>
          </w:p>
        </w:tc>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11"/>
            <w:vMerge w:val="restart"/>
          </w:tcPr>
          <w:p>
            <w:pPr>
              <w:jc w:val="right"/>
              <w:ind w:right="366"/>
              <w:spacing w:after="0"/>
              <w:rPr>
                <w:sz w:val="20"/>
                <w:szCs w:val="20"/>
                <w:color w:val="auto"/>
              </w:rPr>
            </w:pPr>
            <w:r>
              <w:rPr>
                <w:rFonts w:ascii="Arial" w:cs="Arial" w:eastAsia="Arial" w:hAnsi="Arial"/>
                <w:sz w:val="16"/>
                <w:szCs w:val="16"/>
                <w:b w:val="1"/>
                <w:bCs w:val="1"/>
                <w:color w:val="auto"/>
              </w:rPr>
              <w:t>Years Ended December 31,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11"/>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8"/>
              <w:spacing w:after="0" w:line="169" w:lineRule="exact"/>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line="169" w:lineRule="exact"/>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96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Tax expense (benefit) consists of</w:t>
            </w:r>
          </w:p>
        </w:tc>
        <w:tc>
          <w:tcPr>
            <w:tcW w:w="35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60" w:type="dxa"/>
            <w:vAlign w:val="bottom"/>
          </w:tcPr>
          <w:p>
            <w:pPr>
              <w:ind w:left="180"/>
              <w:spacing w:after="0" w:line="216" w:lineRule="exact"/>
              <w:rPr>
                <w:sz w:val="20"/>
                <w:szCs w:val="20"/>
                <w:color w:val="auto"/>
              </w:rPr>
            </w:pPr>
            <w:r>
              <w:rPr>
                <w:rFonts w:ascii="Arial" w:cs="Arial" w:eastAsia="Arial" w:hAnsi="Arial"/>
                <w:sz w:val="19"/>
                <w:szCs w:val="19"/>
                <w:color w:val="auto"/>
              </w:rPr>
              <w:t>Current:</w:t>
            </w:r>
          </w:p>
        </w:tc>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U.S. Federal</w:t>
            </w:r>
          </w:p>
        </w:tc>
        <w:tc>
          <w:tcPr>
            <w:tcW w:w="36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(21)</w:t>
            </w:r>
          </w:p>
        </w:tc>
        <w:tc>
          <w:tcPr>
            <w:tcW w:w="280" w:type="dxa"/>
            <w:vAlign w:val="bottom"/>
            <w:shd w:val="clear" w:color="auto" w:fill="E5FFFF"/>
          </w:tcPr>
          <w:p>
            <w:pPr>
              <w:spacing w:after="0"/>
              <w:rPr>
                <w:sz w:val="21"/>
                <w:szCs w:val="21"/>
                <w:color w:val="auto"/>
              </w:rPr>
            </w:pPr>
          </w:p>
        </w:tc>
        <w:tc>
          <w:tcPr>
            <w:tcW w:w="1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2,061</w:t>
            </w:r>
          </w:p>
        </w:tc>
        <w:tc>
          <w:tcPr>
            <w:tcW w:w="500" w:type="dxa"/>
            <w:vAlign w:val="bottom"/>
            <w:gridSpan w:val="4"/>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869</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tcPr>
          <w:p>
            <w:pPr>
              <w:ind w:left="360"/>
              <w:spacing w:after="0"/>
              <w:rPr>
                <w:sz w:val="20"/>
                <w:szCs w:val="20"/>
                <w:color w:val="auto"/>
              </w:rPr>
            </w:pPr>
            <w:r>
              <w:rPr>
                <w:rFonts w:ascii="Arial" w:cs="Arial" w:eastAsia="Arial" w:hAnsi="Arial"/>
                <w:sz w:val="19"/>
                <w:szCs w:val="19"/>
                <w:color w:val="auto"/>
              </w:rPr>
              <w:t>U.S. State</w:t>
            </w:r>
          </w:p>
        </w:tc>
        <w:tc>
          <w:tcPr>
            <w:tcW w:w="3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89</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62</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97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Non-U.S.</w:t>
            </w:r>
          </w:p>
        </w:tc>
        <w:tc>
          <w:tcPr>
            <w:tcW w:w="35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1,177</w:t>
            </w:r>
          </w:p>
        </w:tc>
        <w:tc>
          <w:tcPr>
            <w:tcW w:w="20" w:type="dxa"/>
            <w:vAlign w:val="bottom"/>
            <w:tcBorders>
              <w:bottom w:val="single" w:sz="8" w:color="auto"/>
            </w:tcBorders>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787</w:t>
            </w:r>
          </w:p>
        </w:tc>
        <w:tc>
          <w:tcPr>
            <w:tcW w:w="2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559</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6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1,245</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2,910</w:t>
            </w:r>
          </w:p>
        </w:tc>
        <w:tc>
          <w:tcPr>
            <w:tcW w:w="500" w:type="dxa"/>
            <w:vAlign w:val="bottom"/>
            <w:gridSpan w:val="4"/>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1,525</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6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Deferred:</w:t>
            </w:r>
          </w:p>
        </w:tc>
        <w:tc>
          <w:tcPr>
            <w:tcW w:w="3500" w:type="dxa"/>
            <w:vAlign w:val="bottom"/>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60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620" w:type="dxa"/>
            <w:vAlign w:val="bottom"/>
            <w:tcBorders>
              <w:top w:val="single" w:sz="8" w:color="auto"/>
            </w:tcBorders>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tcPr>
          <w:p>
            <w:pPr>
              <w:ind w:left="360"/>
              <w:spacing w:after="0"/>
              <w:rPr>
                <w:sz w:val="20"/>
                <w:szCs w:val="20"/>
                <w:color w:val="auto"/>
              </w:rPr>
            </w:pPr>
            <w:r>
              <w:rPr>
                <w:rFonts w:ascii="Arial" w:cs="Arial" w:eastAsia="Arial" w:hAnsi="Arial"/>
                <w:sz w:val="19"/>
                <w:szCs w:val="19"/>
                <w:color w:val="auto"/>
              </w:rPr>
              <w:t>U.S. Federal</w:t>
            </w:r>
          </w:p>
        </w:tc>
        <w:tc>
          <w:tcPr>
            <w:tcW w:w="36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396</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190</w:t>
            </w:r>
          </w:p>
        </w:tc>
        <w:tc>
          <w:tcPr>
            <w:tcW w:w="500" w:type="dxa"/>
            <w:vAlign w:val="bottom"/>
            <w:gridSpan w:val="4"/>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40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U.S. State</w:t>
            </w:r>
          </w:p>
        </w:tc>
        <w:tc>
          <w:tcPr>
            <w:tcW w:w="35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139</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960" w:type="dxa"/>
            <w:vAlign w:val="bottom"/>
          </w:tcPr>
          <w:p>
            <w:pPr>
              <w:ind w:left="360"/>
              <w:spacing w:after="0"/>
              <w:rPr>
                <w:sz w:val="20"/>
                <w:szCs w:val="20"/>
                <w:color w:val="auto"/>
              </w:rPr>
            </w:pPr>
            <w:r>
              <w:rPr>
                <w:rFonts w:ascii="Arial" w:cs="Arial" w:eastAsia="Arial" w:hAnsi="Arial"/>
                <w:sz w:val="19"/>
                <w:szCs w:val="19"/>
                <w:color w:val="auto"/>
              </w:rPr>
              <w:t>Non-U.S.</w:t>
            </w:r>
          </w:p>
        </w:tc>
        <w:tc>
          <w:tcPr>
            <w:tcW w:w="35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(990)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2,123</w:t>
            </w:r>
          </w:p>
        </w:tc>
        <w:tc>
          <w:tcPr>
            <w:tcW w:w="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shd w:val="clear" w:color="auto" w:fill="E5FFFF"/>
          </w:tcPr>
          <w:p>
            <w:pPr>
              <w:spacing w:after="0"/>
              <w:rPr>
                <w:sz w:val="21"/>
                <w:szCs w:val="21"/>
                <w:color w:val="auto"/>
              </w:rPr>
            </w:pPr>
          </w:p>
        </w:tc>
        <w:tc>
          <w:tcPr>
            <w:tcW w:w="35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(586)</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2,452</w:t>
            </w:r>
          </w:p>
        </w:tc>
        <w:tc>
          <w:tcPr>
            <w:tcW w:w="2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78</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6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659</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5,362</w:t>
            </w:r>
          </w:p>
        </w:tc>
        <w:tc>
          <w:tcPr>
            <w:tcW w:w="500" w:type="dxa"/>
            <w:vAlign w:val="bottom"/>
            <w:gridSpan w:val="4"/>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1,603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500" w:type="dxa"/>
            <w:vAlign w:val="bottom"/>
            <w:vMerge w:val="restart"/>
          </w:tcPr>
          <w:p>
            <w:pPr>
              <w:jc w:val="right"/>
              <w:ind w:right="2043"/>
              <w:spacing w:after="0"/>
              <w:rPr>
                <w:sz w:val="20"/>
                <w:szCs w:val="20"/>
                <w:color w:val="auto"/>
              </w:rPr>
            </w:pPr>
            <w:r>
              <w:rPr>
                <w:rFonts w:ascii="Arial" w:cs="Arial" w:eastAsia="Arial" w:hAnsi="Arial"/>
                <w:sz w:val="19"/>
                <w:szCs w:val="19"/>
                <w:color w:val="auto"/>
              </w:rPr>
              <w:t>49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2" w:name="page53"/>
    <w:bookmarkEnd w:id="52"/>
    <w:p>
      <w:pPr>
        <w:jc w:val="center"/>
        <w:ind w:right="-1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5"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2860" w:type="dxa"/>
            <w:vAlign w:val="bottom"/>
            <w:tcBorders>
              <w:bottom w:val="single" w:sz="8" w:color="auto"/>
            </w:tcBorders>
            <w:gridSpan w:val="5"/>
          </w:tcPr>
          <w:p>
            <w:pPr>
              <w:jc w:val="right"/>
              <w:ind w:right="323"/>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7540" w:type="dxa"/>
            <w:vAlign w:val="bottom"/>
          </w:tcPr>
          <w:p>
            <w:pPr>
              <w:spacing w:after="0"/>
              <w:rPr>
                <w:sz w:val="14"/>
                <w:szCs w:val="14"/>
                <w:color w:val="auto"/>
              </w:rPr>
            </w:pPr>
          </w:p>
        </w:tc>
        <w:tc>
          <w:tcPr>
            <w:tcW w:w="740" w:type="dxa"/>
            <w:vAlign w:val="bottom"/>
          </w:tcPr>
          <w:p>
            <w:pPr>
              <w:jc w:val="right"/>
              <w:ind w:right="106"/>
              <w:spacing w:after="0" w:line="169" w:lineRule="exact"/>
              <w:rPr>
                <w:sz w:val="20"/>
                <w:szCs w:val="20"/>
                <w:color w:val="auto"/>
              </w:rPr>
            </w:pPr>
            <w:r>
              <w:rPr>
                <w:rFonts w:ascii="Arial" w:cs="Arial" w:eastAsia="Arial" w:hAnsi="Arial"/>
                <w:sz w:val="16"/>
                <w:szCs w:val="16"/>
                <w:b w:val="1"/>
                <w:bCs w:val="1"/>
                <w:color w:val="auto"/>
              </w:rPr>
              <w:t>2018</w:t>
            </w:r>
          </w:p>
        </w:tc>
        <w:tc>
          <w:tcPr>
            <w:tcW w:w="1080" w:type="dxa"/>
            <w:vAlign w:val="bottom"/>
            <w:gridSpan w:val="2"/>
          </w:tcPr>
          <w:p>
            <w:pPr>
              <w:jc w:val="right"/>
              <w:ind w:right="103"/>
              <w:spacing w:after="0" w:line="169" w:lineRule="exact"/>
              <w:rPr>
                <w:sz w:val="20"/>
                <w:szCs w:val="20"/>
                <w:color w:val="auto"/>
              </w:rPr>
            </w:pPr>
            <w:r>
              <w:rPr>
                <w:rFonts w:ascii="Arial" w:cs="Arial" w:eastAsia="Arial" w:hAnsi="Arial"/>
                <w:sz w:val="16"/>
                <w:szCs w:val="16"/>
                <w:b w:val="1"/>
                <w:bCs w:val="1"/>
                <w:color w:val="auto"/>
              </w:rPr>
              <w:t>2017</w:t>
            </w:r>
          </w:p>
        </w:tc>
        <w:tc>
          <w:tcPr>
            <w:tcW w:w="1040" w:type="dxa"/>
            <w:vAlign w:val="bottom"/>
            <w:gridSpan w:val="2"/>
          </w:tcPr>
          <w:p>
            <w:pPr>
              <w:jc w:val="right"/>
              <w:ind w:right="83"/>
              <w:spacing w:after="0" w:line="169" w:lineRule="exact"/>
              <w:rPr>
                <w:sz w:val="20"/>
                <w:szCs w:val="20"/>
                <w:color w:val="auto"/>
              </w:rPr>
            </w:pPr>
            <w:r>
              <w:rPr>
                <w:rFonts w:ascii="Arial" w:cs="Arial" w:eastAsia="Arial" w:hAnsi="Arial"/>
                <w:sz w:val="16"/>
                <w:szCs w:val="16"/>
                <w:b w:val="1"/>
                <w:bCs w:val="1"/>
                <w:color w:val="auto"/>
              </w:rPr>
              <w:t>2016</w:t>
            </w:r>
          </w:p>
        </w:tc>
      </w:tr>
      <w:tr>
        <w:trPr>
          <w:trHeight w:val="210"/>
        </w:trPr>
        <w:tc>
          <w:tcPr>
            <w:tcW w:w="75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The U.S. federal statutory income tax rate is reconciled to our effective income tax</w:t>
            </w:r>
          </w:p>
        </w:tc>
        <w:tc>
          <w:tcPr>
            <w:tcW w:w="74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spacing w:after="0"/>
              <w:rPr>
                <w:sz w:val="18"/>
                <w:szCs w:val="18"/>
                <w:color w:val="auto"/>
              </w:rPr>
            </w:pPr>
          </w:p>
        </w:tc>
      </w:tr>
      <w:tr>
        <w:trPr>
          <w:trHeight w:val="216"/>
        </w:trPr>
        <w:tc>
          <w:tcPr>
            <w:tcW w:w="754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rate as follows:</w:t>
            </w:r>
          </w:p>
        </w:tc>
        <w:tc>
          <w:tcPr>
            <w:tcW w:w="7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r>
      <w:tr>
        <w:trPr>
          <w:trHeight w:val="243"/>
        </w:trPr>
        <w:tc>
          <w:tcPr>
            <w:tcW w:w="7540" w:type="dxa"/>
            <w:vAlign w:val="bottom"/>
          </w:tcPr>
          <w:p>
            <w:pPr>
              <w:ind w:left="360"/>
              <w:spacing w:after="0"/>
              <w:rPr>
                <w:sz w:val="20"/>
                <w:szCs w:val="20"/>
                <w:color w:val="auto"/>
              </w:rPr>
            </w:pPr>
            <w:r>
              <w:rPr>
                <w:rFonts w:ascii="Arial" w:cs="Arial" w:eastAsia="Arial" w:hAnsi="Arial"/>
                <w:sz w:val="19"/>
                <w:szCs w:val="19"/>
                <w:color w:val="auto"/>
              </w:rPr>
              <w:t>U.S. federal statutory income tax rate</w:t>
            </w:r>
          </w:p>
        </w:tc>
        <w:tc>
          <w:tcPr>
            <w:tcW w:w="740" w:type="dxa"/>
            <w:vAlign w:val="bottom"/>
          </w:tcPr>
          <w:p>
            <w:pPr>
              <w:jc w:val="right"/>
              <w:spacing w:after="0"/>
              <w:rPr>
                <w:sz w:val="20"/>
                <w:szCs w:val="20"/>
                <w:color w:val="auto"/>
              </w:rPr>
            </w:pPr>
            <w:r>
              <w:rPr>
                <w:rFonts w:ascii="Arial" w:cs="Arial" w:eastAsia="Arial" w:hAnsi="Arial"/>
                <w:sz w:val="19"/>
                <w:szCs w:val="19"/>
                <w:color w:val="auto"/>
              </w:rPr>
              <w:t>21.0%</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35.0%</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35.0%</w:t>
            </w:r>
          </w:p>
        </w:tc>
      </w:tr>
      <w:tr>
        <w:trPr>
          <w:trHeight w:val="243"/>
        </w:trPr>
        <w:tc>
          <w:tcPr>
            <w:tcW w:w="75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Taxes on non-U.S. earnings</w:t>
            </w:r>
            <w:r>
              <w:rPr>
                <w:rFonts w:ascii="Arial" w:cs="Arial" w:eastAsia="Arial" w:hAnsi="Arial"/>
                <w:sz w:val="10"/>
                <w:szCs w:val="10"/>
                <w:color w:val="auto"/>
              </w:rPr>
              <w:t>(1)(2)</w:t>
            </w:r>
          </w:p>
        </w:tc>
        <w:tc>
          <w:tcPr>
            <w:tcW w:w="740" w:type="dxa"/>
            <w:vAlign w:val="bottom"/>
            <w:shd w:val="clear" w:color="auto" w:fill="E5FFFF"/>
          </w:tcPr>
          <w:p>
            <w:pPr>
              <w:jc w:val="right"/>
              <w:ind w:right="106"/>
              <w:spacing w:after="0"/>
              <w:rPr>
                <w:sz w:val="20"/>
                <w:szCs w:val="20"/>
                <w:color w:val="auto"/>
              </w:rPr>
            </w:pPr>
            <w:r>
              <w:rPr>
                <w:rFonts w:ascii="Arial" w:cs="Arial" w:eastAsia="Arial" w:hAnsi="Arial"/>
                <w:sz w:val="19"/>
                <w:szCs w:val="19"/>
                <w:color w:val="auto"/>
              </w:rPr>
              <w:t>0.2</w:t>
            </w:r>
          </w:p>
        </w:tc>
        <w:tc>
          <w:tcPr>
            <w:tcW w:w="1080" w:type="dxa"/>
            <w:vAlign w:val="bottom"/>
            <w:gridSpan w:val="2"/>
            <w:shd w:val="clear" w:color="auto" w:fill="E5FFFF"/>
          </w:tcPr>
          <w:p>
            <w:pPr>
              <w:jc w:val="right"/>
              <w:ind w:right="23"/>
              <w:spacing w:after="0"/>
              <w:rPr>
                <w:sz w:val="20"/>
                <w:szCs w:val="20"/>
                <w:color w:val="auto"/>
              </w:rPr>
            </w:pPr>
            <w:r>
              <w:rPr>
                <w:rFonts w:ascii="Arial" w:cs="Arial" w:eastAsia="Arial" w:hAnsi="Arial"/>
                <w:sz w:val="19"/>
                <w:szCs w:val="19"/>
                <w:color w:val="auto"/>
              </w:rPr>
              <w:t>(12.8)</w:t>
            </w:r>
          </w:p>
        </w:tc>
        <w:tc>
          <w:tcPr>
            <w:tcW w:w="1040" w:type="dxa"/>
            <w:vAlign w:val="bottom"/>
            <w:gridSpan w:val="2"/>
            <w:shd w:val="clear" w:color="auto" w:fill="E5FFFF"/>
          </w:tcPr>
          <w:p>
            <w:pPr>
              <w:jc w:val="right"/>
              <w:ind w:right="63"/>
              <w:spacing w:after="0"/>
              <w:rPr>
                <w:sz w:val="20"/>
                <w:szCs w:val="20"/>
                <w:color w:val="auto"/>
              </w:rPr>
            </w:pPr>
            <w:r>
              <w:rPr>
                <w:rFonts w:ascii="Arial" w:cs="Arial" w:eastAsia="Arial" w:hAnsi="Arial"/>
                <w:sz w:val="19"/>
                <w:szCs w:val="19"/>
                <w:color w:val="auto"/>
              </w:rPr>
              <w:t>(8.0)</w:t>
            </w:r>
          </w:p>
        </w:tc>
      </w:tr>
      <w:tr>
        <w:trPr>
          <w:trHeight w:val="243"/>
        </w:trPr>
        <w:tc>
          <w:tcPr>
            <w:tcW w:w="7540" w:type="dxa"/>
            <w:vAlign w:val="bottom"/>
          </w:tcPr>
          <w:p>
            <w:pPr>
              <w:ind w:left="360"/>
              <w:spacing w:after="0"/>
              <w:rPr>
                <w:sz w:val="20"/>
                <w:szCs w:val="20"/>
                <w:color w:val="auto"/>
              </w:rPr>
            </w:pPr>
            <w:r>
              <w:rPr>
                <w:rFonts w:ascii="Arial" w:cs="Arial" w:eastAsia="Arial" w:hAnsi="Arial"/>
                <w:sz w:val="19"/>
                <w:szCs w:val="19"/>
                <w:color w:val="auto"/>
              </w:rPr>
              <w:t>U.S. state income taxes</w:t>
            </w:r>
            <w:r>
              <w:rPr>
                <w:rFonts w:ascii="Arial" w:cs="Arial" w:eastAsia="Arial" w:hAnsi="Arial"/>
                <w:sz w:val="10"/>
                <w:szCs w:val="10"/>
                <w:color w:val="auto"/>
              </w:rPr>
              <w:t>(1)</w:t>
            </w:r>
          </w:p>
        </w:tc>
        <w:tc>
          <w:tcPr>
            <w:tcW w:w="740" w:type="dxa"/>
            <w:vAlign w:val="bottom"/>
          </w:tcPr>
          <w:p>
            <w:pPr>
              <w:jc w:val="right"/>
              <w:ind w:right="106"/>
              <w:spacing w:after="0"/>
              <w:rPr>
                <w:sz w:val="20"/>
                <w:szCs w:val="20"/>
                <w:color w:val="auto"/>
              </w:rPr>
            </w:pPr>
            <w:r>
              <w:rPr>
                <w:rFonts w:ascii="Arial" w:cs="Arial" w:eastAsia="Arial" w:hAnsi="Arial"/>
                <w:sz w:val="19"/>
                <w:szCs w:val="19"/>
                <w:color w:val="auto"/>
              </w:rPr>
              <w:t>1.6</w:t>
            </w:r>
          </w:p>
        </w:tc>
        <w:tc>
          <w:tcPr>
            <w:tcW w:w="1080" w:type="dxa"/>
            <w:vAlign w:val="bottom"/>
            <w:gridSpan w:val="2"/>
          </w:tcPr>
          <w:p>
            <w:pPr>
              <w:jc w:val="right"/>
              <w:ind w:right="103"/>
              <w:spacing w:after="0"/>
              <w:rPr>
                <w:sz w:val="20"/>
                <w:szCs w:val="20"/>
                <w:color w:val="auto"/>
              </w:rPr>
            </w:pPr>
            <w:r>
              <w:rPr>
                <w:rFonts w:ascii="Arial" w:cs="Arial" w:eastAsia="Arial" w:hAnsi="Arial"/>
                <w:sz w:val="19"/>
                <w:szCs w:val="19"/>
                <w:color w:val="auto"/>
              </w:rPr>
              <w:t>1.4</w:t>
            </w:r>
          </w:p>
        </w:tc>
        <w:tc>
          <w:tcPr>
            <w:tcW w:w="1040" w:type="dxa"/>
            <w:vAlign w:val="bottom"/>
            <w:gridSpan w:val="2"/>
          </w:tcPr>
          <w:p>
            <w:pPr>
              <w:jc w:val="right"/>
              <w:ind w:right="123"/>
              <w:spacing w:after="0"/>
              <w:rPr>
                <w:sz w:val="20"/>
                <w:szCs w:val="20"/>
                <w:color w:val="auto"/>
              </w:rPr>
            </w:pPr>
            <w:r>
              <w:rPr>
                <w:rFonts w:ascii="Arial" w:cs="Arial" w:eastAsia="Arial" w:hAnsi="Arial"/>
                <w:sz w:val="19"/>
                <w:szCs w:val="19"/>
                <w:color w:val="auto"/>
              </w:rPr>
              <w:t>1.1</w:t>
            </w:r>
          </w:p>
        </w:tc>
      </w:tr>
      <w:tr>
        <w:trPr>
          <w:trHeight w:val="243"/>
        </w:trPr>
        <w:tc>
          <w:tcPr>
            <w:tcW w:w="75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Reserves for tax contingencies</w:t>
            </w:r>
          </w:p>
        </w:tc>
        <w:tc>
          <w:tcPr>
            <w:tcW w:w="740" w:type="dxa"/>
            <w:vAlign w:val="bottom"/>
            <w:shd w:val="clear" w:color="auto" w:fill="E5FFFF"/>
          </w:tcPr>
          <w:p>
            <w:pPr>
              <w:jc w:val="right"/>
              <w:ind w:right="106"/>
              <w:spacing w:after="0"/>
              <w:rPr>
                <w:sz w:val="20"/>
                <w:szCs w:val="20"/>
                <w:color w:val="auto"/>
              </w:rPr>
            </w:pPr>
            <w:r>
              <w:rPr>
                <w:rFonts w:ascii="Arial" w:cs="Arial" w:eastAsia="Arial" w:hAnsi="Arial"/>
                <w:sz w:val="19"/>
                <w:szCs w:val="19"/>
                <w:color w:val="auto"/>
              </w:rPr>
              <w:t>0.3</w:t>
            </w:r>
          </w:p>
        </w:tc>
        <w:tc>
          <w:tcPr>
            <w:tcW w:w="1080" w:type="dxa"/>
            <w:vAlign w:val="bottom"/>
            <w:gridSpan w:val="2"/>
            <w:shd w:val="clear" w:color="auto" w:fill="E5FFFF"/>
          </w:tcPr>
          <w:p>
            <w:pPr>
              <w:jc w:val="right"/>
              <w:ind w:right="103"/>
              <w:spacing w:after="0"/>
              <w:rPr>
                <w:sz w:val="20"/>
                <w:szCs w:val="20"/>
                <w:color w:val="auto"/>
              </w:rPr>
            </w:pPr>
            <w:r>
              <w:rPr>
                <w:rFonts w:ascii="Arial" w:cs="Arial" w:eastAsia="Arial" w:hAnsi="Arial"/>
                <w:sz w:val="19"/>
                <w:szCs w:val="19"/>
                <w:color w:val="auto"/>
              </w:rPr>
              <w:t>1.6</w:t>
            </w:r>
          </w:p>
        </w:tc>
        <w:tc>
          <w:tcPr>
            <w:tcW w:w="1040" w:type="dxa"/>
            <w:vAlign w:val="bottom"/>
            <w:gridSpan w:val="2"/>
            <w:shd w:val="clear" w:color="auto" w:fill="E5FFFF"/>
          </w:tcPr>
          <w:p>
            <w:pPr>
              <w:jc w:val="right"/>
              <w:ind w:right="123"/>
              <w:spacing w:after="0"/>
              <w:rPr>
                <w:sz w:val="20"/>
                <w:szCs w:val="20"/>
                <w:color w:val="auto"/>
              </w:rPr>
            </w:pPr>
            <w:r>
              <w:rPr>
                <w:rFonts w:ascii="Arial" w:cs="Arial" w:eastAsia="Arial" w:hAnsi="Arial"/>
                <w:sz w:val="19"/>
                <w:szCs w:val="19"/>
                <w:color w:val="auto"/>
              </w:rPr>
              <w:t>1.2</w:t>
            </w:r>
          </w:p>
        </w:tc>
      </w:tr>
      <w:tr>
        <w:trPr>
          <w:trHeight w:val="243"/>
        </w:trPr>
        <w:tc>
          <w:tcPr>
            <w:tcW w:w="7540" w:type="dxa"/>
            <w:vAlign w:val="bottom"/>
          </w:tcPr>
          <w:p>
            <w:pPr>
              <w:ind w:left="360"/>
              <w:spacing w:after="0"/>
              <w:rPr>
                <w:sz w:val="20"/>
                <w:szCs w:val="20"/>
                <w:color w:val="auto"/>
              </w:rPr>
            </w:pPr>
            <w:r>
              <w:rPr>
                <w:rFonts w:ascii="Arial" w:cs="Arial" w:eastAsia="Arial" w:hAnsi="Arial"/>
                <w:sz w:val="19"/>
                <w:szCs w:val="19"/>
                <w:color w:val="auto"/>
              </w:rPr>
              <w:t>Employee share-based payments</w:t>
            </w:r>
          </w:p>
        </w:tc>
        <w:tc>
          <w:tcPr>
            <w:tcW w:w="740" w:type="dxa"/>
            <w:vAlign w:val="bottom"/>
          </w:tcPr>
          <w:p>
            <w:pPr>
              <w:jc w:val="right"/>
              <w:ind w:right="46"/>
              <w:spacing w:after="0"/>
              <w:rPr>
                <w:sz w:val="20"/>
                <w:szCs w:val="20"/>
                <w:color w:val="auto"/>
              </w:rPr>
            </w:pPr>
            <w:r>
              <w:rPr>
                <w:rFonts w:ascii="Arial" w:cs="Arial" w:eastAsia="Arial" w:hAnsi="Arial"/>
                <w:sz w:val="19"/>
                <w:szCs w:val="19"/>
                <w:color w:val="auto"/>
              </w:rPr>
              <w:t>(0.7)</w:t>
            </w:r>
          </w:p>
        </w:tc>
        <w:tc>
          <w:tcPr>
            <w:tcW w:w="1080" w:type="dxa"/>
            <w:vAlign w:val="bottom"/>
            <w:gridSpan w:val="2"/>
          </w:tcPr>
          <w:p>
            <w:pPr>
              <w:jc w:val="right"/>
              <w:ind w:right="23"/>
              <w:spacing w:after="0"/>
              <w:rPr>
                <w:sz w:val="20"/>
                <w:szCs w:val="20"/>
                <w:color w:val="auto"/>
              </w:rPr>
            </w:pPr>
            <w:r>
              <w:rPr>
                <w:rFonts w:ascii="Arial" w:cs="Arial" w:eastAsia="Arial" w:hAnsi="Arial"/>
                <w:sz w:val="19"/>
                <w:szCs w:val="19"/>
                <w:color w:val="auto"/>
              </w:rPr>
              <w:t>(2.9)</w:t>
            </w:r>
          </w:p>
        </w:tc>
        <w:tc>
          <w:tcPr>
            <w:tcW w:w="1040" w:type="dxa"/>
            <w:vAlign w:val="bottom"/>
            <w:gridSpan w:val="2"/>
          </w:tcPr>
          <w:p>
            <w:pPr>
              <w:jc w:val="right"/>
              <w:ind w:right="63"/>
              <w:spacing w:after="0"/>
              <w:rPr>
                <w:sz w:val="20"/>
                <w:szCs w:val="20"/>
                <w:color w:val="auto"/>
              </w:rPr>
            </w:pPr>
            <w:r>
              <w:rPr>
                <w:rFonts w:ascii="Arial" w:cs="Arial" w:eastAsia="Arial" w:hAnsi="Arial"/>
                <w:sz w:val="19"/>
                <w:szCs w:val="19"/>
                <w:color w:val="auto"/>
              </w:rPr>
              <w:t>(2.0)</w:t>
            </w:r>
          </w:p>
        </w:tc>
      </w:tr>
      <w:tr>
        <w:trPr>
          <w:trHeight w:val="243"/>
        </w:trPr>
        <w:tc>
          <w:tcPr>
            <w:tcW w:w="75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U.S. Tax Reform</w:t>
            </w:r>
          </w:p>
        </w:tc>
        <w:tc>
          <w:tcPr>
            <w:tcW w:w="74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(5.8)</w:t>
            </w:r>
          </w:p>
        </w:tc>
        <w:tc>
          <w:tcPr>
            <w:tcW w:w="1080" w:type="dxa"/>
            <w:vAlign w:val="bottom"/>
            <w:gridSpan w:val="2"/>
            <w:shd w:val="clear" w:color="auto" w:fill="E5FFFF"/>
          </w:tcPr>
          <w:p>
            <w:pPr>
              <w:jc w:val="right"/>
              <w:ind w:right="103"/>
              <w:spacing w:after="0"/>
              <w:rPr>
                <w:sz w:val="20"/>
                <w:szCs w:val="20"/>
                <w:color w:val="auto"/>
              </w:rPr>
            </w:pPr>
            <w:r>
              <w:rPr>
                <w:rFonts w:ascii="Arial" w:cs="Arial" w:eastAsia="Arial" w:hAnsi="Arial"/>
                <w:sz w:val="19"/>
                <w:szCs w:val="19"/>
                <w:color w:val="auto"/>
              </w:rPr>
              <w:t>56.0</w:t>
            </w:r>
          </w:p>
        </w:tc>
        <w:tc>
          <w:tcPr>
            <w:tcW w:w="32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123"/>
              <w:spacing w:after="0"/>
              <w:rPr>
                <w:sz w:val="20"/>
                <w:szCs w:val="20"/>
                <w:color w:val="auto"/>
              </w:rPr>
            </w:pPr>
            <w:r>
              <w:rPr>
                <w:rFonts w:ascii="Arial" w:cs="Arial" w:eastAsia="Arial" w:hAnsi="Arial"/>
                <w:sz w:val="19"/>
                <w:szCs w:val="19"/>
                <w:color w:val="auto"/>
              </w:rPr>
              <w:t>—</w:t>
            </w:r>
          </w:p>
        </w:tc>
      </w:tr>
      <w:tr>
        <w:trPr>
          <w:trHeight w:val="243"/>
        </w:trPr>
        <w:tc>
          <w:tcPr>
            <w:tcW w:w="7540" w:type="dxa"/>
            <w:vAlign w:val="bottom"/>
          </w:tcPr>
          <w:p>
            <w:pPr>
              <w:ind w:left="360"/>
              <w:spacing w:after="0"/>
              <w:rPr>
                <w:sz w:val="20"/>
                <w:szCs w:val="20"/>
                <w:color w:val="auto"/>
              </w:rPr>
            </w:pPr>
            <w:r>
              <w:rPr>
                <w:rFonts w:ascii="Arial" w:cs="Arial" w:eastAsia="Arial" w:hAnsi="Arial"/>
                <w:sz w:val="19"/>
                <w:szCs w:val="19"/>
                <w:color w:val="auto"/>
              </w:rPr>
              <w:t>Reduction of taxes on unremitted earnings</w:t>
            </w:r>
          </w:p>
        </w:tc>
        <w:tc>
          <w:tcPr>
            <w:tcW w:w="740" w:type="dxa"/>
            <w:vAlign w:val="bottom"/>
          </w:tcPr>
          <w:p>
            <w:pPr>
              <w:jc w:val="right"/>
              <w:ind w:right="46"/>
              <w:spacing w:after="0"/>
              <w:rPr>
                <w:sz w:val="20"/>
                <w:szCs w:val="20"/>
                <w:color w:val="auto"/>
              </w:rPr>
            </w:pPr>
            <w:r>
              <w:rPr>
                <w:rFonts w:ascii="Arial" w:cs="Arial" w:eastAsia="Arial" w:hAnsi="Arial"/>
                <w:sz w:val="19"/>
                <w:szCs w:val="19"/>
                <w:color w:val="auto"/>
              </w:rPr>
              <w:t>(14.2)</w:t>
            </w:r>
          </w:p>
        </w:tc>
        <w:tc>
          <w:tcPr>
            <w:tcW w:w="320" w:type="dxa"/>
            <w:vAlign w:val="bottom"/>
          </w:tcPr>
          <w:p>
            <w:pPr>
              <w:spacing w:after="0"/>
              <w:rPr>
                <w:sz w:val="21"/>
                <w:szCs w:val="21"/>
                <w:color w:val="auto"/>
              </w:rPr>
            </w:pPr>
          </w:p>
        </w:tc>
        <w:tc>
          <w:tcPr>
            <w:tcW w:w="760" w:type="dxa"/>
            <w:vAlign w:val="bottom"/>
          </w:tcPr>
          <w:p>
            <w:pPr>
              <w:jc w:val="right"/>
              <w:ind w:right="103"/>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720" w:type="dxa"/>
            <w:vAlign w:val="bottom"/>
          </w:tcPr>
          <w:p>
            <w:pPr>
              <w:jc w:val="right"/>
              <w:ind w:right="123"/>
              <w:spacing w:after="0"/>
              <w:rPr>
                <w:sz w:val="20"/>
                <w:szCs w:val="20"/>
                <w:color w:val="auto"/>
              </w:rPr>
            </w:pPr>
            <w:r>
              <w:rPr>
                <w:rFonts w:ascii="Arial" w:cs="Arial" w:eastAsia="Arial" w:hAnsi="Arial"/>
                <w:sz w:val="19"/>
                <w:szCs w:val="19"/>
                <w:color w:val="auto"/>
              </w:rPr>
              <w:t>—</w:t>
            </w:r>
          </w:p>
        </w:tc>
      </w:tr>
      <w:tr>
        <w:trPr>
          <w:trHeight w:val="243"/>
        </w:trPr>
        <w:tc>
          <w:tcPr>
            <w:tcW w:w="75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Separation tax costs</w:t>
            </w:r>
          </w:p>
        </w:tc>
        <w:tc>
          <w:tcPr>
            <w:tcW w:w="740" w:type="dxa"/>
            <w:vAlign w:val="bottom"/>
            <w:shd w:val="clear" w:color="auto" w:fill="E5FFFF"/>
          </w:tcPr>
          <w:p>
            <w:pPr>
              <w:jc w:val="right"/>
              <w:ind w:right="106"/>
              <w:spacing w:after="0"/>
              <w:rPr>
                <w:sz w:val="20"/>
                <w:szCs w:val="20"/>
                <w:color w:val="auto"/>
              </w:rPr>
            </w:pPr>
            <w:r>
              <w:rPr>
                <w:rFonts w:ascii="Arial" w:cs="Arial" w:eastAsia="Arial" w:hAnsi="Arial"/>
                <w:sz w:val="19"/>
                <w:szCs w:val="19"/>
                <w:color w:val="auto"/>
              </w:rPr>
              <w:t>5.5</w:t>
            </w:r>
          </w:p>
        </w:tc>
        <w:tc>
          <w:tcPr>
            <w:tcW w:w="32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103"/>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123"/>
              <w:spacing w:after="0"/>
              <w:rPr>
                <w:sz w:val="20"/>
                <w:szCs w:val="20"/>
                <w:color w:val="auto"/>
              </w:rPr>
            </w:pPr>
            <w:r>
              <w:rPr>
                <w:rFonts w:ascii="Arial" w:cs="Arial" w:eastAsia="Arial" w:hAnsi="Arial"/>
                <w:sz w:val="19"/>
                <w:szCs w:val="19"/>
                <w:color w:val="auto"/>
              </w:rPr>
              <w:t>—</w:t>
            </w:r>
          </w:p>
        </w:tc>
      </w:tr>
      <w:tr>
        <w:trPr>
          <w:trHeight w:val="250"/>
        </w:trPr>
        <w:tc>
          <w:tcPr>
            <w:tcW w:w="7540" w:type="dxa"/>
            <w:vAlign w:val="bottom"/>
          </w:tcPr>
          <w:p>
            <w:pPr>
              <w:ind w:left="360"/>
              <w:spacing w:after="0"/>
              <w:rPr>
                <w:sz w:val="20"/>
                <w:szCs w:val="20"/>
                <w:color w:val="auto"/>
              </w:rPr>
            </w:pPr>
            <w:r>
              <w:rPr>
                <w:rFonts w:ascii="Arial" w:cs="Arial" w:eastAsia="Arial" w:hAnsi="Arial"/>
                <w:sz w:val="19"/>
                <w:szCs w:val="19"/>
                <w:color w:val="auto"/>
              </w:rPr>
              <w:t>All other items—net</w:t>
            </w:r>
          </w:p>
        </w:tc>
        <w:tc>
          <w:tcPr>
            <w:tcW w:w="74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color w:val="auto"/>
              </w:rPr>
              <w:t>0.9</w:t>
            </w:r>
          </w:p>
        </w:tc>
        <w:tc>
          <w:tcPr>
            <w:tcW w:w="320" w:type="dxa"/>
            <w:vAlign w:val="bottom"/>
          </w:tcPr>
          <w:p>
            <w:pPr>
              <w:spacing w:after="0"/>
              <w:rPr>
                <w:sz w:val="21"/>
                <w:szCs w:val="21"/>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(1.1)</w:t>
            </w:r>
          </w:p>
        </w:tc>
        <w:tc>
          <w:tcPr>
            <w:tcW w:w="320" w:type="dxa"/>
            <w:vAlign w:val="bottom"/>
          </w:tcPr>
          <w:p>
            <w:pPr>
              <w:spacing w:after="0"/>
              <w:rPr>
                <w:sz w:val="21"/>
                <w:szCs w:val="21"/>
                <w:color w:val="auto"/>
              </w:rPr>
            </w:pPr>
          </w:p>
        </w:tc>
        <w:tc>
          <w:tcPr>
            <w:tcW w:w="72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(2.5)</w:t>
            </w:r>
          </w:p>
        </w:tc>
      </w:tr>
      <w:tr>
        <w:trPr>
          <w:trHeight w:val="243"/>
        </w:trPr>
        <w:tc>
          <w:tcPr>
            <w:tcW w:w="75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8.8%</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77.2%</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24.8%</w:t>
            </w:r>
          </w:p>
        </w:tc>
      </w:tr>
      <w:tr>
        <w:trPr>
          <w:trHeight w:val="20"/>
        </w:trPr>
        <w:tc>
          <w:tcPr>
            <w:tcW w:w="7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ind w:left="420" w:hanging="338"/>
        <w:spacing w:after="0"/>
        <w:tabs>
          <w:tab w:leader="none" w:pos="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Net of changes in valuation allowance</w:t>
      </w:r>
    </w:p>
    <w:p>
      <w:pPr>
        <w:spacing w:after="0" w:line="92" w:lineRule="exact"/>
        <w:rPr>
          <w:rFonts w:ascii="Arial" w:cs="Arial" w:eastAsia="Arial" w:hAnsi="Arial"/>
          <w:sz w:val="19"/>
          <w:szCs w:val="19"/>
          <w:color w:val="auto"/>
        </w:rPr>
      </w:pPr>
    </w:p>
    <w:p>
      <w:pPr>
        <w:ind w:left="420" w:hanging="338"/>
        <w:spacing w:after="0"/>
        <w:tabs>
          <w:tab w:leader="none" w:pos="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Includes U.S. taxes on non-U.S. earnings</w:t>
      </w:r>
    </w:p>
    <w:p>
      <w:pPr>
        <w:spacing w:after="0" w:line="106"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The effective tax rate decreased by 68.4 percentage points in 2018 compared to 2017. The decrease was primarily attributable to internal restructuring initiatives that resulted in a reduction of accrued withholding taxes of approximately $1.1 billion related to unremitted foreign earnings. In addition, we recorded a tax benefit of approximately $440 million as a reduction to our 2017 provisional estimate of impacts from U.S. Tax Reform, which was partially offset by $411 million of tax costs associated with the internal restructuring of the Homes and Global Distribution business and Transportation Systems business in advance of their spin-offs. The Company’s non-U.S. effective tax rate was 4.1%, a decrease of approximately 67.3 percentage points compared to 2017. The year over year decrease in the foreign effective tax rate was primarily attributable to the impact of the Company’s internal restructuring initiatives and the reduction of accrued withholding taxes on unremitted foreign earnings, partially offset by the spin-off transactions.</w:t>
      </w:r>
    </w:p>
    <w:p>
      <w:pPr>
        <w:spacing w:after="0" w:line="95"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The effective tax rate increased by 52.4 percentage points in 2017 compared to 2016. The increase was primarily attributable to the provisional impact of U.S. Tax Reform, partially offset by increased tax benefits from foreign tax credits and for employee share-based payments. The Company’s non-U.S. effective tax rate was 71.4%, an increase of approximately 54.7 percentage points compared to 2016. The year-over-year increase in the non-U.S. effective tax rate was primarily driven by the Company’s change in assertion regarding foreign unremitted earnings, increased expense for reserves in various jurisdictions and increased withholding taxes, partially offset by higher earnings in low tax rate jurisdictions.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57" w:right="359" w:bottom="1440" w:gutter="0" w:footer="0" w:header="0"/>
        </w:sectPr>
      </w:pPr>
    </w:p>
    <w:bookmarkStart w:id="53" w:name="page54"/>
    <w:bookmarkEnd w:id="5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Deferred tax assets (liabilities)</w:t>
      </w:r>
    </w:p>
    <w:p>
      <w:pPr>
        <w:spacing w:after="0" w:line="130" w:lineRule="exact"/>
        <w:rPr>
          <w:sz w:val="20"/>
          <w:szCs w:val="20"/>
          <w:color w:val="auto"/>
        </w:rPr>
      </w:pPr>
    </w:p>
    <w:p>
      <w:pPr>
        <w:ind w:right="120" w:firstLine="357"/>
        <w:spacing w:after="0" w:line="246" w:lineRule="auto"/>
        <w:rPr>
          <w:sz w:val="20"/>
          <w:szCs w:val="20"/>
          <w:color w:val="auto"/>
        </w:rPr>
      </w:pPr>
      <w:r>
        <w:rPr>
          <w:rFonts w:ascii="Arial" w:cs="Arial" w:eastAsia="Arial" w:hAnsi="Arial"/>
          <w:sz w:val="19"/>
          <w:szCs w:val="19"/>
          <w:color w:val="auto"/>
        </w:rPr>
        <w:t>The tax effects of temporary differences and tax carryforwards which give rise to future income tax benefits and payables are as follows:</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340" w:type="dxa"/>
            <w:vAlign w:val="bottom"/>
            <w:vMerge w:val="restart"/>
          </w:tcPr>
          <w:p>
            <w:pPr>
              <w:spacing w:after="0"/>
              <w:rPr>
                <w:sz w:val="20"/>
                <w:szCs w:val="20"/>
                <w:color w:val="auto"/>
              </w:rPr>
            </w:pPr>
            <w:r>
              <w:rPr>
                <w:rFonts w:ascii="Arial" w:cs="Arial" w:eastAsia="Arial" w:hAnsi="Arial"/>
                <w:sz w:val="19"/>
                <w:szCs w:val="19"/>
                <w:b w:val="1"/>
                <w:bCs w:val="1"/>
                <w:color w:val="auto"/>
              </w:rPr>
              <w:t>Deferred tax assets:</w:t>
            </w: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9"/>
        </w:trPr>
        <w:tc>
          <w:tcPr>
            <w:tcW w:w="834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5"/>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37"/>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Postretirement benefits other than pensions</w:t>
            </w:r>
          </w:p>
        </w:tc>
        <w:tc>
          <w:tcPr>
            <w:tcW w:w="180" w:type="dxa"/>
            <w:vAlign w:val="bottom"/>
            <w:shd w:val="clear" w:color="auto" w:fill="E5FFFF"/>
          </w:tcPr>
          <w:p>
            <w:pPr>
              <w:spacing w:after="0"/>
              <w:rPr>
                <w:sz w:val="20"/>
                <w:szCs w:val="20"/>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120</w:t>
            </w:r>
          </w:p>
        </w:tc>
        <w:tc>
          <w:tcPr>
            <w:tcW w:w="30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177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9"/>
                <w:szCs w:val="19"/>
                <w:color w:val="auto"/>
              </w:rPr>
              <w:t>Asbestos and environmental</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589</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570</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Employee compensation and benefits</w:t>
            </w:r>
          </w:p>
        </w:tc>
        <w:tc>
          <w:tcPr>
            <w:tcW w:w="1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262</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218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9"/>
                <w:szCs w:val="19"/>
                <w:color w:val="auto"/>
              </w:rPr>
              <w:t>Other accruals and reserves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336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376</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Net operating and capital losses</w:t>
            </w:r>
          </w:p>
        </w:tc>
        <w:tc>
          <w:tcPr>
            <w:tcW w:w="1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688</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632</w:t>
            </w:r>
          </w:p>
        </w:tc>
        <w:tc>
          <w:tcPr>
            <w:tcW w:w="0" w:type="dxa"/>
            <w:vAlign w:val="bottom"/>
          </w:tcPr>
          <w:p>
            <w:pPr>
              <w:spacing w:after="0"/>
              <w:rPr>
                <w:sz w:val="1"/>
                <w:szCs w:val="1"/>
                <w:color w:val="auto"/>
              </w:rPr>
            </w:pPr>
          </w:p>
        </w:tc>
      </w:tr>
      <w:tr>
        <w:trPr>
          <w:trHeight w:val="250"/>
        </w:trPr>
        <w:tc>
          <w:tcPr>
            <w:tcW w:w="8340" w:type="dxa"/>
            <w:vAlign w:val="bottom"/>
          </w:tcPr>
          <w:p>
            <w:pPr>
              <w:ind w:left="180"/>
              <w:spacing w:after="0"/>
              <w:rPr>
                <w:sz w:val="20"/>
                <w:szCs w:val="20"/>
                <w:color w:val="auto"/>
              </w:rPr>
            </w:pPr>
            <w:r>
              <w:rPr>
                <w:rFonts w:ascii="Arial" w:cs="Arial" w:eastAsia="Arial" w:hAnsi="Arial"/>
                <w:sz w:val="19"/>
                <w:szCs w:val="19"/>
                <w:color w:val="auto"/>
              </w:rPr>
              <w:t>Tax credit carryforwards</w:t>
            </w: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154</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510</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spacing w:after="0"/>
              <w:rPr>
                <w:sz w:val="20"/>
                <w:szCs w:val="20"/>
                <w:color w:val="auto"/>
              </w:rPr>
            </w:pPr>
            <w:r>
              <w:rPr>
                <w:rFonts w:ascii="Arial" w:cs="Arial" w:eastAsia="Arial" w:hAnsi="Arial"/>
                <w:sz w:val="19"/>
                <w:szCs w:val="19"/>
                <w:color w:val="auto"/>
              </w:rPr>
              <w:t>Gross deferred tax assets</w:t>
            </w:r>
          </w:p>
        </w:tc>
        <w:tc>
          <w:tcPr>
            <w:tcW w:w="1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2,149</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2,483</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0"/>
                <w:szCs w:val="20"/>
                <w:color w:val="auto"/>
              </w:rPr>
            </w:pPr>
            <w:r>
              <w:rPr>
                <w:rFonts w:ascii="Arial" w:cs="Arial" w:eastAsia="Arial" w:hAnsi="Arial"/>
                <w:sz w:val="19"/>
                <w:szCs w:val="19"/>
                <w:color w:val="auto"/>
              </w:rPr>
              <w:t>Valuation allowance</w:t>
            </w: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(689)</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(663)</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spacing w:after="0"/>
              <w:rPr>
                <w:sz w:val="20"/>
                <w:szCs w:val="20"/>
                <w:color w:val="auto"/>
              </w:rPr>
            </w:pPr>
            <w:r>
              <w:rPr>
                <w:rFonts w:ascii="Arial" w:cs="Arial" w:eastAsia="Arial" w:hAnsi="Arial"/>
                <w:sz w:val="19"/>
                <w:szCs w:val="19"/>
                <w:color w:val="auto"/>
              </w:rPr>
              <w:t>Total deferred tax assets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1,460</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1,820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9"/>
                <w:szCs w:val="19"/>
                <w:b w:val="1"/>
                <w:bCs w:val="1"/>
                <w:color w:val="auto"/>
              </w:rPr>
              <w:t>Deferred tax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Pension</w:t>
            </w:r>
          </w:p>
        </w:tc>
        <w:tc>
          <w:tcPr>
            <w:tcW w:w="18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w w:val="94"/>
              </w:rPr>
              <w:t>$</w:t>
            </w:r>
          </w:p>
        </w:tc>
        <w:tc>
          <w:tcPr>
            <w:tcW w:w="68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(40)</w:t>
            </w:r>
          </w:p>
        </w:tc>
        <w:tc>
          <w:tcPr>
            <w:tcW w:w="480" w:type="dxa"/>
            <w:vAlign w:val="bottom"/>
            <w:gridSpan w:val="2"/>
            <w:shd w:val="clear" w:color="auto" w:fill="E5FFFF"/>
          </w:tcPr>
          <w:p>
            <w:pPr>
              <w:jc w:val="right"/>
              <w:ind w:right="60"/>
              <w:spacing w:after="0" w:line="216" w:lineRule="exact"/>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(40)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9"/>
                <w:szCs w:val="19"/>
                <w:color w:val="auto"/>
              </w:rPr>
              <w:t>Property, plant and equipment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(422)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(439)</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Intangibles</w:t>
            </w:r>
          </w:p>
        </w:tc>
        <w:tc>
          <w:tcPr>
            <w:tcW w:w="1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(1,553)</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(1,326)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9"/>
                <w:szCs w:val="19"/>
                <w:color w:val="auto"/>
              </w:rPr>
              <w:t>Unremitted earnings of foreign subsidiaries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(616)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(2,151)</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Other asset basis differences</w:t>
            </w:r>
          </w:p>
        </w:tc>
        <w:tc>
          <w:tcPr>
            <w:tcW w:w="1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(110)</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(210)</w:t>
            </w:r>
          </w:p>
        </w:tc>
        <w:tc>
          <w:tcPr>
            <w:tcW w:w="0" w:type="dxa"/>
            <w:vAlign w:val="bottom"/>
          </w:tcPr>
          <w:p>
            <w:pPr>
              <w:spacing w:after="0"/>
              <w:rPr>
                <w:sz w:val="1"/>
                <w:szCs w:val="1"/>
                <w:color w:val="auto"/>
              </w:rPr>
            </w:pPr>
          </w:p>
        </w:tc>
      </w:tr>
      <w:tr>
        <w:trPr>
          <w:trHeight w:val="250"/>
        </w:trPr>
        <w:tc>
          <w:tcPr>
            <w:tcW w:w="8340" w:type="dxa"/>
            <w:vAlign w:val="bottom"/>
          </w:tcPr>
          <w:p>
            <w:pPr>
              <w:ind w:left="180"/>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spacing w:after="0"/>
              <w:rPr>
                <w:sz w:val="20"/>
                <w:szCs w:val="20"/>
                <w:color w:val="auto"/>
              </w:rPr>
            </w:pPr>
            <w:r>
              <w:rPr>
                <w:rFonts w:ascii="Arial" w:cs="Arial" w:eastAsia="Arial" w:hAnsi="Arial"/>
                <w:sz w:val="19"/>
                <w:szCs w:val="19"/>
                <w:color w:val="auto"/>
              </w:rPr>
              <w:t>Total deferred tax liabilities</w:t>
            </w:r>
          </w:p>
        </w:tc>
        <w:tc>
          <w:tcPr>
            <w:tcW w:w="18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(2,791)</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(4,233)</w:t>
            </w:r>
          </w:p>
        </w:tc>
        <w:tc>
          <w:tcPr>
            <w:tcW w:w="0" w:type="dxa"/>
            <w:vAlign w:val="bottom"/>
          </w:tcPr>
          <w:p>
            <w:pPr>
              <w:spacing w:after="0"/>
              <w:rPr>
                <w:sz w:val="1"/>
                <w:szCs w:val="1"/>
                <w:color w:val="auto"/>
              </w:rPr>
            </w:pPr>
          </w:p>
        </w:tc>
      </w:tr>
      <w:tr>
        <w:trPr>
          <w:trHeight w:val="223"/>
        </w:trPr>
        <w:tc>
          <w:tcPr>
            <w:tcW w:w="8340" w:type="dxa"/>
            <w:vAlign w:val="bottom"/>
          </w:tcPr>
          <w:p>
            <w:pPr>
              <w:spacing w:after="0"/>
              <w:rPr>
                <w:sz w:val="20"/>
                <w:szCs w:val="20"/>
                <w:color w:val="auto"/>
              </w:rPr>
            </w:pPr>
            <w:r>
              <w:rPr>
                <w:rFonts w:ascii="Arial" w:cs="Arial" w:eastAsia="Arial" w:hAnsi="Arial"/>
                <w:sz w:val="19"/>
                <w:szCs w:val="19"/>
                <w:color w:val="auto"/>
              </w:rPr>
              <w:t>Net deferred tax liability</w:t>
            </w: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(1,331)</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(2,413)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Our gross deferred tax assets include $794 million related to non-U.S. operations comprised principally of net operating losses, capital loss and tax credit carryforwards (mainly in Canada, France, Germany, Luxembourg and the United Kingdom) and deductible temporary differences. We maintain a valuation allowance of $686 million against a portion of the non-U.S. gross deferred tax assets. The change in the valuation allowance resulted in increases of $57 million, $ 4 million and $69 million to income tax expense in 2018, 2017 and 2016. In the event we determine that we will not be able to realize our net deferred tax assets in the future, we will reduce such amounts through an increase to income tax expense in the period such determination is made. Conversely, if we determine that we will be able to realize net deferred tax assets in excess of the carrying amounts, we will decrease the recorded valuation allowance through a reduction to income tax expense in the period that such determination is made.</w:t>
      </w:r>
    </w:p>
    <w:p>
      <w:pPr>
        <w:spacing w:after="0" w:line="96" w:lineRule="exact"/>
        <w:rPr>
          <w:sz w:val="20"/>
          <w:szCs w:val="20"/>
          <w:color w:val="auto"/>
        </w:rPr>
      </w:pPr>
    </w:p>
    <w:p>
      <w:pPr>
        <w:ind w:right="160" w:firstLine="357"/>
        <w:spacing w:after="0" w:line="253" w:lineRule="auto"/>
        <w:rPr>
          <w:sz w:val="20"/>
          <w:szCs w:val="20"/>
          <w:color w:val="auto"/>
        </w:rPr>
      </w:pPr>
      <w:r>
        <w:rPr>
          <w:rFonts w:ascii="Arial" w:cs="Arial" w:eastAsia="Arial" w:hAnsi="Arial"/>
          <w:sz w:val="19"/>
          <w:szCs w:val="19"/>
          <w:color w:val="auto"/>
        </w:rPr>
        <w:t>As of December 31, 2018, we have recorded a $616 million deferred tax liability on all of our unremitted foreign earnings based on estimated earnings and profits of approximately $20.5 billion as of the balance sheet date.</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As of December 31, 2018, our net operating loss, capital loss and tax credit carryforwards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ind w:right="50"/>
              <w:spacing w:after="0"/>
              <w:rPr>
                <w:sz w:val="20"/>
                <w:szCs w:val="20"/>
                <w:color w:val="auto"/>
              </w:rPr>
            </w:pPr>
            <w:r>
              <w:rPr>
                <w:rFonts w:ascii="Arial" w:cs="Arial" w:eastAsia="Arial" w:hAnsi="Arial"/>
                <w:sz w:val="16"/>
                <w:szCs w:val="16"/>
                <w:b w:val="1"/>
                <w:bCs w:val="1"/>
                <w:color w:val="auto"/>
                <w:w w:val="98"/>
              </w:rPr>
              <w:t>Net Operating</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Expiration</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0"/>
              <w:spacing w:after="0" w:line="176" w:lineRule="exact"/>
              <w:rPr>
                <w:sz w:val="20"/>
                <w:szCs w:val="20"/>
                <w:color w:val="auto"/>
              </w:rPr>
            </w:pPr>
            <w:r>
              <w:rPr>
                <w:rFonts w:ascii="Arial" w:cs="Arial" w:eastAsia="Arial" w:hAnsi="Arial"/>
                <w:sz w:val="16"/>
                <w:szCs w:val="16"/>
                <w:b w:val="1"/>
                <w:bCs w:val="1"/>
                <w:color w:val="auto"/>
                <w:w w:val="98"/>
              </w:rPr>
              <w:t>and Capital Loss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208"/>
              <w:spacing w:after="0" w:line="176" w:lineRule="exact"/>
              <w:rPr>
                <w:sz w:val="20"/>
                <w:szCs w:val="20"/>
                <w:color w:val="auto"/>
              </w:rPr>
            </w:pPr>
            <w:r>
              <w:rPr>
                <w:rFonts w:ascii="Arial" w:cs="Arial" w:eastAsia="Arial" w:hAnsi="Arial"/>
                <w:sz w:val="16"/>
                <w:szCs w:val="16"/>
                <w:b w:val="1"/>
                <w:bCs w:val="1"/>
                <w:color w:val="auto"/>
              </w:rPr>
              <w:t>Tax Credit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4160" w:type="dxa"/>
            <w:vAlign w:val="bottom"/>
            <w:tcBorders>
              <w:bottom w:val="single" w:sz="8" w:color="auto"/>
            </w:tcBorders>
          </w:tcPr>
          <w:p>
            <w:pPr>
              <w:ind w:left="2320"/>
              <w:spacing w:after="0"/>
              <w:rPr>
                <w:sz w:val="20"/>
                <w:szCs w:val="20"/>
                <w:color w:val="auto"/>
              </w:rPr>
            </w:pPr>
            <w:r>
              <w:rPr>
                <w:rFonts w:ascii="Arial" w:cs="Arial" w:eastAsia="Arial" w:hAnsi="Arial"/>
                <w:sz w:val="16"/>
                <w:szCs w:val="16"/>
                <w:b w:val="1"/>
                <w:bCs w:val="1"/>
                <w:color w:val="auto"/>
              </w:rPr>
              <w:t>Jurisdiction</w:t>
            </w:r>
          </w:p>
        </w:tc>
        <w:tc>
          <w:tcPr>
            <w:tcW w:w="13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Period</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6"/>
                <w:szCs w:val="16"/>
                <w:b w:val="1"/>
                <w:bCs w:val="1"/>
                <w:color w:val="auto"/>
                <w:w w:val="98"/>
              </w:rPr>
              <w:t>Carryforwards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w w:val="96"/>
              </w:rPr>
              <w:t>Carryforwards</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160" w:type="dxa"/>
            <w:vAlign w:val="bottom"/>
            <w:shd w:val="clear" w:color="auto" w:fill="E5FFFF"/>
          </w:tcPr>
          <w:p>
            <w:pPr>
              <w:spacing w:after="0"/>
              <w:rPr>
                <w:sz w:val="20"/>
                <w:szCs w:val="20"/>
                <w:color w:val="auto"/>
              </w:rPr>
            </w:pPr>
            <w:r>
              <w:rPr>
                <w:rFonts w:ascii="Arial" w:cs="Arial" w:eastAsia="Arial" w:hAnsi="Arial"/>
                <w:sz w:val="19"/>
                <w:szCs w:val="19"/>
                <w:color w:val="auto"/>
              </w:rPr>
              <w:t>U.S. Federal</w:t>
            </w:r>
          </w:p>
        </w:tc>
        <w:tc>
          <w:tcPr>
            <w:tcW w:w="2660" w:type="dxa"/>
            <w:vAlign w:val="bottom"/>
            <w:gridSpan w:val="3"/>
            <w:shd w:val="clear" w:color="auto" w:fill="E5FFFF"/>
          </w:tcPr>
          <w:p>
            <w:pPr>
              <w:jc w:val="center"/>
              <w:ind w:left="1563"/>
              <w:spacing w:after="0"/>
              <w:rPr>
                <w:sz w:val="20"/>
                <w:szCs w:val="20"/>
                <w:color w:val="auto"/>
              </w:rPr>
            </w:pPr>
            <w:r>
              <w:rPr>
                <w:rFonts w:ascii="Arial" w:cs="Arial" w:eastAsia="Arial" w:hAnsi="Arial"/>
                <w:sz w:val="19"/>
                <w:szCs w:val="19"/>
                <w:color w:val="auto"/>
              </w:rPr>
              <w:t>2038</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460" w:type="dxa"/>
            <w:vAlign w:val="bottom"/>
            <w:shd w:val="clear" w:color="auto" w:fill="E5FFFF"/>
          </w:tcPr>
          <w:p>
            <w:pPr>
              <w:jc w:val="right"/>
              <w:ind w:right="30"/>
              <w:spacing w:after="0"/>
              <w:rPr>
                <w:sz w:val="20"/>
                <w:szCs w:val="20"/>
                <w:color w:val="auto"/>
              </w:rPr>
            </w:pPr>
            <w:r>
              <w:rPr>
                <w:rFonts w:ascii="Arial" w:cs="Arial" w:eastAsia="Arial" w:hAnsi="Arial"/>
                <w:sz w:val="19"/>
                <w:szCs w:val="19"/>
                <w:color w:val="auto"/>
              </w:rPr>
              <w:t>9</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5FFFF"/>
          </w:tcPr>
          <w:p>
            <w:pPr>
              <w:jc w:val="right"/>
              <w:ind w:right="68"/>
              <w:spacing w:after="0"/>
              <w:rPr>
                <w:sz w:val="20"/>
                <w:szCs w:val="20"/>
                <w:color w:val="auto"/>
              </w:rPr>
            </w:pPr>
            <w:r>
              <w:rPr>
                <w:rFonts w:ascii="Arial" w:cs="Arial" w:eastAsia="Arial" w:hAnsi="Arial"/>
                <w:sz w:val="19"/>
                <w:szCs w:val="19"/>
                <w:color w:val="auto"/>
              </w:rPr>
              <w:t>22</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9"/>
                <w:szCs w:val="19"/>
                <w:color w:val="auto"/>
              </w:rPr>
              <w:t>U.S. State</w:t>
            </w:r>
          </w:p>
        </w:tc>
        <w:tc>
          <w:tcPr>
            <w:tcW w:w="2660" w:type="dxa"/>
            <w:vAlign w:val="bottom"/>
            <w:gridSpan w:val="3"/>
          </w:tcPr>
          <w:p>
            <w:pPr>
              <w:jc w:val="center"/>
              <w:ind w:left="1563"/>
              <w:spacing w:after="0"/>
              <w:rPr>
                <w:sz w:val="20"/>
                <w:szCs w:val="20"/>
                <w:color w:val="auto"/>
              </w:rPr>
            </w:pPr>
            <w:r>
              <w:rPr>
                <w:rFonts w:ascii="Arial" w:cs="Arial" w:eastAsia="Arial" w:hAnsi="Arial"/>
                <w:sz w:val="19"/>
                <w:szCs w:val="19"/>
                <w:color w:val="auto"/>
              </w:rPr>
              <w:t>2038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9"/>
                <w:szCs w:val="19"/>
                <w:color w:val="auto"/>
              </w:rPr>
              <w:t>406</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68"/>
              <w:spacing w:after="0"/>
              <w:rPr>
                <w:sz w:val="20"/>
                <w:szCs w:val="20"/>
                <w:color w:val="auto"/>
              </w:rPr>
            </w:pPr>
            <w:r>
              <w:rPr>
                <w:rFonts w:ascii="Arial" w:cs="Arial" w:eastAsia="Arial" w:hAnsi="Arial"/>
                <w:sz w:val="19"/>
                <w:szCs w:val="19"/>
                <w:color w:val="auto"/>
              </w:rPr>
              <w:t>18</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160" w:type="dxa"/>
            <w:vAlign w:val="bottom"/>
            <w:shd w:val="clear" w:color="auto" w:fill="E5FFFF"/>
          </w:tcPr>
          <w:p>
            <w:pPr>
              <w:spacing w:after="0"/>
              <w:rPr>
                <w:sz w:val="20"/>
                <w:szCs w:val="20"/>
                <w:color w:val="auto"/>
              </w:rPr>
            </w:pPr>
            <w:r>
              <w:rPr>
                <w:rFonts w:ascii="Arial" w:cs="Arial" w:eastAsia="Arial" w:hAnsi="Arial"/>
                <w:sz w:val="19"/>
                <w:szCs w:val="19"/>
                <w:color w:val="auto"/>
              </w:rPr>
              <w:t>Non-U.S.</w:t>
            </w:r>
          </w:p>
        </w:tc>
        <w:tc>
          <w:tcPr>
            <w:tcW w:w="2660" w:type="dxa"/>
            <w:vAlign w:val="bottom"/>
            <w:gridSpan w:val="3"/>
            <w:shd w:val="clear" w:color="auto" w:fill="E5FFFF"/>
          </w:tcPr>
          <w:p>
            <w:pPr>
              <w:jc w:val="center"/>
              <w:ind w:left="1563"/>
              <w:spacing w:after="0"/>
              <w:rPr>
                <w:sz w:val="20"/>
                <w:szCs w:val="20"/>
                <w:color w:val="auto"/>
              </w:rPr>
            </w:pPr>
            <w:r>
              <w:rPr>
                <w:rFonts w:ascii="Arial" w:cs="Arial" w:eastAsia="Arial" w:hAnsi="Arial"/>
                <w:sz w:val="19"/>
                <w:szCs w:val="19"/>
                <w:color w:val="auto"/>
              </w:rPr>
              <w:t>2038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60" w:type="dxa"/>
            <w:vAlign w:val="bottom"/>
            <w:shd w:val="clear" w:color="auto" w:fill="E5FFFF"/>
          </w:tcPr>
          <w:p>
            <w:pPr>
              <w:jc w:val="right"/>
              <w:ind w:right="30"/>
              <w:spacing w:after="0"/>
              <w:rPr>
                <w:sz w:val="20"/>
                <w:szCs w:val="20"/>
                <w:color w:val="auto"/>
              </w:rPr>
            </w:pPr>
            <w:r>
              <w:rPr>
                <w:rFonts w:ascii="Arial" w:cs="Arial" w:eastAsia="Arial" w:hAnsi="Arial"/>
                <w:sz w:val="19"/>
                <w:szCs w:val="19"/>
                <w:color w:val="auto"/>
              </w:rPr>
              <w:t>310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20" w:type="dxa"/>
            <w:vAlign w:val="bottom"/>
            <w:shd w:val="clear" w:color="auto" w:fill="E5FFFF"/>
          </w:tcPr>
          <w:p>
            <w:pPr>
              <w:jc w:val="right"/>
              <w:ind w:right="68"/>
              <w:spacing w:after="0"/>
              <w:rPr>
                <w:sz w:val="20"/>
                <w:szCs w:val="20"/>
                <w:color w:val="auto"/>
              </w:rPr>
            </w:pPr>
            <w:r>
              <w:rPr>
                <w:rFonts w:ascii="Arial" w:cs="Arial" w:eastAsia="Arial" w:hAnsi="Arial"/>
                <w:sz w:val="19"/>
                <w:szCs w:val="19"/>
                <w:color w:val="auto"/>
              </w:rPr>
              <w:t>117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9"/>
                <w:szCs w:val="19"/>
                <w:color w:val="auto"/>
              </w:rPr>
              <w:t>Non-U.S.</w:t>
            </w: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rPr>
              <w:t>Indefinite</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9"/>
                <w:szCs w:val="19"/>
                <w:color w:val="auto"/>
              </w:rPr>
              <w:t>2,353</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160" w:type="dxa"/>
            <w:vAlign w:val="bottom"/>
            <w:shd w:val="clear" w:color="auto" w:fill="E5FFFF"/>
          </w:tcPr>
          <w:p>
            <w:pPr>
              <w:spacing w:after="0"/>
              <w:rPr>
                <w:sz w:val="21"/>
                <w:szCs w:val="21"/>
                <w:color w:val="auto"/>
              </w:rPr>
            </w:pPr>
          </w:p>
        </w:tc>
        <w:tc>
          <w:tcPr>
            <w:tcW w:w="13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460" w:type="dxa"/>
            <w:vAlign w:val="bottom"/>
            <w:shd w:val="clear" w:color="auto" w:fill="E5FFFF"/>
          </w:tcPr>
          <w:p>
            <w:pPr>
              <w:jc w:val="right"/>
              <w:ind w:right="30"/>
              <w:spacing w:after="0"/>
              <w:rPr>
                <w:sz w:val="20"/>
                <w:szCs w:val="20"/>
                <w:color w:val="auto"/>
              </w:rPr>
            </w:pPr>
            <w:r>
              <w:rPr>
                <w:rFonts w:ascii="Arial" w:cs="Arial" w:eastAsia="Arial" w:hAnsi="Arial"/>
                <w:sz w:val="19"/>
                <w:szCs w:val="19"/>
                <w:color w:val="auto"/>
              </w:rPr>
              <w:t>3,078</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5FFFF"/>
          </w:tcPr>
          <w:p>
            <w:pPr>
              <w:jc w:val="right"/>
              <w:ind w:right="68"/>
              <w:spacing w:after="0"/>
              <w:rPr>
                <w:sz w:val="20"/>
                <w:szCs w:val="20"/>
                <w:color w:val="auto"/>
              </w:rPr>
            </w:pPr>
            <w:r>
              <w:rPr>
                <w:rFonts w:ascii="Arial" w:cs="Arial" w:eastAsia="Arial" w:hAnsi="Arial"/>
                <w:sz w:val="19"/>
                <w:szCs w:val="19"/>
                <w:color w:val="auto"/>
              </w:rPr>
              <w:t>157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360" w:type="dxa"/>
            <w:vAlign w:val="bottom"/>
            <w:vMerge w:val="restart"/>
          </w:tcPr>
          <w:p>
            <w:pPr>
              <w:jc w:val="right"/>
              <w:ind w:right="103"/>
              <w:spacing w:after="0"/>
              <w:rPr>
                <w:sz w:val="20"/>
                <w:szCs w:val="20"/>
                <w:color w:val="auto"/>
              </w:rPr>
            </w:pPr>
            <w:r>
              <w:rPr>
                <w:rFonts w:ascii="Arial" w:cs="Arial" w:eastAsia="Arial" w:hAnsi="Arial"/>
                <w:sz w:val="19"/>
                <w:szCs w:val="19"/>
                <w:color w:val="auto"/>
              </w:rPr>
              <w:t>51</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320" w:firstLine="357"/>
        <w:spacing w:after="0" w:line="243" w:lineRule="auto"/>
        <w:rPr>
          <w:sz w:val="20"/>
          <w:szCs w:val="20"/>
          <w:color w:val="auto"/>
        </w:rPr>
      </w:pPr>
      <w:r>
        <w:rPr>
          <w:rFonts w:ascii="Arial" w:cs="Arial" w:eastAsia="Arial" w:hAnsi="Arial"/>
          <w:sz w:val="19"/>
          <w:szCs w:val="19"/>
          <w:color w:val="auto"/>
        </w:rPr>
        <w:t>Many jurisdictions impose limitations on the timing and utilization of net operating loss and tax credit carryforwards. In those instances, whereby there is an expected permanent limitation on the utilization of the net operating loss or tax credit carryforward, the deferred tax asset and amount of the carryforward have been reduced.</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5"/>
              <w:spacing w:after="0"/>
              <w:rPr>
                <w:sz w:val="20"/>
                <w:szCs w:val="20"/>
                <w:color w:val="auto"/>
              </w:rPr>
            </w:pPr>
            <w:r>
              <w:rPr>
                <w:rFonts w:ascii="Arial" w:cs="Arial" w:eastAsia="Arial" w:hAnsi="Arial"/>
                <w:sz w:val="16"/>
                <w:szCs w:val="16"/>
                <w:b w:val="1"/>
                <w:bCs w:val="1"/>
                <w:color w:val="auto"/>
              </w:rPr>
              <w:t>2018</w:t>
            </w:r>
          </w:p>
        </w:tc>
        <w:tc>
          <w:tcPr>
            <w:tcW w:w="840" w:type="dxa"/>
            <w:vAlign w:val="bottom"/>
            <w:gridSpan w:val="2"/>
          </w:tcPr>
          <w:p>
            <w:pPr>
              <w:jc w:val="right"/>
              <w:ind w:right="3"/>
              <w:spacing w:after="0"/>
              <w:rPr>
                <w:sz w:val="20"/>
                <w:szCs w:val="20"/>
                <w:color w:val="auto"/>
              </w:rPr>
            </w:pPr>
            <w:r>
              <w:rPr>
                <w:rFonts w:ascii="Arial" w:cs="Arial" w:eastAsia="Arial" w:hAnsi="Arial"/>
                <w:sz w:val="16"/>
                <w:szCs w:val="16"/>
                <w:b w:val="1"/>
                <w:bCs w:val="1"/>
                <w:color w:val="auto"/>
              </w:rPr>
              <w:t>2017</w:t>
            </w:r>
          </w:p>
        </w:tc>
        <w:tc>
          <w:tcPr>
            <w:tcW w:w="880" w:type="dxa"/>
            <w:vAlign w:val="bottom"/>
            <w:gridSpan w:val="2"/>
          </w:tcPr>
          <w:p>
            <w:pPr>
              <w:jc w:val="right"/>
              <w:ind w:right="3"/>
              <w:spacing w:after="0"/>
              <w:rPr>
                <w:sz w:val="20"/>
                <w:szCs w:val="20"/>
                <w:color w:val="auto"/>
              </w:rPr>
            </w:pPr>
            <w:r>
              <w:rPr>
                <w:rFonts w:ascii="Arial" w:cs="Arial" w:eastAsia="Arial" w:hAnsi="Arial"/>
                <w:sz w:val="16"/>
                <w:szCs w:val="16"/>
                <w:b w:val="1"/>
                <w:bCs w:val="1"/>
                <w:color w:val="auto"/>
              </w:rPr>
              <w:t>2016</w:t>
            </w:r>
          </w:p>
        </w:tc>
      </w:tr>
      <w:tr>
        <w:trPr>
          <w:trHeight w:val="210"/>
        </w:trPr>
        <w:tc>
          <w:tcPr>
            <w:tcW w:w="79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Change in unrecognized tax benefits:</w:t>
            </w:r>
          </w:p>
        </w:tc>
        <w:tc>
          <w:tcPr>
            <w:tcW w:w="160" w:type="dxa"/>
            <w:vAlign w:val="bottom"/>
            <w:tcBorders>
              <w:top w:val="single" w:sz="8" w:color="auto"/>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56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9"/>
                <w:szCs w:val="19"/>
                <w:color w:val="auto"/>
              </w:rPr>
              <w:t>Balance at beginning of year</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947</w:t>
            </w: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$ 877</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$ 765</w:t>
            </w:r>
          </w:p>
        </w:tc>
      </w:tr>
      <w:tr>
        <w:trPr>
          <w:trHeight w:val="243"/>
        </w:trPr>
        <w:tc>
          <w:tcPr>
            <w:tcW w:w="79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Gross increases related to current period tax positions</w:t>
            </w: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370</w:t>
            </w: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94</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96</w:t>
            </w:r>
          </w:p>
        </w:tc>
      </w:tr>
      <w:tr>
        <w:trPr>
          <w:trHeight w:val="243"/>
        </w:trPr>
        <w:tc>
          <w:tcPr>
            <w:tcW w:w="7940" w:type="dxa"/>
            <w:vAlign w:val="bottom"/>
          </w:tcPr>
          <w:p>
            <w:pPr>
              <w:ind w:left="180"/>
              <w:spacing w:after="0"/>
              <w:rPr>
                <w:sz w:val="20"/>
                <w:szCs w:val="20"/>
                <w:color w:val="auto"/>
              </w:rPr>
            </w:pPr>
            <w:r>
              <w:rPr>
                <w:rFonts w:ascii="Arial" w:cs="Arial" w:eastAsia="Arial" w:hAnsi="Arial"/>
                <w:sz w:val="19"/>
                <w:szCs w:val="19"/>
                <w:color w:val="auto"/>
              </w:rPr>
              <w:t>Gross increases related to prior periods tax positions</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82</w:t>
            </w: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153</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88</w:t>
            </w:r>
          </w:p>
        </w:tc>
      </w:tr>
      <w:tr>
        <w:trPr>
          <w:trHeight w:val="243"/>
        </w:trPr>
        <w:tc>
          <w:tcPr>
            <w:tcW w:w="79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Gross decreases related to prior periods tax positions</w:t>
            </w: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(201)</w:t>
            </w: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(91)</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(33)</w:t>
            </w:r>
          </w:p>
        </w:tc>
      </w:tr>
      <w:tr>
        <w:trPr>
          <w:trHeight w:val="243"/>
        </w:trPr>
        <w:tc>
          <w:tcPr>
            <w:tcW w:w="7940" w:type="dxa"/>
            <w:vAlign w:val="bottom"/>
          </w:tcPr>
          <w:p>
            <w:pPr>
              <w:ind w:left="180"/>
              <w:spacing w:after="0"/>
              <w:rPr>
                <w:sz w:val="20"/>
                <w:szCs w:val="20"/>
                <w:color w:val="auto"/>
              </w:rPr>
            </w:pPr>
            <w:r>
              <w:rPr>
                <w:rFonts w:ascii="Arial" w:cs="Arial" w:eastAsia="Arial" w:hAnsi="Arial"/>
                <w:sz w:val="19"/>
                <w:szCs w:val="19"/>
                <w:color w:val="auto"/>
              </w:rPr>
              <w:t>Decrease related to resolutions of audits with tax authorities</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(40)</w:t>
            </w: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(76)</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(3)</w:t>
            </w:r>
          </w:p>
        </w:tc>
      </w:tr>
      <w:tr>
        <w:trPr>
          <w:trHeight w:val="243"/>
        </w:trPr>
        <w:tc>
          <w:tcPr>
            <w:tcW w:w="79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Expiration of the statute of limitations for the assessment of taxes</w:t>
            </w: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w:t>
            </w: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(54)</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w:t>
            </w:r>
          </w:p>
        </w:tc>
      </w:tr>
      <w:tr>
        <w:trPr>
          <w:trHeight w:val="250"/>
        </w:trPr>
        <w:tc>
          <w:tcPr>
            <w:tcW w:w="7940" w:type="dxa"/>
            <w:vAlign w:val="bottom"/>
          </w:tcPr>
          <w:p>
            <w:pPr>
              <w:ind w:left="180"/>
              <w:spacing w:after="0"/>
              <w:rPr>
                <w:sz w:val="20"/>
                <w:szCs w:val="20"/>
                <w:color w:val="auto"/>
              </w:rPr>
            </w:pPr>
            <w:r>
              <w:rPr>
                <w:rFonts w:ascii="Arial" w:cs="Arial" w:eastAsia="Arial" w:hAnsi="Arial"/>
                <w:sz w:val="19"/>
                <w:szCs w:val="19"/>
                <w:color w:val="auto"/>
              </w:rPr>
              <w:t>Foreign currency translation</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w:t>
            </w:r>
          </w:p>
        </w:tc>
        <w:tc>
          <w:tcPr>
            <w:tcW w:w="28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w:t>
            </w:r>
          </w:p>
        </w:tc>
        <w:tc>
          <w:tcPr>
            <w:tcW w:w="30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w:t>
            </w:r>
          </w:p>
        </w:tc>
      </w:tr>
      <w:tr>
        <w:trPr>
          <w:trHeight w:val="243"/>
        </w:trPr>
        <w:tc>
          <w:tcPr>
            <w:tcW w:w="7940" w:type="dxa"/>
            <w:vAlign w:val="bottom"/>
            <w:shd w:val="clear" w:color="auto" w:fill="E5FFFF"/>
          </w:tcPr>
          <w:p>
            <w:pPr>
              <w:spacing w:after="0"/>
              <w:rPr>
                <w:sz w:val="20"/>
                <w:szCs w:val="20"/>
                <w:color w:val="auto"/>
              </w:rPr>
            </w:pPr>
            <w:r>
              <w:rPr>
                <w:rFonts w:ascii="Arial" w:cs="Arial" w:eastAsia="Arial" w:hAnsi="Arial"/>
                <w:sz w:val="19"/>
                <w:szCs w:val="19"/>
                <w:color w:val="auto"/>
              </w:rPr>
              <w:t>Balance at end of year</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1,089</w:t>
            </w: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$ 947</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$ 877</w:t>
            </w:r>
          </w:p>
        </w:tc>
      </w:tr>
      <w:tr>
        <w:trPr>
          <w:trHeight w:val="20"/>
        </w:trPr>
        <w:tc>
          <w:tcPr>
            <w:tcW w:w="7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100" w:firstLine="357"/>
        <w:spacing w:after="0" w:line="253" w:lineRule="auto"/>
        <w:rPr>
          <w:sz w:val="20"/>
          <w:szCs w:val="20"/>
          <w:color w:val="auto"/>
        </w:rPr>
      </w:pPr>
      <w:r>
        <w:rPr>
          <w:rFonts w:ascii="Arial" w:cs="Arial" w:eastAsia="Arial" w:hAnsi="Arial"/>
          <w:sz w:val="19"/>
          <w:szCs w:val="19"/>
          <w:color w:val="auto"/>
        </w:rPr>
        <w:t>As of December 31, 2018, 2017, and 2016 there were $ 1,089 million, $947 million and $877 million of unrecognized tax benefits that if recognized would be recorded as a component of Tax expense.</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tax years that remain subject to examination by major tax jurisdictions as of December 31, 2018:</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60" w:type="dxa"/>
            <w:vAlign w:val="bottom"/>
            <w:gridSpan w:val="3"/>
          </w:tcPr>
          <w:p>
            <w:pPr>
              <w:jc w:val="center"/>
              <w:ind w:right="1287"/>
              <w:spacing w:after="0"/>
              <w:rPr>
                <w:sz w:val="20"/>
                <w:szCs w:val="20"/>
                <w:color w:val="auto"/>
              </w:rPr>
            </w:pPr>
            <w:r>
              <w:rPr>
                <w:rFonts w:ascii="Arial" w:cs="Arial" w:eastAsia="Arial" w:hAnsi="Arial"/>
                <w:sz w:val="16"/>
                <w:szCs w:val="16"/>
                <w:b w:val="1"/>
                <w:bCs w:val="1"/>
                <w:color w:val="auto"/>
                <w:w w:val="95"/>
              </w:rPr>
              <w:t>Open Tax Years</w:t>
            </w:r>
          </w:p>
        </w:tc>
      </w:tr>
      <w:tr>
        <w:trPr>
          <w:trHeight w:val="190"/>
        </w:trPr>
        <w:tc>
          <w:tcPr>
            <w:tcW w:w="6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Based on Originally Filed Returns</w:t>
            </w:r>
          </w:p>
        </w:tc>
      </w:tr>
      <w:tr>
        <w:trPr>
          <w:trHeight w:val="155"/>
        </w:trPr>
        <w:tc>
          <w:tcPr>
            <w:tcW w:w="6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jc w:val="center"/>
              <w:ind w:left="47"/>
              <w:spacing w:after="0" w:line="155" w:lineRule="exact"/>
              <w:rPr>
                <w:sz w:val="20"/>
                <w:szCs w:val="20"/>
                <w:color w:val="auto"/>
              </w:rPr>
            </w:pPr>
            <w:r>
              <w:rPr>
                <w:rFonts w:ascii="Arial" w:cs="Arial" w:eastAsia="Arial" w:hAnsi="Arial"/>
                <w:sz w:val="16"/>
                <w:szCs w:val="16"/>
                <w:b w:val="1"/>
                <w:bCs w:val="1"/>
                <w:color w:val="auto"/>
                <w:w w:val="98"/>
              </w:rPr>
              <w:t>Examination in</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Examination not yet</w:t>
            </w:r>
          </w:p>
        </w:tc>
      </w:tr>
      <w:tr>
        <w:trPr>
          <w:trHeight w:val="190"/>
        </w:trPr>
        <w:tc>
          <w:tcPr>
            <w:tcW w:w="6040" w:type="dxa"/>
            <w:vAlign w:val="bottom"/>
            <w:tcBorders>
              <w:bottom w:val="single" w:sz="8" w:color="auto"/>
            </w:tcBorders>
          </w:tcPr>
          <w:p>
            <w:pPr>
              <w:ind w:left="2580"/>
              <w:spacing w:after="0"/>
              <w:rPr>
                <w:sz w:val="20"/>
                <w:szCs w:val="20"/>
                <w:color w:val="auto"/>
              </w:rPr>
            </w:pPr>
            <w:r>
              <w:rPr>
                <w:rFonts w:ascii="Arial" w:cs="Arial" w:eastAsia="Arial" w:hAnsi="Arial"/>
                <w:sz w:val="16"/>
                <w:szCs w:val="16"/>
                <w:b w:val="1"/>
                <w:bCs w:val="1"/>
                <w:color w:val="auto"/>
              </w:rPr>
              <w:t>Jurisdiction</w:t>
            </w:r>
          </w:p>
        </w:tc>
        <w:tc>
          <w:tcPr>
            <w:tcW w:w="320" w:type="dxa"/>
            <w:vAlign w:val="bottom"/>
          </w:tcPr>
          <w:p>
            <w:pPr>
              <w:spacing w:after="0"/>
              <w:rPr>
                <w:sz w:val="16"/>
                <w:szCs w:val="16"/>
                <w:color w:val="auto"/>
              </w:rPr>
            </w:pPr>
          </w:p>
        </w:tc>
        <w:tc>
          <w:tcPr>
            <w:tcW w:w="1380" w:type="dxa"/>
            <w:vAlign w:val="bottom"/>
            <w:tcBorders>
              <w:bottom w:val="single" w:sz="8" w:color="auto"/>
            </w:tcBorders>
          </w:tcPr>
          <w:p>
            <w:pPr>
              <w:jc w:val="center"/>
              <w:ind w:left="47"/>
              <w:spacing w:after="0"/>
              <w:rPr>
                <w:sz w:val="20"/>
                <w:szCs w:val="20"/>
                <w:color w:val="auto"/>
              </w:rPr>
            </w:pPr>
            <w:r>
              <w:rPr>
                <w:rFonts w:ascii="Arial" w:cs="Arial" w:eastAsia="Arial" w:hAnsi="Arial"/>
                <w:sz w:val="16"/>
                <w:szCs w:val="16"/>
                <w:b w:val="1"/>
                <w:bCs w:val="1"/>
                <w:color w:val="auto"/>
                <w:w w:val="99"/>
              </w:rPr>
              <w:t>progress</w:t>
            </w:r>
          </w:p>
        </w:tc>
        <w:tc>
          <w:tcPr>
            <w:tcW w:w="1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initiated</w:t>
            </w:r>
          </w:p>
        </w:tc>
      </w:tr>
      <w:tr>
        <w:trPr>
          <w:trHeight w:val="237"/>
        </w:trPr>
        <w:tc>
          <w:tcPr>
            <w:tcW w:w="6040" w:type="dxa"/>
            <w:vAlign w:val="bottom"/>
            <w:shd w:val="clear" w:color="auto" w:fill="E5FFFF"/>
          </w:tcPr>
          <w:p>
            <w:pPr>
              <w:spacing w:after="0"/>
              <w:rPr>
                <w:sz w:val="20"/>
                <w:szCs w:val="20"/>
                <w:color w:val="auto"/>
              </w:rPr>
            </w:pPr>
            <w:r>
              <w:rPr>
                <w:rFonts w:ascii="Arial" w:cs="Arial" w:eastAsia="Arial" w:hAnsi="Arial"/>
                <w:sz w:val="19"/>
                <w:szCs w:val="19"/>
                <w:color w:val="auto"/>
              </w:rPr>
              <w:t>U.S. Federal</w:t>
            </w:r>
          </w:p>
        </w:tc>
        <w:tc>
          <w:tcPr>
            <w:tcW w:w="320" w:type="dxa"/>
            <w:vAlign w:val="bottom"/>
            <w:shd w:val="clear" w:color="auto" w:fill="E5FFFF"/>
          </w:tcPr>
          <w:p>
            <w:pPr>
              <w:spacing w:after="0"/>
              <w:rPr>
                <w:sz w:val="20"/>
                <w:szCs w:val="20"/>
                <w:color w:val="auto"/>
              </w:rPr>
            </w:pPr>
          </w:p>
        </w:tc>
        <w:tc>
          <w:tcPr>
            <w:tcW w:w="1380" w:type="dxa"/>
            <w:vAlign w:val="bottom"/>
            <w:shd w:val="clear" w:color="auto" w:fill="E5FFFF"/>
          </w:tcPr>
          <w:p>
            <w:pPr>
              <w:jc w:val="center"/>
              <w:ind w:left="47"/>
              <w:spacing w:after="0"/>
              <w:rPr>
                <w:sz w:val="20"/>
                <w:szCs w:val="20"/>
                <w:color w:val="auto"/>
              </w:rPr>
            </w:pPr>
            <w:r>
              <w:rPr>
                <w:rFonts w:ascii="Arial" w:cs="Arial" w:eastAsia="Arial" w:hAnsi="Arial"/>
                <w:sz w:val="19"/>
                <w:szCs w:val="19"/>
                <w:color w:val="auto"/>
              </w:rPr>
              <w:t>2015 – 2016</w:t>
            </w:r>
          </w:p>
        </w:tc>
        <w:tc>
          <w:tcPr>
            <w:tcW w:w="1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2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2015, 2017 – 2018</w:t>
            </w:r>
          </w:p>
        </w:tc>
      </w:tr>
      <w:tr>
        <w:trPr>
          <w:trHeight w:val="243"/>
        </w:trPr>
        <w:tc>
          <w:tcPr>
            <w:tcW w:w="6040" w:type="dxa"/>
            <w:vAlign w:val="bottom"/>
          </w:tcPr>
          <w:p>
            <w:pPr>
              <w:spacing w:after="0"/>
              <w:rPr>
                <w:sz w:val="20"/>
                <w:szCs w:val="20"/>
                <w:color w:val="auto"/>
              </w:rPr>
            </w:pPr>
            <w:r>
              <w:rPr>
                <w:rFonts w:ascii="Arial" w:cs="Arial" w:eastAsia="Arial" w:hAnsi="Arial"/>
                <w:sz w:val="19"/>
                <w:szCs w:val="19"/>
                <w:color w:val="auto"/>
              </w:rPr>
              <w:t>U.S. State</w:t>
            </w:r>
          </w:p>
        </w:tc>
        <w:tc>
          <w:tcPr>
            <w:tcW w:w="320" w:type="dxa"/>
            <w:vAlign w:val="bottom"/>
          </w:tcPr>
          <w:p>
            <w:pPr>
              <w:spacing w:after="0"/>
              <w:rPr>
                <w:sz w:val="21"/>
                <w:szCs w:val="21"/>
                <w:color w:val="auto"/>
              </w:rPr>
            </w:pPr>
          </w:p>
        </w:tc>
        <w:tc>
          <w:tcPr>
            <w:tcW w:w="1380" w:type="dxa"/>
            <w:vAlign w:val="bottom"/>
          </w:tcPr>
          <w:p>
            <w:pPr>
              <w:jc w:val="center"/>
              <w:ind w:left="47"/>
              <w:spacing w:after="0"/>
              <w:rPr>
                <w:sz w:val="20"/>
                <w:szCs w:val="20"/>
                <w:color w:val="auto"/>
              </w:rPr>
            </w:pPr>
            <w:r>
              <w:rPr>
                <w:rFonts w:ascii="Arial" w:cs="Arial" w:eastAsia="Arial" w:hAnsi="Arial"/>
                <w:sz w:val="19"/>
                <w:szCs w:val="19"/>
                <w:color w:val="auto"/>
              </w:rPr>
              <w:t>2011 – 2017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9"/>
                <w:szCs w:val="19"/>
                <w:color w:val="auto"/>
              </w:rPr>
              <w:t>2012 – 2018</w:t>
            </w:r>
          </w:p>
        </w:tc>
      </w:tr>
      <w:tr>
        <w:trPr>
          <w:trHeight w:val="243"/>
        </w:trPr>
        <w:tc>
          <w:tcPr>
            <w:tcW w:w="6040" w:type="dxa"/>
            <w:vAlign w:val="bottom"/>
            <w:shd w:val="clear" w:color="auto" w:fill="E5FFFF"/>
          </w:tcPr>
          <w:p>
            <w:pPr>
              <w:spacing w:after="0"/>
              <w:rPr>
                <w:sz w:val="20"/>
                <w:szCs w:val="20"/>
                <w:color w:val="auto"/>
              </w:rPr>
            </w:pPr>
            <w:r>
              <w:rPr>
                <w:rFonts w:ascii="Arial" w:cs="Arial" w:eastAsia="Arial" w:hAnsi="Arial"/>
                <w:sz w:val="19"/>
                <w:szCs w:val="19"/>
                <w:color w:val="auto"/>
              </w:rPr>
              <w:t>Australia</w:t>
            </w:r>
          </w:p>
        </w:tc>
        <w:tc>
          <w:tcPr>
            <w:tcW w:w="320" w:type="dxa"/>
            <w:vAlign w:val="bottom"/>
            <w:shd w:val="clear" w:color="auto" w:fill="E5FFFF"/>
          </w:tcPr>
          <w:p>
            <w:pPr>
              <w:spacing w:after="0"/>
              <w:rPr>
                <w:sz w:val="21"/>
                <w:szCs w:val="21"/>
                <w:color w:val="auto"/>
              </w:rPr>
            </w:pPr>
          </w:p>
        </w:tc>
        <w:tc>
          <w:tcPr>
            <w:tcW w:w="1380" w:type="dxa"/>
            <w:vAlign w:val="bottom"/>
            <w:shd w:val="clear" w:color="auto" w:fill="E5FFFF"/>
          </w:tcPr>
          <w:p>
            <w:pPr>
              <w:jc w:val="center"/>
              <w:ind w:left="47"/>
              <w:spacing w:after="0"/>
              <w:rPr>
                <w:sz w:val="20"/>
                <w:szCs w:val="20"/>
                <w:color w:val="auto"/>
              </w:rPr>
            </w:pPr>
            <w:r>
              <w:rPr>
                <w:rFonts w:ascii="Arial" w:cs="Arial" w:eastAsia="Arial" w:hAnsi="Arial"/>
                <w:sz w:val="19"/>
                <w:szCs w:val="19"/>
                <w:color w:val="auto"/>
              </w:rPr>
              <w:t>N/A</w:t>
            </w:r>
          </w:p>
        </w:tc>
        <w:tc>
          <w:tcPr>
            <w:tcW w:w="1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2016 – 2018</w:t>
            </w:r>
          </w:p>
        </w:tc>
      </w:tr>
      <w:tr>
        <w:trPr>
          <w:trHeight w:val="243"/>
        </w:trPr>
        <w:tc>
          <w:tcPr>
            <w:tcW w:w="6040" w:type="dxa"/>
            <w:vAlign w:val="bottom"/>
          </w:tcPr>
          <w:p>
            <w:pPr>
              <w:spacing w:after="0"/>
              <w:rPr>
                <w:sz w:val="20"/>
                <w:szCs w:val="20"/>
                <w:color w:val="auto"/>
              </w:rPr>
            </w:pPr>
            <w:r>
              <w:rPr>
                <w:rFonts w:ascii="Arial" w:cs="Arial" w:eastAsia="Arial" w:hAnsi="Arial"/>
                <w:sz w:val="19"/>
                <w:szCs w:val="19"/>
                <w:color w:val="auto"/>
              </w:rPr>
              <w:t>Canada</w:t>
            </w:r>
            <w:r>
              <w:rPr>
                <w:rFonts w:ascii="Arial" w:cs="Arial" w:eastAsia="Arial" w:hAnsi="Arial"/>
                <w:sz w:val="10"/>
                <w:szCs w:val="10"/>
                <w:color w:val="auto"/>
              </w:rPr>
              <w:t>(1)</w:t>
            </w:r>
          </w:p>
        </w:tc>
        <w:tc>
          <w:tcPr>
            <w:tcW w:w="320" w:type="dxa"/>
            <w:vAlign w:val="bottom"/>
          </w:tcPr>
          <w:p>
            <w:pPr>
              <w:spacing w:after="0"/>
              <w:rPr>
                <w:sz w:val="21"/>
                <w:szCs w:val="21"/>
                <w:color w:val="auto"/>
              </w:rPr>
            </w:pPr>
          </w:p>
        </w:tc>
        <w:tc>
          <w:tcPr>
            <w:tcW w:w="1380" w:type="dxa"/>
            <w:vAlign w:val="bottom"/>
          </w:tcPr>
          <w:p>
            <w:pPr>
              <w:jc w:val="center"/>
              <w:ind w:left="47"/>
              <w:spacing w:after="0"/>
              <w:rPr>
                <w:sz w:val="20"/>
                <w:szCs w:val="20"/>
                <w:color w:val="auto"/>
              </w:rPr>
            </w:pPr>
            <w:r>
              <w:rPr>
                <w:rFonts w:ascii="Arial" w:cs="Arial" w:eastAsia="Arial" w:hAnsi="Arial"/>
                <w:sz w:val="19"/>
                <w:szCs w:val="19"/>
                <w:color w:val="auto"/>
              </w:rPr>
              <w:t>2010 – 2016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9"/>
                <w:szCs w:val="19"/>
                <w:color w:val="auto"/>
              </w:rPr>
              <w:t>2017 – 2018</w:t>
            </w:r>
          </w:p>
        </w:tc>
      </w:tr>
      <w:tr>
        <w:trPr>
          <w:trHeight w:val="243"/>
        </w:trPr>
        <w:tc>
          <w:tcPr>
            <w:tcW w:w="6040" w:type="dxa"/>
            <w:vAlign w:val="bottom"/>
            <w:shd w:val="clear" w:color="auto" w:fill="E5FFFF"/>
          </w:tcPr>
          <w:p>
            <w:pPr>
              <w:spacing w:after="0"/>
              <w:rPr>
                <w:sz w:val="20"/>
                <w:szCs w:val="20"/>
                <w:color w:val="auto"/>
              </w:rPr>
            </w:pPr>
            <w:r>
              <w:rPr>
                <w:rFonts w:ascii="Arial" w:cs="Arial" w:eastAsia="Arial" w:hAnsi="Arial"/>
                <w:sz w:val="19"/>
                <w:szCs w:val="19"/>
                <w:color w:val="auto"/>
              </w:rPr>
              <w:t>China</w:t>
            </w:r>
          </w:p>
        </w:tc>
        <w:tc>
          <w:tcPr>
            <w:tcW w:w="320" w:type="dxa"/>
            <w:vAlign w:val="bottom"/>
            <w:shd w:val="clear" w:color="auto" w:fill="E5FFFF"/>
          </w:tcPr>
          <w:p>
            <w:pPr>
              <w:spacing w:after="0"/>
              <w:rPr>
                <w:sz w:val="21"/>
                <w:szCs w:val="21"/>
                <w:color w:val="auto"/>
              </w:rPr>
            </w:pPr>
          </w:p>
        </w:tc>
        <w:tc>
          <w:tcPr>
            <w:tcW w:w="1380" w:type="dxa"/>
            <w:vAlign w:val="bottom"/>
            <w:shd w:val="clear" w:color="auto" w:fill="E5FFFF"/>
          </w:tcPr>
          <w:p>
            <w:pPr>
              <w:jc w:val="center"/>
              <w:ind w:left="47"/>
              <w:spacing w:after="0"/>
              <w:rPr>
                <w:sz w:val="20"/>
                <w:szCs w:val="20"/>
                <w:color w:val="auto"/>
              </w:rPr>
            </w:pPr>
            <w:r>
              <w:rPr>
                <w:rFonts w:ascii="Arial" w:cs="Arial" w:eastAsia="Arial" w:hAnsi="Arial"/>
                <w:sz w:val="19"/>
                <w:szCs w:val="19"/>
                <w:color w:val="auto"/>
              </w:rPr>
              <w:t>2003 – 2017</w:t>
            </w:r>
          </w:p>
        </w:tc>
        <w:tc>
          <w:tcPr>
            <w:tcW w:w="2660" w:type="dxa"/>
            <w:vAlign w:val="bottom"/>
            <w:gridSpan w:val="3"/>
            <w:shd w:val="clear" w:color="auto" w:fill="E5FFFF"/>
          </w:tcPr>
          <w:p>
            <w:pPr>
              <w:jc w:val="center"/>
              <w:ind w:left="368"/>
              <w:spacing w:after="0"/>
              <w:rPr>
                <w:sz w:val="20"/>
                <w:szCs w:val="20"/>
                <w:color w:val="auto"/>
              </w:rPr>
            </w:pPr>
            <w:r>
              <w:rPr>
                <w:rFonts w:ascii="Arial" w:cs="Arial" w:eastAsia="Arial" w:hAnsi="Arial"/>
                <w:sz w:val="19"/>
                <w:szCs w:val="19"/>
                <w:color w:val="auto"/>
              </w:rPr>
              <w:t>2018</w:t>
            </w:r>
          </w:p>
        </w:tc>
      </w:tr>
      <w:tr>
        <w:trPr>
          <w:trHeight w:val="243"/>
        </w:trPr>
        <w:tc>
          <w:tcPr>
            <w:tcW w:w="6040" w:type="dxa"/>
            <w:vAlign w:val="bottom"/>
          </w:tcPr>
          <w:p>
            <w:pPr>
              <w:spacing w:after="0"/>
              <w:rPr>
                <w:sz w:val="20"/>
                <w:szCs w:val="20"/>
                <w:color w:val="auto"/>
              </w:rPr>
            </w:pPr>
            <w:r>
              <w:rPr>
                <w:rFonts w:ascii="Arial" w:cs="Arial" w:eastAsia="Arial" w:hAnsi="Arial"/>
                <w:sz w:val="19"/>
                <w:szCs w:val="19"/>
                <w:color w:val="auto"/>
              </w:rPr>
              <w:t>France</w:t>
            </w:r>
          </w:p>
        </w:tc>
        <w:tc>
          <w:tcPr>
            <w:tcW w:w="320" w:type="dxa"/>
            <w:vAlign w:val="bottom"/>
          </w:tcPr>
          <w:p>
            <w:pPr>
              <w:spacing w:after="0"/>
              <w:rPr>
                <w:sz w:val="21"/>
                <w:szCs w:val="21"/>
                <w:color w:val="auto"/>
              </w:rPr>
            </w:pPr>
          </w:p>
        </w:tc>
        <w:tc>
          <w:tcPr>
            <w:tcW w:w="1380" w:type="dxa"/>
            <w:vAlign w:val="bottom"/>
          </w:tcPr>
          <w:p>
            <w:pPr>
              <w:jc w:val="center"/>
              <w:ind w:left="47"/>
              <w:spacing w:after="0"/>
              <w:rPr>
                <w:sz w:val="20"/>
                <w:szCs w:val="20"/>
                <w:color w:val="auto"/>
              </w:rPr>
            </w:pPr>
            <w:r>
              <w:rPr>
                <w:rFonts w:ascii="Arial" w:cs="Arial" w:eastAsia="Arial" w:hAnsi="Arial"/>
                <w:sz w:val="19"/>
                <w:szCs w:val="19"/>
                <w:color w:val="auto"/>
              </w:rPr>
              <w:t>2008 – 2017</w:t>
            </w:r>
          </w:p>
        </w:tc>
        <w:tc>
          <w:tcPr>
            <w:tcW w:w="2660" w:type="dxa"/>
            <w:vAlign w:val="bottom"/>
            <w:gridSpan w:val="3"/>
          </w:tcPr>
          <w:p>
            <w:pPr>
              <w:jc w:val="center"/>
              <w:ind w:left="368"/>
              <w:spacing w:after="0"/>
              <w:rPr>
                <w:sz w:val="20"/>
                <w:szCs w:val="20"/>
                <w:color w:val="auto"/>
              </w:rPr>
            </w:pPr>
            <w:r>
              <w:rPr>
                <w:rFonts w:ascii="Arial" w:cs="Arial" w:eastAsia="Arial" w:hAnsi="Arial"/>
                <w:sz w:val="19"/>
                <w:szCs w:val="19"/>
                <w:color w:val="auto"/>
              </w:rPr>
              <w:t>2018</w:t>
            </w:r>
          </w:p>
        </w:tc>
      </w:tr>
      <w:tr>
        <w:trPr>
          <w:trHeight w:val="243"/>
        </w:trPr>
        <w:tc>
          <w:tcPr>
            <w:tcW w:w="6040" w:type="dxa"/>
            <w:vAlign w:val="bottom"/>
            <w:shd w:val="clear" w:color="auto" w:fill="E5FFFF"/>
          </w:tcPr>
          <w:p>
            <w:pPr>
              <w:spacing w:after="0"/>
              <w:rPr>
                <w:sz w:val="20"/>
                <w:szCs w:val="20"/>
                <w:color w:val="auto"/>
              </w:rPr>
            </w:pPr>
            <w:r>
              <w:rPr>
                <w:rFonts w:ascii="Arial" w:cs="Arial" w:eastAsia="Arial" w:hAnsi="Arial"/>
                <w:sz w:val="19"/>
                <w:szCs w:val="19"/>
                <w:color w:val="auto"/>
              </w:rPr>
              <w:t>Germany</w:t>
            </w:r>
            <w:r>
              <w:rPr>
                <w:rFonts w:ascii="Arial" w:cs="Arial" w:eastAsia="Arial" w:hAnsi="Arial"/>
                <w:sz w:val="10"/>
                <w:szCs w:val="10"/>
                <w:color w:val="auto"/>
              </w:rPr>
              <w:t>(1)</w:t>
            </w:r>
          </w:p>
        </w:tc>
        <w:tc>
          <w:tcPr>
            <w:tcW w:w="320" w:type="dxa"/>
            <w:vAlign w:val="bottom"/>
            <w:shd w:val="clear" w:color="auto" w:fill="E5FFFF"/>
          </w:tcPr>
          <w:p>
            <w:pPr>
              <w:spacing w:after="0"/>
              <w:rPr>
                <w:sz w:val="21"/>
                <w:szCs w:val="21"/>
                <w:color w:val="auto"/>
              </w:rPr>
            </w:pPr>
          </w:p>
        </w:tc>
        <w:tc>
          <w:tcPr>
            <w:tcW w:w="1380" w:type="dxa"/>
            <w:vAlign w:val="bottom"/>
            <w:shd w:val="clear" w:color="auto" w:fill="E5FFFF"/>
          </w:tcPr>
          <w:p>
            <w:pPr>
              <w:jc w:val="center"/>
              <w:ind w:left="47"/>
              <w:spacing w:after="0"/>
              <w:rPr>
                <w:sz w:val="20"/>
                <w:szCs w:val="20"/>
                <w:color w:val="auto"/>
              </w:rPr>
            </w:pPr>
            <w:r>
              <w:rPr>
                <w:rFonts w:ascii="Arial" w:cs="Arial" w:eastAsia="Arial" w:hAnsi="Arial"/>
                <w:sz w:val="19"/>
                <w:szCs w:val="19"/>
                <w:color w:val="auto"/>
              </w:rPr>
              <w:t>2007 – 2018</w:t>
            </w:r>
          </w:p>
        </w:tc>
        <w:tc>
          <w:tcPr>
            <w:tcW w:w="1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N/A</w:t>
            </w:r>
          </w:p>
        </w:tc>
      </w:tr>
      <w:tr>
        <w:trPr>
          <w:trHeight w:val="243"/>
        </w:trPr>
        <w:tc>
          <w:tcPr>
            <w:tcW w:w="6040" w:type="dxa"/>
            <w:vAlign w:val="bottom"/>
          </w:tcPr>
          <w:p>
            <w:pPr>
              <w:spacing w:after="0"/>
              <w:rPr>
                <w:sz w:val="20"/>
                <w:szCs w:val="20"/>
                <w:color w:val="auto"/>
              </w:rPr>
            </w:pPr>
            <w:r>
              <w:rPr>
                <w:rFonts w:ascii="Arial" w:cs="Arial" w:eastAsia="Arial" w:hAnsi="Arial"/>
                <w:sz w:val="19"/>
                <w:szCs w:val="19"/>
                <w:color w:val="auto"/>
              </w:rPr>
              <w:t>India</w:t>
            </w:r>
          </w:p>
        </w:tc>
        <w:tc>
          <w:tcPr>
            <w:tcW w:w="320" w:type="dxa"/>
            <w:vAlign w:val="bottom"/>
          </w:tcPr>
          <w:p>
            <w:pPr>
              <w:spacing w:after="0"/>
              <w:rPr>
                <w:sz w:val="21"/>
                <w:szCs w:val="21"/>
                <w:color w:val="auto"/>
              </w:rPr>
            </w:pPr>
          </w:p>
        </w:tc>
        <w:tc>
          <w:tcPr>
            <w:tcW w:w="1380" w:type="dxa"/>
            <w:vAlign w:val="bottom"/>
          </w:tcPr>
          <w:p>
            <w:pPr>
              <w:jc w:val="center"/>
              <w:ind w:left="47"/>
              <w:spacing w:after="0"/>
              <w:rPr>
                <w:sz w:val="20"/>
                <w:szCs w:val="20"/>
                <w:color w:val="auto"/>
              </w:rPr>
            </w:pPr>
            <w:r>
              <w:rPr>
                <w:rFonts w:ascii="Arial" w:cs="Arial" w:eastAsia="Arial" w:hAnsi="Arial"/>
                <w:sz w:val="19"/>
                <w:szCs w:val="19"/>
                <w:color w:val="auto"/>
              </w:rPr>
              <w:t>1998 – 2016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9"/>
                <w:szCs w:val="19"/>
                <w:color w:val="auto"/>
              </w:rPr>
              <w:t>2017 – 2018</w:t>
            </w:r>
          </w:p>
        </w:tc>
      </w:tr>
      <w:tr>
        <w:trPr>
          <w:trHeight w:val="243"/>
        </w:trPr>
        <w:tc>
          <w:tcPr>
            <w:tcW w:w="6040" w:type="dxa"/>
            <w:vAlign w:val="bottom"/>
            <w:shd w:val="clear" w:color="auto" w:fill="E5FFFF"/>
          </w:tcPr>
          <w:p>
            <w:pPr>
              <w:spacing w:after="0"/>
              <w:rPr>
                <w:sz w:val="20"/>
                <w:szCs w:val="20"/>
                <w:color w:val="auto"/>
              </w:rPr>
            </w:pPr>
            <w:r>
              <w:rPr>
                <w:rFonts w:ascii="Arial" w:cs="Arial" w:eastAsia="Arial" w:hAnsi="Arial"/>
                <w:sz w:val="19"/>
                <w:szCs w:val="19"/>
                <w:color w:val="auto"/>
              </w:rPr>
              <w:t>Switzerland</w:t>
            </w:r>
            <w:r>
              <w:rPr>
                <w:rFonts w:ascii="Arial" w:cs="Arial" w:eastAsia="Arial" w:hAnsi="Arial"/>
                <w:sz w:val="10"/>
                <w:szCs w:val="10"/>
                <w:color w:val="auto"/>
              </w:rPr>
              <w:t>(1)</w:t>
            </w:r>
          </w:p>
        </w:tc>
        <w:tc>
          <w:tcPr>
            <w:tcW w:w="320" w:type="dxa"/>
            <w:vAlign w:val="bottom"/>
            <w:shd w:val="clear" w:color="auto" w:fill="E5FFFF"/>
          </w:tcPr>
          <w:p>
            <w:pPr>
              <w:spacing w:after="0"/>
              <w:rPr>
                <w:sz w:val="21"/>
                <w:szCs w:val="21"/>
                <w:color w:val="auto"/>
              </w:rPr>
            </w:pPr>
          </w:p>
        </w:tc>
        <w:tc>
          <w:tcPr>
            <w:tcW w:w="1380" w:type="dxa"/>
            <w:vAlign w:val="bottom"/>
            <w:shd w:val="clear" w:color="auto" w:fill="E5FFFF"/>
          </w:tcPr>
          <w:p>
            <w:pPr>
              <w:jc w:val="center"/>
              <w:ind w:left="47"/>
              <w:spacing w:after="0"/>
              <w:rPr>
                <w:sz w:val="20"/>
                <w:szCs w:val="20"/>
                <w:color w:val="auto"/>
              </w:rPr>
            </w:pPr>
            <w:r>
              <w:rPr>
                <w:rFonts w:ascii="Arial" w:cs="Arial" w:eastAsia="Arial" w:hAnsi="Arial"/>
                <w:sz w:val="19"/>
                <w:szCs w:val="19"/>
                <w:color w:val="auto"/>
              </w:rPr>
              <w:t>2013 – 2014</w:t>
            </w:r>
          </w:p>
        </w:tc>
        <w:tc>
          <w:tcPr>
            <w:tcW w:w="1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2017 – 2018</w:t>
            </w:r>
          </w:p>
        </w:tc>
      </w:tr>
      <w:tr>
        <w:trPr>
          <w:trHeight w:val="261"/>
        </w:trPr>
        <w:tc>
          <w:tcPr>
            <w:tcW w:w="6040" w:type="dxa"/>
            <w:vAlign w:val="bottom"/>
          </w:tcPr>
          <w:p>
            <w:pPr>
              <w:spacing w:after="0"/>
              <w:rPr>
                <w:sz w:val="20"/>
                <w:szCs w:val="20"/>
                <w:color w:val="auto"/>
              </w:rPr>
            </w:pPr>
            <w:r>
              <w:rPr>
                <w:rFonts w:ascii="Arial" w:cs="Arial" w:eastAsia="Arial" w:hAnsi="Arial"/>
                <w:sz w:val="19"/>
                <w:szCs w:val="19"/>
                <w:color w:val="auto"/>
              </w:rPr>
              <w:t>United Kingdom</w:t>
            </w:r>
          </w:p>
        </w:tc>
        <w:tc>
          <w:tcPr>
            <w:tcW w:w="320" w:type="dxa"/>
            <w:vAlign w:val="bottom"/>
          </w:tcPr>
          <w:p>
            <w:pPr>
              <w:spacing w:after="0"/>
              <w:rPr>
                <w:sz w:val="22"/>
                <w:szCs w:val="22"/>
                <w:color w:val="auto"/>
              </w:rPr>
            </w:pPr>
          </w:p>
        </w:tc>
        <w:tc>
          <w:tcPr>
            <w:tcW w:w="1380" w:type="dxa"/>
            <w:vAlign w:val="bottom"/>
          </w:tcPr>
          <w:p>
            <w:pPr>
              <w:jc w:val="center"/>
              <w:ind w:left="47"/>
              <w:spacing w:after="0"/>
              <w:rPr>
                <w:sz w:val="20"/>
                <w:szCs w:val="20"/>
                <w:color w:val="auto"/>
              </w:rPr>
            </w:pPr>
            <w:r>
              <w:rPr>
                <w:rFonts w:ascii="Arial" w:cs="Arial" w:eastAsia="Arial" w:hAnsi="Arial"/>
                <w:sz w:val="19"/>
                <w:szCs w:val="19"/>
                <w:color w:val="auto"/>
              </w:rPr>
              <w:t>2013 – 2017</w:t>
            </w:r>
          </w:p>
        </w:tc>
        <w:tc>
          <w:tcPr>
            <w:tcW w:w="2660" w:type="dxa"/>
            <w:vAlign w:val="bottom"/>
            <w:gridSpan w:val="3"/>
          </w:tcPr>
          <w:p>
            <w:pPr>
              <w:jc w:val="center"/>
              <w:ind w:left="368"/>
              <w:spacing w:after="0"/>
              <w:rPr>
                <w:sz w:val="20"/>
                <w:szCs w:val="20"/>
                <w:color w:val="auto"/>
              </w:rPr>
            </w:pPr>
            <w:r>
              <w:rPr>
                <w:rFonts w:ascii="Arial" w:cs="Arial" w:eastAsia="Arial" w:hAnsi="Arial"/>
                <w:sz w:val="19"/>
                <w:szCs w:val="19"/>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975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7"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Includes provincial or similar local jurisdictions, as applicable.</w:t>
      </w:r>
    </w:p>
    <w:p>
      <w:pPr>
        <w:spacing w:after="0" w:line="106"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in our financial statements. In addition, the outcome of these examinations may impact the valuation of certain deferred tax assets (such as net operating losses) in future periods.</w:t>
      </w:r>
    </w:p>
    <w:p>
      <w:pPr>
        <w:spacing w:after="0" w:line="91" w:lineRule="exact"/>
        <w:rPr>
          <w:sz w:val="20"/>
          <w:szCs w:val="20"/>
          <w:color w:val="auto"/>
        </w:rPr>
      </w:pPr>
    </w:p>
    <w:p>
      <w:pPr>
        <w:ind w:right="120" w:firstLine="357"/>
        <w:spacing w:after="0" w:line="241" w:lineRule="auto"/>
        <w:rPr>
          <w:sz w:val="20"/>
          <w:szCs w:val="20"/>
          <w:color w:val="auto"/>
        </w:rPr>
      </w:pPr>
      <w:r>
        <w:rPr>
          <w:rFonts w:ascii="Arial" w:cs="Arial" w:eastAsia="Arial" w:hAnsi="Arial"/>
          <w:sz w:val="19"/>
          <w:szCs w:val="19"/>
          <w:color w:val="auto"/>
        </w:rPr>
        <w:t>Unrecognized tax benefits for examinations in progress were $304 million, $487 million and $398 million, as of December 31, 2018, 2017, and 2016. Estimated interest and penalties related to the underpayment of income taxes are classified as a component of Tax expense in the Consolidated Statement of Operations and totaled $45 million, $28 million and $18 million for the years ended December 31, 2018, 2017, and 2016. Accrued interest and penalties were $426 million, $423 million and $395 million, as of December 31, 2018, 2017, and 2016.</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Tax Reform</w:t>
      </w:r>
    </w:p>
    <w:p>
      <w:pPr>
        <w:spacing w:after="0" w:line="130" w:lineRule="exact"/>
        <w:rPr>
          <w:sz w:val="20"/>
          <w:szCs w:val="20"/>
          <w:color w:val="auto"/>
        </w:rPr>
      </w:pPr>
    </w:p>
    <w:p>
      <w:pPr>
        <w:ind w:right="160" w:firstLine="357"/>
        <w:spacing w:after="0" w:line="245" w:lineRule="auto"/>
        <w:rPr>
          <w:sz w:val="20"/>
          <w:szCs w:val="20"/>
          <w:color w:val="auto"/>
        </w:rPr>
      </w:pPr>
      <w:r>
        <w:rPr>
          <w:rFonts w:ascii="Arial" w:cs="Arial" w:eastAsia="Arial" w:hAnsi="Arial"/>
          <w:sz w:val="19"/>
          <w:szCs w:val="19"/>
          <w:color w:val="auto"/>
        </w:rPr>
        <w:t>During the quarter ending December 31, 2018, the Company completed the accounting for the tax effects of U.S. Tax Reform which amounted to a total tax charge of approximately $3.5 billion, most of which was recorded as a provisional estimate at the end of 2017. During 2018, we reduced our provisional estimate by approximately $440 million as a reduction to Tax expense.</w:t>
      </w:r>
    </w:p>
    <w:p>
      <w:pPr>
        <w:spacing w:after="0" w:line="63" w:lineRule="exact"/>
        <w:rPr>
          <w:sz w:val="20"/>
          <w:szCs w:val="20"/>
          <w:color w:val="auto"/>
        </w:rPr>
      </w:pPr>
    </w:p>
    <w:p>
      <w:pPr>
        <w:ind w:right="60" w:firstLine="357"/>
        <w:spacing w:after="0" w:line="243" w:lineRule="auto"/>
        <w:rPr>
          <w:sz w:val="20"/>
          <w:szCs w:val="20"/>
          <w:color w:val="auto"/>
        </w:rPr>
      </w:pPr>
      <w:r>
        <w:rPr>
          <w:rFonts w:ascii="Arial" w:cs="Arial" w:eastAsia="Arial" w:hAnsi="Arial"/>
          <w:sz w:val="19"/>
          <w:szCs w:val="19"/>
          <w:b w:val="1"/>
          <w:bCs w:val="1"/>
          <w:i w:val="1"/>
          <w:iCs w:val="1"/>
          <w:color w:val="auto"/>
        </w:rPr>
        <w:t>Corporate Tax Rate Change</w:t>
      </w:r>
      <w:r>
        <w:rPr>
          <w:rFonts w:ascii="Arial" w:cs="Arial" w:eastAsia="Arial" w:hAnsi="Arial"/>
          <w:sz w:val="19"/>
          <w:szCs w:val="19"/>
          <w:color w:val="auto"/>
        </w:rPr>
        <w:t>—The Company recorded a total tax benefit of approximately $190 million due to the decrease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corporate statutory tax rate from 35% to 21%. This includes a measurement period adjustment of approximately $90 million recorded during 2018 as a reduction to Tax expense. The change in the provisional estimate primarily relates to information contained in tax returns that were filed during the quarter ending December 31, 2018, some of which require approval from U.S. tax authorities. The tax benefit from the change in tax rates results from the Company’s deferred tax liability position for the excess of its net book value over its tax basis of its U.S. assets and liabilities that will generate future taxable income in excess of book income. This additional taxable income will be subject to tax at a lower corporate tax rate, consequently reducing the Company’s deferred tax liability.</w:t>
      </w:r>
    </w:p>
    <w:p>
      <w:pPr>
        <w:spacing w:after="0" w:line="288" w:lineRule="exact"/>
        <w:rPr>
          <w:sz w:val="20"/>
          <w:szCs w:val="20"/>
          <w:color w:val="auto"/>
        </w:rPr>
      </w:pPr>
    </w:p>
    <w:p>
      <w:pPr>
        <w:ind w:right="140" w:firstLine="357"/>
        <w:spacing w:after="0" w:line="245" w:lineRule="auto"/>
        <w:rPr>
          <w:sz w:val="20"/>
          <w:szCs w:val="20"/>
          <w:color w:val="auto"/>
        </w:rPr>
      </w:pPr>
      <w:r>
        <w:rPr>
          <w:rFonts w:ascii="Arial" w:cs="Arial" w:eastAsia="Arial" w:hAnsi="Arial"/>
          <w:sz w:val="19"/>
          <w:szCs w:val="19"/>
          <w:b w:val="1"/>
          <w:bCs w:val="1"/>
          <w:i w:val="1"/>
          <w:iCs w:val="1"/>
          <w:color w:val="auto"/>
        </w:rPr>
        <w:t>Mandatory Transition Tax</w:t>
      </w:r>
      <w:r>
        <w:rPr>
          <w:rFonts w:ascii="Arial" w:cs="Arial" w:eastAsia="Arial" w:hAnsi="Arial"/>
          <w:sz w:val="19"/>
          <w:szCs w:val="19"/>
          <w:color w:val="auto"/>
        </w:rPr>
        <w:t>—The Company recorded a total tax charge of approximately $1,950 million due to the imposition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mandatory transition tax (“MTT”) on the deemed repatriation of undistributed foreign earnings. This includes a measurement period adjustment of approximately $50 million recorded during 2018 as an increase to Tax expense. The change in the provisional estimate primarily relates to updated amounts from tax returns that were finalized during 2018, computations based on 2018 testing dates and guidance from the taxing authorities that was received during the year. The Company has elected to pay the MTT liability over a period of eight years.</w:t>
      </w:r>
    </w:p>
    <w:p>
      <w:pPr>
        <w:spacing w:after="0" w:line="53" w:lineRule="exact"/>
        <w:rPr>
          <w:sz w:val="20"/>
          <w:szCs w:val="20"/>
          <w:color w:val="auto"/>
        </w:rPr>
      </w:pPr>
    </w:p>
    <w:p>
      <w:pPr>
        <w:ind w:right="160" w:firstLine="357"/>
        <w:spacing w:after="0" w:line="244" w:lineRule="auto"/>
        <w:rPr>
          <w:sz w:val="20"/>
          <w:szCs w:val="20"/>
          <w:color w:val="auto"/>
        </w:rPr>
      </w:pPr>
      <w:r>
        <w:rPr>
          <w:rFonts w:ascii="Arial" w:cs="Arial" w:eastAsia="Arial" w:hAnsi="Arial"/>
          <w:sz w:val="19"/>
          <w:szCs w:val="19"/>
          <w:b w:val="1"/>
          <w:bCs w:val="1"/>
          <w:i w:val="1"/>
          <w:iCs w:val="1"/>
          <w:color w:val="auto"/>
        </w:rPr>
        <w:t>Undistributed Foreign Earnings</w:t>
      </w:r>
      <w:r>
        <w:rPr>
          <w:rFonts w:ascii="Arial" w:cs="Arial" w:eastAsia="Arial" w:hAnsi="Arial"/>
          <w:sz w:val="19"/>
          <w:szCs w:val="19"/>
          <w:color w:val="auto"/>
        </w:rPr>
        <w:t>—The Company recorded a total tax charge of approximately $1,700 million due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intent to no longer permanently reinvest the historical unremitted earnings of its foreign affiliates that existed as of December 31, 2017. This includes a measurement period adjustment of approximately $400 million recorded during 2018 as a reduction to Tax expense. The change in the provisional estimate primarily relates to updated amounts from tax returns that were finalized during 2018, the application of foreign tax credits based on guidance issued during the year and changes to the applicable withholding tax rates in local jurisdictions. During 2018, the Company executed various internal restructuring initiatives that reduced the taxes on unremitted foreign earnings by approximately $1.1 billion that was recorded as a reduction to Tax expense.</w:t>
      </w:r>
    </w:p>
    <w:p>
      <w:pPr>
        <w:spacing w:after="0" w:line="66" w:lineRule="exact"/>
        <w:rPr>
          <w:sz w:val="20"/>
          <w:szCs w:val="20"/>
          <w:color w:val="auto"/>
        </w:rPr>
      </w:pPr>
    </w:p>
    <w:p>
      <w:pPr>
        <w:ind w:firstLine="357"/>
        <w:spacing w:after="0" w:line="248" w:lineRule="auto"/>
        <w:rPr>
          <w:sz w:val="20"/>
          <w:szCs w:val="20"/>
          <w:color w:val="auto"/>
        </w:rPr>
      </w:pPr>
      <w:r>
        <w:rPr>
          <w:rFonts w:ascii="Arial" w:cs="Arial" w:eastAsia="Arial" w:hAnsi="Arial"/>
          <w:sz w:val="19"/>
          <w:szCs w:val="19"/>
          <w:b w:val="1"/>
          <w:bCs w:val="1"/>
          <w:i w:val="1"/>
          <w:iCs w:val="1"/>
          <w:color w:val="auto"/>
        </w:rPr>
        <w:t>Global Intangible Low Taxed Income</w:t>
      </w:r>
      <w:r>
        <w:rPr>
          <w:rFonts w:ascii="Arial" w:cs="Arial" w:eastAsia="Arial" w:hAnsi="Arial"/>
          <w:sz w:val="19"/>
          <w:szCs w:val="19"/>
          <w:color w:val="auto"/>
        </w:rPr>
        <w:t>—U.S. Tax Reform imposes a U.S. tax on global intangible low taxed income (“GILTI”)</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is earned by certain foreign affiliates owned by a U.S. shareholder. GILTI is generally intended to impose tax on the earnings of a foreign corporation that are deemed to exceed a certain threshold return relative to the underlying business investment. The Company has made a policy election to treat future taxes related to GILTI as a current period expense in the reporting period in which the tax is incurred.</w:t>
      </w:r>
    </w:p>
    <w:p>
      <w:pPr>
        <w:spacing w:after="0" w:line="2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6. Earnings Per Share</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details of the earnings per share calculations for the years ended December 31, 2018, 2017 and 2016 are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vMerge w:val="restart"/>
          </w:tcPr>
          <w:p>
            <w:pPr>
              <w:spacing w:after="0"/>
              <w:rPr>
                <w:sz w:val="20"/>
                <w:szCs w:val="20"/>
                <w:color w:val="auto"/>
              </w:rPr>
            </w:pPr>
            <w:r>
              <w:rPr>
                <w:rFonts w:ascii="Arial" w:cs="Arial" w:eastAsia="Arial" w:hAnsi="Arial"/>
                <w:sz w:val="16"/>
                <w:szCs w:val="16"/>
                <w:b w:val="1"/>
                <w:bCs w:val="1"/>
                <w:color w:val="auto"/>
              </w:rPr>
              <w:t>Basic</w:t>
            </w:r>
          </w:p>
        </w:tc>
        <w:tc>
          <w:tcPr>
            <w:tcW w:w="3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right"/>
              <w:ind w:right="328"/>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169"/>
        </w:trPr>
        <w:tc>
          <w:tcPr>
            <w:tcW w:w="4440" w:type="dxa"/>
            <w:vAlign w:val="bottom"/>
            <w:tcBorders>
              <w:bottom w:val="single" w:sz="8" w:color="auto"/>
            </w:tcBorders>
            <w:vMerge w:val="continue"/>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0"/>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8"/>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8"/>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4440" w:type="dxa"/>
            <w:vAlign w:val="bottom"/>
            <w:shd w:val="clear" w:color="auto" w:fill="E5FFFF"/>
          </w:tcPr>
          <w:p>
            <w:pPr>
              <w:spacing w:after="0"/>
              <w:rPr>
                <w:sz w:val="20"/>
                <w:szCs w:val="20"/>
                <w:color w:val="auto"/>
              </w:rPr>
            </w:pPr>
            <w:r>
              <w:rPr>
                <w:rFonts w:ascii="Arial" w:cs="Arial" w:eastAsia="Arial" w:hAnsi="Arial"/>
                <w:sz w:val="19"/>
                <w:szCs w:val="19"/>
                <w:color w:val="auto"/>
              </w:rPr>
              <w:t>Net income attributable to Honeywell</w:t>
            </w:r>
          </w:p>
        </w:tc>
        <w:tc>
          <w:tcPr>
            <w:tcW w:w="428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6,765</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1,545</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4,812</w:t>
            </w: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0"/>
                <w:szCs w:val="20"/>
                <w:color w:val="auto"/>
              </w:rPr>
            </w:pPr>
            <w:r>
              <w:rPr>
                <w:rFonts w:ascii="Arial" w:cs="Arial" w:eastAsia="Arial" w:hAnsi="Arial"/>
                <w:sz w:val="19"/>
                <w:szCs w:val="19"/>
                <w:color w:val="auto"/>
              </w:rPr>
              <w:t>Weighted average shares outstanding</w:t>
            </w:r>
          </w:p>
        </w:tc>
        <w:tc>
          <w:tcPr>
            <w:tcW w:w="3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743.0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762.1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764.3</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rPr>
                <w:sz w:val="20"/>
                <w:szCs w:val="20"/>
                <w:color w:val="auto"/>
              </w:rPr>
            </w:pPr>
            <w:r>
              <w:rPr>
                <w:rFonts w:ascii="Arial" w:cs="Arial" w:eastAsia="Arial" w:hAnsi="Arial"/>
                <w:sz w:val="19"/>
                <w:szCs w:val="19"/>
                <w:color w:val="auto"/>
              </w:rPr>
              <w:t>Earnings per share of common stock</w:t>
            </w:r>
          </w:p>
        </w:tc>
        <w:tc>
          <w:tcPr>
            <w:tcW w:w="428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9.10</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2.03</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6.30</w:t>
            </w:r>
          </w:p>
        </w:tc>
        <w:tc>
          <w:tcPr>
            <w:tcW w:w="0" w:type="dxa"/>
            <w:vAlign w:val="bottom"/>
          </w:tcPr>
          <w:p>
            <w:pPr>
              <w:spacing w:after="0"/>
              <w:rPr>
                <w:sz w:val="1"/>
                <w:szCs w:val="1"/>
                <w:color w:val="auto"/>
              </w:rPr>
            </w:pPr>
          </w:p>
        </w:tc>
      </w:tr>
      <w:tr>
        <w:trPr>
          <w:trHeight w:val="342"/>
        </w:trPr>
        <w:tc>
          <w:tcPr>
            <w:tcW w:w="4440" w:type="dxa"/>
            <w:vAlign w:val="bottom"/>
          </w:tcPr>
          <w:p>
            <w:pPr>
              <w:spacing w:after="0"/>
              <w:rPr>
                <w:sz w:val="24"/>
                <w:szCs w:val="24"/>
                <w:color w:val="auto"/>
              </w:rPr>
            </w:pPr>
          </w:p>
        </w:tc>
        <w:tc>
          <w:tcPr>
            <w:tcW w:w="3840" w:type="dxa"/>
            <w:vAlign w:val="bottom"/>
          </w:tcPr>
          <w:p>
            <w:pPr>
              <w:jc w:val="right"/>
              <w:ind w:right="2363"/>
              <w:spacing w:after="0"/>
              <w:rPr>
                <w:sz w:val="20"/>
                <w:szCs w:val="20"/>
                <w:color w:val="auto"/>
              </w:rPr>
            </w:pPr>
            <w:r>
              <w:rPr>
                <w:rFonts w:ascii="Arial" w:cs="Arial" w:eastAsia="Arial" w:hAnsi="Arial"/>
                <w:sz w:val="19"/>
                <w:szCs w:val="19"/>
                <w:color w:val="auto"/>
              </w:rPr>
              <w:t>53</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vMerge w:val="restart"/>
          </w:tcPr>
          <w:p>
            <w:pPr>
              <w:spacing w:after="0"/>
              <w:rPr>
                <w:sz w:val="20"/>
                <w:szCs w:val="20"/>
                <w:color w:val="auto"/>
              </w:rPr>
            </w:pPr>
            <w:r>
              <w:rPr>
                <w:rFonts w:ascii="Arial" w:cs="Arial" w:eastAsia="Arial" w:hAnsi="Arial"/>
                <w:sz w:val="16"/>
                <w:szCs w:val="16"/>
                <w:b w:val="1"/>
                <w:bCs w:val="1"/>
                <w:color w:val="auto"/>
              </w:rPr>
              <w:t>Assuming Dilution</w:t>
            </w:r>
          </w:p>
        </w:tc>
        <w:tc>
          <w:tcPr>
            <w:tcW w:w="300" w:type="dxa"/>
            <w:vAlign w:val="bottom"/>
          </w:tcPr>
          <w:p>
            <w:pPr>
              <w:spacing w:after="0"/>
              <w:rPr>
                <w:sz w:val="16"/>
                <w:szCs w:val="16"/>
                <w:color w:val="auto"/>
              </w:rPr>
            </w:pPr>
          </w:p>
        </w:tc>
        <w:tc>
          <w:tcPr>
            <w:tcW w:w="28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8"/>
              </w:rPr>
              <w:t>Years Ended December 31,</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Net income attributable to Honeywell</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6,765</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1,545</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4,812</w:t>
            </w:r>
          </w:p>
        </w:tc>
      </w:tr>
      <w:tr>
        <w:trPr>
          <w:trHeight w:val="162"/>
        </w:trPr>
        <w:tc>
          <w:tcPr>
            <w:tcW w:w="1200" w:type="dxa"/>
            <w:vAlign w:val="bottom"/>
            <w:tcBorders>
              <w:bottom w:val="single" w:sz="8" w:color="auto"/>
            </w:tcBorders>
          </w:tcPr>
          <w:p>
            <w:pPr>
              <w:spacing w:after="0" w:line="162" w:lineRule="exact"/>
              <w:rPr>
                <w:sz w:val="20"/>
                <w:szCs w:val="20"/>
                <w:color w:val="auto"/>
              </w:rPr>
            </w:pPr>
            <w:r>
              <w:rPr>
                <w:rFonts w:ascii="Arial" w:cs="Arial" w:eastAsia="Arial" w:hAnsi="Arial"/>
                <w:sz w:val="16"/>
                <w:szCs w:val="16"/>
                <w:b w:val="1"/>
                <w:bCs w:val="1"/>
                <w:color w:val="auto"/>
                <w:w w:val="97"/>
              </w:rPr>
              <w:t>Average Shares</w:t>
            </w:r>
          </w:p>
        </w:tc>
        <w:tc>
          <w:tcPr>
            <w:tcW w:w="7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37"/>
        </w:trPr>
        <w:tc>
          <w:tcPr>
            <w:tcW w:w="85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Weighted average shares outstanding</w:t>
            </w:r>
          </w:p>
        </w:tc>
        <w:tc>
          <w:tcPr>
            <w:tcW w:w="160" w:type="dxa"/>
            <w:vAlign w:val="bottom"/>
            <w:shd w:val="clear" w:color="auto" w:fill="E5FFFF"/>
          </w:tcPr>
          <w:p>
            <w:pPr>
              <w:spacing w:after="0"/>
              <w:rPr>
                <w:sz w:val="20"/>
                <w:szCs w:val="20"/>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743.0</w:t>
            </w:r>
          </w:p>
        </w:tc>
        <w:tc>
          <w:tcPr>
            <w:tcW w:w="30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762.1</w:t>
            </w:r>
          </w:p>
        </w:tc>
        <w:tc>
          <w:tcPr>
            <w:tcW w:w="30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764.3</w:t>
            </w:r>
          </w:p>
        </w:tc>
      </w:tr>
      <w:tr>
        <w:trPr>
          <w:trHeight w:val="250"/>
        </w:trPr>
        <w:tc>
          <w:tcPr>
            <w:tcW w:w="8580" w:type="dxa"/>
            <w:vAlign w:val="bottom"/>
            <w:gridSpan w:val="2"/>
          </w:tcPr>
          <w:p>
            <w:pPr>
              <w:spacing w:after="0"/>
              <w:rPr>
                <w:sz w:val="20"/>
                <w:szCs w:val="20"/>
                <w:color w:val="auto"/>
              </w:rPr>
            </w:pPr>
            <w:r>
              <w:rPr>
                <w:rFonts w:ascii="Arial" w:cs="Arial" w:eastAsia="Arial" w:hAnsi="Arial"/>
                <w:sz w:val="19"/>
                <w:szCs w:val="19"/>
                <w:color w:val="auto"/>
              </w:rPr>
              <w:t>Dilutive securities issuable—stock plans</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10.0</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10.0</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11.0</w:t>
            </w:r>
          </w:p>
        </w:tc>
      </w:tr>
      <w:tr>
        <w:trPr>
          <w:trHeight w:val="243"/>
        </w:trPr>
        <w:tc>
          <w:tcPr>
            <w:tcW w:w="85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Total weighted average diluted shares outstanding</w:t>
            </w:r>
          </w:p>
        </w:tc>
        <w:tc>
          <w:tcPr>
            <w:tcW w:w="16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753.0</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772.1</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775.3</w:t>
            </w:r>
          </w:p>
        </w:tc>
      </w:tr>
      <w:tr>
        <w:trPr>
          <w:trHeight w:val="20"/>
        </w:trPr>
        <w:tc>
          <w:tcPr>
            <w:tcW w:w="12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55"/>
        </w:trPr>
        <w:tc>
          <w:tcPr>
            <w:tcW w:w="8580" w:type="dxa"/>
            <w:vAlign w:val="bottom"/>
            <w:gridSpan w:val="2"/>
          </w:tcPr>
          <w:p>
            <w:pPr>
              <w:spacing w:after="0"/>
              <w:rPr>
                <w:sz w:val="20"/>
                <w:szCs w:val="20"/>
                <w:color w:val="auto"/>
              </w:rPr>
            </w:pPr>
            <w:r>
              <w:rPr>
                <w:rFonts w:ascii="Arial" w:cs="Arial" w:eastAsia="Arial" w:hAnsi="Arial"/>
                <w:sz w:val="19"/>
                <w:szCs w:val="19"/>
                <w:color w:val="auto"/>
              </w:rPr>
              <w:t>Earnings per share of common stock—assuming dilution</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8.98</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2.00</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6.21</w:t>
            </w:r>
          </w:p>
        </w:tc>
      </w:tr>
    </w:tbl>
    <w:p>
      <w:pPr>
        <w:spacing w:after="0" w:line="91" w:lineRule="exact"/>
        <w:rPr>
          <w:sz w:val="20"/>
          <w:szCs w:val="20"/>
          <w:color w:val="auto"/>
        </w:rPr>
      </w:pPr>
    </w:p>
    <w:p>
      <w:pPr>
        <w:ind w:right="120" w:firstLine="357"/>
        <w:spacing w:after="0" w:line="242" w:lineRule="auto"/>
        <w:rPr>
          <w:sz w:val="20"/>
          <w:szCs w:val="20"/>
          <w:color w:val="auto"/>
        </w:rPr>
      </w:pPr>
      <w:r>
        <w:rPr>
          <w:rFonts w:ascii="Arial" w:cs="Arial" w:eastAsia="Arial" w:hAnsi="Arial"/>
          <w:sz w:val="19"/>
          <w:szCs w:val="19"/>
          <w:color w:val="auto"/>
        </w:rPr>
        <w:t>The diluted earnings per share calculations exclude the effect of stock options when the options’ assumed proceeds exceed the average market price of the common shares during the period. In 2018, 2017, and 2016 the weighted number of stock options excluded from the computations were 2.5 million, 2.8 million, and 7.5 million. These stock options were outstanding at the end of each of the respective periods.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 Revenue Recognition and Contracts with Customers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Adoption</w:t>
      </w:r>
    </w:p>
    <w:p>
      <w:pPr>
        <w:spacing w:after="0" w:line="130" w:lineRule="exact"/>
        <w:rPr>
          <w:sz w:val="20"/>
          <w:szCs w:val="20"/>
          <w:color w:val="auto"/>
        </w:rPr>
      </w:pPr>
    </w:p>
    <w:p>
      <w:pPr>
        <w:ind w:right="380" w:firstLine="357"/>
        <w:spacing w:after="0" w:line="242" w:lineRule="auto"/>
        <w:rPr>
          <w:sz w:val="20"/>
          <w:szCs w:val="20"/>
          <w:color w:val="auto"/>
        </w:rPr>
      </w:pPr>
      <w:r>
        <w:rPr>
          <w:rFonts w:ascii="Arial" w:cs="Arial" w:eastAsia="Arial" w:hAnsi="Arial"/>
          <w:sz w:val="19"/>
          <w:szCs w:val="19"/>
          <w:color w:val="auto"/>
        </w:rPr>
        <w:t>On January 1, 2018, the Company adopted new guidance on revenue from contracts with customers using the modified retrospective method applied to contracts that were not completed as of January 1, 2018. Results for reporting periods beginning after January 1, 2018 are presented under the new guidance, while prior period amounts are not adjusted and continue to be reported in accordance with previous guidance.</w:t>
      </w:r>
    </w:p>
    <w:p>
      <w:pPr>
        <w:spacing w:after="0" w:line="91" w:lineRule="exact"/>
        <w:rPr>
          <w:sz w:val="20"/>
          <w:szCs w:val="20"/>
          <w:color w:val="auto"/>
        </w:rPr>
      </w:pPr>
    </w:p>
    <w:p>
      <w:pPr>
        <w:ind w:right="120" w:firstLine="357"/>
        <w:spacing w:after="0"/>
        <w:rPr>
          <w:sz w:val="20"/>
          <w:szCs w:val="20"/>
          <w:color w:val="auto"/>
        </w:rPr>
      </w:pPr>
      <w:r>
        <w:rPr>
          <w:rFonts w:ascii="Arial" w:cs="Arial" w:eastAsia="Arial" w:hAnsi="Arial"/>
          <w:sz w:val="19"/>
          <w:szCs w:val="19"/>
          <w:color w:val="auto"/>
        </w:rPr>
        <w:t>We recorded a net decrease to opening retained earnings of $75 million as of January 1, 2018, for the cumulative impact of adopting the new guidance. The impact primarily related to the change in accounting for mechanical service programs (change from input to output method, resulting in unbilled receivables (within Accounts receivable–net) and deferred revenue (within Accrued liabilities) being eliminated through Retained earnings) and for customer funding and the related costs incurred for nonrecurring engineering and development activities (deferral of revenues and related incurred costs until products are delivered to customers, resulting in increases in both deferred costs (assets) and deferred revenue (liability) by approximately $1.1 billion at adoption).</w:t>
      </w:r>
    </w:p>
    <w:tbl>
      <w:tblPr>
        <w:tblLayout w:type="fixed"/>
        <w:tblInd w:w="0" w:type="dxa"/>
        <w:tblCellMar>
          <w:top w:w="0" w:type="dxa"/>
          <w:left w:w="0" w:type="dxa"/>
          <w:bottom w:w="0" w:type="dxa"/>
          <w:right w:w="0" w:type="dxa"/>
        </w:tblCellMar>
      </w:tblPr>
      <w:tr>
        <w:trPr>
          <w:trHeight w:val="174"/>
        </w:trPr>
        <w:tc>
          <w:tcPr>
            <w:tcW w:w="40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68"/>
              <w:spacing w:after="0" w:line="174" w:lineRule="exact"/>
              <w:rPr>
                <w:sz w:val="20"/>
                <w:szCs w:val="20"/>
                <w:color w:val="auto"/>
              </w:rPr>
            </w:pPr>
            <w:r>
              <w:rPr>
                <w:rFonts w:ascii="Arial" w:cs="Arial" w:eastAsia="Arial" w:hAnsi="Arial"/>
                <w:sz w:val="16"/>
                <w:szCs w:val="16"/>
                <w:b w:val="1"/>
                <w:bCs w:val="1"/>
                <w:color w:val="auto"/>
              </w:rPr>
              <w:t>New</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40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48"/>
              <w:spacing w:after="0" w:line="176" w:lineRule="exact"/>
              <w:rPr>
                <w:sz w:val="20"/>
                <w:szCs w:val="20"/>
                <w:color w:val="auto"/>
              </w:rPr>
            </w:pPr>
            <w:r>
              <w:rPr>
                <w:rFonts w:ascii="Arial" w:cs="Arial" w:eastAsia="Arial" w:hAnsi="Arial"/>
                <w:sz w:val="16"/>
                <w:szCs w:val="16"/>
                <w:b w:val="1"/>
                <w:bCs w:val="1"/>
                <w:color w:val="auto"/>
                <w:w w:val="97"/>
              </w:rPr>
              <w:t>Balance at</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68"/>
              <w:spacing w:after="0" w:line="176" w:lineRule="exact"/>
              <w:rPr>
                <w:sz w:val="20"/>
                <w:szCs w:val="20"/>
                <w:color w:val="auto"/>
              </w:rPr>
            </w:pPr>
            <w:r>
              <w:rPr>
                <w:rFonts w:ascii="Arial" w:cs="Arial" w:eastAsia="Arial" w:hAnsi="Arial"/>
                <w:sz w:val="16"/>
                <w:szCs w:val="16"/>
                <w:b w:val="1"/>
                <w:bCs w:val="1"/>
                <w:color w:val="auto"/>
                <w:w w:val="98"/>
              </w:rPr>
              <w:t>Revenue</w:t>
            </w:r>
          </w:p>
        </w:tc>
        <w:tc>
          <w:tcPr>
            <w:tcW w:w="300" w:type="dxa"/>
            <w:vAlign w:val="bottom"/>
          </w:tcPr>
          <w:p>
            <w:pPr>
              <w:spacing w:after="0"/>
              <w:rPr>
                <w:sz w:val="15"/>
                <w:szCs w:val="15"/>
                <w:color w:val="auto"/>
              </w:rPr>
            </w:pPr>
          </w:p>
        </w:tc>
        <w:tc>
          <w:tcPr>
            <w:tcW w:w="10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9"/>
              </w:rPr>
              <w:t>Balance at</w:t>
            </w:r>
          </w:p>
        </w:tc>
      </w:tr>
      <w:tr>
        <w:trPr>
          <w:trHeight w:val="176"/>
        </w:trPr>
        <w:tc>
          <w:tcPr>
            <w:tcW w:w="40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48"/>
              <w:spacing w:after="0" w:line="176" w:lineRule="exact"/>
              <w:rPr>
                <w:sz w:val="20"/>
                <w:szCs w:val="20"/>
                <w:color w:val="auto"/>
              </w:rPr>
            </w:pPr>
            <w:r>
              <w:rPr>
                <w:rFonts w:ascii="Arial" w:cs="Arial" w:eastAsia="Arial" w:hAnsi="Arial"/>
                <w:sz w:val="16"/>
                <w:szCs w:val="16"/>
                <w:b w:val="1"/>
                <w:bCs w:val="1"/>
                <w:color w:val="auto"/>
                <w:w w:val="97"/>
              </w:rPr>
              <w:t>December 31,</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68"/>
              <w:spacing w:after="0" w:line="176" w:lineRule="exact"/>
              <w:rPr>
                <w:sz w:val="20"/>
                <w:szCs w:val="20"/>
                <w:color w:val="auto"/>
              </w:rPr>
            </w:pPr>
            <w:r>
              <w:rPr>
                <w:rFonts w:ascii="Arial" w:cs="Arial" w:eastAsia="Arial" w:hAnsi="Arial"/>
                <w:sz w:val="16"/>
                <w:szCs w:val="16"/>
                <w:b w:val="1"/>
                <w:bCs w:val="1"/>
                <w:color w:val="auto"/>
              </w:rPr>
              <w:t>Standard</w:t>
            </w:r>
          </w:p>
        </w:tc>
        <w:tc>
          <w:tcPr>
            <w:tcW w:w="300" w:type="dxa"/>
            <w:vAlign w:val="bottom"/>
          </w:tcPr>
          <w:p>
            <w:pPr>
              <w:spacing w:after="0"/>
              <w:rPr>
                <w:sz w:val="15"/>
                <w:szCs w:val="15"/>
                <w:color w:val="auto"/>
              </w:rPr>
            </w:pPr>
          </w:p>
        </w:tc>
        <w:tc>
          <w:tcPr>
            <w:tcW w:w="10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January 1,</w:t>
            </w:r>
          </w:p>
        </w:tc>
      </w:tr>
      <w:tr>
        <w:trPr>
          <w:trHeight w:val="190"/>
        </w:trPr>
        <w:tc>
          <w:tcPr>
            <w:tcW w:w="40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8"/>
              <w:spacing w:after="0"/>
              <w:rPr>
                <w:sz w:val="20"/>
                <w:szCs w:val="20"/>
                <w:color w:val="auto"/>
              </w:rPr>
            </w:pPr>
            <w:r>
              <w:rPr>
                <w:rFonts w:ascii="Arial" w:cs="Arial" w:eastAsia="Arial" w:hAnsi="Arial"/>
                <w:sz w:val="16"/>
                <w:szCs w:val="16"/>
                <w:b w:val="1"/>
                <w:bCs w:val="1"/>
                <w:color w:val="auto"/>
                <w:w w:val="95"/>
              </w:rPr>
              <w:t>2017</w:t>
            </w:r>
          </w:p>
        </w:tc>
        <w:tc>
          <w:tcPr>
            <w:tcW w:w="320" w:type="dxa"/>
            <w:vAlign w:val="bottom"/>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7"/>
              </w:rPr>
              <w:t>Adjustment</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25"/>
              <w:spacing w:after="0"/>
              <w:rPr>
                <w:sz w:val="20"/>
                <w:szCs w:val="20"/>
                <w:color w:val="auto"/>
              </w:rPr>
            </w:pPr>
            <w:r>
              <w:rPr>
                <w:rFonts w:ascii="Arial" w:cs="Arial" w:eastAsia="Arial" w:hAnsi="Arial"/>
                <w:sz w:val="16"/>
                <w:szCs w:val="16"/>
                <w:b w:val="1"/>
                <w:bCs w:val="1"/>
                <w:color w:val="auto"/>
              </w:rPr>
              <w:t>2018</w:t>
            </w:r>
          </w:p>
        </w:tc>
      </w:tr>
      <w:tr>
        <w:trPr>
          <w:trHeight w:val="210"/>
        </w:trPr>
        <w:tc>
          <w:tcPr>
            <w:tcW w:w="400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ASSETS</w:t>
            </w:r>
          </w:p>
        </w:tc>
        <w:tc>
          <w:tcPr>
            <w:tcW w:w="34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r>
      <w:tr>
        <w:trPr>
          <w:trHeight w:val="216"/>
        </w:trPr>
        <w:tc>
          <w:tcPr>
            <w:tcW w:w="4000" w:type="dxa"/>
            <w:vAlign w:val="bottom"/>
          </w:tcPr>
          <w:p>
            <w:pPr>
              <w:spacing w:after="0" w:line="216" w:lineRule="exact"/>
              <w:rPr>
                <w:sz w:val="20"/>
                <w:szCs w:val="20"/>
                <w:color w:val="auto"/>
              </w:rPr>
            </w:pPr>
            <w:r>
              <w:rPr>
                <w:rFonts w:ascii="Arial" w:cs="Arial" w:eastAsia="Arial" w:hAnsi="Arial"/>
                <w:sz w:val="19"/>
                <w:szCs w:val="19"/>
                <w:color w:val="auto"/>
              </w:rPr>
              <w:t>Current assets:</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3"/>
        </w:trPr>
        <w:tc>
          <w:tcPr>
            <w:tcW w:w="40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Accounts receivable—net</w:t>
            </w:r>
          </w:p>
        </w:tc>
        <w:tc>
          <w:tcPr>
            <w:tcW w:w="35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8,866</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(149)</w:t>
            </w:r>
          </w:p>
        </w:tc>
        <w:tc>
          <w:tcPr>
            <w:tcW w:w="5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8,717</w:t>
            </w:r>
          </w:p>
        </w:tc>
      </w:tr>
      <w:tr>
        <w:trPr>
          <w:trHeight w:val="243"/>
        </w:trPr>
        <w:tc>
          <w:tcPr>
            <w:tcW w:w="4000" w:type="dxa"/>
            <w:vAlign w:val="bottom"/>
          </w:tcPr>
          <w:p>
            <w:pPr>
              <w:ind w:left="180"/>
              <w:spacing w:after="0"/>
              <w:rPr>
                <w:sz w:val="20"/>
                <w:szCs w:val="20"/>
                <w:color w:val="auto"/>
              </w:rPr>
            </w:pPr>
            <w:r>
              <w:rPr>
                <w:rFonts w:ascii="Arial" w:cs="Arial" w:eastAsia="Arial" w:hAnsi="Arial"/>
                <w:sz w:val="19"/>
                <w:szCs w:val="19"/>
                <w:color w:val="auto"/>
              </w:rPr>
              <w:t>Inventories</w:t>
            </w: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8"/>
              <w:spacing w:after="0"/>
              <w:rPr>
                <w:sz w:val="20"/>
                <w:szCs w:val="20"/>
                <w:color w:val="auto"/>
              </w:rPr>
            </w:pPr>
            <w:r>
              <w:rPr>
                <w:rFonts w:ascii="Arial" w:cs="Arial" w:eastAsia="Arial" w:hAnsi="Arial"/>
                <w:sz w:val="19"/>
                <w:szCs w:val="19"/>
                <w:color w:val="auto"/>
              </w:rPr>
              <w:t>4,613</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(10)</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4,603</w:t>
            </w:r>
          </w:p>
        </w:tc>
      </w:tr>
      <w:tr>
        <w:trPr>
          <w:trHeight w:val="243"/>
        </w:trPr>
        <w:tc>
          <w:tcPr>
            <w:tcW w:w="4000" w:type="dxa"/>
            <w:vAlign w:val="bottom"/>
            <w:shd w:val="clear" w:color="auto" w:fill="E5FFFF"/>
          </w:tcPr>
          <w:p>
            <w:pPr>
              <w:spacing w:after="0"/>
              <w:rPr>
                <w:sz w:val="20"/>
                <w:szCs w:val="20"/>
                <w:color w:val="auto"/>
              </w:rPr>
            </w:pPr>
            <w:r>
              <w:rPr>
                <w:rFonts w:ascii="Arial" w:cs="Arial" w:eastAsia="Arial" w:hAnsi="Arial"/>
                <w:sz w:val="19"/>
                <w:szCs w:val="19"/>
                <w:color w:val="auto"/>
              </w:rPr>
              <w:t>Deferred income taxes</w:t>
            </w:r>
          </w:p>
        </w:tc>
        <w:tc>
          <w:tcPr>
            <w:tcW w:w="3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251</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00" w:type="dxa"/>
            <w:vAlign w:val="bottom"/>
            <w:shd w:val="clear" w:color="auto" w:fill="E5FFFF"/>
          </w:tcPr>
          <w:p>
            <w:pPr>
              <w:jc w:val="right"/>
              <w:ind w:right="28"/>
              <w:spacing w:after="0"/>
              <w:rPr>
                <w:sz w:val="20"/>
                <w:szCs w:val="20"/>
                <w:color w:val="auto"/>
              </w:rPr>
            </w:pPr>
            <w:r>
              <w:rPr>
                <w:rFonts w:ascii="Arial" w:cs="Arial" w:eastAsia="Arial" w:hAnsi="Arial"/>
                <w:sz w:val="19"/>
                <w:szCs w:val="19"/>
                <w:color w:val="auto"/>
              </w:rPr>
              <w:t>40</w:t>
            </w: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291</w:t>
            </w:r>
          </w:p>
        </w:tc>
      </w:tr>
      <w:tr>
        <w:trPr>
          <w:trHeight w:val="243"/>
        </w:trPr>
        <w:tc>
          <w:tcPr>
            <w:tcW w:w="4000" w:type="dxa"/>
            <w:vAlign w:val="bottom"/>
          </w:tcPr>
          <w:p>
            <w:pPr>
              <w:spacing w:after="0"/>
              <w:rPr>
                <w:sz w:val="20"/>
                <w:szCs w:val="20"/>
                <w:color w:val="auto"/>
              </w:rPr>
            </w:pPr>
            <w:r>
              <w:rPr>
                <w:rFonts w:ascii="Arial" w:cs="Arial" w:eastAsia="Arial" w:hAnsi="Arial"/>
                <w:sz w:val="19"/>
                <w:szCs w:val="19"/>
                <w:color w:val="auto"/>
              </w:rPr>
              <w:t>Other assets</w:t>
            </w: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8"/>
              <w:spacing w:after="0"/>
              <w:rPr>
                <w:sz w:val="20"/>
                <w:szCs w:val="20"/>
                <w:color w:val="auto"/>
              </w:rPr>
            </w:pPr>
            <w:r>
              <w:rPr>
                <w:rFonts w:ascii="Arial" w:cs="Arial" w:eastAsia="Arial" w:hAnsi="Arial"/>
                <w:sz w:val="19"/>
                <w:szCs w:val="19"/>
                <w:color w:val="auto"/>
              </w:rPr>
              <w:t>3,372</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9"/>
                <w:szCs w:val="19"/>
                <w:color w:val="auto"/>
              </w:rPr>
              <w:t>1,082</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4,454</w:t>
            </w:r>
          </w:p>
        </w:tc>
      </w:tr>
      <w:tr>
        <w:trPr>
          <w:trHeight w:val="216"/>
        </w:trPr>
        <w:tc>
          <w:tcPr>
            <w:tcW w:w="400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LIABILITIES</w:t>
            </w:r>
          </w:p>
        </w:tc>
        <w:tc>
          <w:tcPr>
            <w:tcW w:w="34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r>
      <w:tr>
        <w:trPr>
          <w:trHeight w:val="216"/>
        </w:trPr>
        <w:tc>
          <w:tcPr>
            <w:tcW w:w="4000" w:type="dxa"/>
            <w:vAlign w:val="bottom"/>
          </w:tcPr>
          <w:p>
            <w:pPr>
              <w:spacing w:after="0" w:line="216" w:lineRule="exact"/>
              <w:rPr>
                <w:sz w:val="20"/>
                <w:szCs w:val="20"/>
                <w:color w:val="auto"/>
              </w:rPr>
            </w:pPr>
            <w:r>
              <w:rPr>
                <w:rFonts w:ascii="Arial" w:cs="Arial" w:eastAsia="Arial" w:hAnsi="Arial"/>
                <w:sz w:val="19"/>
                <w:szCs w:val="19"/>
                <w:color w:val="auto"/>
              </w:rPr>
              <w:t>Current liabilities:</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3"/>
        </w:trPr>
        <w:tc>
          <w:tcPr>
            <w:tcW w:w="40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Accrued liabilities</w:t>
            </w:r>
          </w:p>
        </w:tc>
        <w:tc>
          <w:tcPr>
            <w:tcW w:w="3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6,968</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w:t>
            </w: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6,920</w:t>
            </w:r>
          </w:p>
        </w:tc>
      </w:tr>
      <w:tr>
        <w:trPr>
          <w:trHeight w:val="243"/>
        </w:trPr>
        <w:tc>
          <w:tcPr>
            <w:tcW w:w="4000" w:type="dxa"/>
            <w:vAlign w:val="bottom"/>
          </w:tcPr>
          <w:p>
            <w:pPr>
              <w:spacing w:after="0"/>
              <w:rPr>
                <w:sz w:val="20"/>
                <w:szCs w:val="20"/>
                <w:color w:val="auto"/>
              </w:rPr>
            </w:pPr>
            <w:r>
              <w:rPr>
                <w:rFonts w:ascii="Arial" w:cs="Arial" w:eastAsia="Arial" w:hAnsi="Arial"/>
                <w:sz w:val="19"/>
                <w:szCs w:val="19"/>
                <w:color w:val="auto"/>
              </w:rPr>
              <w:t>Deferred income taxes</w:t>
            </w: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8"/>
              <w:spacing w:after="0"/>
              <w:rPr>
                <w:sz w:val="20"/>
                <w:szCs w:val="20"/>
                <w:color w:val="auto"/>
              </w:rPr>
            </w:pPr>
            <w:r>
              <w:rPr>
                <w:rFonts w:ascii="Arial" w:cs="Arial" w:eastAsia="Arial" w:hAnsi="Arial"/>
                <w:sz w:val="19"/>
                <w:szCs w:val="19"/>
                <w:color w:val="auto"/>
              </w:rPr>
              <w:t>2,664</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2,665</w:t>
            </w:r>
          </w:p>
        </w:tc>
      </w:tr>
      <w:tr>
        <w:trPr>
          <w:trHeight w:val="243"/>
        </w:trPr>
        <w:tc>
          <w:tcPr>
            <w:tcW w:w="4000" w:type="dxa"/>
            <w:vAlign w:val="bottom"/>
            <w:shd w:val="clear" w:color="auto" w:fill="E5FFFF"/>
          </w:tcPr>
          <w:p>
            <w:pPr>
              <w:spacing w:after="0"/>
              <w:rPr>
                <w:sz w:val="20"/>
                <w:szCs w:val="20"/>
                <w:color w:val="auto"/>
              </w:rPr>
            </w:pPr>
            <w:r>
              <w:rPr>
                <w:rFonts w:ascii="Arial" w:cs="Arial" w:eastAsia="Arial" w:hAnsi="Arial"/>
                <w:sz w:val="19"/>
                <w:szCs w:val="19"/>
                <w:color w:val="auto"/>
              </w:rPr>
              <w:t>Other liabilities</w:t>
            </w:r>
          </w:p>
        </w:tc>
        <w:tc>
          <w:tcPr>
            <w:tcW w:w="3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5,930</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00" w:type="dxa"/>
            <w:vAlign w:val="bottom"/>
            <w:shd w:val="clear" w:color="auto" w:fill="E5FFFF"/>
          </w:tcPr>
          <w:p>
            <w:pPr>
              <w:jc w:val="right"/>
              <w:ind w:right="28"/>
              <w:spacing w:after="0"/>
              <w:rPr>
                <w:sz w:val="20"/>
                <w:szCs w:val="20"/>
                <w:color w:val="auto"/>
              </w:rPr>
            </w:pPr>
            <w:r>
              <w:rPr>
                <w:rFonts w:ascii="Arial" w:cs="Arial" w:eastAsia="Arial" w:hAnsi="Arial"/>
                <w:sz w:val="19"/>
                <w:szCs w:val="19"/>
                <w:color w:val="auto"/>
              </w:rPr>
              <w:t>1,084</w:t>
            </w: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7,014</w:t>
            </w:r>
          </w:p>
        </w:tc>
      </w:tr>
      <w:tr>
        <w:trPr>
          <w:trHeight w:val="216"/>
        </w:trPr>
        <w:tc>
          <w:tcPr>
            <w:tcW w:w="4000" w:type="dxa"/>
            <w:vAlign w:val="bottom"/>
          </w:tcPr>
          <w:p>
            <w:pPr>
              <w:spacing w:after="0" w:line="216" w:lineRule="exact"/>
              <w:rPr>
                <w:sz w:val="20"/>
                <w:szCs w:val="20"/>
                <w:color w:val="auto"/>
              </w:rPr>
            </w:pPr>
            <w:r>
              <w:rPr>
                <w:rFonts w:ascii="Arial" w:cs="Arial" w:eastAsia="Arial" w:hAnsi="Arial"/>
                <w:sz w:val="19"/>
                <w:szCs w:val="19"/>
                <w:b w:val="1"/>
                <w:bCs w:val="1"/>
                <w:color w:val="auto"/>
              </w:rPr>
              <w:t>SHAREOWNERS’ EQUITY</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3"/>
        </w:trPr>
        <w:tc>
          <w:tcPr>
            <w:tcW w:w="4000" w:type="dxa"/>
            <w:vAlign w:val="bottom"/>
            <w:shd w:val="clear" w:color="auto" w:fill="E5FFFF"/>
          </w:tcPr>
          <w:p>
            <w:pPr>
              <w:spacing w:after="0"/>
              <w:rPr>
                <w:sz w:val="20"/>
                <w:szCs w:val="20"/>
                <w:color w:val="auto"/>
              </w:rPr>
            </w:pPr>
            <w:r>
              <w:rPr>
                <w:rFonts w:ascii="Arial" w:cs="Arial" w:eastAsia="Arial" w:hAnsi="Arial"/>
                <w:sz w:val="19"/>
                <w:szCs w:val="19"/>
                <w:color w:val="auto"/>
              </w:rPr>
              <w:t>Retained earnings</w:t>
            </w:r>
          </w:p>
        </w:tc>
        <w:tc>
          <w:tcPr>
            <w:tcW w:w="3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27,481</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(75)</w:t>
            </w: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27,406</w:t>
            </w:r>
          </w:p>
        </w:tc>
      </w:tr>
      <w:tr>
        <w:trPr>
          <w:trHeight w:val="261"/>
        </w:trPr>
        <w:tc>
          <w:tcPr>
            <w:tcW w:w="4000" w:type="dxa"/>
            <w:vAlign w:val="bottom"/>
          </w:tcPr>
          <w:p>
            <w:pPr>
              <w:spacing w:after="0"/>
              <w:rPr>
                <w:sz w:val="20"/>
                <w:szCs w:val="20"/>
                <w:color w:val="auto"/>
              </w:rPr>
            </w:pPr>
            <w:r>
              <w:rPr>
                <w:rFonts w:ascii="Arial" w:cs="Arial" w:eastAsia="Arial" w:hAnsi="Arial"/>
                <w:sz w:val="19"/>
                <w:szCs w:val="19"/>
                <w:color w:val="auto"/>
              </w:rPr>
              <w:t>Noncontrolling interest</w:t>
            </w:r>
          </w:p>
        </w:tc>
        <w:tc>
          <w:tcPr>
            <w:tcW w:w="35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00" w:type="dxa"/>
            <w:vAlign w:val="bottom"/>
          </w:tcPr>
          <w:p>
            <w:pPr>
              <w:jc w:val="right"/>
              <w:ind w:right="8"/>
              <w:spacing w:after="0"/>
              <w:rPr>
                <w:sz w:val="20"/>
                <w:szCs w:val="20"/>
                <w:color w:val="auto"/>
              </w:rPr>
            </w:pPr>
            <w:r>
              <w:rPr>
                <w:rFonts w:ascii="Arial" w:cs="Arial" w:eastAsia="Arial" w:hAnsi="Arial"/>
                <w:sz w:val="19"/>
                <w:szCs w:val="19"/>
                <w:color w:val="auto"/>
              </w:rPr>
              <w:t>163</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ind w:right="28"/>
              <w:spacing w:after="0"/>
              <w:rPr>
                <w:sz w:val="20"/>
                <w:szCs w:val="20"/>
                <w:color w:val="auto"/>
              </w:rPr>
            </w:pPr>
            <w:r>
              <w:rPr>
                <w:rFonts w:ascii="Arial" w:cs="Arial" w:eastAsia="Arial" w:hAnsi="Arial"/>
                <w:sz w:val="19"/>
                <w:szCs w:val="19"/>
                <w:color w:val="auto"/>
              </w:rPr>
              <w:t>1</w:t>
            </w:r>
          </w:p>
        </w:tc>
        <w:tc>
          <w:tcPr>
            <w:tcW w:w="520" w:type="dxa"/>
            <w:vAlign w:val="bottom"/>
            <w:gridSpan w:val="2"/>
          </w:tcPr>
          <w:p>
            <w:pPr>
              <w:jc w:val="right"/>
              <w:ind w:right="21"/>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164</w:t>
            </w:r>
          </w:p>
        </w:tc>
      </w:tr>
      <w:tr>
        <w:trPr>
          <w:trHeight w:val="324"/>
        </w:trPr>
        <w:tc>
          <w:tcPr>
            <w:tcW w:w="4000" w:type="dxa"/>
            <w:vAlign w:val="bottom"/>
          </w:tcPr>
          <w:p>
            <w:pPr>
              <w:spacing w:after="0"/>
              <w:rPr>
                <w:sz w:val="24"/>
                <w:szCs w:val="24"/>
                <w:color w:val="auto"/>
              </w:rPr>
            </w:pPr>
          </w:p>
        </w:tc>
        <w:tc>
          <w:tcPr>
            <w:tcW w:w="3400" w:type="dxa"/>
            <w:vAlign w:val="bottom"/>
          </w:tcPr>
          <w:p>
            <w:pPr>
              <w:jc w:val="right"/>
              <w:ind w:right="1483"/>
              <w:spacing w:after="0"/>
              <w:rPr>
                <w:sz w:val="20"/>
                <w:szCs w:val="20"/>
                <w:color w:val="auto"/>
              </w:rPr>
            </w:pPr>
            <w:r>
              <w:rPr>
                <w:rFonts w:ascii="Arial" w:cs="Arial" w:eastAsia="Arial" w:hAnsi="Arial"/>
                <w:sz w:val="19"/>
                <w:szCs w:val="19"/>
                <w:color w:val="auto"/>
              </w:rPr>
              <w:t>54</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9"/>
        </w:trPr>
        <w:tc>
          <w:tcPr>
            <w:tcW w:w="40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Under the modified retrospective method of adoption, we are required to disclose the impact to revenues had we continued to follow our accounting policies under the previous revenue recognition guidance. We estimate that the impact to revenues for the year ended December 31, 2018 would have been a decrease of approximately $339 million, which is primarily due to the net impact of the classification change and deferral impact of nonrecurring engineering and development activities, and the net impact from service programs with certain amounts being recognized that would have previously been deferred, and certain amount being deferred that would have previously been recognized.</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Refer to Note 1 Summary of Significant Accounting Policies for a summary of our significant policies for revenue recognition.</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Disaggregated Revenue</w:t>
      </w:r>
    </w:p>
    <w:p>
      <w:pPr>
        <w:spacing w:after="0" w:line="116" w:lineRule="exact"/>
        <w:rPr>
          <w:sz w:val="20"/>
          <w:szCs w:val="20"/>
          <w:color w:val="auto"/>
        </w:rPr>
      </w:pPr>
    </w:p>
    <w:p>
      <w:pPr>
        <w:ind w:right="40" w:firstLine="357"/>
        <w:spacing w:after="0" w:line="246" w:lineRule="auto"/>
        <w:rPr>
          <w:sz w:val="20"/>
          <w:szCs w:val="20"/>
          <w:color w:val="auto"/>
        </w:rPr>
      </w:pPr>
      <w:r>
        <w:rPr>
          <w:rFonts w:ascii="Arial" w:cs="Arial" w:eastAsia="Arial" w:hAnsi="Arial"/>
          <w:sz w:val="19"/>
          <w:szCs w:val="19"/>
          <w:color w:val="auto"/>
        </w:rPr>
        <w:t>Honeywell has a comprehensive offering of products and services, including software and technologies, that are sold to a variety of customers in multiple end markets. See the following table and related discussions by operating segment for details.</w:t>
      </w:r>
    </w:p>
    <w:tbl>
      <w:tblPr>
        <w:tblLayout w:type="fixed"/>
        <w:tblInd w:w="1000" w:type="dxa"/>
        <w:tblCellMar>
          <w:top w:w="0" w:type="dxa"/>
          <w:left w:w="0" w:type="dxa"/>
          <w:bottom w:w="0" w:type="dxa"/>
          <w:right w:w="0" w:type="dxa"/>
        </w:tblCellMar>
      </w:tblPr>
      <w:tr>
        <w:trPr>
          <w:trHeight w:val="172"/>
        </w:trPr>
        <w:tc>
          <w:tcPr>
            <w:tcW w:w="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25"/>
              <w:spacing w:after="0" w:line="172" w:lineRule="exact"/>
              <w:rPr>
                <w:sz w:val="20"/>
                <w:szCs w:val="20"/>
                <w:color w:val="auto"/>
              </w:rPr>
            </w:pPr>
            <w:r>
              <w:rPr>
                <w:rFonts w:ascii="Arial" w:cs="Arial" w:eastAsia="Arial" w:hAnsi="Arial"/>
                <w:sz w:val="16"/>
                <w:szCs w:val="16"/>
                <w:b w:val="1"/>
                <w:bCs w:val="1"/>
                <w:color w:val="auto"/>
                <w:w w:val="99"/>
              </w:rPr>
              <w:t>Year Ended</w:t>
            </w:r>
          </w:p>
        </w:tc>
      </w:tr>
      <w:tr>
        <w:trPr>
          <w:trHeight w:val="176"/>
        </w:trPr>
        <w:tc>
          <w:tcPr>
            <w:tcW w:w="9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25"/>
              <w:spacing w:after="0" w:line="176" w:lineRule="exact"/>
              <w:rPr>
                <w:sz w:val="20"/>
                <w:szCs w:val="20"/>
                <w:color w:val="auto"/>
              </w:rPr>
            </w:pPr>
            <w:r>
              <w:rPr>
                <w:rFonts w:ascii="Arial" w:cs="Arial" w:eastAsia="Arial" w:hAnsi="Arial"/>
                <w:sz w:val="16"/>
                <w:szCs w:val="16"/>
                <w:b w:val="1"/>
                <w:bCs w:val="1"/>
                <w:color w:val="auto"/>
                <w:w w:val="99"/>
              </w:rPr>
              <w:t>December 31,</w:t>
            </w:r>
          </w:p>
        </w:tc>
      </w:tr>
      <w:tr>
        <w:trPr>
          <w:trHeight w:val="190"/>
        </w:trPr>
        <w:tc>
          <w:tcPr>
            <w:tcW w:w="9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5"/>
              <w:spacing w:after="0"/>
              <w:rPr>
                <w:sz w:val="20"/>
                <w:szCs w:val="20"/>
                <w:color w:val="auto"/>
              </w:rPr>
            </w:pPr>
            <w:r>
              <w:rPr>
                <w:rFonts w:ascii="Arial" w:cs="Arial" w:eastAsia="Arial" w:hAnsi="Arial"/>
                <w:sz w:val="16"/>
                <w:szCs w:val="16"/>
                <w:b w:val="1"/>
                <w:bCs w:val="1"/>
                <w:color w:val="auto"/>
              </w:rPr>
              <w:t>2018</w:t>
            </w:r>
          </w:p>
        </w:tc>
      </w:tr>
      <w:tr>
        <w:trPr>
          <w:trHeight w:val="190"/>
        </w:trPr>
        <w:tc>
          <w:tcPr>
            <w:tcW w:w="940" w:type="dxa"/>
            <w:vAlign w:val="bottom"/>
            <w:tcBorders>
              <w:bottom w:val="single" w:sz="8" w:color="auto"/>
            </w:tcBorders>
            <w:shd w:val="clear" w:color="auto" w:fill="E5FFFF"/>
          </w:tcPr>
          <w:p>
            <w:pPr>
              <w:spacing w:after="0" w:line="183" w:lineRule="exact"/>
              <w:rPr>
                <w:sz w:val="20"/>
                <w:szCs w:val="20"/>
                <w:color w:val="auto"/>
              </w:rPr>
            </w:pPr>
            <w:r>
              <w:rPr>
                <w:rFonts w:ascii="Arial" w:cs="Arial" w:eastAsia="Arial" w:hAnsi="Arial"/>
                <w:sz w:val="19"/>
                <w:szCs w:val="19"/>
                <w:color w:val="auto"/>
              </w:rPr>
              <w:t>Aerospace</w:t>
            </w:r>
          </w:p>
        </w:tc>
        <w:tc>
          <w:tcPr>
            <w:tcW w:w="7180" w:type="dxa"/>
            <w:vAlign w:val="bottom"/>
            <w:tcBorders>
              <w:bottom w:val="single" w:sz="8" w:color="E5FFFF"/>
            </w:tcBorders>
            <w:gridSpan w:val="3"/>
            <w:shd w:val="clear" w:color="auto" w:fill="E5FFFF"/>
          </w:tcPr>
          <w:p>
            <w:pPr>
              <w:spacing w:after="0"/>
              <w:rPr>
                <w:sz w:val="16"/>
                <w:szCs w:val="16"/>
                <w:color w:val="auto"/>
              </w:rPr>
            </w:pPr>
          </w:p>
        </w:tc>
        <w:tc>
          <w:tcPr>
            <w:tcW w:w="120" w:type="dxa"/>
            <w:vAlign w:val="bottom"/>
            <w:tcBorders>
              <w:bottom w:val="single" w:sz="8" w:color="E5FFFF"/>
            </w:tcBorders>
            <w:shd w:val="clear" w:color="auto" w:fill="E5FFFF"/>
          </w:tcPr>
          <w:p>
            <w:pPr>
              <w:spacing w:after="0"/>
              <w:rPr>
                <w:sz w:val="16"/>
                <w:szCs w:val="16"/>
                <w:color w:val="auto"/>
              </w:rPr>
            </w:pPr>
          </w:p>
        </w:tc>
        <w:tc>
          <w:tcPr>
            <w:tcW w:w="1160" w:type="dxa"/>
            <w:vAlign w:val="bottom"/>
            <w:tcBorders>
              <w:bottom w:val="single" w:sz="8" w:color="E5FFFF"/>
            </w:tcBorders>
            <w:shd w:val="clear" w:color="auto" w:fill="E5FFFF"/>
          </w:tcPr>
          <w:p>
            <w:pPr>
              <w:spacing w:after="0"/>
              <w:rPr>
                <w:sz w:val="16"/>
                <w:szCs w:val="16"/>
                <w:color w:val="auto"/>
              </w:rPr>
            </w:pPr>
          </w:p>
        </w:tc>
      </w:tr>
      <w:tr>
        <w:trPr>
          <w:trHeight w:val="243"/>
        </w:trPr>
        <w:tc>
          <w:tcPr>
            <w:tcW w:w="8120" w:type="dxa"/>
            <w:vAlign w:val="bottom"/>
            <w:gridSpan w:val="4"/>
          </w:tcPr>
          <w:p>
            <w:pPr>
              <w:ind w:left="180"/>
              <w:spacing w:after="0"/>
              <w:rPr>
                <w:sz w:val="20"/>
                <w:szCs w:val="20"/>
                <w:color w:val="auto"/>
              </w:rPr>
            </w:pPr>
            <w:r>
              <w:rPr>
                <w:rFonts w:ascii="Arial" w:cs="Arial" w:eastAsia="Arial" w:hAnsi="Arial"/>
                <w:sz w:val="19"/>
                <w:szCs w:val="19"/>
                <w:color w:val="auto"/>
              </w:rPr>
              <w:t>Commercial Aviation Original Equipment</w:t>
            </w:r>
          </w:p>
        </w:tc>
        <w:tc>
          <w:tcPr>
            <w:tcW w:w="12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2,833</w:t>
            </w:r>
          </w:p>
        </w:tc>
      </w:tr>
      <w:tr>
        <w:trPr>
          <w:trHeight w:val="243"/>
        </w:trPr>
        <w:tc>
          <w:tcPr>
            <w:tcW w:w="8120" w:type="dxa"/>
            <w:vAlign w:val="bottom"/>
            <w:gridSpan w:val="4"/>
            <w:shd w:val="clear" w:color="auto" w:fill="E5FFFF"/>
          </w:tcPr>
          <w:p>
            <w:pPr>
              <w:ind w:left="180"/>
              <w:spacing w:after="0"/>
              <w:rPr>
                <w:sz w:val="20"/>
                <w:szCs w:val="20"/>
                <w:color w:val="auto"/>
              </w:rPr>
            </w:pPr>
            <w:r>
              <w:rPr>
                <w:rFonts w:ascii="Arial" w:cs="Arial" w:eastAsia="Arial" w:hAnsi="Arial"/>
                <w:sz w:val="19"/>
                <w:szCs w:val="19"/>
                <w:color w:val="auto"/>
              </w:rPr>
              <w:t>Commercial Aviation Aftermarket</w:t>
            </w:r>
          </w:p>
        </w:tc>
        <w:tc>
          <w:tcPr>
            <w:tcW w:w="120" w:type="dxa"/>
            <w:vAlign w:val="bottom"/>
            <w:shd w:val="clear" w:color="auto" w:fill="E5FFFF"/>
          </w:tcPr>
          <w:p>
            <w:pPr>
              <w:spacing w:after="0"/>
              <w:rPr>
                <w:sz w:val="21"/>
                <w:szCs w:val="21"/>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5,373</w:t>
            </w:r>
          </w:p>
        </w:tc>
      </w:tr>
      <w:tr>
        <w:trPr>
          <w:trHeight w:val="243"/>
        </w:trPr>
        <w:tc>
          <w:tcPr>
            <w:tcW w:w="8120" w:type="dxa"/>
            <w:vAlign w:val="bottom"/>
            <w:gridSpan w:val="4"/>
          </w:tcPr>
          <w:p>
            <w:pPr>
              <w:ind w:left="180"/>
              <w:spacing w:after="0"/>
              <w:rPr>
                <w:sz w:val="20"/>
                <w:szCs w:val="20"/>
                <w:color w:val="auto"/>
              </w:rPr>
            </w:pPr>
            <w:r>
              <w:rPr>
                <w:rFonts w:ascii="Arial" w:cs="Arial" w:eastAsia="Arial" w:hAnsi="Arial"/>
                <w:sz w:val="19"/>
                <w:szCs w:val="19"/>
                <w:color w:val="auto"/>
              </w:rPr>
              <w:t>Defense Services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4,665</w:t>
            </w:r>
          </w:p>
        </w:tc>
      </w:tr>
      <w:tr>
        <w:trPr>
          <w:trHeight w:val="243"/>
        </w:trPr>
        <w:tc>
          <w:tcPr>
            <w:tcW w:w="8120" w:type="dxa"/>
            <w:vAlign w:val="bottom"/>
            <w:gridSpan w:val="4"/>
            <w:shd w:val="clear" w:color="auto" w:fill="E5FFFF"/>
          </w:tcPr>
          <w:p>
            <w:pPr>
              <w:ind w:left="180"/>
              <w:spacing w:after="0"/>
              <w:rPr>
                <w:sz w:val="20"/>
                <w:szCs w:val="20"/>
                <w:color w:val="auto"/>
              </w:rPr>
            </w:pPr>
            <w:r>
              <w:rPr>
                <w:rFonts w:ascii="Arial" w:cs="Arial" w:eastAsia="Arial" w:hAnsi="Arial"/>
                <w:sz w:val="19"/>
                <w:szCs w:val="19"/>
                <w:color w:val="auto"/>
              </w:rPr>
              <w:t>Transportation Systems</w:t>
            </w:r>
          </w:p>
        </w:tc>
        <w:tc>
          <w:tcPr>
            <w:tcW w:w="120" w:type="dxa"/>
            <w:vAlign w:val="bottom"/>
            <w:tcBorders>
              <w:bottom w:val="single" w:sz="8" w:color="auto"/>
            </w:tcBorders>
            <w:shd w:val="clear" w:color="auto" w:fill="E5FFFF"/>
          </w:tcPr>
          <w:p>
            <w:pPr>
              <w:spacing w:after="0"/>
              <w:rPr>
                <w:sz w:val="21"/>
                <w:szCs w:val="21"/>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2,622</w:t>
            </w:r>
          </w:p>
        </w:tc>
      </w:tr>
      <w:tr>
        <w:trPr>
          <w:trHeight w:val="257"/>
        </w:trPr>
        <w:tc>
          <w:tcPr>
            <w:tcW w:w="9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15,493</w:t>
            </w:r>
          </w:p>
        </w:tc>
      </w:tr>
      <w:tr>
        <w:trPr>
          <w:trHeight w:val="196"/>
        </w:trPr>
        <w:tc>
          <w:tcPr>
            <w:tcW w:w="2840" w:type="dxa"/>
            <w:vAlign w:val="bottom"/>
            <w:tcBorders>
              <w:bottom w:val="single" w:sz="8" w:color="auto"/>
            </w:tcBorders>
            <w:gridSpan w:val="2"/>
            <w:shd w:val="clear" w:color="auto" w:fill="E5FFFF"/>
          </w:tcPr>
          <w:p>
            <w:pPr>
              <w:spacing w:after="0" w:line="189" w:lineRule="exact"/>
              <w:rPr>
                <w:sz w:val="20"/>
                <w:szCs w:val="20"/>
                <w:color w:val="auto"/>
              </w:rPr>
            </w:pPr>
            <w:r>
              <w:rPr>
                <w:rFonts w:ascii="Arial" w:cs="Arial" w:eastAsia="Arial" w:hAnsi="Arial"/>
                <w:sz w:val="19"/>
                <w:szCs w:val="19"/>
                <w:color w:val="auto"/>
              </w:rPr>
              <w:t>Honeywell Building Technologies</w:t>
            </w:r>
          </w:p>
        </w:tc>
        <w:tc>
          <w:tcPr>
            <w:tcW w:w="5280" w:type="dxa"/>
            <w:vAlign w:val="bottom"/>
            <w:tcBorders>
              <w:bottom w:val="single" w:sz="8" w:color="E5FFFF"/>
            </w:tcBorders>
            <w:gridSpan w:val="2"/>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1160" w:type="dxa"/>
            <w:vAlign w:val="bottom"/>
            <w:tcBorders>
              <w:bottom w:val="single" w:sz="8" w:color="E5FFFF"/>
            </w:tcBorders>
            <w:shd w:val="clear" w:color="auto" w:fill="E5FFFF"/>
          </w:tcPr>
          <w:p>
            <w:pPr>
              <w:spacing w:after="0"/>
              <w:rPr>
                <w:sz w:val="17"/>
                <w:szCs w:val="17"/>
                <w:color w:val="auto"/>
              </w:rPr>
            </w:pPr>
          </w:p>
        </w:tc>
      </w:tr>
      <w:tr>
        <w:trPr>
          <w:trHeight w:val="243"/>
        </w:trPr>
        <w:tc>
          <w:tcPr>
            <w:tcW w:w="8120" w:type="dxa"/>
            <w:vAlign w:val="bottom"/>
            <w:gridSpan w:val="4"/>
          </w:tcPr>
          <w:p>
            <w:pPr>
              <w:ind w:left="180"/>
              <w:spacing w:after="0"/>
              <w:rPr>
                <w:sz w:val="20"/>
                <w:szCs w:val="20"/>
                <w:color w:val="auto"/>
              </w:rPr>
            </w:pPr>
            <w:r>
              <w:rPr>
                <w:rFonts w:ascii="Arial" w:cs="Arial" w:eastAsia="Arial" w:hAnsi="Arial"/>
                <w:sz w:val="19"/>
                <w:szCs w:val="19"/>
                <w:color w:val="auto"/>
              </w:rPr>
              <w:t>Products and Software</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1,732</w:t>
            </w:r>
          </w:p>
        </w:tc>
      </w:tr>
      <w:tr>
        <w:trPr>
          <w:trHeight w:val="243"/>
        </w:trPr>
        <w:tc>
          <w:tcPr>
            <w:tcW w:w="8120" w:type="dxa"/>
            <w:vAlign w:val="bottom"/>
            <w:gridSpan w:val="4"/>
            <w:shd w:val="clear" w:color="auto" w:fill="E5FFFF"/>
          </w:tcPr>
          <w:p>
            <w:pPr>
              <w:ind w:left="180"/>
              <w:spacing w:after="0"/>
              <w:rPr>
                <w:sz w:val="20"/>
                <w:szCs w:val="20"/>
                <w:color w:val="auto"/>
              </w:rPr>
            </w:pPr>
            <w:r>
              <w:rPr>
                <w:rFonts w:ascii="Arial" w:cs="Arial" w:eastAsia="Arial" w:hAnsi="Arial"/>
                <w:sz w:val="19"/>
                <w:szCs w:val="19"/>
                <w:color w:val="auto"/>
              </w:rPr>
              <w:t>Distribution (ADI)</w:t>
            </w:r>
          </w:p>
        </w:tc>
        <w:tc>
          <w:tcPr>
            <w:tcW w:w="120" w:type="dxa"/>
            <w:vAlign w:val="bottom"/>
            <w:shd w:val="clear" w:color="auto" w:fill="E5FFFF"/>
          </w:tcPr>
          <w:p>
            <w:pPr>
              <w:spacing w:after="0"/>
              <w:rPr>
                <w:sz w:val="21"/>
                <w:szCs w:val="21"/>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2,196</w:t>
            </w:r>
          </w:p>
        </w:tc>
      </w:tr>
      <w:tr>
        <w:trPr>
          <w:trHeight w:val="243"/>
        </w:trPr>
        <w:tc>
          <w:tcPr>
            <w:tcW w:w="8120" w:type="dxa"/>
            <w:vAlign w:val="bottom"/>
            <w:gridSpan w:val="4"/>
          </w:tcPr>
          <w:p>
            <w:pPr>
              <w:ind w:left="180"/>
              <w:spacing w:after="0"/>
              <w:rPr>
                <w:sz w:val="20"/>
                <w:szCs w:val="20"/>
                <w:color w:val="auto"/>
              </w:rPr>
            </w:pPr>
            <w:r>
              <w:rPr>
                <w:rFonts w:ascii="Arial" w:cs="Arial" w:eastAsia="Arial" w:hAnsi="Arial"/>
                <w:sz w:val="19"/>
                <w:szCs w:val="19"/>
                <w:color w:val="auto"/>
              </w:rPr>
              <w:t>Building Management Systems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830</w:t>
            </w:r>
          </w:p>
        </w:tc>
      </w:tr>
      <w:tr>
        <w:trPr>
          <w:trHeight w:val="243"/>
        </w:trPr>
        <w:tc>
          <w:tcPr>
            <w:tcW w:w="8120" w:type="dxa"/>
            <w:vAlign w:val="bottom"/>
            <w:gridSpan w:val="4"/>
            <w:shd w:val="clear" w:color="auto" w:fill="E5FFFF"/>
          </w:tcPr>
          <w:p>
            <w:pPr>
              <w:ind w:left="180"/>
              <w:spacing w:after="0"/>
              <w:rPr>
                <w:sz w:val="20"/>
                <w:szCs w:val="20"/>
                <w:color w:val="auto"/>
              </w:rPr>
            </w:pPr>
            <w:r>
              <w:rPr>
                <w:rFonts w:ascii="Arial" w:cs="Arial" w:eastAsia="Arial" w:hAnsi="Arial"/>
                <w:sz w:val="19"/>
                <w:szCs w:val="19"/>
                <w:color w:val="auto"/>
              </w:rPr>
              <w:t>Building Solutions</w:t>
            </w:r>
          </w:p>
        </w:tc>
        <w:tc>
          <w:tcPr>
            <w:tcW w:w="120" w:type="dxa"/>
            <w:vAlign w:val="bottom"/>
            <w:shd w:val="clear" w:color="auto" w:fill="E5FFFF"/>
          </w:tcPr>
          <w:p>
            <w:pPr>
              <w:spacing w:after="0"/>
              <w:rPr>
                <w:sz w:val="21"/>
                <w:szCs w:val="21"/>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2,417</w:t>
            </w:r>
          </w:p>
        </w:tc>
      </w:tr>
      <w:tr>
        <w:trPr>
          <w:trHeight w:val="250"/>
        </w:trPr>
        <w:tc>
          <w:tcPr>
            <w:tcW w:w="8120" w:type="dxa"/>
            <w:vAlign w:val="bottom"/>
            <w:gridSpan w:val="4"/>
          </w:tcPr>
          <w:p>
            <w:pPr>
              <w:ind w:left="180"/>
              <w:spacing w:after="0"/>
              <w:rPr>
                <w:sz w:val="20"/>
                <w:szCs w:val="20"/>
                <w:color w:val="auto"/>
              </w:rPr>
            </w:pPr>
            <w:r>
              <w:rPr>
                <w:rFonts w:ascii="Arial" w:cs="Arial" w:eastAsia="Arial" w:hAnsi="Arial"/>
                <w:sz w:val="19"/>
                <w:szCs w:val="19"/>
                <w:color w:val="auto"/>
              </w:rPr>
              <w:t>Building Products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2,123</w:t>
            </w:r>
          </w:p>
        </w:tc>
      </w:tr>
      <w:tr>
        <w:trPr>
          <w:trHeight w:val="243"/>
        </w:trPr>
        <w:tc>
          <w:tcPr>
            <w:tcW w:w="940" w:type="dxa"/>
            <w:vAlign w:val="bottom"/>
            <w:shd w:val="clear" w:color="auto" w:fill="E5FFFF"/>
          </w:tcPr>
          <w:p>
            <w:pPr>
              <w:spacing w:after="0"/>
              <w:rPr>
                <w:sz w:val="21"/>
                <w:szCs w:val="21"/>
                <w:color w:val="auto"/>
              </w:rPr>
            </w:pPr>
          </w:p>
        </w:tc>
        <w:tc>
          <w:tcPr>
            <w:tcW w:w="190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46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9,298</w:t>
            </w:r>
          </w:p>
        </w:tc>
      </w:tr>
      <w:tr>
        <w:trPr>
          <w:trHeight w:val="203"/>
        </w:trPr>
        <w:tc>
          <w:tcPr>
            <w:tcW w:w="8120" w:type="dxa"/>
            <w:vAlign w:val="bottom"/>
            <w:gridSpan w:val="4"/>
          </w:tcPr>
          <w:p>
            <w:pPr>
              <w:spacing w:after="0" w:line="196" w:lineRule="exact"/>
              <w:rPr>
                <w:sz w:val="20"/>
                <w:szCs w:val="20"/>
                <w:color w:val="auto"/>
              </w:rPr>
            </w:pPr>
            <w:r>
              <w:rPr>
                <w:rFonts w:ascii="Arial" w:cs="Arial" w:eastAsia="Arial" w:hAnsi="Arial"/>
                <w:sz w:val="19"/>
                <w:szCs w:val="19"/>
                <w:color w:val="auto"/>
              </w:rPr>
              <w:t>Performance Materials and Technologies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43"/>
        </w:trPr>
        <w:tc>
          <w:tcPr>
            <w:tcW w:w="3520" w:type="dxa"/>
            <w:vAlign w:val="bottom"/>
            <w:tcBorders>
              <w:top w:val="single" w:sz="8" w:color="auto"/>
            </w:tcBorders>
            <w:gridSpan w:val="3"/>
            <w:shd w:val="clear" w:color="auto" w:fill="E5FFFF"/>
          </w:tcPr>
          <w:p>
            <w:pPr>
              <w:ind w:left="180"/>
              <w:spacing w:after="0"/>
              <w:rPr>
                <w:sz w:val="20"/>
                <w:szCs w:val="20"/>
                <w:color w:val="auto"/>
              </w:rPr>
            </w:pPr>
            <w:r>
              <w:rPr>
                <w:rFonts w:ascii="Arial" w:cs="Arial" w:eastAsia="Arial" w:hAnsi="Arial"/>
                <w:sz w:val="19"/>
                <w:szCs w:val="19"/>
                <w:color w:val="auto"/>
              </w:rPr>
              <w:t>UOP</w:t>
            </w:r>
          </w:p>
        </w:tc>
        <w:tc>
          <w:tcPr>
            <w:tcW w:w="46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2,845</w:t>
            </w:r>
          </w:p>
        </w:tc>
      </w:tr>
      <w:tr>
        <w:trPr>
          <w:trHeight w:val="243"/>
        </w:trPr>
        <w:tc>
          <w:tcPr>
            <w:tcW w:w="8120" w:type="dxa"/>
            <w:vAlign w:val="bottom"/>
            <w:gridSpan w:val="4"/>
          </w:tcPr>
          <w:p>
            <w:pPr>
              <w:ind w:left="180"/>
              <w:spacing w:after="0"/>
              <w:rPr>
                <w:sz w:val="20"/>
                <w:szCs w:val="20"/>
                <w:color w:val="auto"/>
              </w:rPr>
            </w:pPr>
            <w:r>
              <w:rPr>
                <w:rFonts w:ascii="Arial" w:cs="Arial" w:eastAsia="Arial" w:hAnsi="Arial"/>
                <w:sz w:val="19"/>
                <w:szCs w:val="19"/>
                <w:color w:val="auto"/>
              </w:rPr>
              <w:t>Process Solutions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3,758</w:t>
            </w:r>
          </w:p>
        </w:tc>
      </w:tr>
      <w:tr>
        <w:trPr>
          <w:trHeight w:val="243"/>
        </w:trPr>
        <w:tc>
          <w:tcPr>
            <w:tcW w:w="8120" w:type="dxa"/>
            <w:vAlign w:val="bottom"/>
            <w:gridSpan w:val="4"/>
            <w:shd w:val="clear" w:color="auto" w:fill="E5FFFF"/>
          </w:tcPr>
          <w:p>
            <w:pPr>
              <w:ind w:left="180"/>
              <w:spacing w:after="0"/>
              <w:rPr>
                <w:sz w:val="20"/>
                <w:szCs w:val="20"/>
                <w:color w:val="auto"/>
              </w:rPr>
            </w:pPr>
            <w:r>
              <w:rPr>
                <w:rFonts w:ascii="Arial" w:cs="Arial" w:eastAsia="Arial" w:hAnsi="Arial"/>
                <w:sz w:val="19"/>
                <w:szCs w:val="19"/>
                <w:color w:val="auto"/>
              </w:rPr>
              <w:t>Smart Energy</w:t>
            </w:r>
          </w:p>
        </w:tc>
        <w:tc>
          <w:tcPr>
            <w:tcW w:w="120" w:type="dxa"/>
            <w:vAlign w:val="bottom"/>
            <w:shd w:val="clear" w:color="auto" w:fill="E5FFFF"/>
          </w:tcPr>
          <w:p>
            <w:pPr>
              <w:spacing w:after="0"/>
              <w:rPr>
                <w:sz w:val="21"/>
                <w:szCs w:val="21"/>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1,223</w:t>
            </w:r>
          </w:p>
        </w:tc>
      </w:tr>
      <w:tr>
        <w:trPr>
          <w:trHeight w:val="243"/>
        </w:trPr>
        <w:tc>
          <w:tcPr>
            <w:tcW w:w="8120" w:type="dxa"/>
            <w:vAlign w:val="bottom"/>
            <w:gridSpan w:val="4"/>
          </w:tcPr>
          <w:p>
            <w:pPr>
              <w:ind w:left="180"/>
              <w:spacing w:after="0"/>
              <w:rPr>
                <w:sz w:val="20"/>
                <w:szCs w:val="20"/>
                <w:color w:val="auto"/>
              </w:rPr>
            </w:pPr>
            <w:r>
              <w:rPr>
                <w:rFonts w:ascii="Arial" w:cs="Arial" w:eastAsia="Arial" w:hAnsi="Arial"/>
                <w:sz w:val="19"/>
                <w:szCs w:val="19"/>
                <w:color w:val="auto"/>
              </w:rPr>
              <w:t>Specialty Products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1,134</w:t>
            </w:r>
          </w:p>
        </w:tc>
      </w:tr>
      <w:tr>
        <w:trPr>
          <w:trHeight w:val="243"/>
        </w:trPr>
        <w:tc>
          <w:tcPr>
            <w:tcW w:w="8120" w:type="dxa"/>
            <w:vAlign w:val="bottom"/>
            <w:gridSpan w:val="4"/>
            <w:shd w:val="clear" w:color="auto" w:fill="E5FFFF"/>
          </w:tcPr>
          <w:p>
            <w:pPr>
              <w:ind w:left="180"/>
              <w:spacing w:after="0"/>
              <w:rPr>
                <w:sz w:val="20"/>
                <w:szCs w:val="20"/>
                <w:color w:val="auto"/>
              </w:rPr>
            </w:pPr>
            <w:r>
              <w:rPr>
                <w:rFonts w:ascii="Arial" w:cs="Arial" w:eastAsia="Arial" w:hAnsi="Arial"/>
                <w:sz w:val="19"/>
                <w:szCs w:val="19"/>
                <w:color w:val="auto"/>
              </w:rPr>
              <w:t>Fluorine Products</w:t>
            </w:r>
          </w:p>
        </w:tc>
        <w:tc>
          <w:tcPr>
            <w:tcW w:w="120" w:type="dxa"/>
            <w:vAlign w:val="bottom"/>
            <w:tcBorders>
              <w:bottom w:val="single" w:sz="8" w:color="auto"/>
            </w:tcBorders>
            <w:shd w:val="clear" w:color="auto" w:fill="E5FFFF"/>
          </w:tcPr>
          <w:p>
            <w:pPr>
              <w:spacing w:after="0"/>
              <w:rPr>
                <w:sz w:val="21"/>
                <w:szCs w:val="21"/>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1,714</w:t>
            </w:r>
          </w:p>
        </w:tc>
      </w:tr>
      <w:tr>
        <w:trPr>
          <w:trHeight w:val="257"/>
        </w:trPr>
        <w:tc>
          <w:tcPr>
            <w:tcW w:w="9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10,674</w:t>
            </w:r>
          </w:p>
        </w:tc>
      </w:tr>
      <w:tr>
        <w:trPr>
          <w:trHeight w:val="196"/>
        </w:trPr>
        <w:tc>
          <w:tcPr>
            <w:tcW w:w="8120" w:type="dxa"/>
            <w:vAlign w:val="bottom"/>
            <w:gridSpan w:val="4"/>
            <w:shd w:val="clear" w:color="auto" w:fill="E5FFFF"/>
          </w:tcPr>
          <w:p>
            <w:pPr>
              <w:spacing w:after="0" w:line="189" w:lineRule="exact"/>
              <w:rPr>
                <w:sz w:val="20"/>
                <w:szCs w:val="20"/>
                <w:color w:val="auto"/>
              </w:rPr>
            </w:pPr>
            <w:r>
              <w:rPr>
                <w:rFonts w:ascii="Arial" w:cs="Arial" w:eastAsia="Arial" w:hAnsi="Arial"/>
                <w:sz w:val="19"/>
                <w:szCs w:val="19"/>
                <w:color w:val="auto"/>
              </w:rPr>
              <w:t>Safety and Productivity Solutions</w:t>
            </w:r>
          </w:p>
        </w:tc>
        <w:tc>
          <w:tcPr>
            <w:tcW w:w="12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r>
      <w:tr>
        <w:trPr>
          <w:trHeight w:val="243"/>
        </w:trPr>
        <w:tc>
          <w:tcPr>
            <w:tcW w:w="2840" w:type="dxa"/>
            <w:vAlign w:val="bottom"/>
            <w:tcBorders>
              <w:top w:val="single" w:sz="8" w:color="auto"/>
            </w:tcBorders>
            <w:gridSpan w:val="2"/>
          </w:tcPr>
          <w:p>
            <w:pPr>
              <w:ind w:left="180"/>
              <w:spacing w:after="0"/>
              <w:rPr>
                <w:sz w:val="20"/>
                <w:szCs w:val="20"/>
                <w:color w:val="auto"/>
              </w:rPr>
            </w:pPr>
            <w:r>
              <w:rPr>
                <w:rFonts w:ascii="Arial" w:cs="Arial" w:eastAsia="Arial" w:hAnsi="Arial"/>
                <w:sz w:val="19"/>
                <w:szCs w:val="19"/>
                <w:color w:val="auto"/>
              </w:rPr>
              <w:t>Safety and Retail</w:t>
            </w:r>
          </w:p>
        </w:tc>
        <w:tc>
          <w:tcPr>
            <w:tcW w:w="5280" w:type="dxa"/>
            <w:vAlign w:val="bottom"/>
            <w:tcBorders>
              <w:top w:val="single" w:sz="8" w:color="E5FFFF"/>
            </w:tcBorders>
            <w:gridSpan w:val="2"/>
          </w:tcPr>
          <w:p>
            <w:pPr>
              <w:spacing w:after="0"/>
              <w:rPr>
                <w:sz w:val="21"/>
                <w:szCs w:val="21"/>
                <w:color w:val="auto"/>
              </w:rPr>
            </w:pPr>
          </w:p>
        </w:tc>
        <w:tc>
          <w:tcPr>
            <w:tcW w:w="120" w:type="dxa"/>
            <w:vAlign w:val="bottom"/>
            <w:tcBorders>
              <w:top w:val="single" w:sz="8" w:color="E5FFFF"/>
            </w:tcBorders>
          </w:tcPr>
          <w:p>
            <w:pPr>
              <w:spacing w:after="0"/>
              <w:rPr>
                <w:sz w:val="21"/>
                <w:szCs w:val="21"/>
                <w:color w:val="auto"/>
              </w:rPr>
            </w:pPr>
          </w:p>
        </w:tc>
        <w:tc>
          <w:tcPr>
            <w:tcW w:w="1160" w:type="dxa"/>
            <w:vAlign w:val="bottom"/>
            <w:tcBorders>
              <w:top w:val="single" w:sz="8" w:color="E5FFFF"/>
            </w:tcBorders>
          </w:tcPr>
          <w:p>
            <w:pPr>
              <w:jc w:val="right"/>
              <w:spacing w:after="0"/>
              <w:rPr>
                <w:sz w:val="20"/>
                <w:szCs w:val="20"/>
                <w:color w:val="auto"/>
              </w:rPr>
            </w:pPr>
            <w:r>
              <w:rPr>
                <w:rFonts w:ascii="Arial" w:cs="Arial" w:eastAsia="Arial" w:hAnsi="Arial"/>
                <w:sz w:val="19"/>
                <w:szCs w:val="19"/>
                <w:color w:val="auto"/>
              </w:rPr>
              <w:t>2,278</w:t>
            </w:r>
          </w:p>
        </w:tc>
      </w:tr>
      <w:tr>
        <w:trPr>
          <w:trHeight w:val="243"/>
        </w:trPr>
        <w:tc>
          <w:tcPr>
            <w:tcW w:w="8120" w:type="dxa"/>
            <w:vAlign w:val="bottom"/>
            <w:gridSpan w:val="4"/>
            <w:shd w:val="clear" w:color="auto" w:fill="E5FFFF"/>
          </w:tcPr>
          <w:p>
            <w:pPr>
              <w:ind w:left="180"/>
              <w:spacing w:after="0"/>
              <w:rPr>
                <w:sz w:val="20"/>
                <w:szCs w:val="20"/>
                <w:color w:val="auto"/>
              </w:rPr>
            </w:pPr>
            <w:r>
              <w:rPr>
                <w:rFonts w:ascii="Arial" w:cs="Arial" w:eastAsia="Arial" w:hAnsi="Arial"/>
                <w:sz w:val="19"/>
                <w:szCs w:val="19"/>
                <w:color w:val="auto"/>
              </w:rPr>
              <w:t>Productivity Products</w:t>
            </w:r>
          </w:p>
        </w:tc>
        <w:tc>
          <w:tcPr>
            <w:tcW w:w="120" w:type="dxa"/>
            <w:vAlign w:val="bottom"/>
            <w:shd w:val="clear" w:color="auto" w:fill="E5FFFF"/>
          </w:tcPr>
          <w:p>
            <w:pPr>
              <w:spacing w:after="0"/>
              <w:rPr>
                <w:sz w:val="21"/>
                <w:szCs w:val="21"/>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1,373</w:t>
            </w:r>
          </w:p>
        </w:tc>
      </w:tr>
      <w:tr>
        <w:trPr>
          <w:trHeight w:val="243"/>
        </w:trPr>
        <w:tc>
          <w:tcPr>
            <w:tcW w:w="8120" w:type="dxa"/>
            <w:vAlign w:val="bottom"/>
            <w:gridSpan w:val="4"/>
          </w:tcPr>
          <w:p>
            <w:pPr>
              <w:ind w:left="180"/>
              <w:spacing w:after="0"/>
              <w:rPr>
                <w:sz w:val="20"/>
                <w:szCs w:val="20"/>
                <w:color w:val="auto"/>
              </w:rPr>
            </w:pPr>
            <w:r>
              <w:rPr>
                <w:rFonts w:ascii="Arial" w:cs="Arial" w:eastAsia="Arial" w:hAnsi="Arial"/>
                <w:sz w:val="19"/>
                <w:szCs w:val="19"/>
                <w:color w:val="auto"/>
              </w:rPr>
              <w:t>Warehouse and Workflow Solutions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1,829</w:t>
            </w:r>
          </w:p>
        </w:tc>
      </w:tr>
      <w:tr>
        <w:trPr>
          <w:trHeight w:val="243"/>
        </w:trPr>
        <w:tc>
          <w:tcPr>
            <w:tcW w:w="8120" w:type="dxa"/>
            <w:vAlign w:val="bottom"/>
            <w:gridSpan w:val="4"/>
            <w:shd w:val="clear" w:color="auto" w:fill="E5FFFF"/>
          </w:tcPr>
          <w:p>
            <w:pPr>
              <w:ind w:left="180"/>
              <w:spacing w:after="0"/>
              <w:rPr>
                <w:sz w:val="20"/>
                <w:szCs w:val="20"/>
                <w:color w:val="auto"/>
              </w:rPr>
            </w:pPr>
            <w:r>
              <w:rPr>
                <w:rFonts w:ascii="Arial" w:cs="Arial" w:eastAsia="Arial" w:hAnsi="Arial"/>
                <w:sz w:val="19"/>
                <w:szCs w:val="19"/>
                <w:color w:val="auto"/>
              </w:rPr>
              <w:t>Sensing &amp; Internet-of-Things (IoT)</w:t>
            </w:r>
          </w:p>
        </w:tc>
        <w:tc>
          <w:tcPr>
            <w:tcW w:w="120" w:type="dxa"/>
            <w:vAlign w:val="bottom"/>
            <w:tcBorders>
              <w:bottom w:val="single" w:sz="8" w:color="auto"/>
            </w:tcBorders>
            <w:shd w:val="clear" w:color="auto" w:fill="E5FFFF"/>
          </w:tcPr>
          <w:p>
            <w:pPr>
              <w:spacing w:after="0"/>
              <w:rPr>
                <w:sz w:val="21"/>
                <w:szCs w:val="21"/>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857</w:t>
            </w:r>
          </w:p>
        </w:tc>
      </w:tr>
      <w:tr>
        <w:trPr>
          <w:trHeight w:val="257"/>
        </w:trPr>
        <w:tc>
          <w:tcPr>
            <w:tcW w:w="9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6,337</w:t>
            </w:r>
          </w:p>
        </w:tc>
      </w:tr>
      <w:tr>
        <w:trPr>
          <w:trHeight w:val="243"/>
        </w:trPr>
        <w:tc>
          <w:tcPr>
            <w:tcW w:w="8120" w:type="dxa"/>
            <w:vAlign w:val="bottom"/>
            <w:gridSpan w:val="4"/>
            <w:shd w:val="clear" w:color="auto" w:fill="E5FFFF"/>
          </w:tcPr>
          <w:p>
            <w:pPr>
              <w:ind w:left="180"/>
              <w:spacing w:after="0"/>
              <w:rPr>
                <w:sz w:val="20"/>
                <w:szCs w:val="20"/>
                <w:color w:val="auto"/>
              </w:rPr>
            </w:pPr>
            <w:r>
              <w:rPr>
                <w:rFonts w:ascii="Arial" w:cs="Arial" w:eastAsia="Arial" w:hAnsi="Arial"/>
                <w:sz w:val="19"/>
                <w:szCs w:val="19"/>
                <w:color w:val="auto"/>
              </w:rPr>
              <w:t>Net sales</w:t>
            </w: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41,802</w:t>
            </w:r>
          </w:p>
        </w:tc>
      </w:tr>
      <w:tr>
        <w:trPr>
          <w:trHeight w:val="20"/>
        </w:trPr>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right="220" w:firstLine="357"/>
        <w:spacing w:after="0" w:line="280" w:lineRule="auto"/>
        <w:rPr>
          <w:sz w:val="20"/>
          <w:szCs w:val="20"/>
          <w:color w:val="auto"/>
        </w:rPr>
      </w:pPr>
      <w:r>
        <w:rPr>
          <w:rFonts w:ascii="Arial" w:cs="Arial" w:eastAsia="Arial" w:hAnsi="Arial"/>
          <w:sz w:val="19"/>
          <w:szCs w:val="19"/>
          <w:b w:val="1"/>
          <w:bCs w:val="1"/>
          <w:i w:val="1"/>
          <w:iCs w:val="1"/>
          <w:color w:val="auto"/>
        </w:rPr>
        <w:t>Aerospace</w:t>
      </w:r>
      <w:r>
        <w:rPr>
          <w:rFonts w:ascii="Arial" w:cs="Arial" w:eastAsia="Arial" w:hAnsi="Arial"/>
          <w:sz w:val="19"/>
          <w:szCs w:val="19"/>
          <w:color w:val="auto"/>
        </w:rPr>
        <w:t>—A global supplier of products, software and services for aircraft and vehicles. Products include aircraft propulsion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engines, auxiliary power units, environmental control systems,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58" w:right="259" w:bottom="1440" w:gutter="0" w:footer="0" w:header="0"/>
        </w:sectPr>
      </w:pPr>
    </w:p>
    <w:bookmarkStart w:id="58" w:name="page59"/>
    <w:bookmarkEnd w:id="5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integrated avionics, electric power systems, hardware for engine controls, flight safety, communications, and navigation, satellite and space components, aircraft wheels and brakes, turbochargers and thermal systems. Software includes engine controls, flight safety, communications, navigation, radar and surveillance systems, internet connectivity and aircraft instrumentation. Services are provided to customers for the repair, overhaul, retrofit and modification of propulsion engines, auxiliary power units, avionics and mechanical systems and aircraft wheels and brakes.</w:t>
      </w:r>
    </w:p>
    <w:p>
      <w:pPr>
        <w:spacing w:after="0" w:line="67" w:lineRule="exact"/>
        <w:rPr>
          <w:sz w:val="20"/>
          <w:szCs w:val="20"/>
          <w:color w:val="auto"/>
        </w:rPr>
      </w:pPr>
    </w:p>
    <w:p>
      <w:pPr>
        <w:ind w:right="60" w:firstLine="357"/>
        <w:spacing w:after="0" w:line="242" w:lineRule="auto"/>
        <w:rPr>
          <w:sz w:val="20"/>
          <w:szCs w:val="20"/>
          <w:color w:val="auto"/>
        </w:rPr>
      </w:pPr>
      <w:r>
        <w:rPr>
          <w:rFonts w:ascii="Arial" w:cs="Arial" w:eastAsia="Arial" w:hAnsi="Arial"/>
          <w:sz w:val="19"/>
          <w:szCs w:val="19"/>
          <w:b w:val="1"/>
          <w:bCs w:val="1"/>
          <w:i w:val="1"/>
          <w:iCs w:val="1"/>
          <w:color w:val="auto"/>
        </w:rPr>
        <w:t>Honeywell Building Technologies</w:t>
      </w:r>
      <w:r>
        <w:rPr>
          <w:rFonts w:ascii="Arial" w:cs="Arial" w:eastAsia="Arial" w:hAnsi="Arial"/>
          <w:sz w:val="19"/>
          <w:szCs w:val="19"/>
          <w:color w:val="auto"/>
        </w:rPr>
        <w:t>—A global provider of products, software, solutions and technologies. Products include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controls and displays for heating, cooling, indoor air quality, ventilation, humidification, combustion, lighting and home automation; sensors, switches, control systems and instruments for measuring pressure, air flow, temperature and electrical current; access control; video surveillance; fire detection; remote patient monitoring systems; and installation, maintenance and upgrades of systems that keep buildings safe, comfortable and productive. Software includes monitoring and managing heating, cooling, indoor air quality, ventilation, humidification, combustion, lighting and home automation; advanced applications for home/building control and optimization; video surveillance; and to support remote patient monitoring systems. Installation, maintenance and upgrade services of products used in commercial building applications for heating, cooling, maintaining indoor air quality, ventilation, humidification, combustion, lighting, video surveillance and fire safety.</w:t>
      </w:r>
    </w:p>
    <w:p>
      <w:pPr>
        <w:spacing w:after="0" w:line="70" w:lineRule="exact"/>
        <w:rPr>
          <w:sz w:val="20"/>
          <w:szCs w:val="20"/>
          <w:color w:val="auto"/>
        </w:rPr>
      </w:pPr>
    </w:p>
    <w:p>
      <w:pPr>
        <w:ind w:right="20" w:firstLine="357"/>
        <w:spacing w:after="0" w:line="246" w:lineRule="auto"/>
        <w:rPr>
          <w:sz w:val="20"/>
          <w:szCs w:val="20"/>
          <w:color w:val="auto"/>
        </w:rPr>
      </w:pPr>
      <w:r>
        <w:rPr>
          <w:rFonts w:ascii="Arial" w:cs="Arial" w:eastAsia="Arial" w:hAnsi="Arial"/>
          <w:sz w:val="19"/>
          <w:szCs w:val="19"/>
          <w:b w:val="1"/>
          <w:bCs w:val="1"/>
          <w:i w:val="1"/>
          <w:iCs w:val="1"/>
          <w:color w:val="auto"/>
        </w:rPr>
        <w:t>Performance Materials and Technologies</w:t>
      </w:r>
      <w:r>
        <w:rPr>
          <w:rFonts w:ascii="Arial" w:cs="Arial" w:eastAsia="Arial" w:hAnsi="Arial"/>
          <w:sz w:val="19"/>
          <w:szCs w:val="19"/>
          <w:color w:val="auto"/>
        </w:rPr>
        <w:t>—A global provider of products, software, solutions and technologies. Products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include catalysts, absorbents, equipment and high-performance materials, devices for measurement, regulation, control and metering of gases and electricity, and metering and communications systems for water utilities and industries. Software is provided to support process technologies supporting automation and to monitor a variety of industrial processes used in industries such as oil and gas, chemicals, petrochemicals, metals, minerals and mining industries. Services are provided for installation and maintenance of products.</w:t>
      </w:r>
    </w:p>
    <w:p>
      <w:pPr>
        <w:spacing w:after="0" w:line="285" w:lineRule="exact"/>
        <w:rPr>
          <w:sz w:val="20"/>
          <w:szCs w:val="20"/>
          <w:color w:val="auto"/>
        </w:rPr>
      </w:pPr>
    </w:p>
    <w:p>
      <w:pPr>
        <w:ind w:right="20" w:firstLine="357"/>
        <w:spacing w:after="0" w:line="248" w:lineRule="auto"/>
        <w:rPr>
          <w:sz w:val="20"/>
          <w:szCs w:val="20"/>
          <w:color w:val="auto"/>
        </w:rPr>
      </w:pPr>
      <w:r>
        <w:rPr>
          <w:rFonts w:ascii="Arial" w:cs="Arial" w:eastAsia="Arial" w:hAnsi="Arial"/>
          <w:sz w:val="19"/>
          <w:szCs w:val="19"/>
          <w:b w:val="1"/>
          <w:bCs w:val="1"/>
          <w:i w:val="1"/>
          <w:iCs w:val="1"/>
          <w:color w:val="auto"/>
        </w:rPr>
        <w:t>Safety and Productivity Solutions</w:t>
      </w:r>
      <w:r>
        <w:rPr>
          <w:rFonts w:ascii="Arial" w:cs="Arial" w:eastAsia="Arial" w:hAnsi="Arial"/>
          <w:sz w:val="19"/>
          <w:szCs w:val="19"/>
          <w:color w:val="auto"/>
        </w:rPr>
        <w:t>—A global provider of products, software and solutions. Products include personal protection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equipment and footwear, gas detection devices, mobile computing, data collection and thermal printing devices, automation equipment for supply chain and warehouse automation and custom-engineered sensors, switches and controls. Software and solutions are provided to customers for supply chain and warehouse automation, to manage data and assets to drive productivity and for computing, data collection and thermal printing.</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a summary by disaggregated product and services sales for each segment, refer to Note 22 Segment Financial Data.</w:t>
      </w:r>
    </w:p>
    <w:p>
      <w:pPr>
        <w:spacing w:after="0" w:line="92" w:lineRule="exact"/>
        <w:rPr>
          <w:sz w:val="20"/>
          <w:szCs w:val="20"/>
          <w:color w:val="auto"/>
        </w:rPr>
      </w:pPr>
    </w:p>
    <w:p>
      <w:pPr>
        <w:ind w:right="140" w:firstLine="357"/>
        <w:spacing w:after="0" w:line="246" w:lineRule="auto"/>
        <w:rPr>
          <w:sz w:val="20"/>
          <w:szCs w:val="20"/>
          <w:color w:val="auto"/>
        </w:rPr>
      </w:pPr>
      <w:r>
        <w:rPr>
          <w:rFonts w:ascii="Arial" w:cs="Arial" w:eastAsia="Arial" w:hAnsi="Arial"/>
          <w:sz w:val="19"/>
          <w:szCs w:val="19"/>
          <w:color w:val="auto"/>
        </w:rPr>
        <w:t>We recognize revenue arising from performance obligations outlined in contracts with our customers that are satisfied at a point in time and over time. The disaggregation of our revenue based off timing of recognition is as follows:</w:t>
      </w:r>
    </w:p>
    <w:tbl>
      <w:tblPr>
        <w:tblLayout w:type="fixed"/>
        <w:tblInd w:w="0" w:type="dxa"/>
        <w:tblCellMar>
          <w:top w:w="0" w:type="dxa"/>
          <w:left w:w="0" w:type="dxa"/>
          <w:bottom w:w="0" w:type="dxa"/>
          <w:right w:w="0" w:type="dxa"/>
        </w:tblCellMar>
      </w:tblPr>
      <w:tr>
        <w:trPr>
          <w:trHeight w:val="172"/>
        </w:trPr>
        <w:tc>
          <w:tcPr>
            <w:tcW w:w="10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8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99"/>
              </w:rPr>
              <w:t>Year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December 31,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3760" w:type="dxa"/>
            <w:vAlign w:val="bottom"/>
            <w:shd w:val="clear" w:color="auto" w:fill="E5FFFF"/>
          </w:tcPr>
          <w:p>
            <w:pPr>
              <w:spacing w:after="0"/>
              <w:rPr>
                <w:sz w:val="20"/>
                <w:szCs w:val="20"/>
                <w:color w:val="auto"/>
              </w:rPr>
            </w:pPr>
            <w:r>
              <w:rPr>
                <w:rFonts w:ascii="Arial" w:cs="Arial" w:eastAsia="Arial" w:hAnsi="Arial"/>
                <w:sz w:val="19"/>
                <w:szCs w:val="19"/>
                <w:color w:val="auto"/>
              </w:rPr>
              <w:t>Products, transferred point in time</w:t>
            </w:r>
          </w:p>
        </w:tc>
        <w:tc>
          <w:tcPr>
            <w:tcW w:w="5640" w:type="dxa"/>
            <w:vAlign w:val="bottom"/>
            <w:gridSpan w:val="2"/>
            <w:shd w:val="clear" w:color="auto" w:fill="E5FFFF"/>
          </w:tcPr>
          <w:p>
            <w:pPr>
              <w:jc w:val="right"/>
              <w:ind w:right="172"/>
              <w:spacing w:after="0"/>
              <w:rPr>
                <w:sz w:val="20"/>
                <w:szCs w:val="20"/>
                <w:color w:val="auto"/>
              </w:rPr>
            </w:pPr>
            <w:r>
              <w:rPr>
                <w:rFonts w:ascii="Arial" w:cs="Arial" w:eastAsia="Arial" w:hAnsi="Arial"/>
                <w:sz w:val="19"/>
                <w:szCs w:val="19"/>
                <w:color w:val="auto"/>
              </w:rPr>
              <w:t>67%</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9"/>
                <w:szCs w:val="19"/>
                <w:color w:val="auto"/>
              </w:rPr>
              <w:t>Products, transferred over time</w:t>
            </w:r>
          </w:p>
        </w:tc>
        <w:tc>
          <w:tcPr>
            <w:tcW w:w="4360" w:type="dxa"/>
            <w:vAlign w:val="bottom"/>
          </w:tcPr>
          <w:p>
            <w:pPr>
              <w:spacing w:after="0"/>
              <w:rPr>
                <w:sz w:val="21"/>
                <w:szCs w:val="21"/>
                <w:color w:val="auto"/>
              </w:rPr>
            </w:pPr>
          </w:p>
        </w:tc>
        <w:tc>
          <w:tcPr>
            <w:tcW w:w="1280" w:type="dxa"/>
            <w:vAlign w:val="bottom"/>
            <w:tcBorders>
              <w:bottom w:val="single" w:sz="8" w:color="auto"/>
            </w:tcBorders>
          </w:tcPr>
          <w:p>
            <w:pPr>
              <w:jc w:val="right"/>
              <w:ind w:right="352"/>
              <w:spacing w:after="0"/>
              <w:rPr>
                <w:sz w:val="20"/>
                <w:szCs w:val="20"/>
                <w:color w:val="auto"/>
              </w:rPr>
            </w:pPr>
            <w:r>
              <w:rPr>
                <w:rFonts w:ascii="Arial" w:cs="Arial" w:eastAsia="Arial" w:hAnsi="Arial"/>
                <w:sz w:val="19"/>
                <w:szCs w:val="19"/>
                <w:color w:val="auto"/>
              </w:rPr>
              <w:t>12</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37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Net product sales</w:t>
            </w:r>
          </w:p>
        </w:tc>
        <w:tc>
          <w:tcPr>
            <w:tcW w:w="5640" w:type="dxa"/>
            <w:vAlign w:val="bottom"/>
            <w:gridSpan w:val="2"/>
            <w:shd w:val="clear" w:color="auto" w:fill="E5FFFF"/>
          </w:tcPr>
          <w:p>
            <w:pPr>
              <w:jc w:val="right"/>
              <w:ind w:right="352"/>
              <w:spacing w:after="0"/>
              <w:rPr>
                <w:sz w:val="20"/>
                <w:szCs w:val="20"/>
                <w:color w:val="auto"/>
              </w:rPr>
            </w:pPr>
            <w:r>
              <w:rPr>
                <w:rFonts w:ascii="Arial" w:cs="Arial" w:eastAsia="Arial" w:hAnsi="Arial"/>
                <w:sz w:val="19"/>
                <w:szCs w:val="19"/>
                <w:color w:val="auto"/>
              </w:rPr>
              <w:t>79</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9"/>
                <w:szCs w:val="19"/>
                <w:color w:val="auto"/>
              </w:rPr>
              <w:t>Services, transferred point in time</w:t>
            </w:r>
          </w:p>
        </w:tc>
        <w:tc>
          <w:tcPr>
            <w:tcW w:w="5640" w:type="dxa"/>
            <w:vAlign w:val="bottom"/>
            <w:gridSpan w:val="2"/>
          </w:tcPr>
          <w:p>
            <w:pPr>
              <w:jc w:val="right"/>
              <w:ind w:right="352"/>
              <w:spacing w:after="0"/>
              <w:rPr>
                <w:sz w:val="20"/>
                <w:szCs w:val="20"/>
                <w:color w:val="auto"/>
              </w:rPr>
            </w:pPr>
            <w:r>
              <w:rPr>
                <w:rFonts w:ascii="Arial" w:cs="Arial" w:eastAsia="Arial" w:hAnsi="Arial"/>
                <w:sz w:val="19"/>
                <w:szCs w:val="19"/>
                <w:color w:val="auto"/>
              </w:rPr>
              <w:t>7</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3760" w:type="dxa"/>
            <w:vAlign w:val="bottom"/>
            <w:shd w:val="clear" w:color="auto" w:fill="E5FFFF"/>
          </w:tcPr>
          <w:p>
            <w:pPr>
              <w:spacing w:after="0"/>
              <w:rPr>
                <w:sz w:val="20"/>
                <w:szCs w:val="20"/>
                <w:color w:val="auto"/>
              </w:rPr>
            </w:pPr>
            <w:r>
              <w:rPr>
                <w:rFonts w:ascii="Arial" w:cs="Arial" w:eastAsia="Arial" w:hAnsi="Arial"/>
                <w:sz w:val="19"/>
                <w:szCs w:val="19"/>
                <w:color w:val="auto"/>
              </w:rPr>
              <w:t>Services, transferred over time</w:t>
            </w:r>
          </w:p>
        </w:tc>
        <w:tc>
          <w:tcPr>
            <w:tcW w:w="4360" w:type="dxa"/>
            <w:vAlign w:val="bottom"/>
            <w:shd w:val="clear" w:color="auto" w:fill="E5FFFF"/>
          </w:tcPr>
          <w:p>
            <w:pPr>
              <w:spacing w:after="0"/>
              <w:rPr>
                <w:sz w:val="21"/>
                <w:szCs w:val="21"/>
                <w:color w:val="auto"/>
              </w:rPr>
            </w:pPr>
          </w:p>
        </w:tc>
        <w:tc>
          <w:tcPr>
            <w:tcW w:w="1280" w:type="dxa"/>
            <w:vAlign w:val="bottom"/>
            <w:tcBorders>
              <w:bottom w:val="single" w:sz="8" w:color="auto"/>
            </w:tcBorders>
            <w:shd w:val="clear" w:color="auto" w:fill="E5FFFF"/>
          </w:tcPr>
          <w:p>
            <w:pPr>
              <w:jc w:val="right"/>
              <w:ind w:right="352"/>
              <w:spacing w:after="0"/>
              <w:rPr>
                <w:sz w:val="20"/>
                <w:szCs w:val="20"/>
                <w:color w:val="auto"/>
              </w:rPr>
            </w:pPr>
            <w:r>
              <w:rPr>
                <w:rFonts w:ascii="Arial" w:cs="Arial" w:eastAsia="Arial" w:hAnsi="Arial"/>
                <w:sz w:val="19"/>
                <w:szCs w:val="19"/>
                <w:color w:val="auto"/>
              </w:rPr>
              <w:t>14</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2"/>
                <w:szCs w:val="22"/>
                <w:color w:val="auto"/>
              </w:rPr>
            </w:pPr>
          </w:p>
        </w:tc>
        <w:tc>
          <w:tcPr>
            <w:tcW w:w="3760" w:type="dxa"/>
            <w:vAlign w:val="bottom"/>
          </w:tcPr>
          <w:p>
            <w:pPr>
              <w:ind w:left="180"/>
              <w:spacing w:after="0"/>
              <w:rPr>
                <w:sz w:val="20"/>
                <w:szCs w:val="20"/>
                <w:color w:val="auto"/>
              </w:rPr>
            </w:pPr>
            <w:r>
              <w:rPr>
                <w:rFonts w:ascii="Arial" w:cs="Arial" w:eastAsia="Arial" w:hAnsi="Arial"/>
                <w:sz w:val="19"/>
                <w:szCs w:val="19"/>
                <w:color w:val="auto"/>
              </w:rPr>
              <w:t>Net service sales</w:t>
            </w:r>
          </w:p>
        </w:tc>
        <w:tc>
          <w:tcPr>
            <w:tcW w:w="4360" w:type="dxa"/>
            <w:vAlign w:val="bottom"/>
          </w:tcPr>
          <w:p>
            <w:pPr>
              <w:spacing w:after="0"/>
              <w:rPr>
                <w:sz w:val="22"/>
                <w:szCs w:val="22"/>
                <w:color w:val="auto"/>
              </w:rPr>
            </w:pPr>
          </w:p>
        </w:tc>
        <w:tc>
          <w:tcPr>
            <w:tcW w:w="1280" w:type="dxa"/>
            <w:vAlign w:val="bottom"/>
            <w:tcBorders>
              <w:bottom w:val="single" w:sz="8" w:color="auto"/>
            </w:tcBorders>
          </w:tcPr>
          <w:p>
            <w:pPr>
              <w:jc w:val="right"/>
              <w:ind w:right="352"/>
              <w:spacing w:after="0"/>
              <w:rPr>
                <w:sz w:val="20"/>
                <w:szCs w:val="20"/>
                <w:color w:val="auto"/>
              </w:rPr>
            </w:pPr>
            <w:r>
              <w:rPr>
                <w:rFonts w:ascii="Arial" w:cs="Arial" w:eastAsia="Arial" w:hAnsi="Arial"/>
                <w:sz w:val="19"/>
                <w:szCs w:val="19"/>
                <w:color w:val="auto"/>
              </w:rPr>
              <w:t>21</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37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Net sales</w:t>
            </w:r>
          </w:p>
        </w:tc>
        <w:tc>
          <w:tcPr>
            <w:tcW w:w="5640" w:type="dxa"/>
            <w:vAlign w:val="bottom"/>
            <w:gridSpan w:val="2"/>
            <w:shd w:val="clear" w:color="auto" w:fill="E5FFFF"/>
          </w:tcPr>
          <w:p>
            <w:pPr>
              <w:jc w:val="right"/>
              <w:ind w:right="172"/>
              <w:spacing w:after="0"/>
              <w:rPr>
                <w:sz w:val="20"/>
                <w:szCs w:val="20"/>
                <w:color w:val="auto"/>
              </w:rPr>
            </w:pPr>
            <w:r>
              <w:rPr>
                <w:rFonts w:ascii="Arial" w:cs="Arial" w:eastAsia="Arial" w:hAnsi="Arial"/>
                <w:sz w:val="19"/>
                <w:szCs w:val="19"/>
                <w:color w:val="auto"/>
              </w:rPr>
              <w:t>100%</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360" w:type="dxa"/>
            <w:vAlign w:val="bottom"/>
            <w:vMerge w:val="restart"/>
          </w:tcPr>
          <w:p>
            <w:pPr>
              <w:jc w:val="right"/>
              <w:ind w:right="3203"/>
              <w:spacing w:after="0"/>
              <w:rPr>
                <w:sz w:val="20"/>
                <w:szCs w:val="20"/>
                <w:color w:val="auto"/>
              </w:rPr>
            </w:pPr>
            <w:r>
              <w:rPr>
                <w:rFonts w:ascii="Arial" w:cs="Arial" w:eastAsia="Arial" w:hAnsi="Arial"/>
                <w:sz w:val="19"/>
                <w:szCs w:val="19"/>
                <w:color w:val="auto"/>
              </w:rPr>
              <w:t>56</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Contract Balances</w:t>
      </w:r>
    </w:p>
    <w:p>
      <w:pPr>
        <w:spacing w:after="0" w:line="130"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Progress on satisfying performance obligations under contracts with customers and the related billings and cash collections are recorded on the Consolidated Balance Sheet in Accounts receivable—net and Other assets (the current and noncurrent portions, respectively, of unbilled receivables (contract assets) and billed receivables) and Accrued liabilities and Other liabilities (the current and noncurrent portions, respectively, of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Those assets are recognized when the revenue associated with the contract is recognized prior to billing and derecognized when billed in accordance with the terms of the contract. Contract liabilities are recorded when customers remit contractual cash payments in advance of us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Contract balances are classified as assets or liabilities on a contract-by-contract basis at the end of each reporting period.</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our contract assets and liabilities balances:</w:t>
      </w:r>
    </w:p>
    <w:p>
      <w:pPr>
        <w:spacing w:after="0" w:line="15"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8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2018</w:t>
            </w:r>
          </w:p>
        </w:tc>
      </w:tr>
      <w:tr>
        <w:trPr>
          <w:trHeight w:val="237"/>
        </w:trPr>
        <w:tc>
          <w:tcPr>
            <w:tcW w:w="8480" w:type="dxa"/>
            <w:vAlign w:val="bottom"/>
            <w:shd w:val="clear" w:color="auto" w:fill="E5FFFF"/>
          </w:tcPr>
          <w:p>
            <w:pPr>
              <w:spacing w:after="0"/>
              <w:rPr>
                <w:sz w:val="20"/>
                <w:szCs w:val="20"/>
                <w:color w:val="auto"/>
              </w:rPr>
            </w:pPr>
            <w:r>
              <w:rPr>
                <w:rFonts w:ascii="Arial" w:cs="Arial" w:eastAsia="Arial" w:hAnsi="Arial"/>
                <w:sz w:val="19"/>
                <w:szCs w:val="19"/>
                <w:color w:val="auto"/>
              </w:rPr>
              <w:t>Contract assets—January 1</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1,721</w:t>
            </w:r>
          </w:p>
        </w:tc>
      </w:tr>
      <w:tr>
        <w:trPr>
          <w:trHeight w:val="250"/>
        </w:trPr>
        <w:tc>
          <w:tcPr>
            <w:tcW w:w="8480" w:type="dxa"/>
            <w:vAlign w:val="bottom"/>
          </w:tcPr>
          <w:p>
            <w:pPr>
              <w:spacing w:after="0"/>
              <w:rPr>
                <w:sz w:val="20"/>
                <w:szCs w:val="20"/>
                <w:color w:val="auto"/>
              </w:rPr>
            </w:pPr>
            <w:r>
              <w:rPr>
                <w:rFonts w:ascii="Arial" w:cs="Arial" w:eastAsia="Arial" w:hAnsi="Arial"/>
                <w:sz w:val="19"/>
                <w:szCs w:val="19"/>
                <w:color w:val="auto"/>
              </w:rPr>
              <w:t>Contract assets—December 31</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1,548</w:t>
            </w:r>
          </w:p>
        </w:tc>
      </w:tr>
      <w:tr>
        <w:trPr>
          <w:trHeight w:val="216"/>
        </w:trPr>
        <w:tc>
          <w:tcPr>
            <w:tcW w:w="848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Change in contract assets—increase (decrease)</w:t>
            </w:r>
          </w:p>
        </w:tc>
        <w:tc>
          <w:tcPr>
            <w:tcW w:w="200" w:type="dxa"/>
            <w:vAlign w:val="bottom"/>
            <w:tcBorders>
              <w:bottom w:val="single" w:sz="8" w:color="auto"/>
            </w:tcBorders>
            <w:shd w:val="clear" w:color="auto" w:fill="E5FFFF"/>
          </w:tcPr>
          <w:p>
            <w:pPr>
              <w:jc w:val="right"/>
              <w:spacing w:after="0" w:line="216" w:lineRule="exact"/>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shd w:val="clear" w:color="auto" w:fill="E5FFFF"/>
          </w:tcPr>
          <w:p>
            <w:pPr>
              <w:jc w:val="right"/>
              <w:spacing w:after="0" w:line="216" w:lineRule="exact"/>
              <w:rPr>
                <w:sz w:val="20"/>
                <w:szCs w:val="20"/>
                <w:color w:val="auto"/>
              </w:rPr>
            </w:pPr>
            <w:r>
              <w:rPr>
                <w:rFonts w:ascii="Arial" w:cs="Arial" w:eastAsia="Arial" w:hAnsi="Arial"/>
                <w:sz w:val="19"/>
                <w:szCs w:val="19"/>
                <w:color w:val="auto"/>
              </w:rPr>
              <w:t>(173)</w:t>
            </w:r>
          </w:p>
        </w:tc>
      </w:tr>
      <w:tr>
        <w:trPr>
          <w:trHeight w:val="20"/>
        </w:trPr>
        <w:tc>
          <w:tcPr>
            <w:tcW w:w="8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0"/>
        </w:trPr>
        <w:tc>
          <w:tcPr>
            <w:tcW w:w="8480" w:type="dxa"/>
            <w:vAlign w:val="bottom"/>
          </w:tcPr>
          <w:p>
            <w:pPr>
              <w:spacing w:after="0" w:line="210" w:lineRule="exact"/>
              <w:rPr>
                <w:sz w:val="20"/>
                <w:szCs w:val="20"/>
                <w:color w:val="auto"/>
              </w:rPr>
            </w:pPr>
            <w:r>
              <w:rPr>
                <w:rFonts w:ascii="Arial" w:cs="Arial" w:eastAsia="Arial" w:hAnsi="Arial"/>
                <w:sz w:val="19"/>
                <w:szCs w:val="19"/>
                <w:color w:val="auto"/>
              </w:rPr>
              <w:t>Contract liabilities—January 1</w:t>
            </w:r>
          </w:p>
        </w:tc>
        <w:tc>
          <w:tcPr>
            <w:tcW w:w="200" w:type="dxa"/>
            <w:vAlign w:val="bottom"/>
          </w:tcPr>
          <w:p>
            <w:pPr>
              <w:jc w:val="right"/>
              <w:spacing w:after="0" w:line="210" w:lineRule="exact"/>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line="210" w:lineRule="exact"/>
              <w:rPr>
                <w:sz w:val="20"/>
                <w:szCs w:val="20"/>
                <w:color w:val="auto"/>
              </w:rPr>
            </w:pPr>
            <w:r>
              <w:rPr>
                <w:rFonts w:ascii="Arial" w:cs="Arial" w:eastAsia="Arial" w:hAnsi="Arial"/>
                <w:sz w:val="19"/>
                <w:szCs w:val="19"/>
                <w:color w:val="auto"/>
              </w:rPr>
              <w:t>(2,973)</w:t>
            </w:r>
          </w:p>
        </w:tc>
      </w:tr>
      <w:tr>
        <w:trPr>
          <w:trHeight w:val="243"/>
        </w:trPr>
        <w:tc>
          <w:tcPr>
            <w:tcW w:w="8480" w:type="dxa"/>
            <w:vAlign w:val="bottom"/>
            <w:shd w:val="clear" w:color="auto" w:fill="E5FFFF"/>
          </w:tcPr>
          <w:p>
            <w:pPr>
              <w:spacing w:after="0"/>
              <w:rPr>
                <w:sz w:val="20"/>
                <w:szCs w:val="20"/>
                <w:color w:val="auto"/>
              </w:rPr>
            </w:pPr>
            <w:r>
              <w:rPr>
                <w:rFonts w:ascii="Arial" w:cs="Arial" w:eastAsia="Arial" w:hAnsi="Arial"/>
                <w:sz w:val="19"/>
                <w:szCs w:val="19"/>
                <w:color w:val="auto"/>
              </w:rPr>
              <w:t>Contract liabilities—December 31</w:t>
            </w:r>
          </w:p>
        </w:tc>
        <w:tc>
          <w:tcPr>
            <w:tcW w:w="20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(3,378)</w:t>
            </w:r>
          </w:p>
        </w:tc>
      </w:tr>
      <w:tr>
        <w:trPr>
          <w:trHeight w:val="223"/>
        </w:trPr>
        <w:tc>
          <w:tcPr>
            <w:tcW w:w="8480" w:type="dxa"/>
            <w:vAlign w:val="bottom"/>
          </w:tcPr>
          <w:p>
            <w:pPr>
              <w:spacing w:after="0"/>
              <w:rPr>
                <w:sz w:val="20"/>
                <w:szCs w:val="20"/>
                <w:color w:val="auto"/>
              </w:rPr>
            </w:pPr>
            <w:r>
              <w:rPr>
                <w:rFonts w:ascii="Arial" w:cs="Arial" w:eastAsia="Arial" w:hAnsi="Arial"/>
                <w:sz w:val="19"/>
                <w:szCs w:val="19"/>
                <w:color w:val="auto"/>
              </w:rPr>
              <w:t>Change in contract liabilities—(increase) decrease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(405)</w:t>
            </w:r>
          </w:p>
        </w:tc>
      </w:tr>
      <w:tr>
        <w:trPr>
          <w:trHeight w:val="20"/>
        </w:trPr>
        <w:tc>
          <w:tcPr>
            <w:tcW w:w="8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0"/>
        </w:trPr>
        <w:tc>
          <w:tcPr>
            <w:tcW w:w="84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Net change</w:t>
            </w:r>
          </w:p>
        </w:tc>
        <w:tc>
          <w:tcPr>
            <w:tcW w:w="200" w:type="dxa"/>
            <w:vAlign w:val="bottom"/>
            <w:tcBorders>
              <w:bottom w:val="single" w:sz="8" w:color="auto"/>
            </w:tcBorders>
            <w:shd w:val="clear" w:color="auto" w:fill="E5FFFF"/>
          </w:tcPr>
          <w:p>
            <w:pPr>
              <w:jc w:val="right"/>
              <w:spacing w:after="0" w:line="210" w:lineRule="exact"/>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shd w:val="clear" w:color="auto" w:fill="E5FFFF"/>
          </w:tcPr>
          <w:p>
            <w:pPr>
              <w:jc w:val="right"/>
              <w:spacing w:after="0" w:line="210" w:lineRule="exact"/>
              <w:rPr>
                <w:sz w:val="20"/>
                <w:szCs w:val="20"/>
                <w:color w:val="auto"/>
              </w:rPr>
            </w:pPr>
            <w:r>
              <w:rPr>
                <w:rFonts w:ascii="Arial" w:cs="Arial" w:eastAsia="Arial" w:hAnsi="Arial"/>
                <w:sz w:val="19"/>
                <w:szCs w:val="19"/>
                <w:color w:val="auto"/>
              </w:rPr>
              <w:t>(578)</w:t>
            </w:r>
          </w:p>
        </w:tc>
      </w:tr>
      <w:tr>
        <w:trPr>
          <w:trHeight w:val="20"/>
        </w:trPr>
        <w:tc>
          <w:tcPr>
            <w:tcW w:w="8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80" w:firstLine="357"/>
        <w:spacing w:after="0" w:line="245" w:lineRule="auto"/>
        <w:rPr>
          <w:sz w:val="20"/>
          <w:szCs w:val="20"/>
          <w:color w:val="auto"/>
        </w:rPr>
      </w:pPr>
      <w:r>
        <w:rPr>
          <w:rFonts w:ascii="Arial" w:cs="Arial" w:eastAsia="Arial" w:hAnsi="Arial"/>
          <w:sz w:val="19"/>
          <w:szCs w:val="19"/>
          <w:color w:val="auto"/>
        </w:rPr>
        <w:t>The net change was primarily driven by the receipt of advance payments from customers exceeding reductions from recognition of revenue as performance obligations were satisfied and related billings. For the year ended December 31, 2018, we recognized revenue of $1,166 million that was previously included in the beginning balance of contract liabilities.</w:t>
      </w:r>
    </w:p>
    <w:p>
      <w:pPr>
        <w:spacing w:after="0" w:line="87"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When contracts are modified to account for changes in contract specifications and requirements, we consider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Obligations</w:t>
      </w:r>
    </w:p>
    <w:p>
      <w:pPr>
        <w:spacing w:after="0" w:line="130"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our contracts with customers require highly complex integration or manufacturing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57" w:right="2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services that are not separately identifiable from other promises in the contracts and, therefore, not distinct, then the entire contract is accounted for as a single performance obligation. In situations when our contract includes distinct goods or services that are substantially the same and have the same pattern of transfer to the customer over time, they are recognized as a series of distinct goods or services. For any contracts with multiple performance obligations, we allocate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 alone selling price.</w:t>
      </w:r>
    </w:p>
    <w:p>
      <w:pPr>
        <w:spacing w:after="0" w:line="91" w:lineRule="exact"/>
        <w:rPr>
          <w:sz w:val="20"/>
          <w:szCs w:val="20"/>
          <w:color w:val="auto"/>
        </w:rPr>
      </w:pPr>
    </w:p>
    <w:p>
      <w:pPr>
        <w:ind w:right="100" w:firstLine="357"/>
        <w:spacing w:after="0" w:line="242" w:lineRule="auto"/>
        <w:rPr>
          <w:sz w:val="20"/>
          <w:szCs w:val="20"/>
          <w:color w:val="auto"/>
        </w:rPr>
      </w:pPr>
      <w:r>
        <w:rPr>
          <w:rFonts w:ascii="Arial" w:cs="Arial" w:eastAsia="Arial" w:hAnsi="Arial"/>
          <w:sz w:val="19"/>
          <w:szCs w:val="19"/>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 The following table outlines our performance obligations disaggregated by segment.</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8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2018</w:t>
            </w:r>
          </w:p>
        </w:tc>
      </w:tr>
      <w:tr>
        <w:trPr>
          <w:trHeight w:val="237"/>
        </w:trPr>
        <w:tc>
          <w:tcPr>
            <w:tcW w:w="8480" w:type="dxa"/>
            <w:vAlign w:val="bottom"/>
            <w:shd w:val="clear" w:color="auto" w:fill="E5FFFF"/>
          </w:tcPr>
          <w:p>
            <w:pPr>
              <w:spacing w:after="0"/>
              <w:rPr>
                <w:sz w:val="20"/>
                <w:szCs w:val="20"/>
                <w:color w:val="auto"/>
              </w:rPr>
            </w:pPr>
            <w:r>
              <w:rPr>
                <w:rFonts w:ascii="Arial" w:cs="Arial" w:eastAsia="Arial" w:hAnsi="Arial"/>
                <w:sz w:val="19"/>
                <w:szCs w:val="19"/>
                <w:color w:val="auto"/>
              </w:rPr>
              <w:t>Aerospace</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10,228</w:t>
            </w:r>
          </w:p>
        </w:tc>
      </w:tr>
      <w:tr>
        <w:trPr>
          <w:trHeight w:val="243"/>
        </w:trPr>
        <w:tc>
          <w:tcPr>
            <w:tcW w:w="8480" w:type="dxa"/>
            <w:vAlign w:val="bottom"/>
          </w:tcPr>
          <w:p>
            <w:pPr>
              <w:spacing w:after="0"/>
              <w:rPr>
                <w:sz w:val="20"/>
                <w:szCs w:val="20"/>
                <w:color w:val="auto"/>
              </w:rPr>
            </w:pPr>
            <w:r>
              <w:rPr>
                <w:rFonts w:ascii="Arial" w:cs="Arial" w:eastAsia="Arial" w:hAnsi="Arial"/>
                <w:sz w:val="19"/>
                <w:szCs w:val="19"/>
                <w:color w:val="auto"/>
              </w:rPr>
              <w:t>Honeywell Building Technologies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6,302</w:t>
            </w:r>
          </w:p>
        </w:tc>
      </w:tr>
      <w:tr>
        <w:trPr>
          <w:trHeight w:val="243"/>
        </w:trPr>
        <w:tc>
          <w:tcPr>
            <w:tcW w:w="8480" w:type="dxa"/>
            <w:vAlign w:val="bottom"/>
            <w:shd w:val="clear" w:color="auto" w:fill="E5FFFF"/>
          </w:tcPr>
          <w:p>
            <w:pPr>
              <w:spacing w:after="0"/>
              <w:rPr>
                <w:sz w:val="20"/>
                <w:szCs w:val="20"/>
                <w:color w:val="auto"/>
              </w:rPr>
            </w:pPr>
            <w:r>
              <w:rPr>
                <w:rFonts w:ascii="Arial" w:cs="Arial" w:eastAsia="Arial" w:hAnsi="Arial"/>
                <w:sz w:val="19"/>
                <w:szCs w:val="19"/>
                <w:color w:val="auto"/>
              </w:rPr>
              <w:t>Performance Materials and Technologies</w:t>
            </w: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6,436</w:t>
            </w:r>
          </w:p>
        </w:tc>
      </w:tr>
      <w:tr>
        <w:trPr>
          <w:trHeight w:val="250"/>
        </w:trPr>
        <w:tc>
          <w:tcPr>
            <w:tcW w:w="8480" w:type="dxa"/>
            <w:vAlign w:val="bottom"/>
          </w:tcPr>
          <w:p>
            <w:pPr>
              <w:spacing w:after="0"/>
              <w:rPr>
                <w:sz w:val="20"/>
                <w:szCs w:val="20"/>
                <w:color w:val="auto"/>
              </w:rPr>
            </w:pPr>
            <w:r>
              <w:rPr>
                <w:rFonts w:ascii="Arial" w:cs="Arial" w:eastAsia="Arial" w:hAnsi="Arial"/>
                <w:sz w:val="19"/>
                <w:szCs w:val="19"/>
                <w:color w:val="auto"/>
              </w:rPr>
              <w:t>Safety and Productivity Solutions</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1,884</w:t>
            </w:r>
          </w:p>
        </w:tc>
      </w:tr>
      <w:tr>
        <w:trPr>
          <w:trHeight w:val="243"/>
        </w:trPr>
        <w:tc>
          <w:tcPr>
            <w:tcW w:w="8480" w:type="dxa"/>
            <w:vAlign w:val="bottom"/>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24,850</w:t>
            </w:r>
          </w:p>
        </w:tc>
      </w:tr>
      <w:tr>
        <w:trPr>
          <w:trHeight w:val="20"/>
        </w:trPr>
        <w:tc>
          <w:tcPr>
            <w:tcW w:w="8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right="80" w:firstLine="357"/>
        <w:spacing w:after="0" w:line="242" w:lineRule="auto"/>
        <w:rPr>
          <w:sz w:val="20"/>
          <w:szCs w:val="20"/>
          <w:color w:val="auto"/>
        </w:rPr>
      </w:pPr>
      <w:r>
        <w:rPr>
          <w:rFonts w:ascii="Arial" w:cs="Arial" w:eastAsia="Arial" w:hAnsi="Arial"/>
          <w:sz w:val="19"/>
          <w:szCs w:val="19"/>
          <w:color w:val="auto"/>
        </w:rPr>
        <w:t>Performance obligations recognized as of December 31, 2018 will be satisfied over the course of future periods. Our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56% and 44%.</w:t>
      </w:r>
    </w:p>
    <w:p>
      <w:pPr>
        <w:spacing w:after="0" w:line="91" w:lineRule="exact"/>
        <w:rPr>
          <w:sz w:val="20"/>
          <w:szCs w:val="20"/>
          <w:color w:val="auto"/>
        </w:rPr>
      </w:pPr>
    </w:p>
    <w:p>
      <w:pPr>
        <w:jc w:val="both"/>
        <w:ind w:right="200" w:firstLine="357"/>
        <w:spacing w:after="0" w:line="245" w:lineRule="auto"/>
        <w:rPr>
          <w:sz w:val="20"/>
          <w:szCs w:val="20"/>
          <w:color w:val="auto"/>
        </w:rPr>
      </w:pPr>
      <w:r>
        <w:rPr>
          <w:rFonts w:ascii="Arial" w:cs="Arial" w:eastAsia="Arial" w:hAnsi="Arial"/>
          <w:sz w:val="19"/>
          <w:szCs w:val="19"/>
          <w:color w:val="auto"/>
        </w:rPr>
        <w:t>The timing of satisfaction of our performance obligations does not significantly vary from the typical timing of payment. Typical payment terms of our fixed-price over time contracts include progress payments based on specified events or milestones, or based on project progress. For some contracts we may be entitled to receive an advance payment.</w:t>
      </w:r>
    </w:p>
    <w:p>
      <w:pPr>
        <w:spacing w:after="0" w:line="87"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color w:val="auto"/>
        </w:rPr>
        <w:t>We have applied the practical expedient for certain revenue streams to exclude the value of remaining performance obligations for (i) contracts with an original expected term of one year or less or (ii) contracts for which we recognize revenue in proportion to the amount we have the right to invoice for services performed.</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8. Accounts Receivable</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480" w:type="dxa"/>
            <w:vAlign w:val="bottom"/>
          </w:tcPr>
          <w:p>
            <w:pPr>
              <w:spacing w:after="0"/>
              <w:rPr>
                <w:sz w:val="16"/>
                <w:szCs w:val="16"/>
                <w:color w:val="auto"/>
              </w:rPr>
            </w:pPr>
          </w:p>
        </w:tc>
        <w:tc>
          <w:tcPr>
            <w:tcW w:w="192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480" w:type="dxa"/>
            <w:vAlign w:val="bottom"/>
          </w:tcPr>
          <w:p>
            <w:pPr>
              <w:spacing w:after="0"/>
              <w:rPr>
                <w:sz w:val="14"/>
                <w:szCs w:val="14"/>
                <w:color w:val="auto"/>
              </w:rPr>
            </w:pPr>
          </w:p>
        </w:tc>
        <w:tc>
          <w:tcPr>
            <w:tcW w:w="800" w:type="dxa"/>
            <w:vAlign w:val="bottom"/>
            <w:tcBorders>
              <w:bottom w:val="single" w:sz="8" w:color="auto"/>
            </w:tcBorders>
          </w:tcPr>
          <w:p>
            <w:pPr>
              <w:jc w:val="right"/>
              <w:ind w:right="130"/>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820" w:type="dxa"/>
            <w:vAlign w:val="bottom"/>
            <w:tcBorders>
              <w:bottom w:val="single" w:sz="8" w:color="auto"/>
            </w:tcBorders>
          </w:tcPr>
          <w:p>
            <w:pPr>
              <w:jc w:val="right"/>
              <w:ind w:right="132"/>
              <w:spacing w:after="0" w:line="169" w:lineRule="exact"/>
              <w:rPr>
                <w:sz w:val="20"/>
                <w:szCs w:val="20"/>
                <w:color w:val="auto"/>
              </w:rPr>
            </w:pPr>
            <w:r>
              <w:rPr>
                <w:rFonts w:ascii="Arial" w:cs="Arial" w:eastAsia="Arial" w:hAnsi="Arial"/>
                <w:sz w:val="16"/>
                <w:szCs w:val="16"/>
                <w:b w:val="1"/>
                <w:bCs w:val="1"/>
                <w:color w:val="auto"/>
              </w:rPr>
              <w:t>2017</w:t>
            </w:r>
          </w:p>
        </w:tc>
      </w:tr>
      <w:tr>
        <w:trPr>
          <w:trHeight w:val="237"/>
        </w:trPr>
        <w:tc>
          <w:tcPr>
            <w:tcW w:w="8480" w:type="dxa"/>
            <w:vAlign w:val="bottom"/>
            <w:shd w:val="clear" w:color="auto" w:fill="E5FFFF"/>
          </w:tcPr>
          <w:p>
            <w:pPr>
              <w:spacing w:after="0"/>
              <w:rPr>
                <w:sz w:val="20"/>
                <w:szCs w:val="20"/>
                <w:color w:val="auto"/>
              </w:rPr>
            </w:pPr>
            <w:r>
              <w:rPr>
                <w:rFonts w:ascii="Arial" w:cs="Arial" w:eastAsia="Arial" w:hAnsi="Arial"/>
                <w:sz w:val="19"/>
                <w:szCs w:val="19"/>
                <w:color w:val="auto"/>
              </w:rPr>
              <w:t>Trade</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$ 7,705</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$ 9,068</w:t>
            </w:r>
          </w:p>
        </w:tc>
      </w:tr>
      <w:tr>
        <w:trPr>
          <w:trHeight w:val="250"/>
        </w:trPr>
        <w:tc>
          <w:tcPr>
            <w:tcW w:w="8480" w:type="dxa"/>
            <w:vAlign w:val="bottom"/>
          </w:tcPr>
          <w:p>
            <w:pPr>
              <w:spacing w:after="0"/>
              <w:rPr>
                <w:sz w:val="20"/>
                <w:szCs w:val="20"/>
                <w:color w:val="auto"/>
              </w:rPr>
            </w:pPr>
            <w:r>
              <w:rPr>
                <w:rFonts w:ascii="Arial" w:cs="Arial" w:eastAsia="Arial" w:hAnsi="Arial"/>
                <w:sz w:val="19"/>
                <w:szCs w:val="19"/>
                <w:color w:val="auto"/>
              </w:rPr>
              <w:t>Less—Allowance for doubtful accounts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(197)</w:t>
            </w:r>
          </w:p>
        </w:tc>
        <w:tc>
          <w:tcPr>
            <w:tcW w:w="30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(202)</w:t>
            </w:r>
          </w:p>
        </w:tc>
      </w:tr>
      <w:tr>
        <w:trPr>
          <w:trHeight w:val="243"/>
        </w:trPr>
        <w:tc>
          <w:tcPr>
            <w:tcW w:w="848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7,508</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8,866</w:t>
            </w:r>
          </w:p>
        </w:tc>
      </w:tr>
      <w:tr>
        <w:trPr>
          <w:trHeight w:val="20"/>
        </w:trPr>
        <w:tc>
          <w:tcPr>
            <w:tcW w:w="8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20" w:firstLine="357"/>
        <w:spacing w:after="0" w:line="253" w:lineRule="auto"/>
        <w:rPr>
          <w:sz w:val="20"/>
          <w:szCs w:val="20"/>
          <w:color w:val="auto"/>
        </w:rPr>
      </w:pPr>
      <w:r>
        <w:rPr>
          <w:rFonts w:ascii="Arial" w:cs="Arial" w:eastAsia="Arial" w:hAnsi="Arial"/>
          <w:sz w:val="19"/>
          <w:szCs w:val="19"/>
          <w:color w:val="auto"/>
        </w:rPr>
        <w:t>Trade Receivables includes $1,543 million and $1,853 million of unbilled balances under long-term contracts as of December 31, 2018 and December 31, 2017. These amounts are billed in accordance with the terms of customer contracts to which they relate.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 Inventories</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520" w:type="dxa"/>
            <w:vAlign w:val="bottom"/>
          </w:tcPr>
          <w:p>
            <w:pPr>
              <w:spacing w:after="0"/>
              <w:rPr>
                <w:sz w:val="16"/>
                <w:szCs w:val="16"/>
                <w:color w:val="auto"/>
              </w:rPr>
            </w:pPr>
          </w:p>
        </w:tc>
        <w:tc>
          <w:tcPr>
            <w:tcW w:w="188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520" w:type="dxa"/>
            <w:vAlign w:val="bottom"/>
          </w:tcPr>
          <w:p>
            <w:pPr>
              <w:spacing w:after="0"/>
              <w:rPr>
                <w:sz w:val="14"/>
                <w:szCs w:val="14"/>
                <w:color w:val="auto"/>
              </w:rPr>
            </w:pPr>
          </w:p>
        </w:tc>
        <w:tc>
          <w:tcPr>
            <w:tcW w:w="780" w:type="dxa"/>
            <w:vAlign w:val="bottom"/>
            <w:tcBorders>
              <w:bottom w:val="single" w:sz="8" w:color="auto"/>
            </w:tcBorders>
          </w:tcPr>
          <w:p>
            <w:pPr>
              <w:jc w:val="right"/>
              <w:ind w:right="128"/>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right"/>
              <w:ind w:right="129"/>
              <w:spacing w:after="0" w:line="169" w:lineRule="exact"/>
              <w:rPr>
                <w:sz w:val="20"/>
                <w:szCs w:val="20"/>
                <w:color w:val="auto"/>
              </w:rPr>
            </w:pPr>
            <w:r>
              <w:rPr>
                <w:rFonts w:ascii="Arial" w:cs="Arial" w:eastAsia="Arial" w:hAnsi="Arial"/>
                <w:sz w:val="16"/>
                <w:szCs w:val="16"/>
                <w:b w:val="1"/>
                <w:bCs w:val="1"/>
                <w:color w:val="auto"/>
              </w:rPr>
              <w:t>2017</w:t>
            </w:r>
          </w:p>
        </w:tc>
      </w:tr>
      <w:tr>
        <w:trPr>
          <w:trHeight w:val="237"/>
        </w:trPr>
        <w:tc>
          <w:tcPr>
            <w:tcW w:w="8520" w:type="dxa"/>
            <w:vAlign w:val="bottom"/>
            <w:shd w:val="clear" w:color="auto" w:fill="E5FFFF"/>
          </w:tcPr>
          <w:p>
            <w:pPr>
              <w:spacing w:after="0"/>
              <w:rPr>
                <w:sz w:val="20"/>
                <w:szCs w:val="20"/>
                <w:color w:val="auto"/>
              </w:rPr>
            </w:pPr>
            <w:r>
              <w:rPr>
                <w:rFonts w:ascii="Arial" w:cs="Arial" w:eastAsia="Arial" w:hAnsi="Arial"/>
                <w:sz w:val="19"/>
                <w:szCs w:val="19"/>
                <w:color w:val="auto"/>
              </w:rPr>
              <w:t>Raw materials</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$ 1,109</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$ 1,193</w:t>
            </w:r>
          </w:p>
        </w:tc>
      </w:tr>
      <w:tr>
        <w:trPr>
          <w:trHeight w:val="243"/>
        </w:trPr>
        <w:tc>
          <w:tcPr>
            <w:tcW w:w="8520" w:type="dxa"/>
            <w:vAlign w:val="bottom"/>
          </w:tcPr>
          <w:p>
            <w:pPr>
              <w:spacing w:after="0"/>
              <w:rPr>
                <w:sz w:val="20"/>
                <w:szCs w:val="20"/>
                <w:color w:val="auto"/>
              </w:rPr>
            </w:pPr>
            <w:r>
              <w:rPr>
                <w:rFonts w:ascii="Arial" w:cs="Arial" w:eastAsia="Arial" w:hAnsi="Arial"/>
                <w:sz w:val="19"/>
                <w:szCs w:val="19"/>
                <w:color w:val="auto"/>
              </w:rPr>
              <w:t>Work in process</w:t>
            </w:r>
          </w:p>
        </w:tc>
        <w:tc>
          <w:tcPr>
            <w:tcW w:w="780" w:type="dxa"/>
            <w:vAlign w:val="bottom"/>
          </w:tcPr>
          <w:p>
            <w:pPr>
              <w:jc w:val="right"/>
              <w:spacing w:after="0"/>
              <w:rPr>
                <w:sz w:val="20"/>
                <w:szCs w:val="20"/>
                <w:color w:val="auto"/>
              </w:rPr>
            </w:pPr>
            <w:r>
              <w:rPr>
                <w:rFonts w:ascii="Arial" w:cs="Arial" w:eastAsia="Arial" w:hAnsi="Arial"/>
                <w:sz w:val="19"/>
                <w:szCs w:val="19"/>
                <w:color w:val="auto"/>
              </w:rPr>
              <w:t>811</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790</w:t>
            </w:r>
          </w:p>
        </w:tc>
      </w:tr>
      <w:tr>
        <w:trPr>
          <w:trHeight w:val="243"/>
        </w:trPr>
        <w:tc>
          <w:tcPr>
            <w:tcW w:w="8520" w:type="dxa"/>
            <w:vAlign w:val="bottom"/>
            <w:shd w:val="clear" w:color="auto" w:fill="E5FFFF"/>
          </w:tcPr>
          <w:p>
            <w:pPr>
              <w:spacing w:after="0"/>
              <w:rPr>
                <w:sz w:val="20"/>
                <w:szCs w:val="20"/>
                <w:color w:val="auto"/>
              </w:rPr>
            </w:pPr>
            <w:r>
              <w:rPr>
                <w:rFonts w:ascii="Arial" w:cs="Arial" w:eastAsia="Arial" w:hAnsi="Arial"/>
                <w:sz w:val="19"/>
                <w:szCs w:val="19"/>
                <w:color w:val="auto"/>
              </w:rPr>
              <w:t>Finished products</w:t>
            </w: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2,445</w:t>
            </w:r>
          </w:p>
        </w:tc>
        <w:tc>
          <w:tcPr>
            <w:tcW w:w="30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2,669</w:t>
            </w:r>
          </w:p>
        </w:tc>
      </w:tr>
      <w:tr>
        <w:trPr>
          <w:trHeight w:val="250"/>
        </w:trPr>
        <w:tc>
          <w:tcPr>
            <w:tcW w:w="8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4,365</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4,652</w:t>
            </w:r>
          </w:p>
        </w:tc>
      </w:tr>
      <w:tr>
        <w:trPr>
          <w:trHeight w:val="243"/>
        </w:trPr>
        <w:tc>
          <w:tcPr>
            <w:tcW w:w="8520" w:type="dxa"/>
            <w:vAlign w:val="bottom"/>
            <w:shd w:val="clear" w:color="auto" w:fill="E5FFFF"/>
          </w:tcPr>
          <w:p>
            <w:pPr>
              <w:spacing w:after="0"/>
              <w:rPr>
                <w:sz w:val="20"/>
                <w:szCs w:val="20"/>
                <w:color w:val="auto"/>
              </w:rPr>
            </w:pPr>
            <w:r>
              <w:rPr>
                <w:rFonts w:ascii="Arial" w:cs="Arial" w:eastAsia="Arial" w:hAnsi="Arial"/>
                <w:sz w:val="19"/>
                <w:szCs w:val="19"/>
                <w:color w:val="auto"/>
              </w:rPr>
              <w:t>Reduction to LIFO cost basis</w:t>
            </w: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(39)</w:t>
            </w:r>
          </w:p>
        </w:tc>
        <w:tc>
          <w:tcPr>
            <w:tcW w:w="30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(39)</w:t>
            </w:r>
          </w:p>
        </w:tc>
      </w:tr>
      <w:tr>
        <w:trPr>
          <w:trHeight w:val="250"/>
        </w:trPr>
        <w:tc>
          <w:tcPr>
            <w:tcW w:w="8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$ 4,326</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$ 4,613</w:t>
            </w:r>
          </w:p>
        </w:tc>
      </w:tr>
      <w:tr>
        <w:trPr>
          <w:trHeight w:val="20"/>
        </w:trPr>
        <w:tc>
          <w:tcPr>
            <w:tcW w:w="8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400" w:firstLine="357"/>
        <w:spacing w:after="0" w:line="245" w:lineRule="auto"/>
        <w:rPr>
          <w:sz w:val="20"/>
          <w:szCs w:val="20"/>
          <w:color w:val="auto"/>
        </w:rPr>
      </w:pPr>
      <w:r>
        <w:rPr>
          <w:rFonts w:ascii="Arial" w:cs="Arial" w:eastAsia="Arial" w:hAnsi="Arial"/>
          <w:sz w:val="19"/>
          <w:szCs w:val="19"/>
          <w:color w:val="auto"/>
        </w:rPr>
        <w:t>Inventories valued at LIFO amounted to $294 million and $324 million at December 31, 2018 and 2017. Had such LIFO inventories been valued at current costs, the carrying values would have been approximately $39 million higher at December 31, 2018 and 2017.</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10. Property, Plant and Equipment—Net</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7"/>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5"/>
              <w:spacing w:after="0" w:line="169" w:lineRule="exact"/>
              <w:rPr>
                <w:sz w:val="20"/>
                <w:szCs w:val="20"/>
                <w:color w:val="auto"/>
              </w:rPr>
            </w:pPr>
            <w:r>
              <w:rPr>
                <w:rFonts w:ascii="Arial" w:cs="Arial" w:eastAsia="Arial" w:hAnsi="Arial"/>
                <w:sz w:val="16"/>
                <w:szCs w:val="16"/>
                <w:b w:val="1"/>
                <w:bCs w:val="1"/>
                <w:color w:val="auto"/>
              </w:rPr>
              <w:t>2017</w:t>
            </w:r>
          </w:p>
        </w:tc>
      </w:tr>
      <w:tr>
        <w:trPr>
          <w:trHeight w:val="237"/>
        </w:trPr>
        <w:tc>
          <w:tcPr>
            <w:tcW w:w="8240" w:type="dxa"/>
            <w:vAlign w:val="bottom"/>
            <w:shd w:val="clear" w:color="auto" w:fill="E5FFFF"/>
          </w:tcPr>
          <w:p>
            <w:pPr>
              <w:spacing w:after="0"/>
              <w:rPr>
                <w:sz w:val="20"/>
                <w:szCs w:val="20"/>
                <w:color w:val="auto"/>
              </w:rPr>
            </w:pPr>
            <w:r>
              <w:rPr>
                <w:rFonts w:ascii="Arial" w:cs="Arial" w:eastAsia="Arial" w:hAnsi="Arial"/>
                <w:sz w:val="19"/>
                <w:szCs w:val="19"/>
                <w:color w:val="auto"/>
              </w:rPr>
              <w:t>Land and improvements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262</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287</w:t>
            </w:r>
          </w:p>
        </w:tc>
      </w:tr>
      <w:tr>
        <w:trPr>
          <w:trHeight w:val="243"/>
        </w:trPr>
        <w:tc>
          <w:tcPr>
            <w:tcW w:w="8240" w:type="dxa"/>
            <w:vAlign w:val="bottom"/>
          </w:tcPr>
          <w:p>
            <w:pPr>
              <w:spacing w:after="0"/>
              <w:rPr>
                <w:sz w:val="20"/>
                <w:szCs w:val="20"/>
                <w:color w:val="auto"/>
              </w:rPr>
            </w:pPr>
            <w:r>
              <w:rPr>
                <w:rFonts w:ascii="Arial" w:cs="Arial" w:eastAsia="Arial" w:hAnsi="Arial"/>
                <w:sz w:val="19"/>
                <w:szCs w:val="19"/>
                <w:color w:val="auto"/>
              </w:rPr>
              <w:t>Machinery and equipment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9,435</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5"/>
              <w:spacing w:after="0"/>
              <w:rPr>
                <w:sz w:val="20"/>
                <w:szCs w:val="20"/>
                <w:color w:val="auto"/>
              </w:rPr>
            </w:pPr>
            <w:r>
              <w:rPr>
                <w:rFonts w:ascii="Arial" w:cs="Arial" w:eastAsia="Arial" w:hAnsi="Arial"/>
                <w:sz w:val="19"/>
                <w:szCs w:val="19"/>
                <w:color w:val="auto"/>
              </w:rPr>
              <w:t>10,762</w:t>
            </w:r>
          </w:p>
        </w:tc>
      </w:tr>
      <w:tr>
        <w:trPr>
          <w:trHeight w:val="243"/>
        </w:trPr>
        <w:tc>
          <w:tcPr>
            <w:tcW w:w="8240" w:type="dxa"/>
            <w:vAlign w:val="bottom"/>
            <w:shd w:val="clear" w:color="auto" w:fill="E5FFFF"/>
          </w:tcPr>
          <w:p>
            <w:pPr>
              <w:spacing w:after="0"/>
              <w:rPr>
                <w:sz w:val="20"/>
                <w:szCs w:val="20"/>
                <w:color w:val="auto"/>
              </w:rPr>
            </w:pPr>
            <w:r>
              <w:rPr>
                <w:rFonts w:ascii="Arial" w:cs="Arial" w:eastAsia="Arial" w:hAnsi="Arial"/>
                <w:sz w:val="19"/>
                <w:szCs w:val="19"/>
                <w:color w:val="auto"/>
              </w:rPr>
              <w:t>Buildings and improvements</w:t>
            </w:r>
          </w:p>
        </w:tc>
        <w:tc>
          <w:tcPr>
            <w:tcW w:w="18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3,125</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3,463</w:t>
            </w:r>
          </w:p>
        </w:tc>
      </w:tr>
      <w:tr>
        <w:trPr>
          <w:trHeight w:val="250"/>
        </w:trPr>
        <w:tc>
          <w:tcPr>
            <w:tcW w:w="8240" w:type="dxa"/>
            <w:vAlign w:val="bottom"/>
          </w:tcPr>
          <w:p>
            <w:pPr>
              <w:spacing w:after="0"/>
              <w:rPr>
                <w:sz w:val="20"/>
                <w:szCs w:val="20"/>
                <w:color w:val="auto"/>
              </w:rPr>
            </w:pPr>
            <w:r>
              <w:rPr>
                <w:rFonts w:ascii="Arial" w:cs="Arial" w:eastAsia="Arial" w:hAnsi="Arial"/>
                <w:sz w:val="19"/>
                <w:szCs w:val="19"/>
                <w:color w:val="auto"/>
              </w:rPr>
              <w:t>Construction in progress</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588</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675</w:t>
            </w:r>
          </w:p>
        </w:tc>
      </w:tr>
      <w:tr>
        <w:trPr>
          <w:trHeight w:val="243"/>
        </w:trPr>
        <w:tc>
          <w:tcPr>
            <w:tcW w:w="82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13,410</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15,187</w:t>
            </w:r>
          </w:p>
        </w:tc>
      </w:tr>
      <w:tr>
        <w:trPr>
          <w:trHeight w:val="250"/>
        </w:trPr>
        <w:tc>
          <w:tcPr>
            <w:tcW w:w="8240" w:type="dxa"/>
            <w:vAlign w:val="bottom"/>
          </w:tcPr>
          <w:p>
            <w:pPr>
              <w:spacing w:after="0"/>
              <w:rPr>
                <w:sz w:val="20"/>
                <w:szCs w:val="20"/>
                <w:color w:val="auto"/>
              </w:rPr>
            </w:pPr>
            <w:r>
              <w:rPr>
                <w:rFonts w:ascii="Arial" w:cs="Arial" w:eastAsia="Arial" w:hAnsi="Arial"/>
                <w:sz w:val="19"/>
                <w:szCs w:val="19"/>
                <w:color w:val="auto"/>
              </w:rPr>
              <w:t>Less—Accumulated depreciation</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(8,114)</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(9,261)</w:t>
            </w:r>
          </w:p>
        </w:tc>
      </w:tr>
      <w:tr>
        <w:trPr>
          <w:trHeight w:val="243"/>
        </w:trPr>
        <w:tc>
          <w:tcPr>
            <w:tcW w:w="824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5,296</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5,926</w:t>
            </w:r>
          </w:p>
        </w:tc>
      </w:tr>
      <w:tr>
        <w:trPr>
          <w:trHeight w:val="20"/>
        </w:trPr>
        <w:tc>
          <w:tcPr>
            <w:tcW w:w="8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Depreciation expense was $721 million, $717 million and $726 million in 2018, 2017 and 2016.</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 Goodwill and Other Intangible Assets—Net</w:t>
      </w:r>
    </w:p>
    <w:p>
      <w:pPr>
        <w:spacing w:after="0" w:line="130" w:lineRule="exact"/>
        <w:rPr>
          <w:sz w:val="20"/>
          <w:szCs w:val="20"/>
          <w:color w:val="auto"/>
        </w:rPr>
      </w:pPr>
    </w:p>
    <w:p>
      <w:pPr>
        <w:ind w:right="40" w:firstLine="357"/>
        <w:spacing w:after="0" w:line="246" w:lineRule="auto"/>
        <w:rPr>
          <w:sz w:val="20"/>
          <w:szCs w:val="20"/>
          <w:color w:val="auto"/>
        </w:rPr>
      </w:pPr>
      <w:r>
        <w:rPr>
          <w:rFonts w:ascii="Arial" w:cs="Arial" w:eastAsia="Arial" w:hAnsi="Arial"/>
          <w:sz w:val="19"/>
          <w:szCs w:val="19"/>
          <w:color w:val="auto"/>
        </w:rPr>
        <w:t>The following table summarizes the change in the carrying amount of goodwill for the years ended December 31, 2018 and 2017 by segment.</w:t>
      </w:r>
    </w:p>
    <w:tbl>
      <w:tblPr>
        <w:tblLayout w:type="fixed"/>
        <w:tblInd w:w="0" w:type="dxa"/>
        <w:tblCellMar>
          <w:top w:w="0" w:type="dxa"/>
          <w:left w:w="0" w:type="dxa"/>
          <w:bottom w:w="0" w:type="dxa"/>
          <w:right w:w="0" w:type="dxa"/>
        </w:tblCellMar>
      </w:tblPr>
      <w:tr>
        <w:trPr>
          <w:trHeight w:val="172"/>
        </w:trPr>
        <w:tc>
          <w:tcPr>
            <w:tcW w:w="5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66"/>
              <w:spacing w:after="0" w:line="172" w:lineRule="exact"/>
              <w:rPr>
                <w:sz w:val="20"/>
                <w:szCs w:val="20"/>
                <w:color w:val="auto"/>
              </w:rPr>
            </w:pPr>
            <w:r>
              <w:rPr>
                <w:rFonts w:ascii="Arial" w:cs="Arial" w:eastAsia="Arial" w:hAnsi="Arial"/>
                <w:sz w:val="16"/>
                <w:szCs w:val="16"/>
                <w:b w:val="1"/>
                <w:bCs w:val="1"/>
                <w:color w:val="auto"/>
                <w:w w:val="96"/>
              </w:rPr>
              <w:t>Currency</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26"/>
              <w:spacing w:after="0" w:line="176" w:lineRule="exact"/>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line="176" w:lineRule="exact"/>
              <w:rPr>
                <w:sz w:val="20"/>
                <w:szCs w:val="20"/>
                <w:color w:val="auto"/>
              </w:rPr>
            </w:pPr>
            <w:r>
              <w:rPr>
                <w:rFonts w:ascii="Arial" w:cs="Arial" w:eastAsia="Arial" w:hAnsi="Arial"/>
                <w:sz w:val="16"/>
                <w:szCs w:val="16"/>
                <w:b w:val="1"/>
                <w:bCs w:val="1"/>
                <w:color w:val="auto"/>
                <w:w w:val="97"/>
              </w:rPr>
              <w:t>Acquisitions/</w:t>
            </w:r>
          </w:p>
        </w:tc>
        <w:tc>
          <w:tcPr>
            <w:tcW w:w="300" w:type="dxa"/>
            <w:vAlign w:val="bottom"/>
          </w:tcPr>
          <w:p>
            <w:pPr>
              <w:spacing w:after="0"/>
              <w:rPr>
                <w:sz w:val="15"/>
                <w:szCs w:val="15"/>
                <w:color w:val="auto"/>
              </w:rPr>
            </w:pPr>
          </w:p>
        </w:tc>
        <w:tc>
          <w:tcPr>
            <w:tcW w:w="10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Translation</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68"/>
              <w:spacing w:after="0" w:line="176" w:lineRule="exact"/>
              <w:rPr>
                <w:sz w:val="20"/>
                <w:szCs w:val="20"/>
                <w:color w:val="auto"/>
              </w:rPr>
            </w:pPr>
            <w:r>
              <w:rPr>
                <w:rFonts w:ascii="Arial" w:cs="Arial" w:eastAsia="Arial" w:hAnsi="Arial"/>
                <w:sz w:val="16"/>
                <w:szCs w:val="16"/>
                <w:b w:val="1"/>
                <w:bCs w:val="1"/>
                <w:color w:val="auto"/>
                <w:w w:val="97"/>
              </w:rPr>
              <w:t>December 31,</w:t>
            </w:r>
          </w:p>
        </w:tc>
      </w:tr>
      <w:tr>
        <w:trPr>
          <w:trHeight w:val="190"/>
        </w:trPr>
        <w:tc>
          <w:tcPr>
            <w:tcW w:w="5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b w:val="1"/>
                <w:bCs w:val="1"/>
                <w:color w:val="auto"/>
              </w:rPr>
              <w:t>Divestitures</w:t>
            </w:r>
          </w:p>
        </w:tc>
        <w:tc>
          <w:tcPr>
            <w:tcW w:w="300" w:type="dxa"/>
            <w:vAlign w:val="bottom"/>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Adjustment</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6"/>
                <w:szCs w:val="16"/>
                <w:b w:val="1"/>
                <w:bCs w:val="1"/>
                <w:color w:val="auto"/>
              </w:rPr>
              <w:t>2018</w:t>
            </w:r>
          </w:p>
        </w:tc>
      </w:tr>
      <w:tr>
        <w:trPr>
          <w:trHeight w:val="237"/>
        </w:trPr>
        <w:tc>
          <w:tcPr>
            <w:tcW w:w="5580" w:type="dxa"/>
            <w:vAlign w:val="bottom"/>
            <w:shd w:val="clear" w:color="auto" w:fill="E5FFFF"/>
          </w:tcPr>
          <w:p>
            <w:pPr>
              <w:spacing w:after="0"/>
              <w:rPr>
                <w:sz w:val="20"/>
                <w:szCs w:val="20"/>
                <w:color w:val="auto"/>
              </w:rPr>
            </w:pPr>
            <w:r>
              <w:rPr>
                <w:rFonts w:ascii="Arial" w:cs="Arial" w:eastAsia="Arial" w:hAnsi="Arial"/>
                <w:sz w:val="19"/>
                <w:szCs w:val="19"/>
                <w:color w:val="auto"/>
              </w:rPr>
              <w:t>Aerospace</w:t>
            </w:r>
          </w:p>
        </w:tc>
        <w:tc>
          <w:tcPr>
            <w:tcW w:w="360" w:type="dxa"/>
            <w:vAlign w:val="bottom"/>
            <w:shd w:val="clear" w:color="auto" w:fill="E5FFFF"/>
          </w:tcPr>
          <w:p>
            <w:pPr>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2,468</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(193)</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2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2,258</w:t>
            </w:r>
          </w:p>
        </w:tc>
      </w:tr>
      <w:tr>
        <w:trPr>
          <w:trHeight w:val="243"/>
        </w:trPr>
        <w:tc>
          <w:tcPr>
            <w:tcW w:w="5580" w:type="dxa"/>
            <w:vAlign w:val="bottom"/>
          </w:tcPr>
          <w:p>
            <w:pPr>
              <w:spacing w:after="0"/>
              <w:rPr>
                <w:sz w:val="20"/>
                <w:szCs w:val="20"/>
                <w:color w:val="auto"/>
              </w:rPr>
            </w:pPr>
            <w:r>
              <w:rPr>
                <w:rFonts w:ascii="Arial" w:cs="Arial" w:eastAsia="Arial" w:hAnsi="Arial"/>
                <w:sz w:val="19"/>
                <w:szCs w:val="19"/>
                <w:color w:val="auto"/>
              </w:rPr>
              <w:t>Honeywell Building Technologies</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5,960</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(2,640)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(82)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8"/>
              <w:spacing w:after="0"/>
              <w:rPr>
                <w:sz w:val="20"/>
                <w:szCs w:val="20"/>
                <w:color w:val="auto"/>
              </w:rPr>
            </w:pPr>
            <w:r>
              <w:rPr>
                <w:rFonts w:ascii="Arial" w:cs="Arial" w:eastAsia="Arial" w:hAnsi="Arial"/>
                <w:sz w:val="19"/>
                <w:szCs w:val="19"/>
                <w:color w:val="auto"/>
              </w:rPr>
              <w:t>3,238</w:t>
            </w:r>
          </w:p>
        </w:tc>
      </w:tr>
      <w:tr>
        <w:trPr>
          <w:trHeight w:val="243"/>
        </w:trPr>
        <w:tc>
          <w:tcPr>
            <w:tcW w:w="5580" w:type="dxa"/>
            <w:vAlign w:val="bottom"/>
            <w:shd w:val="clear" w:color="auto" w:fill="E5FFFF"/>
          </w:tcPr>
          <w:p>
            <w:pPr>
              <w:spacing w:after="0"/>
              <w:rPr>
                <w:sz w:val="20"/>
                <w:szCs w:val="20"/>
                <w:color w:val="auto"/>
              </w:rPr>
            </w:pPr>
            <w:r>
              <w:rPr>
                <w:rFonts w:ascii="Arial" w:cs="Arial" w:eastAsia="Arial" w:hAnsi="Arial"/>
                <w:sz w:val="19"/>
                <w:szCs w:val="19"/>
                <w:color w:val="auto"/>
              </w:rPr>
              <w:t>Performance Materials and Technologies</w:t>
            </w:r>
          </w:p>
        </w:tc>
        <w:tc>
          <w:tcPr>
            <w:tcW w:w="36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5,242</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120" w:type="dxa"/>
            <w:vAlign w:val="bottom"/>
            <w:shd w:val="clear" w:color="auto" w:fill="E5FFFF"/>
          </w:tcPr>
          <w:p>
            <w:pPr>
              <w:jc w:val="right"/>
              <w:ind w:right="28"/>
              <w:spacing w:after="0"/>
              <w:rPr>
                <w:sz w:val="20"/>
                <w:szCs w:val="20"/>
                <w:color w:val="auto"/>
              </w:rPr>
            </w:pPr>
            <w:r>
              <w:rPr>
                <w:rFonts w:ascii="Arial" w:cs="Arial" w:eastAsia="Arial" w:hAnsi="Arial"/>
                <w:sz w:val="19"/>
                <w:szCs w:val="19"/>
                <w:color w:val="auto"/>
              </w:rPr>
              <w:t>23</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(118)</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5,147</w:t>
            </w:r>
          </w:p>
        </w:tc>
      </w:tr>
      <w:tr>
        <w:trPr>
          <w:trHeight w:val="250"/>
        </w:trPr>
        <w:tc>
          <w:tcPr>
            <w:tcW w:w="5580" w:type="dxa"/>
            <w:vAlign w:val="bottom"/>
          </w:tcPr>
          <w:p>
            <w:pPr>
              <w:spacing w:after="0"/>
              <w:rPr>
                <w:sz w:val="20"/>
                <w:szCs w:val="20"/>
                <w:color w:val="auto"/>
              </w:rPr>
            </w:pPr>
            <w:r>
              <w:rPr>
                <w:rFonts w:ascii="Arial" w:cs="Arial" w:eastAsia="Arial" w:hAnsi="Arial"/>
                <w:sz w:val="19"/>
                <w:szCs w:val="19"/>
                <w:color w:val="auto"/>
              </w:rPr>
              <w:t>Safety and Productivity Solutions</w:t>
            </w: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4,607</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9"/>
                <w:szCs w:val="19"/>
                <w:color w:val="auto"/>
              </w:rPr>
              <w:t>338</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color w:val="auto"/>
              </w:rPr>
              <w:t>4,903</w:t>
            </w:r>
          </w:p>
        </w:tc>
      </w:tr>
      <w:tr>
        <w:trPr>
          <w:trHeight w:val="243"/>
        </w:trPr>
        <w:tc>
          <w:tcPr>
            <w:tcW w:w="558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18,277</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(2,472)</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(259)</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2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15,546</w:t>
            </w:r>
          </w:p>
        </w:tc>
      </w:tr>
      <w:tr>
        <w:trPr>
          <w:trHeight w:val="20"/>
        </w:trPr>
        <w:tc>
          <w:tcPr>
            <w:tcW w:w="5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36"/>
        </w:trPr>
        <w:tc>
          <w:tcPr>
            <w:tcW w:w="558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9"/>
                <w:szCs w:val="19"/>
                <w:color w:val="auto"/>
              </w:rPr>
              <w:t>59</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9"/>
        </w:trPr>
        <w:tc>
          <w:tcPr>
            <w:tcW w:w="5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Other intangible assets are comprised of:</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December 31, 2018</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December 31, 2017</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55"/>
        </w:trPr>
        <w:tc>
          <w:tcPr>
            <w:tcW w:w="4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65"/>
              <w:spacing w:after="0" w:line="155" w:lineRule="exact"/>
              <w:rPr>
                <w:sz w:val="20"/>
                <w:szCs w:val="20"/>
                <w:color w:val="auto"/>
              </w:rPr>
            </w:pPr>
            <w:r>
              <w:rPr>
                <w:rFonts w:ascii="Arial" w:cs="Arial" w:eastAsia="Arial" w:hAnsi="Arial"/>
                <w:sz w:val="16"/>
                <w:szCs w:val="16"/>
                <w:b w:val="1"/>
                <w:bCs w:val="1"/>
                <w:color w:val="auto"/>
                <w:w w:val="99"/>
              </w:rPr>
              <w:t>Gross</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center"/>
              <w:ind w:right="105"/>
              <w:spacing w:after="0" w:line="155" w:lineRule="exact"/>
              <w:rPr>
                <w:sz w:val="20"/>
                <w:szCs w:val="20"/>
                <w:color w:val="auto"/>
              </w:rPr>
            </w:pPr>
            <w:r>
              <w:rPr>
                <w:rFonts w:ascii="Arial" w:cs="Arial" w:eastAsia="Arial" w:hAnsi="Arial"/>
                <w:sz w:val="16"/>
                <w:szCs w:val="16"/>
                <w:b w:val="1"/>
                <w:bCs w:val="1"/>
                <w:color w:val="auto"/>
              </w:rPr>
              <w:t>Net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ind w:right="45"/>
              <w:spacing w:after="0" w:line="155" w:lineRule="exact"/>
              <w:rPr>
                <w:sz w:val="20"/>
                <w:szCs w:val="20"/>
                <w:color w:val="auto"/>
              </w:rPr>
            </w:pPr>
            <w:r>
              <w:rPr>
                <w:rFonts w:ascii="Arial" w:cs="Arial" w:eastAsia="Arial" w:hAnsi="Arial"/>
                <w:sz w:val="16"/>
                <w:szCs w:val="16"/>
                <w:b w:val="1"/>
                <w:bCs w:val="1"/>
                <w:color w:val="auto"/>
                <w:w w:val="99"/>
              </w:rPr>
              <w:t>Gross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27"/>
              <w:spacing w:after="0" w:line="155" w:lineRule="exact"/>
              <w:rPr>
                <w:sz w:val="20"/>
                <w:szCs w:val="20"/>
                <w:color w:val="auto"/>
              </w:rPr>
            </w:pPr>
            <w:r>
              <w:rPr>
                <w:rFonts w:ascii="Arial" w:cs="Arial" w:eastAsia="Arial" w:hAnsi="Arial"/>
                <w:sz w:val="16"/>
                <w:szCs w:val="16"/>
                <w:b w:val="1"/>
                <w:bCs w:val="1"/>
                <w:color w:val="auto"/>
                <w:w w:val="92"/>
              </w:rPr>
              <w:t>Net</w:t>
            </w:r>
          </w:p>
        </w:tc>
      </w:tr>
      <w:tr>
        <w:trPr>
          <w:trHeight w:val="176"/>
        </w:trPr>
        <w:tc>
          <w:tcPr>
            <w:tcW w:w="4200" w:type="dxa"/>
            <w:vAlign w:val="bottom"/>
          </w:tcPr>
          <w:p>
            <w:pPr>
              <w:spacing w:after="0"/>
              <w:rPr>
                <w:sz w:val="15"/>
                <w:szCs w:val="15"/>
                <w:color w:val="auto"/>
              </w:rPr>
            </w:pPr>
          </w:p>
        </w:tc>
        <w:tc>
          <w:tcPr>
            <w:tcW w:w="8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Carrying</w:t>
            </w:r>
          </w:p>
        </w:tc>
        <w:tc>
          <w:tcPr>
            <w:tcW w:w="280" w:type="dxa"/>
            <w:vAlign w:val="bottom"/>
          </w:tcPr>
          <w:p>
            <w:pPr>
              <w:spacing w:after="0"/>
              <w:rPr>
                <w:sz w:val="15"/>
                <w:szCs w:val="15"/>
                <w:color w:val="auto"/>
              </w:rPr>
            </w:pPr>
          </w:p>
        </w:tc>
        <w:tc>
          <w:tcPr>
            <w:tcW w:w="1540" w:type="dxa"/>
            <w:vAlign w:val="bottom"/>
            <w:gridSpan w:val="3"/>
          </w:tcPr>
          <w:p>
            <w:pPr>
              <w:jc w:val="center"/>
              <w:ind w:right="300"/>
              <w:spacing w:after="0" w:line="176" w:lineRule="exact"/>
              <w:rPr>
                <w:sz w:val="20"/>
                <w:szCs w:val="20"/>
                <w:color w:val="auto"/>
              </w:rPr>
            </w:pPr>
            <w:r>
              <w:rPr>
                <w:rFonts w:ascii="Arial" w:cs="Arial" w:eastAsia="Arial" w:hAnsi="Arial"/>
                <w:sz w:val="16"/>
                <w:szCs w:val="16"/>
                <w:b w:val="1"/>
                <w:bCs w:val="1"/>
                <w:color w:val="auto"/>
                <w:w w:val="99"/>
              </w:rPr>
              <w:t>Accumulated</w:t>
            </w:r>
          </w:p>
        </w:tc>
        <w:tc>
          <w:tcPr>
            <w:tcW w:w="8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Carrying</w:t>
            </w:r>
          </w:p>
        </w:tc>
        <w:tc>
          <w:tcPr>
            <w:tcW w:w="280" w:type="dxa"/>
            <w:vAlign w:val="bottom"/>
          </w:tcPr>
          <w:p>
            <w:pPr>
              <w:spacing w:after="0"/>
              <w:rPr>
                <w:sz w:val="15"/>
                <w:szCs w:val="15"/>
                <w:color w:val="auto"/>
              </w:rPr>
            </w:pPr>
          </w:p>
        </w:tc>
        <w:tc>
          <w:tcPr>
            <w:tcW w:w="8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Carrying</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440"/>
              <w:spacing w:after="0" w:line="176" w:lineRule="exact"/>
              <w:rPr>
                <w:sz w:val="20"/>
                <w:szCs w:val="20"/>
                <w:color w:val="auto"/>
              </w:rPr>
            </w:pPr>
            <w:r>
              <w:rPr>
                <w:rFonts w:ascii="Arial" w:cs="Arial" w:eastAsia="Arial" w:hAnsi="Arial"/>
                <w:sz w:val="16"/>
                <w:szCs w:val="16"/>
                <w:b w:val="1"/>
                <w:bCs w:val="1"/>
                <w:color w:val="auto"/>
                <w:w w:val="99"/>
              </w:rPr>
              <w:t>Accumulated</w:t>
            </w:r>
          </w:p>
        </w:tc>
        <w:tc>
          <w:tcPr>
            <w:tcW w:w="84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Carrying</w:t>
            </w:r>
          </w:p>
        </w:tc>
      </w:tr>
      <w:tr>
        <w:trPr>
          <w:trHeight w:val="190"/>
        </w:trPr>
        <w:tc>
          <w:tcPr>
            <w:tcW w:w="420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8"/>
              </w:rPr>
              <w:t>Amortization</w:t>
            </w: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8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8"/>
              </w:rPr>
              <w:t>Amortization</w:t>
            </w:r>
          </w:p>
        </w:tc>
        <w:tc>
          <w:tcPr>
            <w:tcW w:w="120" w:type="dxa"/>
            <w:vAlign w:val="bottom"/>
          </w:tcPr>
          <w:p>
            <w:pPr>
              <w:spacing w:after="0"/>
              <w:rPr>
                <w:sz w:val="16"/>
                <w:szCs w:val="16"/>
                <w:color w:val="auto"/>
              </w:rPr>
            </w:pPr>
          </w:p>
        </w:tc>
        <w:tc>
          <w:tcPr>
            <w:tcW w:w="720" w:type="dxa"/>
            <w:vAlign w:val="bottom"/>
          </w:tcPr>
          <w:p>
            <w:pPr>
              <w:jc w:val="center"/>
              <w:ind w:right="27"/>
              <w:spacing w:after="0"/>
              <w:rPr>
                <w:sz w:val="20"/>
                <w:szCs w:val="20"/>
                <w:color w:val="auto"/>
              </w:rPr>
            </w:pPr>
            <w:r>
              <w:rPr>
                <w:rFonts w:ascii="Arial" w:cs="Arial" w:eastAsia="Arial" w:hAnsi="Arial"/>
                <w:sz w:val="16"/>
                <w:szCs w:val="16"/>
                <w:b w:val="1"/>
                <w:bCs w:val="1"/>
                <w:color w:val="auto"/>
                <w:w w:val="99"/>
              </w:rPr>
              <w:t>Amount</w:t>
            </w:r>
          </w:p>
        </w:tc>
      </w:tr>
      <w:tr>
        <w:trPr>
          <w:trHeight w:val="210"/>
        </w:trPr>
        <w:tc>
          <w:tcPr>
            <w:tcW w:w="420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Determinable life intangibles:</w:t>
            </w:r>
          </w:p>
        </w:tc>
        <w:tc>
          <w:tcPr>
            <w:tcW w:w="14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110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620" w:type="dxa"/>
            <w:vAlign w:val="bottom"/>
            <w:tcBorders>
              <w:top w:val="single" w:sz="8" w:color="auto"/>
            </w:tcBorders>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64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spacing w:after="0"/>
              <w:rPr>
                <w:sz w:val="18"/>
                <w:szCs w:val="18"/>
                <w:color w:val="auto"/>
              </w:rPr>
            </w:pPr>
          </w:p>
        </w:tc>
      </w:tr>
      <w:tr>
        <w:trPr>
          <w:trHeight w:val="243"/>
        </w:trPr>
        <w:tc>
          <w:tcPr>
            <w:tcW w:w="4200" w:type="dxa"/>
            <w:vAlign w:val="bottom"/>
          </w:tcPr>
          <w:p>
            <w:pPr>
              <w:ind w:left="360"/>
              <w:spacing w:after="0"/>
              <w:rPr>
                <w:sz w:val="20"/>
                <w:szCs w:val="20"/>
                <w:color w:val="auto"/>
              </w:rPr>
            </w:pPr>
            <w:r>
              <w:rPr>
                <w:rFonts w:ascii="Arial" w:cs="Arial" w:eastAsia="Arial" w:hAnsi="Arial"/>
                <w:sz w:val="19"/>
                <w:szCs w:val="19"/>
                <w:color w:val="auto"/>
              </w:rPr>
              <w:t>Patents and technology</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1,996</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(1,332)</w:t>
            </w:r>
          </w:p>
        </w:tc>
        <w:tc>
          <w:tcPr>
            <w:tcW w:w="3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664</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1,990</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(1,272)</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718</w:t>
            </w:r>
          </w:p>
        </w:tc>
      </w:tr>
      <w:tr>
        <w:trPr>
          <w:trHeight w:val="243"/>
        </w:trPr>
        <w:tc>
          <w:tcPr>
            <w:tcW w:w="4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Customer relationships</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3,785</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1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(1,510)</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2,275</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3,911</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(1,366)</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2,545</w:t>
            </w:r>
          </w:p>
        </w:tc>
      </w:tr>
      <w:tr>
        <w:trPr>
          <w:trHeight w:val="243"/>
        </w:trPr>
        <w:tc>
          <w:tcPr>
            <w:tcW w:w="4200" w:type="dxa"/>
            <w:vAlign w:val="bottom"/>
          </w:tcPr>
          <w:p>
            <w:pPr>
              <w:ind w:left="360"/>
              <w:spacing w:after="0"/>
              <w:rPr>
                <w:sz w:val="20"/>
                <w:szCs w:val="20"/>
                <w:color w:val="auto"/>
              </w:rPr>
            </w:pPr>
            <w:r>
              <w:rPr>
                <w:rFonts w:ascii="Arial" w:cs="Arial" w:eastAsia="Arial" w:hAnsi="Arial"/>
                <w:sz w:val="19"/>
                <w:szCs w:val="19"/>
                <w:color w:val="auto"/>
              </w:rPr>
              <w:t>Trademarks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326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(206)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120</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328</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(189)</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139</w:t>
            </w:r>
          </w:p>
        </w:tc>
      </w:tr>
      <w:tr>
        <w:trPr>
          <w:trHeight w:val="243"/>
        </w:trPr>
        <w:tc>
          <w:tcPr>
            <w:tcW w:w="4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Other</w:t>
            </w:r>
          </w:p>
        </w:tc>
        <w:tc>
          <w:tcPr>
            <w:tcW w:w="1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349</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(299)</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50</w:t>
            </w:r>
          </w:p>
        </w:tc>
        <w:tc>
          <w:tcPr>
            <w:tcW w:w="28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353</w:t>
            </w:r>
          </w:p>
        </w:tc>
        <w:tc>
          <w:tcPr>
            <w:tcW w:w="32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(304)</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49</w:t>
            </w:r>
          </w:p>
        </w:tc>
      </w:tr>
      <w:tr>
        <w:trPr>
          <w:trHeight w:val="257"/>
        </w:trPr>
        <w:tc>
          <w:tcPr>
            <w:tcW w:w="4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6,456</w:t>
            </w:r>
          </w:p>
        </w:tc>
        <w:tc>
          <w:tcPr>
            <w:tcW w:w="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(3,347)</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3,109</w:t>
            </w:r>
          </w:p>
        </w:tc>
        <w:tc>
          <w:tcPr>
            <w:tcW w:w="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6,582</w:t>
            </w:r>
          </w:p>
        </w:tc>
        <w:tc>
          <w:tcPr>
            <w:tcW w:w="3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(3,131)</w:t>
            </w:r>
          </w:p>
        </w:tc>
        <w:tc>
          <w:tcPr>
            <w:tcW w:w="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3,451</w:t>
            </w:r>
          </w:p>
        </w:tc>
      </w:tr>
      <w:tr>
        <w:trPr>
          <w:trHeight w:val="216"/>
        </w:trPr>
        <w:tc>
          <w:tcPr>
            <w:tcW w:w="420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Indefinite life intangibles:</w:t>
            </w:r>
          </w:p>
        </w:tc>
        <w:tc>
          <w:tcPr>
            <w:tcW w:w="14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r>
      <w:tr>
        <w:trPr>
          <w:trHeight w:val="250"/>
        </w:trPr>
        <w:tc>
          <w:tcPr>
            <w:tcW w:w="4200" w:type="dxa"/>
            <w:vAlign w:val="bottom"/>
          </w:tcPr>
          <w:p>
            <w:pPr>
              <w:ind w:left="360"/>
              <w:spacing w:after="0"/>
              <w:rPr>
                <w:sz w:val="20"/>
                <w:szCs w:val="20"/>
                <w:color w:val="auto"/>
              </w:rPr>
            </w:pPr>
            <w:r>
              <w:rPr>
                <w:rFonts w:ascii="Arial" w:cs="Arial" w:eastAsia="Arial" w:hAnsi="Arial"/>
                <w:sz w:val="19"/>
                <w:szCs w:val="19"/>
                <w:color w:val="auto"/>
              </w:rPr>
              <w:t>Trademarks</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1,030</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1,030</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1,045</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7"/>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1,045</w:t>
            </w:r>
          </w:p>
        </w:tc>
      </w:tr>
      <w:tr>
        <w:trPr>
          <w:trHeight w:val="243"/>
        </w:trPr>
        <w:tc>
          <w:tcPr>
            <w:tcW w:w="4200" w:type="dxa"/>
            <w:vAlign w:val="bottom"/>
            <w:shd w:val="clear" w:color="auto" w:fill="E5FFFF"/>
          </w:tcPr>
          <w:p>
            <w:pPr>
              <w:spacing w:after="0"/>
              <w:rPr>
                <w:sz w:val="21"/>
                <w:szCs w:val="21"/>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7,486</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(3,347)</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4,139</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7,627</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(3,131)</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4,496</w:t>
            </w:r>
          </w:p>
        </w:tc>
      </w:tr>
      <w:tr>
        <w:trPr>
          <w:trHeight w:val="20"/>
        </w:trPr>
        <w:tc>
          <w:tcPr>
            <w:tcW w:w="4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200" w:firstLine="357"/>
        <w:spacing w:after="0" w:line="245" w:lineRule="auto"/>
        <w:rPr>
          <w:sz w:val="20"/>
          <w:szCs w:val="20"/>
          <w:color w:val="auto"/>
        </w:rPr>
      </w:pPr>
      <w:r>
        <w:rPr>
          <w:rFonts w:ascii="Arial" w:cs="Arial" w:eastAsia="Arial" w:hAnsi="Arial"/>
          <w:sz w:val="19"/>
          <w:szCs w:val="19"/>
          <w:color w:val="auto"/>
        </w:rPr>
        <w:t>Intangible assets amortization expense was $395 million, $398 million, and $304 million in 2018, 2017, 2016. Estimated intangible asset amortization expense for each of the next five years approximates $386 million in 2019, $349 million in 2020, $312 million in 2021, $288 million in 2022, and $251 million in 2023.</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12. Accrued Liabilities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6"/>
              <w:spacing w:after="0" w:line="169" w:lineRule="exact"/>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4"/>
              <w:spacing w:after="0" w:line="169" w:lineRule="exact"/>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740" w:type="dxa"/>
            <w:vAlign w:val="bottom"/>
            <w:shd w:val="clear" w:color="auto" w:fill="E5FFFF"/>
          </w:tcPr>
          <w:p>
            <w:pPr>
              <w:spacing w:after="0"/>
              <w:rPr>
                <w:sz w:val="20"/>
                <w:szCs w:val="20"/>
                <w:color w:val="auto"/>
              </w:rPr>
            </w:pPr>
            <w:r>
              <w:rPr>
                <w:rFonts w:ascii="Arial" w:cs="Arial" w:eastAsia="Arial" w:hAnsi="Arial"/>
                <w:sz w:val="19"/>
                <w:szCs w:val="19"/>
                <w:color w:val="auto"/>
              </w:rPr>
              <w:t>Customer advances and deferred income</w:t>
            </w:r>
          </w:p>
        </w:tc>
        <w:tc>
          <w:tcPr>
            <w:tcW w:w="42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2,403</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2,198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9"/>
                <w:szCs w:val="19"/>
                <w:color w:val="auto"/>
              </w:rPr>
              <w:t>Compensation, benefit and other employee related</w:t>
            </w:r>
          </w:p>
        </w:tc>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1,469</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1,420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shd w:val="clear" w:color="auto" w:fill="E5FFFF"/>
          </w:tcPr>
          <w:p>
            <w:pPr>
              <w:spacing w:after="0"/>
              <w:rPr>
                <w:sz w:val="20"/>
                <w:szCs w:val="20"/>
                <w:color w:val="auto"/>
              </w:rPr>
            </w:pPr>
            <w:r>
              <w:rPr>
                <w:rFonts w:ascii="Arial" w:cs="Arial" w:eastAsia="Arial" w:hAnsi="Arial"/>
                <w:sz w:val="19"/>
                <w:szCs w:val="19"/>
                <w:color w:val="auto"/>
              </w:rPr>
              <w:t>Asbestos related liabilities</w:t>
            </w:r>
          </w:p>
        </w:tc>
        <w:tc>
          <w:tcPr>
            <w:tcW w:w="4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245</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9"/>
                <w:szCs w:val="19"/>
                <w:color w:val="auto"/>
              </w:rPr>
              <w:t>Repositioning</w:t>
            </w:r>
          </w:p>
        </w:tc>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566</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508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shd w:val="clear" w:color="auto" w:fill="E5FFFF"/>
          </w:tcPr>
          <w:p>
            <w:pPr>
              <w:spacing w:after="0"/>
              <w:rPr>
                <w:sz w:val="20"/>
                <w:szCs w:val="20"/>
                <w:color w:val="auto"/>
              </w:rPr>
            </w:pPr>
            <w:r>
              <w:rPr>
                <w:rFonts w:ascii="Arial" w:cs="Arial" w:eastAsia="Arial" w:hAnsi="Arial"/>
                <w:sz w:val="19"/>
                <w:szCs w:val="19"/>
                <w:color w:val="auto"/>
              </w:rPr>
              <w:t>Product warranties and performance guarantees</w:t>
            </w:r>
          </w:p>
        </w:tc>
        <w:tc>
          <w:tcPr>
            <w:tcW w:w="4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243</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9"/>
                <w:szCs w:val="19"/>
                <w:color w:val="auto"/>
              </w:rPr>
              <w:t>Environmental costs</w:t>
            </w:r>
          </w:p>
        </w:tc>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175</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226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shd w:val="clear" w:color="auto" w:fill="E5FFFF"/>
          </w:tcPr>
          <w:p>
            <w:pPr>
              <w:spacing w:after="0"/>
              <w:rPr>
                <w:sz w:val="20"/>
                <w:szCs w:val="20"/>
                <w:color w:val="auto"/>
              </w:rPr>
            </w:pPr>
            <w:r>
              <w:rPr>
                <w:rFonts w:ascii="Arial" w:cs="Arial" w:eastAsia="Arial" w:hAnsi="Arial"/>
                <w:sz w:val="19"/>
                <w:szCs w:val="19"/>
                <w:color w:val="auto"/>
              </w:rPr>
              <w:t>Income taxes</w:t>
            </w:r>
          </w:p>
        </w:tc>
        <w:tc>
          <w:tcPr>
            <w:tcW w:w="4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166</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9"/>
                <w:szCs w:val="19"/>
                <w:color w:val="auto"/>
              </w:rPr>
              <w:t>Accrued interest</w:t>
            </w:r>
          </w:p>
        </w:tc>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94</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94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shd w:val="clear" w:color="auto" w:fill="E5FFFF"/>
          </w:tcPr>
          <w:p>
            <w:pPr>
              <w:spacing w:after="0"/>
              <w:rPr>
                <w:sz w:val="20"/>
                <w:szCs w:val="20"/>
                <w:color w:val="auto"/>
              </w:rPr>
            </w:pPr>
            <w:r>
              <w:rPr>
                <w:rFonts w:ascii="Arial" w:cs="Arial" w:eastAsia="Arial" w:hAnsi="Arial"/>
                <w:sz w:val="19"/>
                <w:szCs w:val="19"/>
                <w:color w:val="auto"/>
              </w:rPr>
              <w:t>Other taxes</w:t>
            </w:r>
          </w:p>
        </w:tc>
        <w:tc>
          <w:tcPr>
            <w:tcW w:w="4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234</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9"/>
                <w:szCs w:val="19"/>
                <w:color w:val="auto"/>
              </w:rPr>
              <w:t>Insurance</w:t>
            </w:r>
          </w:p>
        </w:tc>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170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199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shd w:val="clear" w:color="auto" w:fill="E5FFFF"/>
          </w:tcPr>
          <w:p>
            <w:pPr>
              <w:spacing w:after="0"/>
              <w:rPr>
                <w:sz w:val="20"/>
                <w:szCs w:val="20"/>
                <w:color w:val="auto"/>
              </w:rPr>
            </w:pPr>
            <w:r>
              <w:rPr>
                <w:rFonts w:ascii="Arial" w:cs="Arial" w:eastAsia="Arial" w:hAnsi="Arial"/>
                <w:sz w:val="19"/>
                <w:szCs w:val="19"/>
                <w:color w:val="auto"/>
              </w:rPr>
              <w:t>Other (primarily operating expenses)</w:t>
            </w:r>
          </w:p>
        </w:tc>
        <w:tc>
          <w:tcPr>
            <w:tcW w:w="41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1,094</w:t>
            </w:r>
          </w:p>
        </w:tc>
        <w:tc>
          <w:tcPr>
            <w:tcW w:w="32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1,255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4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6,859</w:t>
            </w: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6,968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100" w:type="dxa"/>
            <w:vAlign w:val="bottom"/>
            <w:vMerge w:val="restart"/>
          </w:tcPr>
          <w:p>
            <w:pPr>
              <w:jc w:val="right"/>
              <w:ind w:right="3423"/>
              <w:spacing w:after="0"/>
              <w:rPr>
                <w:sz w:val="20"/>
                <w:szCs w:val="20"/>
                <w:color w:val="auto"/>
              </w:rPr>
            </w:pPr>
            <w:r>
              <w:rPr>
                <w:rFonts w:ascii="Arial" w:cs="Arial" w:eastAsia="Arial" w:hAnsi="Arial"/>
                <w:sz w:val="19"/>
                <w:szCs w:val="19"/>
                <w:color w:val="auto"/>
              </w:rPr>
              <w:t>60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13. Long-term Debt and Credit Agreements</w:t>
      </w:r>
    </w:p>
    <w:p>
      <w:pPr>
        <w:spacing w:after="0" w:line="39" w:lineRule="exact"/>
        <w:rPr>
          <w:sz w:val="20"/>
          <w:szCs w:val="20"/>
          <w:color w:val="auto"/>
        </w:rPr>
      </w:pPr>
    </w:p>
    <w:p>
      <w:pPr>
        <w:ind w:left="9640"/>
        <w:spacing w:after="0"/>
        <w:rPr>
          <w:sz w:val="20"/>
          <w:szCs w:val="20"/>
          <w:color w:val="auto"/>
        </w:rPr>
      </w:pPr>
      <w:r>
        <w:rPr>
          <w:rFonts w:ascii="Arial" w:cs="Arial" w:eastAsia="Arial" w:hAnsi="Arial"/>
          <w:sz w:val="16"/>
          <w:szCs w:val="16"/>
          <w:b w:val="1"/>
          <w:bCs w:val="1"/>
          <w:color w:val="auto"/>
        </w:rPr>
        <w:t>December 31,</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14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2"/>
          </w:tcPr>
          <w:p>
            <w:pPr>
              <w:jc w:val="right"/>
              <w:ind w:right="212"/>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gridSpan w:val="2"/>
          </w:tcPr>
          <w:p>
            <w:pPr>
              <w:jc w:val="right"/>
              <w:ind w:right="320"/>
              <w:spacing w:after="0" w:line="169" w:lineRule="exact"/>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87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Two year floating rate Euro notes due 2018</w:t>
            </w:r>
          </w:p>
        </w:tc>
        <w:tc>
          <w:tcPr>
            <w:tcW w:w="380" w:type="dxa"/>
            <w:vAlign w:val="bottom"/>
            <w:shd w:val="clear" w:color="auto" w:fill="E5FFFF"/>
          </w:tcPr>
          <w:p>
            <w:pPr>
              <w:spacing w:after="0"/>
              <w:rPr>
                <w:sz w:val="20"/>
                <w:szCs w:val="20"/>
                <w:color w:val="auto"/>
              </w:rPr>
            </w:pPr>
          </w:p>
        </w:tc>
        <w:tc>
          <w:tcPr>
            <w:tcW w:w="3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80" w:type="dxa"/>
            <w:vAlign w:val="bottom"/>
            <w:gridSpan w:val="3"/>
            <w:shd w:val="clear" w:color="auto" w:fill="E5FFFF"/>
          </w:tcPr>
          <w:p>
            <w:pPr>
              <w:jc w:val="right"/>
              <w:ind w:right="100"/>
              <w:spacing w:after="0"/>
              <w:rPr>
                <w:sz w:val="20"/>
                <w:szCs w:val="20"/>
                <w:color w:val="auto"/>
              </w:rPr>
            </w:pPr>
            <w:r>
              <w:rPr>
                <w:rFonts w:ascii="Arial" w:cs="Arial" w:eastAsia="Arial" w:hAnsi="Arial"/>
                <w:sz w:val="19"/>
                <w:szCs w:val="19"/>
                <w:color w:val="auto"/>
              </w:rPr>
              <w:t>1,199</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9"/>
                <w:szCs w:val="19"/>
                <w:color w:val="auto"/>
              </w:rPr>
              <w:t>1.40% notes due 2019</w:t>
            </w:r>
          </w:p>
        </w:tc>
        <w:tc>
          <w:tcPr>
            <w:tcW w:w="740" w:type="dxa"/>
            <w:vAlign w:val="bottom"/>
            <w:gridSpan w:val="2"/>
          </w:tcPr>
          <w:p>
            <w:pPr>
              <w:jc w:val="right"/>
              <w:spacing w:after="0"/>
              <w:rPr>
                <w:sz w:val="20"/>
                <w:szCs w:val="20"/>
                <w:color w:val="auto"/>
              </w:rPr>
            </w:pPr>
            <w:r>
              <w:rPr>
                <w:rFonts w:ascii="Arial" w:cs="Arial" w:eastAsia="Arial" w:hAnsi="Arial"/>
                <w:sz w:val="19"/>
                <w:szCs w:val="19"/>
                <w:color w:val="auto"/>
              </w:rPr>
              <w:t>1,250</w:t>
            </w:r>
          </w:p>
        </w:tc>
        <w:tc>
          <w:tcPr>
            <w:tcW w:w="1280" w:type="dxa"/>
            <w:vAlign w:val="bottom"/>
            <w:gridSpan w:val="3"/>
          </w:tcPr>
          <w:p>
            <w:pPr>
              <w:jc w:val="right"/>
              <w:ind w:right="100"/>
              <w:spacing w:after="0"/>
              <w:rPr>
                <w:sz w:val="20"/>
                <w:szCs w:val="20"/>
                <w:color w:val="auto"/>
              </w:rPr>
            </w:pPr>
            <w:r>
              <w:rPr>
                <w:rFonts w:ascii="Arial" w:cs="Arial" w:eastAsia="Arial" w:hAnsi="Arial"/>
                <w:sz w:val="19"/>
                <w:szCs w:val="19"/>
                <w:color w:val="auto"/>
              </w:rPr>
              <w:t>1,250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Three year floating rate notes due 2019</w:t>
            </w:r>
          </w:p>
        </w:tc>
        <w:tc>
          <w:tcPr>
            <w:tcW w:w="7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250</w:t>
            </w:r>
          </w:p>
        </w:tc>
        <w:tc>
          <w:tcPr>
            <w:tcW w:w="1280" w:type="dxa"/>
            <w:vAlign w:val="bottom"/>
            <w:gridSpan w:val="3"/>
            <w:shd w:val="clear" w:color="auto" w:fill="E5FFFF"/>
          </w:tcPr>
          <w:p>
            <w:pPr>
              <w:jc w:val="right"/>
              <w:ind w:right="100"/>
              <w:spacing w:after="0"/>
              <w:rPr>
                <w:sz w:val="20"/>
                <w:szCs w:val="20"/>
                <w:color w:val="auto"/>
              </w:rPr>
            </w:pPr>
            <w:r>
              <w:rPr>
                <w:rFonts w:ascii="Arial" w:cs="Arial" w:eastAsia="Arial" w:hAnsi="Arial"/>
                <w:sz w:val="19"/>
                <w:szCs w:val="19"/>
                <w:color w:val="auto"/>
              </w:rPr>
              <w:t>250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9"/>
                <w:szCs w:val="19"/>
                <w:color w:val="auto"/>
              </w:rPr>
              <w:t>Two year floating rate notes due 2019</w:t>
            </w:r>
          </w:p>
        </w:tc>
        <w:tc>
          <w:tcPr>
            <w:tcW w:w="740" w:type="dxa"/>
            <w:vAlign w:val="bottom"/>
            <w:gridSpan w:val="2"/>
          </w:tcPr>
          <w:p>
            <w:pPr>
              <w:jc w:val="right"/>
              <w:spacing w:after="0"/>
              <w:rPr>
                <w:sz w:val="20"/>
                <w:szCs w:val="20"/>
                <w:color w:val="auto"/>
              </w:rPr>
            </w:pPr>
            <w:r>
              <w:rPr>
                <w:rFonts w:ascii="Arial" w:cs="Arial" w:eastAsia="Arial" w:hAnsi="Arial"/>
                <w:sz w:val="19"/>
                <w:szCs w:val="19"/>
                <w:color w:val="auto"/>
              </w:rPr>
              <w:t>450</w:t>
            </w:r>
          </w:p>
        </w:tc>
        <w:tc>
          <w:tcPr>
            <w:tcW w:w="1280" w:type="dxa"/>
            <w:vAlign w:val="bottom"/>
            <w:gridSpan w:val="3"/>
          </w:tcPr>
          <w:p>
            <w:pPr>
              <w:jc w:val="right"/>
              <w:ind w:right="100"/>
              <w:spacing w:after="0"/>
              <w:rPr>
                <w:sz w:val="20"/>
                <w:szCs w:val="20"/>
                <w:color w:val="auto"/>
              </w:rPr>
            </w:pPr>
            <w:r>
              <w:rPr>
                <w:rFonts w:ascii="Arial" w:cs="Arial" w:eastAsia="Arial" w:hAnsi="Arial"/>
                <w:sz w:val="19"/>
                <w:szCs w:val="19"/>
                <w:color w:val="auto"/>
              </w:rPr>
              <w:t>450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1.80% notes due 2019</w:t>
            </w:r>
          </w:p>
        </w:tc>
        <w:tc>
          <w:tcPr>
            <w:tcW w:w="7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750</w:t>
            </w:r>
          </w:p>
        </w:tc>
        <w:tc>
          <w:tcPr>
            <w:tcW w:w="1280" w:type="dxa"/>
            <w:vAlign w:val="bottom"/>
            <w:gridSpan w:val="3"/>
            <w:shd w:val="clear" w:color="auto" w:fill="E5FFFF"/>
          </w:tcPr>
          <w:p>
            <w:pPr>
              <w:jc w:val="right"/>
              <w:ind w:right="100"/>
              <w:spacing w:after="0"/>
              <w:rPr>
                <w:sz w:val="20"/>
                <w:szCs w:val="20"/>
                <w:color w:val="auto"/>
              </w:rPr>
            </w:pPr>
            <w:r>
              <w:rPr>
                <w:rFonts w:ascii="Arial" w:cs="Arial" w:eastAsia="Arial" w:hAnsi="Arial"/>
                <w:sz w:val="19"/>
                <w:szCs w:val="19"/>
                <w:color w:val="auto"/>
              </w:rPr>
              <w:t>750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9"/>
                <w:szCs w:val="19"/>
                <w:color w:val="auto"/>
              </w:rPr>
              <w:t>0.65% Euro notes due 2020</w:t>
            </w:r>
          </w:p>
        </w:tc>
        <w:tc>
          <w:tcPr>
            <w:tcW w:w="740" w:type="dxa"/>
            <w:vAlign w:val="bottom"/>
            <w:gridSpan w:val="2"/>
          </w:tcPr>
          <w:p>
            <w:pPr>
              <w:jc w:val="right"/>
              <w:spacing w:after="0"/>
              <w:rPr>
                <w:sz w:val="20"/>
                <w:szCs w:val="20"/>
                <w:color w:val="auto"/>
              </w:rPr>
            </w:pPr>
            <w:r>
              <w:rPr>
                <w:rFonts w:ascii="Arial" w:cs="Arial" w:eastAsia="Arial" w:hAnsi="Arial"/>
                <w:sz w:val="19"/>
                <w:szCs w:val="19"/>
                <w:color w:val="auto"/>
              </w:rPr>
              <w:t>1,145</w:t>
            </w:r>
          </w:p>
        </w:tc>
        <w:tc>
          <w:tcPr>
            <w:tcW w:w="1280" w:type="dxa"/>
            <w:vAlign w:val="bottom"/>
            <w:gridSpan w:val="3"/>
          </w:tcPr>
          <w:p>
            <w:pPr>
              <w:jc w:val="right"/>
              <w:ind w:right="100"/>
              <w:spacing w:after="0"/>
              <w:rPr>
                <w:sz w:val="20"/>
                <w:szCs w:val="20"/>
                <w:color w:val="auto"/>
              </w:rPr>
            </w:pPr>
            <w:r>
              <w:rPr>
                <w:rFonts w:ascii="Arial" w:cs="Arial" w:eastAsia="Arial" w:hAnsi="Arial"/>
                <w:sz w:val="19"/>
                <w:szCs w:val="19"/>
                <w:color w:val="auto"/>
              </w:rPr>
              <w:t>1,199</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4.25% notes due 2021</w:t>
            </w:r>
          </w:p>
        </w:tc>
        <w:tc>
          <w:tcPr>
            <w:tcW w:w="7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800</w:t>
            </w:r>
          </w:p>
        </w:tc>
        <w:tc>
          <w:tcPr>
            <w:tcW w:w="1280" w:type="dxa"/>
            <w:vAlign w:val="bottom"/>
            <w:gridSpan w:val="3"/>
            <w:shd w:val="clear" w:color="auto" w:fill="E5FFFF"/>
          </w:tcPr>
          <w:p>
            <w:pPr>
              <w:jc w:val="right"/>
              <w:ind w:right="100"/>
              <w:spacing w:after="0"/>
              <w:rPr>
                <w:sz w:val="20"/>
                <w:szCs w:val="20"/>
                <w:color w:val="auto"/>
              </w:rPr>
            </w:pPr>
            <w:r>
              <w:rPr>
                <w:rFonts w:ascii="Arial" w:cs="Arial" w:eastAsia="Arial" w:hAnsi="Arial"/>
                <w:sz w:val="19"/>
                <w:szCs w:val="19"/>
                <w:color w:val="auto"/>
              </w:rPr>
              <w:t>800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9"/>
                <w:szCs w:val="19"/>
                <w:color w:val="auto"/>
              </w:rPr>
              <w:t>1.85% notes due 2021</w:t>
            </w:r>
          </w:p>
        </w:tc>
        <w:tc>
          <w:tcPr>
            <w:tcW w:w="740" w:type="dxa"/>
            <w:vAlign w:val="bottom"/>
            <w:gridSpan w:val="2"/>
          </w:tcPr>
          <w:p>
            <w:pPr>
              <w:jc w:val="right"/>
              <w:spacing w:after="0"/>
              <w:rPr>
                <w:sz w:val="20"/>
                <w:szCs w:val="20"/>
                <w:color w:val="auto"/>
              </w:rPr>
            </w:pPr>
            <w:r>
              <w:rPr>
                <w:rFonts w:ascii="Arial" w:cs="Arial" w:eastAsia="Arial" w:hAnsi="Arial"/>
                <w:sz w:val="19"/>
                <w:szCs w:val="19"/>
                <w:color w:val="auto"/>
              </w:rPr>
              <w:t>1,500</w:t>
            </w:r>
          </w:p>
        </w:tc>
        <w:tc>
          <w:tcPr>
            <w:tcW w:w="1280" w:type="dxa"/>
            <w:vAlign w:val="bottom"/>
            <w:gridSpan w:val="3"/>
          </w:tcPr>
          <w:p>
            <w:pPr>
              <w:jc w:val="right"/>
              <w:ind w:right="100"/>
              <w:spacing w:after="0"/>
              <w:rPr>
                <w:sz w:val="20"/>
                <w:szCs w:val="20"/>
                <w:color w:val="auto"/>
              </w:rPr>
            </w:pPr>
            <w:r>
              <w:rPr>
                <w:rFonts w:ascii="Arial" w:cs="Arial" w:eastAsia="Arial" w:hAnsi="Arial"/>
                <w:sz w:val="19"/>
                <w:szCs w:val="19"/>
                <w:color w:val="auto"/>
              </w:rPr>
              <w:t>1,500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1.30% Euro notes due 2023</w:t>
            </w:r>
          </w:p>
        </w:tc>
        <w:tc>
          <w:tcPr>
            <w:tcW w:w="7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1,432</w:t>
            </w:r>
          </w:p>
        </w:tc>
        <w:tc>
          <w:tcPr>
            <w:tcW w:w="1280" w:type="dxa"/>
            <w:vAlign w:val="bottom"/>
            <w:gridSpan w:val="3"/>
            <w:shd w:val="clear" w:color="auto" w:fill="E5FFFF"/>
          </w:tcPr>
          <w:p>
            <w:pPr>
              <w:jc w:val="right"/>
              <w:ind w:right="100"/>
              <w:spacing w:after="0"/>
              <w:rPr>
                <w:sz w:val="20"/>
                <w:szCs w:val="20"/>
                <w:color w:val="auto"/>
              </w:rPr>
            </w:pPr>
            <w:r>
              <w:rPr>
                <w:rFonts w:ascii="Arial" w:cs="Arial" w:eastAsia="Arial" w:hAnsi="Arial"/>
                <w:sz w:val="19"/>
                <w:szCs w:val="19"/>
                <w:color w:val="auto"/>
              </w:rPr>
              <w:t>1,499</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9"/>
                <w:szCs w:val="19"/>
                <w:color w:val="auto"/>
              </w:rPr>
              <w:t>3.35% notes due 2023</w:t>
            </w:r>
          </w:p>
        </w:tc>
        <w:tc>
          <w:tcPr>
            <w:tcW w:w="740" w:type="dxa"/>
            <w:vAlign w:val="bottom"/>
            <w:gridSpan w:val="2"/>
          </w:tcPr>
          <w:p>
            <w:pPr>
              <w:jc w:val="right"/>
              <w:spacing w:after="0"/>
              <w:rPr>
                <w:sz w:val="20"/>
                <w:szCs w:val="20"/>
                <w:color w:val="auto"/>
              </w:rPr>
            </w:pPr>
            <w:r>
              <w:rPr>
                <w:rFonts w:ascii="Arial" w:cs="Arial" w:eastAsia="Arial" w:hAnsi="Arial"/>
                <w:sz w:val="19"/>
                <w:szCs w:val="19"/>
                <w:color w:val="auto"/>
              </w:rPr>
              <w:t>300</w:t>
            </w:r>
          </w:p>
        </w:tc>
        <w:tc>
          <w:tcPr>
            <w:tcW w:w="1280" w:type="dxa"/>
            <w:vAlign w:val="bottom"/>
            <w:gridSpan w:val="3"/>
          </w:tcPr>
          <w:p>
            <w:pPr>
              <w:jc w:val="right"/>
              <w:ind w:right="100"/>
              <w:spacing w:after="0"/>
              <w:rPr>
                <w:sz w:val="20"/>
                <w:szCs w:val="20"/>
                <w:color w:val="auto"/>
              </w:rPr>
            </w:pPr>
            <w:r>
              <w:rPr>
                <w:rFonts w:ascii="Arial" w:cs="Arial" w:eastAsia="Arial" w:hAnsi="Arial"/>
                <w:sz w:val="19"/>
                <w:szCs w:val="19"/>
                <w:color w:val="auto"/>
              </w:rPr>
              <w:t>300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2.50% notes due 2026</w:t>
            </w:r>
          </w:p>
        </w:tc>
        <w:tc>
          <w:tcPr>
            <w:tcW w:w="7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1,500</w:t>
            </w:r>
          </w:p>
        </w:tc>
        <w:tc>
          <w:tcPr>
            <w:tcW w:w="1280" w:type="dxa"/>
            <w:vAlign w:val="bottom"/>
            <w:gridSpan w:val="3"/>
            <w:shd w:val="clear" w:color="auto" w:fill="E5FFFF"/>
          </w:tcPr>
          <w:p>
            <w:pPr>
              <w:jc w:val="right"/>
              <w:ind w:right="100"/>
              <w:spacing w:after="0"/>
              <w:rPr>
                <w:sz w:val="20"/>
                <w:szCs w:val="20"/>
                <w:color w:val="auto"/>
              </w:rPr>
            </w:pPr>
            <w:r>
              <w:rPr>
                <w:rFonts w:ascii="Arial" w:cs="Arial" w:eastAsia="Arial" w:hAnsi="Arial"/>
                <w:sz w:val="19"/>
                <w:szCs w:val="19"/>
                <w:color w:val="auto"/>
              </w:rPr>
              <w:t>1,500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9"/>
                <w:szCs w:val="19"/>
                <w:color w:val="auto"/>
              </w:rPr>
              <w:t>2.25% Euro notes due 2028</w:t>
            </w:r>
          </w:p>
        </w:tc>
        <w:tc>
          <w:tcPr>
            <w:tcW w:w="740" w:type="dxa"/>
            <w:vAlign w:val="bottom"/>
            <w:gridSpan w:val="2"/>
          </w:tcPr>
          <w:p>
            <w:pPr>
              <w:jc w:val="right"/>
              <w:spacing w:after="0"/>
              <w:rPr>
                <w:sz w:val="20"/>
                <w:szCs w:val="20"/>
                <w:color w:val="auto"/>
              </w:rPr>
            </w:pPr>
            <w:r>
              <w:rPr>
                <w:rFonts w:ascii="Arial" w:cs="Arial" w:eastAsia="Arial" w:hAnsi="Arial"/>
                <w:sz w:val="19"/>
                <w:szCs w:val="19"/>
                <w:color w:val="auto"/>
              </w:rPr>
              <w:t>859</w:t>
            </w:r>
          </w:p>
        </w:tc>
        <w:tc>
          <w:tcPr>
            <w:tcW w:w="1280" w:type="dxa"/>
            <w:vAlign w:val="bottom"/>
            <w:gridSpan w:val="3"/>
          </w:tcPr>
          <w:p>
            <w:pPr>
              <w:jc w:val="right"/>
              <w:ind w:right="100"/>
              <w:spacing w:after="0"/>
              <w:rPr>
                <w:sz w:val="20"/>
                <w:szCs w:val="20"/>
                <w:color w:val="auto"/>
              </w:rPr>
            </w:pPr>
            <w:r>
              <w:rPr>
                <w:rFonts w:ascii="Arial" w:cs="Arial" w:eastAsia="Arial" w:hAnsi="Arial"/>
                <w:sz w:val="19"/>
                <w:szCs w:val="19"/>
                <w:color w:val="auto"/>
              </w:rPr>
              <w:t>900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5.70% notes due 2036</w:t>
            </w:r>
          </w:p>
        </w:tc>
        <w:tc>
          <w:tcPr>
            <w:tcW w:w="7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441</w:t>
            </w:r>
          </w:p>
        </w:tc>
        <w:tc>
          <w:tcPr>
            <w:tcW w:w="1280" w:type="dxa"/>
            <w:vAlign w:val="bottom"/>
            <w:gridSpan w:val="3"/>
            <w:shd w:val="clear" w:color="auto" w:fill="E5FFFF"/>
          </w:tcPr>
          <w:p>
            <w:pPr>
              <w:jc w:val="right"/>
              <w:ind w:right="100"/>
              <w:spacing w:after="0"/>
              <w:rPr>
                <w:sz w:val="20"/>
                <w:szCs w:val="20"/>
                <w:color w:val="auto"/>
              </w:rPr>
            </w:pPr>
            <w:r>
              <w:rPr>
                <w:rFonts w:ascii="Arial" w:cs="Arial" w:eastAsia="Arial" w:hAnsi="Arial"/>
                <w:sz w:val="19"/>
                <w:szCs w:val="19"/>
                <w:color w:val="auto"/>
              </w:rPr>
              <w:t>441</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9"/>
                <w:szCs w:val="19"/>
                <w:color w:val="auto"/>
              </w:rPr>
              <w:t>5.70% notes due 2037</w:t>
            </w:r>
          </w:p>
        </w:tc>
        <w:tc>
          <w:tcPr>
            <w:tcW w:w="740" w:type="dxa"/>
            <w:vAlign w:val="bottom"/>
            <w:gridSpan w:val="2"/>
          </w:tcPr>
          <w:p>
            <w:pPr>
              <w:jc w:val="right"/>
              <w:spacing w:after="0"/>
              <w:rPr>
                <w:sz w:val="20"/>
                <w:szCs w:val="20"/>
                <w:color w:val="auto"/>
              </w:rPr>
            </w:pPr>
            <w:r>
              <w:rPr>
                <w:rFonts w:ascii="Arial" w:cs="Arial" w:eastAsia="Arial" w:hAnsi="Arial"/>
                <w:sz w:val="19"/>
                <w:szCs w:val="19"/>
                <w:color w:val="auto"/>
              </w:rPr>
              <w:t>462</w:t>
            </w:r>
          </w:p>
        </w:tc>
        <w:tc>
          <w:tcPr>
            <w:tcW w:w="1280" w:type="dxa"/>
            <w:vAlign w:val="bottom"/>
            <w:gridSpan w:val="3"/>
          </w:tcPr>
          <w:p>
            <w:pPr>
              <w:jc w:val="right"/>
              <w:ind w:right="100"/>
              <w:spacing w:after="0"/>
              <w:rPr>
                <w:sz w:val="20"/>
                <w:szCs w:val="20"/>
                <w:color w:val="auto"/>
              </w:rPr>
            </w:pPr>
            <w:r>
              <w:rPr>
                <w:rFonts w:ascii="Arial" w:cs="Arial" w:eastAsia="Arial" w:hAnsi="Arial"/>
                <w:sz w:val="19"/>
                <w:szCs w:val="19"/>
                <w:color w:val="auto"/>
              </w:rPr>
              <w:t>462</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5.375% notes due 2041</w:t>
            </w:r>
          </w:p>
        </w:tc>
        <w:tc>
          <w:tcPr>
            <w:tcW w:w="7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417</w:t>
            </w:r>
          </w:p>
        </w:tc>
        <w:tc>
          <w:tcPr>
            <w:tcW w:w="1280" w:type="dxa"/>
            <w:vAlign w:val="bottom"/>
            <w:gridSpan w:val="3"/>
            <w:shd w:val="clear" w:color="auto" w:fill="E5FFFF"/>
          </w:tcPr>
          <w:p>
            <w:pPr>
              <w:jc w:val="right"/>
              <w:ind w:right="100"/>
              <w:spacing w:after="0"/>
              <w:rPr>
                <w:sz w:val="20"/>
                <w:szCs w:val="20"/>
                <w:color w:val="auto"/>
              </w:rPr>
            </w:pPr>
            <w:r>
              <w:rPr>
                <w:rFonts w:ascii="Arial" w:cs="Arial" w:eastAsia="Arial" w:hAnsi="Arial"/>
                <w:sz w:val="19"/>
                <w:szCs w:val="19"/>
                <w:color w:val="auto"/>
              </w:rPr>
              <w:t>417</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9"/>
                <w:szCs w:val="19"/>
                <w:color w:val="auto"/>
              </w:rPr>
              <w:t>3.812% notes due 2047</w:t>
            </w:r>
          </w:p>
        </w:tc>
        <w:tc>
          <w:tcPr>
            <w:tcW w:w="740" w:type="dxa"/>
            <w:vAlign w:val="bottom"/>
            <w:gridSpan w:val="2"/>
          </w:tcPr>
          <w:p>
            <w:pPr>
              <w:jc w:val="right"/>
              <w:spacing w:after="0"/>
              <w:rPr>
                <w:sz w:val="20"/>
                <w:szCs w:val="20"/>
                <w:color w:val="auto"/>
              </w:rPr>
            </w:pPr>
            <w:r>
              <w:rPr>
                <w:rFonts w:ascii="Arial" w:cs="Arial" w:eastAsia="Arial" w:hAnsi="Arial"/>
                <w:sz w:val="19"/>
                <w:szCs w:val="19"/>
                <w:color w:val="auto"/>
              </w:rPr>
              <w:t>445</w:t>
            </w:r>
          </w:p>
        </w:tc>
        <w:tc>
          <w:tcPr>
            <w:tcW w:w="1280" w:type="dxa"/>
            <w:vAlign w:val="bottom"/>
            <w:gridSpan w:val="3"/>
          </w:tcPr>
          <w:p>
            <w:pPr>
              <w:jc w:val="right"/>
              <w:ind w:right="100"/>
              <w:spacing w:after="0"/>
              <w:rPr>
                <w:sz w:val="20"/>
                <w:szCs w:val="20"/>
                <w:color w:val="auto"/>
              </w:rPr>
            </w:pPr>
            <w:r>
              <w:rPr>
                <w:rFonts w:ascii="Arial" w:cs="Arial" w:eastAsia="Arial" w:hAnsi="Arial"/>
                <w:sz w:val="19"/>
                <w:szCs w:val="19"/>
                <w:color w:val="auto"/>
              </w:rPr>
              <w:t>445</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Industrial development bond obligations, floating rate maturing at various dates through 2037</w:t>
            </w:r>
          </w:p>
        </w:tc>
        <w:tc>
          <w:tcPr>
            <w:tcW w:w="7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22</w:t>
            </w:r>
          </w:p>
        </w:tc>
        <w:tc>
          <w:tcPr>
            <w:tcW w:w="1280" w:type="dxa"/>
            <w:vAlign w:val="bottom"/>
            <w:gridSpan w:val="3"/>
            <w:shd w:val="clear" w:color="auto" w:fill="E5FFFF"/>
          </w:tcPr>
          <w:p>
            <w:pPr>
              <w:jc w:val="right"/>
              <w:ind w:right="100"/>
              <w:spacing w:after="0"/>
              <w:rPr>
                <w:sz w:val="20"/>
                <w:szCs w:val="20"/>
                <w:color w:val="auto"/>
              </w:rPr>
            </w:pPr>
            <w:r>
              <w:rPr>
                <w:rFonts w:ascii="Arial" w:cs="Arial" w:eastAsia="Arial" w:hAnsi="Arial"/>
                <w:sz w:val="19"/>
                <w:szCs w:val="19"/>
                <w:color w:val="auto"/>
              </w:rPr>
              <w:t>22</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9"/>
                <w:szCs w:val="19"/>
                <w:color w:val="auto"/>
              </w:rPr>
              <w:t>6.625% debentures due 2028</w:t>
            </w:r>
          </w:p>
        </w:tc>
        <w:tc>
          <w:tcPr>
            <w:tcW w:w="740" w:type="dxa"/>
            <w:vAlign w:val="bottom"/>
            <w:gridSpan w:val="2"/>
          </w:tcPr>
          <w:p>
            <w:pPr>
              <w:jc w:val="right"/>
              <w:spacing w:after="0"/>
              <w:rPr>
                <w:sz w:val="20"/>
                <w:szCs w:val="20"/>
                <w:color w:val="auto"/>
              </w:rPr>
            </w:pPr>
            <w:r>
              <w:rPr>
                <w:rFonts w:ascii="Arial" w:cs="Arial" w:eastAsia="Arial" w:hAnsi="Arial"/>
                <w:sz w:val="19"/>
                <w:szCs w:val="19"/>
                <w:color w:val="auto"/>
              </w:rPr>
              <w:t>201</w:t>
            </w:r>
          </w:p>
        </w:tc>
        <w:tc>
          <w:tcPr>
            <w:tcW w:w="1280" w:type="dxa"/>
            <w:vAlign w:val="bottom"/>
            <w:gridSpan w:val="3"/>
          </w:tcPr>
          <w:p>
            <w:pPr>
              <w:jc w:val="right"/>
              <w:ind w:right="100"/>
              <w:spacing w:after="0"/>
              <w:rPr>
                <w:sz w:val="20"/>
                <w:szCs w:val="20"/>
                <w:color w:val="auto"/>
              </w:rPr>
            </w:pPr>
            <w:r>
              <w:rPr>
                <w:rFonts w:ascii="Arial" w:cs="Arial" w:eastAsia="Arial" w:hAnsi="Arial"/>
                <w:sz w:val="19"/>
                <w:szCs w:val="19"/>
                <w:color w:val="auto"/>
              </w:rPr>
              <w:t>201</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7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9.065% debentures due 2033</w:t>
            </w:r>
          </w:p>
        </w:tc>
        <w:tc>
          <w:tcPr>
            <w:tcW w:w="7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51</w:t>
            </w:r>
          </w:p>
        </w:tc>
        <w:tc>
          <w:tcPr>
            <w:tcW w:w="1280" w:type="dxa"/>
            <w:vAlign w:val="bottom"/>
            <w:gridSpan w:val="3"/>
            <w:shd w:val="clear" w:color="auto" w:fill="E5FFFF"/>
          </w:tcPr>
          <w:p>
            <w:pPr>
              <w:jc w:val="right"/>
              <w:ind w:right="100"/>
              <w:spacing w:after="0"/>
              <w:rPr>
                <w:sz w:val="20"/>
                <w:szCs w:val="20"/>
                <w:color w:val="auto"/>
              </w:rPr>
            </w:pPr>
            <w:r>
              <w:rPr>
                <w:rFonts w:ascii="Arial" w:cs="Arial" w:eastAsia="Arial" w:hAnsi="Arial"/>
                <w:sz w:val="19"/>
                <w:szCs w:val="19"/>
                <w:color w:val="auto"/>
              </w:rPr>
              <w:t>51</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8740" w:type="dxa"/>
            <w:vAlign w:val="bottom"/>
            <w:gridSpan w:val="2"/>
          </w:tcPr>
          <w:p>
            <w:pPr>
              <w:spacing w:after="0" w:line="216" w:lineRule="exact"/>
              <w:rPr>
                <w:sz w:val="20"/>
                <w:szCs w:val="20"/>
                <w:color w:val="auto"/>
              </w:rPr>
            </w:pPr>
            <w:r>
              <w:rPr>
                <w:rFonts w:ascii="Arial" w:cs="Arial" w:eastAsia="Arial" w:hAnsi="Arial"/>
                <w:sz w:val="19"/>
                <w:szCs w:val="19"/>
                <w:color w:val="auto"/>
              </w:rPr>
              <w:t>Other (including capitalized leases and debt issuance costs), 5.0% weighted average maturing</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8540" w:type="dxa"/>
            <w:vAlign w:val="bottom"/>
          </w:tcPr>
          <w:p>
            <w:pPr>
              <w:ind w:left="180"/>
              <w:spacing w:after="0" w:line="216" w:lineRule="exact"/>
              <w:rPr>
                <w:sz w:val="20"/>
                <w:szCs w:val="20"/>
                <w:color w:val="auto"/>
              </w:rPr>
            </w:pPr>
            <w:r>
              <w:rPr>
                <w:rFonts w:ascii="Arial" w:cs="Arial" w:eastAsia="Arial" w:hAnsi="Arial"/>
                <w:sz w:val="19"/>
                <w:szCs w:val="19"/>
                <w:color w:val="auto"/>
              </w:rPr>
              <w:t>at various dates through 2025</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19"/>
                <w:szCs w:val="19"/>
                <w:color w:val="auto"/>
              </w:rPr>
              <w:t>353</w:t>
            </w:r>
          </w:p>
        </w:tc>
        <w:tc>
          <w:tcPr>
            <w:tcW w:w="300" w:type="dxa"/>
            <w:vAlign w:val="bottom"/>
          </w:tcPr>
          <w:p>
            <w:pPr>
              <w:spacing w:after="0"/>
              <w:rPr>
                <w:sz w:val="19"/>
                <w:szCs w:val="19"/>
                <w:color w:val="auto"/>
              </w:rPr>
            </w:pPr>
          </w:p>
        </w:tc>
        <w:tc>
          <w:tcPr>
            <w:tcW w:w="980" w:type="dxa"/>
            <w:vAlign w:val="bottom"/>
            <w:tcBorders>
              <w:bottom w:val="single" w:sz="8" w:color="auto"/>
            </w:tcBorders>
            <w:gridSpan w:val="2"/>
          </w:tcPr>
          <w:p>
            <w:pPr>
              <w:jc w:val="right"/>
              <w:ind w:right="100"/>
              <w:spacing w:after="0" w:line="216" w:lineRule="exact"/>
              <w:rPr>
                <w:sz w:val="20"/>
                <w:szCs w:val="20"/>
                <w:color w:val="auto"/>
              </w:rPr>
            </w:pPr>
            <w:r>
              <w:rPr>
                <w:rFonts w:ascii="Arial" w:cs="Arial" w:eastAsia="Arial" w:hAnsi="Arial"/>
                <w:sz w:val="19"/>
                <w:szCs w:val="19"/>
                <w:color w:val="auto"/>
              </w:rPr>
              <w:t>288</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5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12,628</w:t>
            </w:r>
          </w:p>
        </w:tc>
        <w:tc>
          <w:tcPr>
            <w:tcW w:w="1280" w:type="dxa"/>
            <w:vAlign w:val="bottom"/>
            <w:gridSpan w:val="3"/>
            <w:shd w:val="clear" w:color="auto" w:fill="E5FFFF"/>
          </w:tcPr>
          <w:p>
            <w:pPr>
              <w:jc w:val="right"/>
              <w:ind w:right="100"/>
              <w:spacing w:after="0"/>
              <w:rPr>
                <w:sz w:val="20"/>
                <w:szCs w:val="20"/>
                <w:color w:val="auto"/>
              </w:rPr>
            </w:pPr>
            <w:r>
              <w:rPr>
                <w:rFonts w:ascii="Arial" w:cs="Arial" w:eastAsia="Arial" w:hAnsi="Arial"/>
                <w:sz w:val="19"/>
                <w:szCs w:val="19"/>
                <w:color w:val="auto"/>
              </w:rPr>
              <w:t>13,924</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8540" w:type="dxa"/>
            <w:vAlign w:val="bottom"/>
          </w:tcPr>
          <w:p>
            <w:pPr>
              <w:spacing w:after="0"/>
              <w:rPr>
                <w:sz w:val="20"/>
                <w:szCs w:val="20"/>
                <w:color w:val="auto"/>
              </w:rPr>
            </w:pPr>
            <w:r>
              <w:rPr>
                <w:rFonts w:ascii="Arial" w:cs="Arial" w:eastAsia="Arial" w:hAnsi="Arial"/>
                <w:sz w:val="19"/>
                <w:szCs w:val="19"/>
                <w:color w:val="auto"/>
              </w:rPr>
              <w:t>Less: current portion</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(2,872)</w:t>
            </w:r>
          </w:p>
        </w:tc>
        <w:tc>
          <w:tcPr>
            <w:tcW w:w="300" w:type="dxa"/>
            <w:vAlign w:val="bottom"/>
          </w:tcPr>
          <w:p>
            <w:pPr>
              <w:spacing w:after="0"/>
              <w:rPr>
                <w:sz w:val="21"/>
                <w:szCs w:val="21"/>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9"/>
                <w:szCs w:val="19"/>
                <w:color w:val="auto"/>
              </w:rPr>
              <w:t>(1,351)</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540" w:type="dxa"/>
            <w:vAlign w:val="bottom"/>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9,756</w:t>
            </w:r>
          </w:p>
        </w:tc>
        <w:tc>
          <w:tcPr>
            <w:tcW w:w="300" w:type="dxa"/>
            <w:vAlign w:val="bottom"/>
            <w:shd w:val="clear" w:color="auto" w:fill="E5FFFF"/>
          </w:tcPr>
          <w:p>
            <w:pPr>
              <w:spacing w:after="0"/>
              <w:rPr>
                <w:sz w:val="21"/>
                <w:szCs w:val="21"/>
                <w:color w:val="auto"/>
              </w:rPr>
            </w:pPr>
          </w:p>
        </w:tc>
        <w:tc>
          <w:tcPr>
            <w:tcW w:w="98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  12,573</w:t>
            </w:r>
          </w:p>
        </w:tc>
        <w:tc>
          <w:tcPr>
            <w:tcW w:w="0" w:type="dxa"/>
            <w:vAlign w:val="bottom"/>
          </w:tcPr>
          <w:p>
            <w:pPr>
              <w:spacing w:after="0"/>
              <w:rPr>
                <w:sz w:val="1"/>
                <w:szCs w:val="1"/>
                <w:color w:val="auto"/>
              </w:rPr>
            </w:pPr>
          </w:p>
        </w:tc>
      </w:tr>
      <w:tr>
        <w:trPr>
          <w:trHeight w:val="20"/>
        </w:trPr>
        <w:tc>
          <w:tcPr>
            <w:tcW w:w="86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880" w:type="dxa"/>
            <w:vAlign w:val="bottom"/>
            <w:gridSpan w:val="3"/>
          </w:tcPr>
          <w:p>
            <w:pPr>
              <w:jc w:val="right"/>
              <w:ind w:right="3003"/>
              <w:spacing w:after="0"/>
              <w:rPr>
                <w:sz w:val="20"/>
                <w:szCs w:val="20"/>
                <w:color w:val="auto"/>
              </w:rPr>
            </w:pPr>
            <w:r>
              <w:rPr>
                <w:rFonts w:ascii="Arial" w:cs="Arial" w:eastAsia="Arial" w:hAnsi="Arial"/>
                <w:sz w:val="19"/>
                <w:szCs w:val="19"/>
                <w:color w:val="auto"/>
              </w:rPr>
              <w:t>The schedule of principal payments on long-term debt is as follows:</w:t>
            </w:r>
          </w:p>
        </w:tc>
        <w:tc>
          <w:tcPr>
            <w:tcW w:w="380" w:type="dxa"/>
            <w:vAlign w:val="bottom"/>
          </w:tcPr>
          <w:p>
            <w:pPr>
              <w:spacing w:after="0"/>
              <w:rPr>
                <w:sz w:val="24"/>
                <w:szCs w:val="24"/>
                <w:color w:val="auto"/>
              </w:rPr>
            </w:pPr>
          </w:p>
        </w:tc>
        <w:tc>
          <w:tcPr>
            <w:tcW w:w="1640" w:type="dxa"/>
            <w:vAlign w:val="bottom"/>
            <w:gridSpan w:val="4"/>
            <w:vMerge w:val="restart"/>
          </w:tcPr>
          <w:p>
            <w:pPr>
              <w:jc w:val="right"/>
              <w:ind w:right="4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2019</w:t>
            </w:r>
          </w:p>
        </w:tc>
        <w:tc>
          <w:tcPr>
            <w:tcW w:w="200" w:type="dxa"/>
            <w:vAlign w:val="bottom"/>
            <w:shd w:val="clear" w:color="auto" w:fill="E5FFFF"/>
          </w:tcPr>
          <w:p>
            <w:pPr>
              <w:spacing w:after="0"/>
              <w:rPr>
                <w:sz w:val="20"/>
                <w:szCs w:val="20"/>
                <w:color w:val="auto"/>
              </w:rPr>
            </w:pPr>
          </w:p>
        </w:tc>
        <w:tc>
          <w:tcPr>
            <w:tcW w:w="740" w:type="dxa"/>
            <w:vAlign w:val="bottom"/>
            <w:gridSpan w:val="2"/>
            <w:shd w:val="clear" w:color="auto" w:fill="E5FFFF"/>
          </w:tcPr>
          <w:p>
            <w:pPr>
              <w:jc w:val="right"/>
              <w:ind w:right="152"/>
              <w:spacing w:after="0"/>
              <w:rPr>
                <w:sz w:val="20"/>
                <w:szCs w:val="20"/>
                <w:color w:val="auto"/>
              </w:rPr>
            </w:pPr>
            <w:r>
              <w:rPr>
                <w:rFonts w:ascii="Arial" w:cs="Arial" w:eastAsia="Arial" w:hAnsi="Arial"/>
                <w:sz w:val="19"/>
                <w:szCs w:val="19"/>
                <w:color w:val="auto"/>
              </w:rPr>
              <w:t>$</w:t>
            </w:r>
          </w:p>
        </w:tc>
        <w:tc>
          <w:tcPr>
            <w:tcW w:w="920" w:type="dxa"/>
            <w:vAlign w:val="bottom"/>
            <w:gridSpan w:val="2"/>
            <w:shd w:val="clear" w:color="auto" w:fill="E5FFFF"/>
          </w:tcPr>
          <w:p>
            <w:pPr>
              <w:jc w:val="right"/>
              <w:ind w:right="28"/>
              <w:spacing w:after="0"/>
              <w:rPr>
                <w:sz w:val="20"/>
                <w:szCs w:val="20"/>
                <w:color w:val="auto"/>
              </w:rPr>
            </w:pPr>
            <w:r>
              <w:rPr>
                <w:rFonts w:ascii="Arial" w:cs="Arial" w:eastAsia="Arial" w:hAnsi="Arial"/>
                <w:sz w:val="19"/>
                <w:szCs w:val="19"/>
                <w:color w:val="auto"/>
              </w:rPr>
              <w:t>2,872</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140"/>
              <w:spacing w:after="0"/>
              <w:rPr>
                <w:sz w:val="20"/>
                <w:szCs w:val="20"/>
                <w:color w:val="auto"/>
              </w:rPr>
            </w:pPr>
            <w:r>
              <w:rPr>
                <w:rFonts w:ascii="Arial" w:cs="Arial" w:eastAsia="Arial" w:hAnsi="Arial"/>
                <w:sz w:val="19"/>
                <w:szCs w:val="19"/>
                <w:color w:val="auto"/>
              </w:rPr>
              <w:t>2020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9"/>
                <w:szCs w:val="19"/>
                <w:color w:val="auto"/>
              </w:rPr>
              <w:t>1,416</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2021</w:t>
            </w:r>
          </w:p>
        </w:tc>
        <w:tc>
          <w:tcPr>
            <w:tcW w:w="20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ind w:right="28"/>
              <w:spacing w:after="0"/>
              <w:rPr>
                <w:sz w:val="20"/>
                <w:szCs w:val="20"/>
                <w:color w:val="auto"/>
              </w:rPr>
            </w:pPr>
            <w:r>
              <w:rPr>
                <w:rFonts w:ascii="Arial" w:cs="Arial" w:eastAsia="Arial" w:hAnsi="Arial"/>
                <w:sz w:val="19"/>
                <w:szCs w:val="19"/>
                <w:color w:val="auto"/>
              </w:rPr>
              <w:t>2,345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140"/>
              <w:spacing w:after="0"/>
              <w:rPr>
                <w:sz w:val="20"/>
                <w:szCs w:val="20"/>
                <w:color w:val="auto"/>
              </w:rPr>
            </w:pPr>
            <w:r>
              <w:rPr>
                <w:rFonts w:ascii="Arial" w:cs="Arial" w:eastAsia="Arial" w:hAnsi="Arial"/>
                <w:sz w:val="19"/>
                <w:szCs w:val="19"/>
                <w:color w:val="auto"/>
              </w:rPr>
              <w:t>2022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9"/>
                <w:szCs w:val="19"/>
                <w:color w:val="auto"/>
              </w:rPr>
              <w:t>22</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2023</w:t>
            </w:r>
          </w:p>
        </w:tc>
        <w:tc>
          <w:tcPr>
            <w:tcW w:w="20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ind w:right="28"/>
              <w:spacing w:after="0"/>
              <w:rPr>
                <w:sz w:val="20"/>
                <w:szCs w:val="20"/>
                <w:color w:val="auto"/>
              </w:rPr>
            </w:pPr>
            <w:r>
              <w:rPr>
                <w:rFonts w:ascii="Arial" w:cs="Arial" w:eastAsia="Arial" w:hAnsi="Arial"/>
                <w:sz w:val="19"/>
                <w:szCs w:val="19"/>
                <w:color w:val="auto"/>
              </w:rPr>
              <w:t>1,756</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9"/>
                <w:szCs w:val="19"/>
                <w:color w:val="auto"/>
              </w:rPr>
              <w:t>Thereafter</w:t>
            </w:r>
          </w:p>
        </w:tc>
        <w:tc>
          <w:tcPr>
            <w:tcW w:w="3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9"/>
                <w:szCs w:val="19"/>
                <w:color w:val="auto"/>
              </w:rPr>
              <w:t>4,217</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5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ind w:right="28"/>
              <w:spacing w:after="0"/>
              <w:rPr>
                <w:sz w:val="20"/>
                <w:szCs w:val="20"/>
                <w:color w:val="auto"/>
              </w:rPr>
            </w:pPr>
            <w:r>
              <w:rPr>
                <w:rFonts w:ascii="Arial" w:cs="Arial" w:eastAsia="Arial" w:hAnsi="Arial"/>
                <w:sz w:val="19"/>
                <w:szCs w:val="19"/>
                <w:color w:val="auto"/>
              </w:rPr>
              <w:t>12,628</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9"/>
                <w:szCs w:val="19"/>
                <w:color w:val="auto"/>
              </w:rPr>
              <w:t>Less-current portion</w:t>
            </w:r>
          </w:p>
        </w:tc>
        <w:tc>
          <w:tcPr>
            <w:tcW w:w="3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(2,872)</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5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152"/>
              <w:spacing w:after="0"/>
              <w:rPr>
                <w:sz w:val="20"/>
                <w:szCs w:val="20"/>
                <w:color w:val="auto"/>
              </w:rPr>
            </w:pPr>
            <w:r>
              <w:rPr>
                <w:rFonts w:ascii="Arial" w:cs="Arial" w:eastAsia="Arial" w:hAnsi="Arial"/>
                <w:sz w:val="19"/>
                <w:szCs w:val="19"/>
                <w:color w:val="auto"/>
              </w:rPr>
              <w:t>$</w:t>
            </w:r>
          </w:p>
        </w:tc>
        <w:tc>
          <w:tcPr>
            <w:tcW w:w="920" w:type="dxa"/>
            <w:vAlign w:val="bottom"/>
            <w:gridSpan w:val="2"/>
            <w:shd w:val="clear" w:color="auto" w:fill="E5FFFF"/>
          </w:tcPr>
          <w:p>
            <w:pPr>
              <w:jc w:val="right"/>
              <w:ind w:right="28"/>
              <w:spacing w:after="0"/>
              <w:rPr>
                <w:sz w:val="20"/>
                <w:szCs w:val="20"/>
                <w:color w:val="auto"/>
              </w:rPr>
            </w:pPr>
            <w:r>
              <w:rPr>
                <w:rFonts w:ascii="Arial" w:cs="Arial" w:eastAsia="Arial" w:hAnsi="Arial"/>
                <w:sz w:val="19"/>
                <w:szCs w:val="19"/>
                <w:color w:val="auto"/>
              </w:rPr>
              <w:t>9,756</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In October of 2017, the Company issued $450 million Floating Rate Senior Notes due 2019 and $750 million 1.80% Senior Notes due 2019 (collectively, the “2017 Notes”). The 2017 Notes are senior unsecured and unsubordinated obligations of Honeywell and rank equally with all of Honeywell’s existing and future senior unsecured debt and senior to all of Honeywell’s subordinated debt. The offering resulted in gross proceeds of $1,200 million, offset by $5 million in discount and closing costs related to the offering.</w:t>
      </w:r>
    </w:p>
    <w:p>
      <w:pPr>
        <w:spacing w:after="0" w:line="91" w:lineRule="exact"/>
        <w:rPr>
          <w:sz w:val="20"/>
          <w:szCs w:val="20"/>
          <w:color w:val="auto"/>
        </w:rPr>
      </w:pPr>
    </w:p>
    <w:p>
      <w:pPr>
        <w:ind w:right="80" w:firstLine="357"/>
        <w:spacing w:after="0" w:line="253" w:lineRule="auto"/>
        <w:rPr>
          <w:sz w:val="20"/>
          <w:szCs w:val="20"/>
          <w:color w:val="auto"/>
        </w:rPr>
      </w:pPr>
      <w:r>
        <w:rPr>
          <w:rFonts w:ascii="Arial" w:cs="Arial" w:eastAsia="Arial" w:hAnsi="Arial"/>
          <w:sz w:val="19"/>
          <w:szCs w:val="19"/>
          <w:color w:val="auto"/>
        </w:rPr>
        <w:t>In November of 2017, the Company issued $445 million 3.812% Senior Notes due 2047 (the “Exchange Notes”). The Exchange Notes are senior unsecured and unsubordinated obligations of</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58" w:right="27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Honeywell and rank equally with all of Honeywell’s existing and future senior unsecured debt and senior to all of Honeywell’s subordinated debt. The Exchange Notes were issued in partial exchange for the 6.625% Debentures due 2028, the 5.70% Notes due 2036, the 5.70% Notes due 2037 and the 5.375% Notes due 2041. The Company paid $133 million to bondholders in connection with the partial exchange.</w:t>
      </w:r>
    </w:p>
    <w:p>
      <w:pPr>
        <w:spacing w:after="0" w:line="91"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On January 29, 2018, the Company completed an exchange offer for any and all of its outstanding Exchange Notes, which had not been registered under the Securities Act of 1933, as amended (“Securities Act”) for an equal principal amount of new 3.812% Notes due 2047 which had been registered under the Securities Act (“Registered Notes”). 99.4% of the Exchange Notes were exchanged for Registered Notes, representing 99.4% of the principal amount of the Company’s outstanding 3.812% Notes due 2047.</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On February 22, 2018, the Company paid its Two year floating rate Euro notes due 2018.</w:t>
      </w:r>
    </w:p>
    <w:p>
      <w:pPr>
        <w:spacing w:after="0" w:line="106" w:lineRule="exact"/>
        <w:rPr>
          <w:sz w:val="20"/>
          <w:szCs w:val="20"/>
          <w:color w:val="auto"/>
        </w:rPr>
      </w:pPr>
    </w:p>
    <w:p>
      <w:pPr>
        <w:ind w:right="440" w:firstLine="357"/>
        <w:spacing w:after="0" w:line="253" w:lineRule="auto"/>
        <w:rPr>
          <w:sz w:val="20"/>
          <w:szCs w:val="20"/>
          <w:color w:val="auto"/>
        </w:rPr>
      </w:pPr>
      <w:r>
        <w:rPr>
          <w:rFonts w:ascii="Arial" w:cs="Arial" w:eastAsia="Arial" w:hAnsi="Arial"/>
          <w:sz w:val="19"/>
          <w:szCs w:val="19"/>
          <w:color w:val="auto"/>
        </w:rPr>
        <w:t>For the issuances described above, unless otherwise noted, all debt issuance costs are deferred and recognized as a direct deduction to the related debt liability and are amortized to interest expense over the debt term.</w:t>
      </w:r>
    </w:p>
    <w:p>
      <w:pPr>
        <w:spacing w:after="0" w:line="80" w:lineRule="exact"/>
        <w:rPr>
          <w:sz w:val="20"/>
          <w:szCs w:val="20"/>
          <w:color w:val="auto"/>
        </w:rPr>
      </w:pPr>
    </w:p>
    <w:p>
      <w:pPr>
        <w:ind w:right="80" w:firstLine="357"/>
        <w:spacing w:after="0" w:line="245" w:lineRule="auto"/>
        <w:rPr>
          <w:sz w:val="20"/>
          <w:szCs w:val="20"/>
          <w:color w:val="auto"/>
        </w:rPr>
      </w:pPr>
      <w:r>
        <w:rPr>
          <w:rFonts w:ascii="Arial" w:cs="Arial" w:eastAsia="Arial" w:hAnsi="Arial"/>
          <w:sz w:val="19"/>
          <w:szCs w:val="19"/>
          <w:color w:val="auto"/>
        </w:rPr>
        <w:t>In connection with the Garrett spin-off, wholly owned subsidiaries of Garrett issued notes and entered new credit facilities, which obligations were retained by Garrett in the spin-off. On September 27, 2018 the Company received net proceeds of $1,604 million from such borrowings.</w:t>
      </w:r>
    </w:p>
    <w:p>
      <w:pPr>
        <w:spacing w:after="0" w:line="74" w:lineRule="exact"/>
        <w:rPr>
          <w:sz w:val="20"/>
          <w:szCs w:val="20"/>
          <w:color w:val="auto"/>
        </w:rPr>
      </w:pPr>
    </w:p>
    <w:p>
      <w:pPr>
        <w:jc w:val="both"/>
        <w:ind w:right="400" w:firstLine="357"/>
        <w:spacing w:after="0" w:line="245" w:lineRule="auto"/>
        <w:rPr>
          <w:sz w:val="20"/>
          <w:szCs w:val="20"/>
          <w:color w:val="auto"/>
        </w:rPr>
      </w:pPr>
      <w:r>
        <w:rPr>
          <w:rFonts w:ascii="Arial" w:cs="Arial" w:eastAsia="Arial" w:hAnsi="Arial"/>
          <w:sz w:val="19"/>
          <w:szCs w:val="19"/>
          <w:color w:val="auto"/>
        </w:rPr>
        <w:t>In connection with the Resideo spin-off, wholly owned subsidiaries of Resideo issued notes and entered new credit facilities, which obligations were retained by Resideo in the spin-off. On October 25, 2018 the Company received net proceeds of $1,197 million from such borrowings.</w:t>
      </w:r>
    </w:p>
    <w:p>
      <w:pPr>
        <w:spacing w:after="0" w:line="87" w:lineRule="exact"/>
        <w:rPr>
          <w:sz w:val="20"/>
          <w:szCs w:val="20"/>
          <w:color w:val="auto"/>
        </w:rPr>
      </w:pPr>
    </w:p>
    <w:p>
      <w:pPr>
        <w:ind w:right="160" w:firstLine="357"/>
        <w:spacing w:after="0" w:line="253" w:lineRule="auto"/>
        <w:rPr>
          <w:sz w:val="20"/>
          <w:szCs w:val="20"/>
          <w:color w:val="auto"/>
        </w:rPr>
      </w:pPr>
      <w:r>
        <w:rPr>
          <w:rFonts w:ascii="Arial" w:cs="Arial" w:eastAsia="Arial" w:hAnsi="Arial"/>
          <w:sz w:val="19"/>
          <w:szCs w:val="19"/>
          <w:color w:val="auto"/>
        </w:rPr>
        <w:t>On February 16, 2018, the Company entered into a $1.5 billion 364-Day Credit Agreement with a syndicate of banks. This 364-Day Credit Agreement was maintained for general corporate purposes and was terminated November 9, 2018.</w:t>
      </w:r>
    </w:p>
    <w:p>
      <w:pPr>
        <w:spacing w:after="0" w:line="80" w:lineRule="exact"/>
        <w:rPr>
          <w:sz w:val="20"/>
          <w:szCs w:val="20"/>
          <w:color w:val="auto"/>
        </w:rPr>
      </w:pPr>
    </w:p>
    <w:p>
      <w:pPr>
        <w:ind w:right="40" w:firstLine="357"/>
        <w:spacing w:after="0"/>
        <w:rPr>
          <w:sz w:val="20"/>
          <w:szCs w:val="20"/>
          <w:color w:val="auto"/>
        </w:rPr>
      </w:pPr>
      <w:r>
        <w:rPr>
          <w:rFonts w:ascii="Arial" w:cs="Arial" w:eastAsia="Arial" w:hAnsi="Arial"/>
          <w:sz w:val="19"/>
          <w:szCs w:val="19"/>
          <w:color w:val="auto"/>
        </w:rPr>
        <w:t>On April 27, 2018, the Company entered into a $4 billion Amended and Restated Five Year Credit Agreement (the “5-Year Credit Agreement”), with a syndicate of banks. The 5-Year Credit Agreement is maintained for general corporate purposes. Commitments under the 5-Year Credit Agreement can be increased pursuant to the terms of the 5-Year Credit Agreement to an aggregate amount not to exceed $4.5 billion. The 5-Year Credit Agreement amends and restates the previously reported $4 billion five year credit agreement dated as of July 10, 2015 (the “Prior Agreement”). The 5-Year Credit Agreement has substantially the same material terms and conditions as the Prior Agreement.</w:t>
      </w:r>
    </w:p>
    <w:p>
      <w:pPr>
        <w:spacing w:after="0" w:line="94"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On April 27, 2018, the Company entered into an additional $1.5 billion 364-Day Credit Agreement with a syndicate of banks. This 364-Day Credit Agreement is maintained for general corporate purposes.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There have been no borrowings under any of the credit agreements previously described.</w:t>
      </w:r>
    </w:p>
    <w:p>
      <w:pPr>
        <w:spacing w:after="0" w:line="106"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57" w:right="2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14. Lease Commitments</w:t>
      </w:r>
    </w:p>
    <w:p>
      <w:pPr>
        <w:spacing w:after="0" w:line="130" w:lineRule="exact"/>
        <w:rPr>
          <w:sz w:val="20"/>
          <w:szCs w:val="20"/>
          <w:color w:val="auto"/>
        </w:rPr>
      </w:pPr>
    </w:p>
    <w:p>
      <w:pPr>
        <w:jc w:val="both"/>
        <w:ind w:right="80" w:firstLine="357"/>
        <w:spacing w:after="0" w:line="246" w:lineRule="auto"/>
        <w:rPr>
          <w:sz w:val="20"/>
          <w:szCs w:val="20"/>
          <w:color w:val="auto"/>
        </w:rPr>
      </w:pPr>
      <w:r>
        <w:rPr>
          <w:rFonts w:ascii="Arial" w:cs="Arial" w:eastAsia="Arial" w:hAnsi="Arial"/>
          <w:sz w:val="19"/>
          <w:szCs w:val="19"/>
          <w:color w:val="auto"/>
        </w:rPr>
        <w:t>Future minimum lease payments under operating leases having initial or remaining noncancellable lease terms in excess of one year are as follows:</w:t>
      </w:r>
    </w:p>
    <w:tbl>
      <w:tblPr>
        <w:tblLayout w:type="fixed"/>
        <w:tblInd w:w="500" w:type="dxa"/>
        <w:tblCellMar>
          <w:top w:w="0" w:type="dxa"/>
          <w:left w:w="0" w:type="dxa"/>
          <w:bottom w:w="0" w:type="dxa"/>
          <w:right w:w="0" w:type="dxa"/>
        </w:tblCellMar>
      </w:tblPr>
      <w:tr>
        <w:trPr>
          <w:trHeight w:val="172"/>
        </w:trPr>
        <w:tc>
          <w:tcPr>
            <w:tcW w:w="8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67"/>
              <w:spacing w:after="0" w:line="172" w:lineRule="exact"/>
              <w:rPr>
                <w:sz w:val="20"/>
                <w:szCs w:val="20"/>
                <w:color w:val="auto"/>
              </w:rPr>
            </w:pPr>
            <w:r>
              <w:rPr>
                <w:rFonts w:ascii="Arial" w:cs="Arial" w:eastAsia="Arial" w:hAnsi="Arial"/>
                <w:sz w:val="16"/>
                <w:szCs w:val="16"/>
                <w:b w:val="1"/>
                <w:bCs w:val="1"/>
                <w:color w:val="auto"/>
                <w:w w:val="98"/>
              </w:rPr>
              <w:t>At December 31,</w:t>
            </w:r>
          </w:p>
        </w:tc>
      </w:tr>
      <w:tr>
        <w:trPr>
          <w:trHeight w:val="190"/>
        </w:trPr>
        <w:tc>
          <w:tcPr>
            <w:tcW w:w="8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27"/>
              <w:spacing w:after="0"/>
              <w:rPr>
                <w:sz w:val="20"/>
                <w:szCs w:val="20"/>
                <w:color w:val="auto"/>
              </w:rPr>
            </w:pPr>
            <w:r>
              <w:rPr>
                <w:rFonts w:ascii="Arial" w:cs="Arial" w:eastAsia="Arial" w:hAnsi="Arial"/>
                <w:sz w:val="16"/>
                <w:szCs w:val="16"/>
                <w:b w:val="1"/>
                <w:bCs w:val="1"/>
                <w:color w:val="auto"/>
              </w:rPr>
              <w:t>2018</w:t>
            </w:r>
          </w:p>
        </w:tc>
      </w:tr>
      <w:tr>
        <w:trPr>
          <w:trHeight w:val="237"/>
        </w:trPr>
        <w:tc>
          <w:tcPr>
            <w:tcW w:w="8820" w:type="dxa"/>
            <w:vAlign w:val="bottom"/>
            <w:shd w:val="clear" w:color="auto" w:fill="E5FFFF"/>
          </w:tcPr>
          <w:p>
            <w:pPr>
              <w:spacing w:after="0"/>
              <w:rPr>
                <w:sz w:val="20"/>
                <w:szCs w:val="20"/>
                <w:color w:val="auto"/>
              </w:rPr>
            </w:pPr>
            <w:r>
              <w:rPr>
                <w:rFonts w:ascii="Arial" w:cs="Arial" w:eastAsia="Arial" w:hAnsi="Arial"/>
                <w:sz w:val="19"/>
                <w:szCs w:val="19"/>
                <w:color w:val="auto"/>
              </w:rPr>
              <w:t>2019</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420" w:type="dxa"/>
            <w:vAlign w:val="bottom"/>
            <w:shd w:val="clear" w:color="auto" w:fill="E5FFFF"/>
          </w:tcPr>
          <w:p>
            <w:pPr>
              <w:jc w:val="right"/>
              <w:ind w:right="67"/>
              <w:spacing w:after="0"/>
              <w:rPr>
                <w:sz w:val="20"/>
                <w:szCs w:val="20"/>
                <w:color w:val="auto"/>
              </w:rPr>
            </w:pPr>
            <w:r>
              <w:rPr>
                <w:rFonts w:ascii="Arial" w:cs="Arial" w:eastAsia="Arial" w:hAnsi="Arial"/>
                <w:sz w:val="19"/>
                <w:szCs w:val="19"/>
                <w:color w:val="auto"/>
              </w:rPr>
              <w:t>210</w:t>
            </w:r>
          </w:p>
        </w:tc>
      </w:tr>
      <w:tr>
        <w:trPr>
          <w:trHeight w:val="243"/>
        </w:trPr>
        <w:tc>
          <w:tcPr>
            <w:tcW w:w="8820" w:type="dxa"/>
            <w:vAlign w:val="bottom"/>
          </w:tcPr>
          <w:p>
            <w:pPr>
              <w:spacing w:after="0"/>
              <w:rPr>
                <w:sz w:val="20"/>
                <w:szCs w:val="20"/>
                <w:color w:val="auto"/>
              </w:rPr>
            </w:pPr>
            <w:r>
              <w:rPr>
                <w:rFonts w:ascii="Arial" w:cs="Arial" w:eastAsia="Arial" w:hAnsi="Arial"/>
                <w:sz w:val="19"/>
                <w:szCs w:val="19"/>
                <w:color w:val="auto"/>
              </w:rPr>
              <w:t>2020</w:t>
            </w:r>
          </w:p>
        </w:tc>
        <w:tc>
          <w:tcPr>
            <w:tcW w:w="160" w:type="dxa"/>
            <w:vAlign w:val="bottom"/>
          </w:tcPr>
          <w:p>
            <w:pPr>
              <w:spacing w:after="0"/>
              <w:rPr>
                <w:sz w:val="21"/>
                <w:szCs w:val="21"/>
                <w:color w:val="auto"/>
              </w:rPr>
            </w:pPr>
          </w:p>
        </w:tc>
        <w:tc>
          <w:tcPr>
            <w:tcW w:w="1420" w:type="dxa"/>
            <w:vAlign w:val="bottom"/>
          </w:tcPr>
          <w:p>
            <w:pPr>
              <w:jc w:val="right"/>
              <w:ind w:right="67"/>
              <w:spacing w:after="0"/>
              <w:rPr>
                <w:sz w:val="20"/>
                <w:szCs w:val="20"/>
                <w:color w:val="auto"/>
              </w:rPr>
            </w:pPr>
            <w:r>
              <w:rPr>
                <w:rFonts w:ascii="Arial" w:cs="Arial" w:eastAsia="Arial" w:hAnsi="Arial"/>
                <w:sz w:val="19"/>
                <w:szCs w:val="19"/>
                <w:color w:val="auto"/>
              </w:rPr>
              <w:t>168</w:t>
            </w:r>
          </w:p>
        </w:tc>
      </w:tr>
      <w:tr>
        <w:trPr>
          <w:trHeight w:val="243"/>
        </w:trPr>
        <w:tc>
          <w:tcPr>
            <w:tcW w:w="8820" w:type="dxa"/>
            <w:vAlign w:val="bottom"/>
            <w:shd w:val="clear" w:color="auto" w:fill="E5FFFF"/>
          </w:tcPr>
          <w:p>
            <w:pPr>
              <w:spacing w:after="0"/>
              <w:rPr>
                <w:sz w:val="20"/>
                <w:szCs w:val="20"/>
                <w:color w:val="auto"/>
              </w:rPr>
            </w:pPr>
            <w:r>
              <w:rPr>
                <w:rFonts w:ascii="Arial" w:cs="Arial" w:eastAsia="Arial" w:hAnsi="Arial"/>
                <w:sz w:val="19"/>
                <w:szCs w:val="19"/>
                <w:color w:val="auto"/>
              </w:rPr>
              <w:t>2021</w:t>
            </w:r>
          </w:p>
        </w:tc>
        <w:tc>
          <w:tcPr>
            <w:tcW w:w="160" w:type="dxa"/>
            <w:vAlign w:val="bottom"/>
            <w:shd w:val="clear" w:color="auto" w:fill="E5FFFF"/>
          </w:tcPr>
          <w:p>
            <w:pPr>
              <w:spacing w:after="0"/>
              <w:rPr>
                <w:sz w:val="21"/>
                <w:szCs w:val="21"/>
                <w:color w:val="auto"/>
              </w:rPr>
            </w:pPr>
          </w:p>
        </w:tc>
        <w:tc>
          <w:tcPr>
            <w:tcW w:w="1420" w:type="dxa"/>
            <w:vAlign w:val="bottom"/>
            <w:shd w:val="clear" w:color="auto" w:fill="E5FFFF"/>
          </w:tcPr>
          <w:p>
            <w:pPr>
              <w:jc w:val="right"/>
              <w:ind w:right="67"/>
              <w:spacing w:after="0"/>
              <w:rPr>
                <w:sz w:val="20"/>
                <w:szCs w:val="20"/>
                <w:color w:val="auto"/>
              </w:rPr>
            </w:pPr>
            <w:r>
              <w:rPr>
                <w:rFonts w:ascii="Arial" w:cs="Arial" w:eastAsia="Arial" w:hAnsi="Arial"/>
                <w:sz w:val="19"/>
                <w:szCs w:val="19"/>
                <w:color w:val="auto"/>
              </w:rPr>
              <w:t>142</w:t>
            </w:r>
          </w:p>
        </w:tc>
      </w:tr>
      <w:tr>
        <w:trPr>
          <w:trHeight w:val="243"/>
        </w:trPr>
        <w:tc>
          <w:tcPr>
            <w:tcW w:w="8820" w:type="dxa"/>
            <w:vAlign w:val="bottom"/>
          </w:tcPr>
          <w:p>
            <w:pPr>
              <w:spacing w:after="0"/>
              <w:rPr>
                <w:sz w:val="20"/>
                <w:szCs w:val="20"/>
                <w:color w:val="auto"/>
              </w:rPr>
            </w:pPr>
            <w:r>
              <w:rPr>
                <w:rFonts w:ascii="Arial" w:cs="Arial" w:eastAsia="Arial" w:hAnsi="Arial"/>
                <w:sz w:val="19"/>
                <w:szCs w:val="19"/>
                <w:color w:val="auto"/>
              </w:rPr>
              <w:t>2022</w:t>
            </w:r>
          </w:p>
        </w:tc>
        <w:tc>
          <w:tcPr>
            <w:tcW w:w="160" w:type="dxa"/>
            <w:vAlign w:val="bottom"/>
          </w:tcPr>
          <w:p>
            <w:pPr>
              <w:spacing w:after="0"/>
              <w:rPr>
                <w:sz w:val="21"/>
                <w:szCs w:val="21"/>
                <w:color w:val="auto"/>
              </w:rPr>
            </w:pPr>
          </w:p>
        </w:tc>
        <w:tc>
          <w:tcPr>
            <w:tcW w:w="1420" w:type="dxa"/>
            <w:vAlign w:val="bottom"/>
          </w:tcPr>
          <w:p>
            <w:pPr>
              <w:jc w:val="right"/>
              <w:ind w:right="67"/>
              <w:spacing w:after="0"/>
              <w:rPr>
                <w:sz w:val="20"/>
                <w:szCs w:val="20"/>
                <w:color w:val="auto"/>
              </w:rPr>
            </w:pPr>
            <w:r>
              <w:rPr>
                <w:rFonts w:ascii="Arial" w:cs="Arial" w:eastAsia="Arial" w:hAnsi="Arial"/>
                <w:sz w:val="19"/>
                <w:szCs w:val="19"/>
                <w:color w:val="auto"/>
              </w:rPr>
              <w:t>109</w:t>
            </w:r>
          </w:p>
        </w:tc>
      </w:tr>
      <w:tr>
        <w:trPr>
          <w:trHeight w:val="243"/>
        </w:trPr>
        <w:tc>
          <w:tcPr>
            <w:tcW w:w="8820" w:type="dxa"/>
            <w:vAlign w:val="bottom"/>
            <w:shd w:val="clear" w:color="auto" w:fill="E5FFFF"/>
          </w:tcPr>
          <w:p>
            <w:pPr>
              <w:spacing w:after="0"/>
              <w:rPr>
                <w:sz w:val="20"/>
                <w:szCs w:val="20"/>
                <w:color w:val="auto"/>
              </w:rPr>
            </w:pPr>
            <w:r>
              <w:rPr>
                <w:rFonts w:ascii="Arial" w:cs="Arial" w:eastAsia="Arial" w:hAnsi="Arial"/>
                <w:sz w:val="19"/>
                <w:szCs w:val="19"/>
                <w:color w:val="auto"/>
              </w:rPr>
              <w:t>2023</w:t>
            </w:r>
          </w:p>
        </w:tc>
        <w:tc>
          <w:tcPr>
            <w:tcW w:w="160" w:type="dxa"/>
            <w:vAlign w:val="bottom"/>
            <w:shd w:val="clear" w:color="auto" w:fill="E5FFFF"/>
          </w:tcPr>
          <w:p>
            <w:pPr>
              <w:spacing w:after="0"/>
              <w:rPr>
                <w:sz w:val="21"/>
                <w:szCs w:val="21"/>
                <w:color w:val="auto"/>
              </w:rPr>
            </w:pPr>
          </w:p>
        </w:tc>
        <w:tc>
          <w:tcPr>
            <w:tcW w:w="1420" w:type="dxa"/>
            <w:vAlign w:val="bottom"/>
            <w:shd w:val="clear" w:color="auto" w:fill="E5FFFF"/>
          </w:tcPr>
          <w:p>
            <w:pPr>
              <w:jc w:val="right"/>
              <w:ind w:right="67"/>
              <w:spacing w:after="0"/>
              <w:rPr>
                <w:sz w:val="20"/>
                <w:szCs w:val="20"/>
                <w:color w:val="auto"/>
              </w:rPr>
            </w:pPr>
            <w:r>
              <w:rPr>
                <w:rFonts w:ascii="Arial" w:cs="Arial" w:eastAsia="Arial" w:hAnsi="Arial"/>
                <w:sz w:val="19"/>
                <w:szCs w:val="19"/>
                <w:color w:val="auto"/>
              </w:rPr>
              <w:t>80</w:t>
            </w:r>
          </w:p>
        </w:tc>
      </w:tr>
      <w:tr>
        <w:trPr>
          <w:trHeight w:val="250"/>
        </w:trPr>
        <w:tc>
          <w:tcPr>
            <w:tcW w:w="8820" w:type="dxa"/>
            <w:vAlign w:val="bottom"/>
          </w:tcPr>
          <w:p>
            <w:pPr>
              <w:spacing w:after="0"/>
              <w:rPr>
                <w:sz w:val="20"/>
                <w:szCs w:val="20"/>
                <w:color w:val="auto"/>
              </w:rPr>
            </w:pPr>
            <w:r>
              <w:rPr>
                <w:rFonts w:ascii="Arial" w:cs="Arial" w:eastAsia="Arial" w:hAnsi="Arial"/>
                <w:sz w:val="19"/>
                <w:szCs w:val="19"/>
                <w:color w:val="auto"/>
              </w:rPr>
              <w:t>Thereafter</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7"/>
              <w:spacing w:after="0"/>
              <w:rPr>
                <w:sz w:val="20"/>
                <w:szCs w:val="20"/>
                <w:color w:val="auto"/>
              </w:rPr>
            </w:pPr>
            <w:r>
              <w:rPr>
                <w:rFonts w:ascii="Arial" w:cs="Arial" w:eastAsia="Arial" w:hAnsi="Arial"/>
                <w:sz w:val="19"/>
                <w:szCs w:val="19"/>
                <w:color w:val="auto"/>
              </w:rPr>
              <w:t>147</w:t>
            </w:r>
          </w:p>
        </w:tc>
      </w:tr>
      <w:tr>
        <w:trPr>
          <w:trHeight w:val="243"/>
        </w:trPr>
        <w:tc>
          <w:tcPr>
            <w:tcW w:w="88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420" w:type="dxa"/>
            <w:vAlign w:val="bottom"/>
            <w:tcBorders>
              <w:bottom w:val="single" w:sz="8" w:color="auto"/>
            </w:tcBorders>
            <w:shd w:val="clear" w:color="auto" w:fill="E5FFFF"/>
          </w:tcPr>
          <w:p>
            <w:pPr>
              <w:jc w:val="right"/>
              <w:ind w:right="67"/>
              <w:spacing w:after="0"/>
              <w:rPr>
                <w:sz w:val="20"/>
                <w:szCs w:val="20"/>
                <w:color w:val="auto"/>
              </w:rPr>
            </w:pPr>
            <w:r>
              <w:rPr>
                <w:rFonts w:ascii="Arial" w:cs="Arial" w:eastAsia="Arial" w:hAnsi="Arial"/>
                <w:sz w:val="19"/>
                <w:szCs w:val="19"/>
                <w:color w:val="auto"/>
              </w:rPr>
              <w:t>856</w:t>
            </w:r>
          </w:p>
        </w:tc>
      </w:tr>
      <w:tr>
        <w:trPr>
          <w:trHeight w:val="20"/>
        </w:trPr>
        <w:tc>
          <w:tcPr>
            <w:tcW w:w="8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Rent expense was $360 million, $385 million and $387 million in 2018, 2017 and 2016.</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15. Financial Instruments and Fair Value Measures</w:t>
      </w:r>
    </w:p>
    <w:p>
      <w:pPr>
        <w:spacing w:after="0" w:line="106" w:lineRule="exact"/>
        <w:rPr>
          <w:sz w:val="20"/>
          <w:szCs w:val="20"/>
          <w:color w:val="auto"/>
        </w:rPr>
      </w:pPr>
    </w:p>
    <w:p>
      <w:pPr>
        <w:jc w:val="both"/>
        <w:ind w:right="80" w:firstLine="357"/>
        <w:spacing w:after="0" w:line="246" w:lineRule="auto"/>
        <w:rPr>
          <w:sz w:val="20"/>
          <w:szCs w:val="20"/>
          <w:color w:val="auto"/>
        </w:rPr>
      </w:pPr>
      <w:r>
        <w:rPr>
          <w:rFonts w:ascii="Arial" w:cs="Arial" w:eastAsia="Arial" w:hAnsi="Arial"/>
          <w:sz w:val="19"/>
          <w:szCs w:val="19"/>
          <w:b w:val="1"/>
          <w:bCs w:val="1"/>
          <w:i w:val="1"/>
          <w:iCs w:val="1"/>
          <w:color w:val="auto"/>
        </w:rPr>
        <w:t>Credit and Market Risk</w:t>
      </w:r>
      <w:r>
        <w:rPr>
          <w:rFonts w:ascii="Arial" w:cs="Arial" w:eastAsia="Arial" w:hAnsi="Arial"/>
          <w:sz w:val="19"/>
          <w:szCs w:val="19"/>
          <w:color w:val="auto"/>
        </w:rPr>
        <w:t>—Financial instruments, including derivatives, expose us to counterparty credit risk for nonperformance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to market risk related to changes in interest and currency exchange rates. We manage our exposure to counterparty credit risk through specific minimum credit standards, diversification of counterparties, and procedures to monitor concentrations of credit risk.</w:t>
      </w:r>
    </w:p>
    <w:p>
      <w:pPr>
        <w:spacing w:after="0" w:line="242" w:lineRule="auto"/>
        <w:rPr>
          <w:sz w:val="20"/>
          <w:szCs w:val="20"/>
          <w:color w:val="auto"/>
        </w:rPr>
      </w:pPr>
      <w:r>
        <w:rPr>
          <w:rFonts w:ascii="Arial" w:cs="Arial" w:eastAsia="Arial" w:hAnsi="Arial"/>
          <w:sz w:val="19"/>
          <w:szCs w:val="19"/>
          <w:color w:val="auto"/>
        </w:rPr>
        <w:t>Our counterparties in derivative transactions are substantial investment and commercial banks with significant experience using such derivative instruments. We monitor the impact of market risk on the fair value and cash flows of our derivative and other financial instruments considering reasonably possible changes in interest rates and currency exchange rates and restrict the use of derivative financial instruments to hedging activities.</w:t>
      </w:r>
    </w:p>
    <w:p>
      <w:pPr>
        <w:spacing w:after="0" w:line="91" w:lineRule="exact"/>
        <w:rPr>
          <w:sz w:val="20"/>
          <w:szCs w:val="20"/>
          <w:color w:val="auto"/>
        </w:rPr>
      </w:pPr>
    </w:p>
    <w:p>
      <w:pPr>
        <w:ind w:right="280" w:firstLine="357"/>
        <w:spacing w:after="0" w:line="245" w:lineRule="auto"/>
        <w:rPr>
          <w:sz w:val="20"/>
          <w:szCs w:val="20"/>
          <w:color w:val="auto"/>
        </w:rPr>
      </w:pPr>
      <w:r>
        <w:rPr>
          <w:rFonts w:ascii="Arial" w:cs="Arial" w:eastAsia="Arial" w:hAnsi="Arial"/>
          <w:sz w:val="19"/>
          <w:szCs w:val="19"/>
          <w:color w:val="auto"/>
        </w:rPr>
        <w:t>We continually monitor the creditworthiness of our customers to which we grant credit terms in the normal course of business. The terms and conditions of our credit sales are designed to mitigate or eliminate concentrations of credit risk with any single customer. Our sales are not materially dependent on a single customer or a small group of customers.</w:t>
      </w:r>
    </w:p>
    <w:p>
      <w:pPr>
        <w:spacing w:after="0" w:line="63"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b w:val="1"/>
          <w:bCs w:val="1"/>
          <w:i w:val="1"/>
          <w:iCs w:val="1"/>
          <w:color w:val="auto"/>
        </w:rPr>
        <w:t>Foreign Currency Risk Management</w:t>
      </w:r>
      <w:r>
        <w:rPr>
          <w:rFonts w:ascii="Arial" w:cs="Arial" w:eastAsia="Arial" w:hAnsi="Arial"/>
          <w:sz w:val="19"/>
          <w:szCs w:val="19"/>
          <w:color w:val="auto"/>
        </w:rPr>
        <w:t>—We conduct our business on a multinational basis in a wide variety of foreign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currencies. Our exposure to market risk for changes in foreign currency exchange rates arises from international financing activities between subsidiaries, foreign currency denominated monetary assets and liabilities and transactions arising from international trade. Our primary objective is to preserve the U.S. Dollar value of foreign currency denominated cash flows and earnings. We attempt to hedge currency exposures with natural offsets to the fullest extent possible and, once these opportunities have been exhausted, through foreign currency exchange forward and option contracts (foreign currency exchange contracts) with third parties.</w:t>
      </w:r>
    </w:p>
    <w:p>
      <w:pPr>
        <w:spacing w:after="0" w:line="9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We hedge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other (income) expense. We partially hedge forecasted sales and purchases, which are denominated in non-functional currencies, with foreign currency exchange contracts. Changes in the forecasted non-functional currency cash flows due to movements in exchange rates are substantially offset by changes in the fair value of the foreign currency exchange contracts designated as hedges. Market value gains and losses on these contracts are recognized in earnings when the hedged transaction is recognized. At December 31, 2018 and 2017, we had contracts with notional amounts of $14,995 million and $9,273 million to exchange foreign currencies, principally the U.S. Dollar, Euro, British Pound, Canadian Dollar, Mexican Peso, Swiss Franc, Indian Rupee, Russian Ruble, and Chinese Renminbi. As of December 31, 2018, we estimate that approximately $90 million of net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57" w:right="259" w:bottom="1440" w:gutter="0" w:footer="0" w:header="0"/>
        </w:sectPr>
      </w:pPr>
    </w:p>
    <w:bookmarkStart w:id="66" w:name="page67"/>
    <w:bookmarkEnd w:id="6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color w:val="auto"/>
        </w:rPr>
        <w:t>derivative gains related to our cash flow hedges included in Accumulated other comprehensive income (loss) will be reclassified into earnings within the next 12 months.</w:t>
      </w:r>
    </w:p>
    <w:p>
      <w:pPr>
        <w:spacing w:after="0" w:line="80" w:lineRule="exact"/>
        <w:rPr>
          <w:sz w:val="20"/>
          <w:szCs w:val="20"/>
          <w:color w:val="auto"/>
        </w:rPr>
      </w:pPr>
    </w:p>
    <w:p>
      <w:pPr>
        <w:jc w:val="both"/>
        <w:ind w:right="40" w:firstLine="357"/>
        <w:spacing w:after="0" w:line="242" w:lineRule="auto"/>
        <w:rPr>
          <w:sz w:val="20"/>
          <w:szCs w:val="20"/>
          <w:color w:val="auto"/>
        </w:rPr>
      </w:pPr>
      <w:r>
        <w:rPr>
          <w:rFonts w:ascii="Arial" w:cs="Arial" w:eastAsia="Arial" w:hAnsi="Arial"/>
          <w:sz w:val="19"/>
          <w:szCs w:val="19"/>
          <w:color w:val="auto"/>
        </w:rPr>
        <w:t>We have also designated foreign currency debt and certain derivative contracts as hedges against portions of our net investment in foreign operations during the year ended December 31, 2018. Gains or losses on the effective portion of the foreign currency debt designated as a net investment hedge are recorded in the same manner as foreign currency translation adjustments. The Company did not have ineffectiveness related to net investment hedges during the year ended December 31, 2018.</w:t>
      </w:r>
    </w:p>
    <w:p>
      <w:pPr>
        <w:spacing w:after="0" w:line="67" w:lineRule="exact"/>
        <w:rPr>
          <w:sz w:val="20"/>
          <w:szCs w:val="20"/>
          <w:color w:val="auto"/>
        </w:rPr>
      </w:pPr>
    </w:p>
    <w:p>
      <w:pPr>
        <w:ind w:right="60" w:firstLine="357"/>
        <w:spacing w:after="0" w:line="248" w:lineRule="auto"/>
        <w:rPr>
          <w:sz w:val="20"/>
          <w:szCs w:val="20"/>
          <w:color w:val="auto"/>
        </w:rPr>
      </w:pPr>
      <w:r>
        <w:rPr>
          <w:rFonts w:ascii="Arial" w:cs="Arial" w:eastAsia="Arial" w:hAnsi="Arial"/>
          <w:sz w:val="19"/>
          <w:szCs w:val="19"/>
          <w:b w:val="1"/>
          <w:bCs w:val="1"/>
          <w:i w:val="1"/>
          <w:iCs w:val="1"/>
          <w:color w:val="auto"/>
        </w:rPr>
        <w:t>Interest Rate Risk Management</w:t>
      </w:r>
      <w:r>
        <w:rPr>
          <w:rFonts w:ascii="Arial" w:cs="Arial" w:eastAsia="Arial" w:hAnsi="Arial"/>
          <w:sz w:val="19"/>
          <w:szCs w:val="19"/>
          <w:color w:val="auto"/>
        </w:rPr>
        <w:t>—We use a combination of financial instruments, including long-term, medium-term and short-term financing, variable-rate commercial paper, and interest rate swaps to manage the interest rate mix of our total debt portfolio and related overall cost of borrowing. At December 31, 2018 and 2017, interest rate swap agreements designated as fair value hedges effectively changed $2,600 million of fixed rate debt at 2.93% to LIBOR based floating rate debt. Our interest rate swaps mature at various dates through 2026.</w:t>
      </w:r>
    </w:p>
    <w:p>
      <w:pPr>
        <w:spacing w:after="0" w:line="60" w:lineRule="exact"/>
        <w:rPr>
          <w:sz w:val="20"/>
          <w:szCs w:val="20"/>
          <w:color w:val="auto"/>
        </w:rPr>
      </w:pPr>
    </w:p>
    <w:p>
      <w:pPr>
        <w:ind w:firstLine="357"/>
        <w:spacing w:after="0" w:line="280" w:lineRule="auto"/>
        <w:rPr>
          <w:sz w:val="20"/>
          <w:szCs w:val="20"/>
          <w:color w:val="auto"/>
        </w:rPr>
      </w:pPr>
      <w:r>
        <w:rPr>
          <w:rFonts w:ascii="Arial" w:cs="Arial" w:eastAsia="Arial" w:hAnsi="Arial"/>
          <w:sz w:val="19"/>
          <w:szCs w:val="19"/>
          <w:b w:val="1"/>
          <w:bCs w:val="1"/>
          <w:i w:val="1"/>
          <w:iCs w:val="1"/>
          <w:color w:val="auto"/>
        </w:rPr>
        <w:t>Fair Value of Financial Instruments</w:t>
      </w:r>
      <w:r>
        <w:rPr>
          <w:rFonts w:ascii="Arial" w:cs="Arial" w:eastAsia="Arial" w:hAnsi="Arial"/>
          <w:sz w:val="19"/>
          <w:szCs w:val="19"/>
          <w:color w:val="auto"/>
        </w:rPr>
        <w:t>—The FASB’s accounting guidance defines fair value as the price that would be received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sell an asset or paid to transfer a liability in an orderly transaction between market participants at the measurement date (exit price).</w:t>
      </w:r>
    </w:p>
    <w:p>
      <w:pPr>
        <w:spacing w:after="0" w:line="54" w:lineRule="exact"/>
        <w:rPr>
          <w:sz w:val="20"/>
          <w:szCs w:val="20"/>
          <w:color w:val="auto"/>
        </w:rPr>
      </w:pPr>
    </w:p>
    <w:p>
      <w:pPr>
        <w:jc w:val="both"/>
        <w:ind w:right="80" w:firstLine="357"/>
        <w:spacing w:after="0" w:line="243" w:lineRule="auto"/>
        <w:rPr>
          <w:sz w:val="20"/>
          <w:szCs w:val="20"/>
          <w:color w:val="auto"/>
        </w:rPr>
      </w:pPr>
      <w:r>
        <w:rPr>
          <w:rFonts w:ascii="Arial" w:cs="Arial" w:eastAsia="Arial" w:hAnsi="Arial"/>
          <w:sz w:val="19"/>
          <w:szCs w:val="19"/>
          <w:color w:val="auto"/>
        </w:rPr>
        <w:t>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December 31, 2018 and 2017:</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86"/>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8"/>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rPr>
              <w:t>2017</w:t>
            </w:r>
          </w:p>
        </w:tc>
      </w:tr>
      <w:tr>
        <w:trPr>
          <w:trHeight w:val="210"/>
        </w:trPr>
        <w:tc>
          <w:tcPr>
            <w:tcW w:w="858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Assets:</w:t>
            </w: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9"/>
                <w:szCs w:val="19"/>
                <w:color w:val="auto"/>
              </w:rPr>
              <w:t>Foreign currency exchange contracts</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119</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43"/>
        </w:trPr>
        <w:tc>
          <w:tcPr>
            <w:tcW w:w="85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Available for sale investments</w:t>
            </w: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1,784</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3,916</w:t>
            </w:r>
          </w:p>
        </w:tc>
      </w:tr>
      <w:tr>
        <w:trPr>
          <w:trHeight w:val="243"/>
        </w:trPr>
        <w:tc>
          <w:tcPr>
            <w:tcW w:w="8580" w:type="dxa"/>
            <w:vAlign w:val="bottom"/>
          </w:tcPr>
          <w:p>
            <w:pPr>
              <w:ind w:left="360"/>
              <w:spacing w:after="0"/>
              <w:rPr>
                <w:sz w:val="20"/>
                <w:szCs w:val="20"/>
                <w:color w:val="auto"/>
              </w:rPr>
            </w:pPr>
            <w:r>
              <w:rPr>
                <w:rFonts w:ascii="Arial" w:cs="Arial" w:eastAsia="Arial" w:hAnsi="Arial"/>
                <w:sz w:val="19"/>
                <w:szCs w:val="19"/>
                <w:color w:val="auto"/>
              </w:rPr>
              <w:t>Interest rate swap agreements</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20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44</w:t>
            </w:r>
          </w:p>
        </w:tc>
      </w:tr>
      <w:tr>
        <w:trPr>
          <w:trHeight w:val="243"/>
        </w:trPr>
        <w:tc>
          <w:tcPr>
            <w:tcW w:w="85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Cross currency swap agreements</w:t>
            </w: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16"/>
        </w:trPr>
        <w:tc>
          <w:tcPr>
            <w:tcW w:w="8580" w:type="dxa"/>
            <w:vAlign w:val="bottom"/>
          </w:tcPr>
          <w:p>
            <w:pPr>
              <w:spacing w:after="0" w:line="216" w:lineRule="exact"/>
              <w:rPr>
                <w:sz w:val="20"/>
                <w:szCs w:val="20"/>
                <w:color w:val="auto"/>
              </w:rPr>
            </w:pPr>
            <w:r>
              <w:rPr>
                <w:rFonts w:ascii="Arial" w:cs="Arial" w:eastAsia="Arial" w:hAnsi="Arial"/>
                <w:sz w:val="19"/>
                <w:szCs w:val="19"/>
                <w:b w:val="1"/>
                <w:bCs w:val="1"/>
                <w:color w:val="auto"/>
              </w:rPr>
              <w:t>Liabilities: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43"/>
        </w:trPr>
        <w:tc>
          <w:tcPr>
            <w:tcW w:w="85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Foreign currency exchange contracts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70</w:t>
            </w:r>
          </w:p>
        </w:tc>
      </w:tr>
      <w:tr>
        <w:trPr>
          <w:trHeight w:val="261"/>
        </w:trPr>
        <w:tc>
          <w:tcPr>
            <w:tcW w:w="8580" w:type="dxa"/>
            <w:vAlign w:val="bottom"/>
          </w:tcPr>
          <w:p>
            <w:pPr>
              <w:ind w:left="360"/>
              <w:spacing w:after="0"/>
              <w:rPr>
                <w:sz w:val="20"/>
                <w:szCs w:val="20"/>
                <w:color w:val="auto"/>
              </w:rPr>
            </w:pPr>
            <w:r>
              <w:rPr>
                <w:rFonts w:ascii="Arial" w:cs="Arial" w:eastAsia="Arial" w:hAnsi="Arial"/>
                <w:sz w:val="19"/>
                <w:szCs w:val="19"/>
                <w:color w:val="auto"/>
              </w:rPr>
              <w:t>Interest rate swap agreements</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65</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52</w:t>
            </w:r>
          </w:p>
        </w:tc>
      </w:tr>
    </w:tbl>
    <w:p>
      <w:pPr>
        <w:spacing w:after="0" w:line="77"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The foreign currency exchange contracts, interest rate swap agreements, and cross currency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and are valued using published prices based off observable market data. As such,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94" w:lineRule="exact"/>
        <w:rPr>
          <w:sz w:val="20"/>
          <w:szCs w:val="20"/>
          <w:color w:val="auto"/>
        </w:rPr>
      </w:pPr>
    </w:p>
    <w:p>
      <w:pPr>
        <w:jc w:val="both"/>
        <w:ind w:right="120" w:firstLine="357"/>
        <w:spacing w:after="0" w:line="243" w:lineRule="auto"/>
        <w:rPr>
          <w:sz w:val="20"/>
          <w:szCs w:val="20"/>
          <w:color w:val="auto"/>
        </w:rPr>
      </w:pPr>
      <w:r>
        <w:rPr>
          <w:rFonts w:ascii="Arial" w:cs="Arial" w:eastAsia="Arial" w:hAnsi="Arial"/>
          <w:sz w:val="19"/>
          <w:szCs w:val="19"/>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December 31, 2018</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6"/>
                <w:szCs w:val="16"/>
                <w:b w:val="1"/>
                <w:bCs w:val="1"/>
                <w:color w:val="auto"/>
              </w:rPr>
              <w:t>December 31, 2017</w:t>
            </w:r>
          </w:p>
        </w:tc>
      </w:tr>
      <w:tr>
        <w:trPr>
          <w:trHeight w:val="155"/>
        </w:trPr>
        <w:tc>
          <w:tcPr>
            <w:tcW w:w="49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34"/>
              <w:spacing w:after="0" w:line="155" w:lineRule="exact"/>
              <w:rPr>
                <w:sz w:val="20"/>
                <w:szCs w:val="20"/>
                <w:color w:val="auto"/>
              </w:rPr>
            </w:pPr>
            <w:r>
              <w:rPr>
                <w:rFonts w:ascii="Arial" w:cs="Arial" w:eastAsia="Arial" w:hAnsi="Arial"/>
                <w:sz w:val="16"/>
                <w:szCs w:val="16"/>
                <w:b w:val="1"/>
                <w:bCs w:val="1"/>
                <w:color w:val="auto"/>
                <w:w w:val="94"/>
              </w:rPr>
              <w:t>Carrying</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2"/>
              <w:spacing w:after="0" w:line="155" w:lineRule="exact"/>
              <w:rPr>
                <w:sz w:val="20"/>
                <w:szCs w:val="20"/>
                <w:color w:val="auto"/>
              </w:rPr>
            </w:pPr>
            <w:r>
              <w:rPr>
                <w:rFonts w:ascii="Arial" w:cs="Arial" w:eastAsia="Arial" w:hAnsi="Arial"/>
                <w:sz w:val="16"/>
                <w:szCs w:val="16"/>
                <w:b w:val="1"/>
                <w:bCs w:val="1"/>
                <w:color w:val="auto"/>
              </w:rPr>
              <w:t>Fair</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54"/>
              <w:spacing w:after="0" w:line="155" w:lineRule="exact"/>
              <w:rPr>
                <w:sz w:val="20"/>
                <w:szCs w:val="20"/>
                <w:color w:val="auto"/>
              </w:rPr>
            </w:pPr>
            <w:r>
              <w:rPr>
                <w:rFonts w:ascii="Arial" w:cs="Arial" w:eastAsia="Arial" w:hAnsi="Arial"/>
                <w:sz w:val="16"/>
                <w:szCs w:val="16"/>
                <w:b w:val="1"/>
                <w:bCs w:val="1"/>
                <w:color w:val="auto"/>
                <w:w w:val="94"/>
              </w:rPr>
              <w:t>Carrying</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232"/>
              <w:spacing w:after="0" w:line="155" w:lineRule="exact"/>
              <w:rPr>
                <w:sz w:val="20"/>
                <w:szCs w:val="20"/>
                <w:color w:val="auto"/>
              </w:rPr>
            </w:pPr>
            <w:r>
              <w:rPr>
                <w:rFonts w:ascii="Arial" w:cs="Arial" w:eastAsia="Arial" w:hAnsi="Arial"/>
                <w:sz w:val="16"/>
                <w:szCs w:val="16"/>
                <w:b w:val="1"/>
                <w:bCs w:val="1"/>
                <w:color w:val="auto"/>
              </w:rPr>
              <w:t>Fair</w:t>
            </w:r>
          </w:p>
        </w:tc>
      </w:tr>
      <w:tr>
        <w:trPr>
          <w:trHeight w:val="190"/>
        </w:trPr>
        <w:tc>
          <w:tcPr>
            <w:tcW w:w="49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rPr>
              <w:t>Value</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Value</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Value</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Value</w:t>
            </w:r>
          </w:p>
        </w:tc>
      </w:tr>
      <w:tr>
        <w:trPr>
          <w:trHeight w:val="210"/>
        </w:trPr>
        <w:tc>
          <w:tcPr>
            <w:tcW w:w="494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Assets</w:t>
            </w:r>
          </w:p>
        </w:tc>
        <w:tc>
          <w:tcPr>
            <w:tcW w:w="19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9"/>
                <w:szCs w:val="19"/>
                <w:color w:val="auto"/>
              </w:rPr>
              <w:t>Long-term receivables</w:t>
            </w:r>
          </w:p>
        </w:tc>
        <w:tc>
          <w:tcPr>
            <w:tcW w:w="21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333</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329</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296</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289</w:t>
            </w:r>
          </w:p>
        </w:tc>
      </w:tr>
      <w:tr>
        <w:trPr>
          <w:trHeight w:val="216"/>
        </w:trPr>
        <w:tc>
          <w:tcPr>
            <w:tcW w:w="494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Liabilities</w:t>
            </w:r>
          </w:p>
        </w:tc>
        <w:tc>
          <w:tcPr>
            <w:tcW w:w="19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r>
      <w:tr>
        <w:trPr>
          <w:trHeight w:val="261"/>
        </w:trPr>
        <w:tc>
          <w:tcPr>
            <w:tcW w:w="4940" w:type="dxa"/>
            <w:vAlign w:val="bottom"/>
          </w:tcPr>
          <w:p>
            <w:pPr>
              <w:ind w:left="360"/>
              <w:spacing w:after="0"/>
              <w:rPr>
                <w:sz w:val="20"/>
                <w:szCs w:val="20"/>
                <w:color w:val="auto"/>
              </w:rPr>
            </w:pPr>
            <w:r>
              <w:rPr>
                <w:rFonts w:ascii="Arial" w:cs="Arial" w:eastAsia="Arial" w:hAnsi="Arial"/>
                <w:sz w:val="19"/>
                <w:szCs w:val="19"/>
                <w:color w:val="auto"/>
              </w:rPr>
              <w:t>Long-term debt and related current maturities</w:t>
            </w:r>
          </w:p>
        </w:tc>
        <w:tc>
          <w:tcPr>
            <w:tcW w:w="21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12,628</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13,133</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13,924</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14,695</w:t>
            </w:r>
          </w:p>
        </w:tc>
      </w:tr>
      <w:tr>
        <w:trPr>
          <w:trHeight w:val="324"/>
        </w:trPr>
        <w:tc>
          <w:tcPr>
            <w:tcW w:w="4940" w:type="dxa"/>
            <w:vAlign w:val="bottom"/>
          </w:tcPr>
          <w:p>
            <w:pPr>
              <w:spacing w:after="0"/>
              <w:rPr>
                <w:sz w:val="24"/>
                <w:szCs w:val="24"/>
                <w:color w:val="auto"/>
              </w:rPr>
            </w:pPr>
          </w:p>
        </w:tc>
        <w:tc>
          <w:tcPr>
            <w:tcW w:w="1960" w:type="dxa"/>
            <w:vAlign w:val="bottom"/>
          </w:tcPr>
          <w:p>
            <w:pPr>
              <w:jc w:val="right"/>
              <w:ind w:right="983"/>
              <w:spacing w:after="0"/>
              <w:rPr>
                <w:sz w:val="20"/>
                <w:szCs w:val="20"/>
                <w:color w:val="auto"/>
              </w:rPr>
            </w:pPr>
            <w:r>
              <w:rPr>
                <w:rFonts w:ascii="Arial" w:cs="Arial" w:eastAsia="Arial" w:hAnsi="Arial"/>
                <w:sz w:val="19"/>
                <w:szCs w:val="19"/>
                <w:color w:val="auto"/>
              </w:rPr>
              <w:t>64</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9"/>
        </w:trPr>
        <w:tc>
          <w:tcPr>
            <w:tcW w:w="49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100" w:firstLine="357"/>
        <w:spacing w:after="0" w:line="246" w:lineRule="auto"/>
        <w:rPr>
          <w:sz w:val="20"/>
          <w:szCs w:val="20"/>
          <w:color w:val="auto"/>
        </w:rPr>
      </w:pPr>
      <w:r>
        <w:rPr>
          <w:rFonts w:ascii="Arial" w:cs="Arial" w:eastAsia="Arial" w:hAnsi="Arial"/>
          <w:sz w:val="19"/>
          <w:szCs w:val="19"/>
          <w:color w:val="auto"/>
        </w:rPr>
        <w:t>The following table sets forth the amounts recorded on the Consolidated Balance Sheet related to cumulative basis adjustments for fair value hedges:</w:t>
      </w:r>
    </w:p>
    <w:tbl>
      <w:tblPr>
        <w:tblLayout w:type="fixed"/>
        <w:tblInd w:w="0"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60" w:type="dxa"/>
            <w:vAlign w:val="bottom"/>
            <w:gridSpan w:val="4"/>
          </w:tcPr>
          <w:p>
            <w:pPr>
              <w:jc w:val="center"/>
              <w:ind w:right="135"/>
              <w:spacing w:after="0" w:line="172" w:lineRule="exact"/>
              <w:rPr>
                <w:sz w:val="20"/>
                <w:szCs w:val="20"/>
                <w:color w:val="auto"/>
              </w:rPr>
            </w:pPr>
            <w:r>
              <w:rPr>
                <w:rFonts w:ascii="Arial" w:cs="Arial" w:eastAsia="Arial" w:hAnsi="Arial"/>
                <w:sz w:val="16"/>
                <w:szCs w:val="16"/>
                <w:b w:val="1"/>
                <w:bCs w:val="1"/>
                <w:color w:val="auto"/>
                <w:w w:val="98"/>
              </w:rPr>
              <w:t>Cumulative Amount of Fair Value Hedging</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4"/>
          </w:tcPr>
          <w:p>
            <w:pPr>
              <w:jc w:val="center"/>
              <w:ind w:right="135"/>
              <w:spacing w:after="0" w:line="176" w:lineRule="exact"/>
              <w:rPr>
                <w:sz w:val="20"/>
                <w:szCs w:val="20"/>
                <w:color w:val="auto"/>
              </w:rPr>
            </w:pPr>
            <w:r>
              <w:rPr>
                <w:rFonts w:ascii="Arial" w:cs="Arial" w:eastAsia="Arial" w:hAnsi="Arial"/>
                <w:sz w:val="16"/>
                <w:szCs w:val="16"/>
                <w:b w:val="1"/>
                <w:bCs w:val="1"/>
                <w:color w:val="auto"/>
                <w:w w:val="98"/>
              </w:rPr>
              <w:t>Adjustment Included in the Carrying</w:t>
            </w:r>
          </w:p>
        </w:tc>
        <w:tc>
          <w:tcPr>
            <w:tcW w:w="0" w:type="dxa"/>
            <w:vAlign w:val="bottom"/>
          </w:tcPr>
          <w:p>
            <w:pPr>
              <w:spacing w:after="0"/>
              <w:rPr>
                <w:sz w:val="1"/>
                <w:szCs w:val="1"/>
                <w:color w:val="auto"/>
              </w:rPr>
            </w:pPr>
          </w:p>
        </w:tc>
      </w:tr>
      <w:tr>
        <w:trPr>
          <w:trHeight w:val="190"/>
        </w:trPr>
        <w:tc>
          <w:tcPr>
            <w:tcW w:w="332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Line in the Consolidated Balance</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6"/>
                <w:szCs w:val="16"/>
                <w:b w:val="1"/>
                <w:bCs w:val="1"/>
                <w:color w:val="auto"/>
              </w:rPr>
              <w:t>Carrying Amount of the Hedged Item</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center"/>
              <w:ind w:right="115"/>
              <w:spacing w:after="0"/>
              <w:rPr>
                <w:sz w:val="20"/>
                <w:szCs w:val="20"/>
                <w:color w:val="auto"/>
              </w:rPr>
            </w:pPr>
            <w:r>
              <w:rPr>
                <w:rFonts w:ascii="Arial" w:cs="Arial" w:eastAsia="Arial" w:hAnsi="Arial"/>
                <w:sz w:val="16"/>
                <w:szCs w:val="16"/>
                <w:b w:val="1"/>
                <w:bCs w:val="1"/>
                <w:color w:val="auto"/>
                <w:w w:val="98"/>
              </w:rPr>
              <w:t>Amount of the Hedged Item</w:t>
            </w:r>
          </w:p>
        </w:tc>
        <w:tc>
          <w:tcPr>
            <w:tcW w:w="0" w:type="dxa"/>
            <w:vAlign w:val="bottom"/>
          </w:tcPr>
          <w:p>
            <w:pPr>
              <w:spacing w:after="0"/>
              <w:rPr>
                <w:sz w:val="1"/>
                <w:szCs w:val="1"/>
                <w:color w:val="auto"/>
              </w:rPr>
            </w:pPr>
          </w:p>
        </w:tc>
      </w:tr>
      <w:tr>
        <w:trPr>
          <w:trHeight w:val="155"/>
        </w:trPr>
        <w:tc>
          <w:tcPr>
            <w:tcW w:w="33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center"/>
              <w:ind w:right="156"/>
              <w:spacing w:after="0" w:line="155" w:lineRule="exact"/>
              <w:rPr>
                <w:sz w:val="20"/>
                <w:szCs w:val="20"/>
                <w:color w:val="auto"/>
              </w:rPr>
            </w:pPr>
            <w:r>
              <w:rPr>
                <w:rFonts w:ascii="Arial" w:cs="Arial" w:eastAsia="Arial" w:hAnsi="Arial"/>
                <w:sz w:val="16"/>
                <w:szCs w:val="16"/>
                <w:b w:val="1"/>
                <w:bCs w:val="1"/>
                <w:color w:val="auto"/>
                <w:w w:val="99"/>
              </w:rPr>
              <w:t>December 31,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center"/>
              <w:ind w:right="135"/>
              <w:spacing w:after="0" w:line="155" w:lineRule="exact"/>
              <w:rPr>
                <w:sz w:val="20"/>
                <w:szCs w:val="20"/>
                <w:color w:val="auto"/>
              </w:rPr>
            </w:pPr>
            <w:r>
              <w:rPr>
                <w:rFonts w:ascii="Arial" w:cs="Arial" w:eastAsia="Arial" w:hAnsi="Arial"/>
                <w:sz w:val="16"/>
                <w:szCs w:val="16"/>
                <w:b w:val="1"/>
                <w:bCs w:val="1"/>
                <w:color w:val="auto"/>
                <w:w w:val="97"/>
              </w:rPr>
              <w:t>December 31,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jc w:val="center"/>
              <w:ind w:right="138"/>
              <w:spacing w:after="0" w:line="155" w:lineRule="exact"/>
              <w:rPr>
                <w:sz w:val="20"/>
                <w:szCs w:val="20"/>
                <w:color w:val="auto"/>
              </w:rPr>
            </w:pPr>
            <w:r>
              <w:rPr>
                <w:rFonts w:ascii="Arial" w:cs="Arial" w:eastAsia="Arial" w:hAnsi="Arial"/>
                <w:sz w:val="16"/>
                <w:szCs w:val="16"/>
                <w:b w:val="1"/>
                <w:bCs w:val="1"/>
                <w:color w:val="auto"/>
                <w:w w:val="99"/>
              </w:rPr>
              <w:t>December 31,</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15"/>
              <w:spacing w:after="0" w:line="155" w:lineRule="exact"/>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190"/>
        </w:trPr>
        <w:tc>
          <w:tcPr>
            <w:tcW w:w="3320" w:type="dxa"/>
            <w:vAlign w:val="bottom"/>
            <w:tcBorders>
              <w:bottom w:val="single" w:sz="8" w:color="auto"/>
            </w:tcBorders>
          </w:tcPr>
          <w:p>
            <w:pPr>
              <w:ind w:left="940"/>
              <w:spacing w:after="0"/>
              <w:rPr>
                <w:sz w:val="20"/>
                <w:szCs w:val="20"/>
                <w:color w:val="auto"/>
              </w:rPr>
            </w:pPr>
            <w:r>
              <w:rPr>
                <w:rFonts w:ascii="Arial" w:cs="Arial" w:eastAsia="Arial" w:hAnsi="Arial"/>
                <w:sz w:val="16"/>
                <w:szCs w:val="16"/>
                <w:b w:val="1"/>
                <w:bCs w:val="1"/>
                <w:color w:val="auto"/>
              </w:rPr>
              <w:t>Sheet of Hedged Item</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15"/>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698"/>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37"/>
        </w:trPr>
        <w:tc>
          <w:tcPr>
            <w:tcW w:w="3320" w:type="dxa"/>
            <w:vAlign w:val="bottom"/>
            <w:shd w:val="clear" w:color="auto" w:fill="E5FFFF"/>
          </w:tcPr>
          <w:p>
            <w:pPr>
              <w:spacing w:after="0"/>
              <w:rPr>
                <w:sz w:val="20"/>
                <w:szCs w:val="20"/>
                <w:color w:val="auto"/>
              </w:rPr>
            </w:pPr>
            <w:r>
              <w:rPr>
                <w:rFonts w:ascii="Arial" w:cs="Arial" w:eastAsia="Arial" w:hAnsi="Arial"/>
                <w:sz w:val="19"/>
                <w:szCs w:val="19"/>
                <w:color w:val="auto"/>
              </w:rPr>
              <w:t>Long-term debt</w:t>
            </w:r>
          </w:p>
        </w:tc>
        <w:tc>
          <w:tcPr>
            <w:tcW w:w="54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w:t>
            </w:r>
          </w:p>
        </w:tc>
        <w:tc>
          <w:tcPr>
            <w:tcW w:w="1520" w:type="dxa"/>
            <w:vAlign w:val="bottom"/>
            <w:shd w:val="clear" w:color="auto" w:fill="E5FFFF"/>
          </w:tcPr>
          <w:p>
            <w:pPr>
              <w:jc w:val="right"/>
              <w:ind w:right="76"/>
              <w:spacing w:after="0"/>
              <w:rPr>
                <w:sz w:val="20"/>
                <w:szCs w:val="20"/>
                <w:color w:val="auto"/>
              </w:rPr>
            </w:pPr>
            <w:r>
              <w:rPr>
                <w:rFonts w:ascii="Arial" w:cs="Arial" w:eastAsia="Arial" w:hAnsi="Arial"/>
                <w:sz w:val="19"/>
                <w:szCs w:val="19"/>
                <w:color w:val="auto"/>
              </w:rPr>
              <w:t>2,555</w:t>
            </w:r>
          </w:p>
        </w:tc>
        <w:tc>
          <w:tcPr>
            <w:tcW w:w="54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w:t>
            </w:r>
          </w:p>
        </w:tc>
        <w:tc>
          <w:tcPr>
            <w:tcW w:w="1520" w:type="dxa"/>
            <w:vAlign w:val="bottom"/>
            <w:shd w:val="clear" w:color="auto" w:fill="E5FFFF"/>
          </w:tcPr>
          <w:p>
            <w:pPr>
              <w:jc w:val="right"/>
              <w:ind w:right="75"/>
              <w:spacing w:after="0"/>
              <w:rPr>
                <w:sz w:val="20"/>
                <w:szCs w:val="20"/>
                <w:color w:val="auto"/>
              </w:rPr>
            </w:pPr>
            <w:r>
              <w:rPr>
                <w:rFonts w:ascii="Arial" w:cs="Arial" w:eastAsia="Arial" w:hAnsi="Arial"/>
                <w:sz w:val="19"/>
                <w:szCs w:val="19"/>
                <w:color w:val="auto"/>
              </w:rPr>
              <w:t>2,592</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1700" w:type="dxa"/>
            <w:vAlign w:val="bottom"/>
            <w:shd w:val="clear" w:color="auto" w:fill="E5FFFF"/>
          </w:tcPr>
          <w:p>
            <w:pPr>
              <w:jc w:val="right"/>
              <w:ind w:right="178"/>
              <w:spacing w:after="0"/>
              <w:rPr>
                <w:sz w:val="20"/>
                <w:szCs w:val="20"/>
                <w:color w:val="auto"/>
              </w:rPr>
            </w:pPr>
            <w:r>
              <w:rPr>
                <w:rFonts w:ascii="Arial" w:cs="Arial" w:eastAsia="Arial" w:hAnsi="Arial"/>
                <w:sz w:val="19"/>
                <w:szCs w:val="19"/>
                <w:color w:val="auto"/>
              </w:rPr>
              <w:t>(45)</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280" w:type="dxa"/>
            <w:vAlign w:val="bottom"/>
            <w:shd w:val="clear" w:color="auto" w:fill="E5FFFF"/>
          </w:tcPr>
          <w:p>
            <w:pPr>
              <w:jc w:val="right"/>
              <w:ind w:right="15"/>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The Company determined the fair value of the long-term receivables by discounting based upon the terms of the receivable and counterparty details including credit quality.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w:t>
      </w:r>
    </w:p>
    <w:p>
      <w:pPr>
        <w:spacing w:after="0" w:line="91"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color w:val="auto"/>
        </w:rPr>
        <w:t>Interest rate swap agreements are designated as hedge relationships with gains or losses on the derivative recognized in interest and other financial charges offsetting the gains and losses on the underlying debt being hedged. Losses on interest rate swap agreements recognized in earnings were $37 million, $29 million and $71 million in the years ended December 31, 2018, 2017 and 2016. Gains and losses are fully offset by losses and gains on the underlying debt being hedged.</w:t>
      </w:r>
    </w:p>
    <w:p>
      <w:pPr>
        <w:spacing w:after="0" w:line="91"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We economically hedge our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We recognized $394 million of income and $207 million of expense in Other (income) expense in the years ended December 31, 2018 and 2017. We recognized $232 million of income in Other (income) expense in the year ended December 31, 2016.</w:t>
      </w:r>
    </w:p>
    <w:p>
      <w:pPr>
        <w:spacing w:after="0" w:line="91" w:lineRule="exact"/>
        <w:rPr>
          <w:sz w:val="20"/>
          <w:szCs w:val="20"/>
          <w:color w:val="auto"/>
        </w:rPr>
      </w:pPr>
    </w:p>
    <w:p>
      <w:pPr>
        <w:ind w:right="320" w:firstLine="357"/>
        <w:spacing w:after="0" w:line="246" w:lineRule="auto"/>
        <w:rPr>
          <w:sz w:val="20"/>
          <w:szCs w:val="20"/>
          <w:color w:val="auto"/>
        </w:rPr>
      </w:pPr>
      <w:r>
        <w:rPr>
          <w:rFonts w:ascii="Arial" w:cs="Arial" w:eastAsia="Arial" w:hAnsi="Arial"/>
          <w:sz w:val="19"/>
          <w:szCs w:val="19"/>
          <w:color w:val="auto"/>
        </w:rPr>
        <w:t>The following tables summarize the location and impact to the Consolidated Statement of Operations related to fair value and cash flow hedging relationships:</w:t>
      </w:r>
    </w:p>
    <w:tbl>
      <w:tblPr>
        <w:tblLayout w:type="fixed"/>
        <w:tblInd w:w="0" w:type="dxa"/>
        <w:tblCellMar>
          <w:top w:w="0" w:type="dxa"/>
          <w:left w:w="0" w:type="dxa"/>
          <w:bottom w:w="0" w:type="dxa"/>
          <w:right w:w="0" w:type="dxa"/>
        </w:tblCellMar>
      </w:tblPr>
      <w:tr>
        <w:trPr>
          <w:trHeight w:val="172"/>
        </w:trPr>
        <w:tc>
          <w:tcPr>
            <w:tcW w:w="5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gridSpan w:val="3"/>
          </w:tcPr>
          <w:p>
            <w:pPr>
              <w:ind w:left="300"/>
              <w:spacing w:after="0" w:line="172" w:lineRule="exact"/>
              <w:rPr>
                <w:sz w:val="20"/>
                <w:szCs w:val="20"/>
                <w:color w:val="auto"/>
              </w:rPr>
            </w:pPr>
            <w:r>
              <w:rPr>
                <w:rFonts w:ascii="Arial" w:cs="Arial" w:eastAsia="Arial" w:hAnsi="Arial"/>
                <w:sz w:val="16"/>
                <w:szCs w:val="16"/>
                <w:b w:val="1"/>
                <w:bCs w:val="1"/>
                <w:color w:val="auto"/>
              </w:rPr>
              <w:t>Year Ended</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0"/>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6"/>
                <w:szCs w:val="16"/>
                <w:b w:val="1"/>
                <w:bCs w:val="1"/>
                <w:color w:val="auto"/>
                <w:w w:val="98"/>
              </w:rPr>
              <w:t>December 31, 2018</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55"/>
        </w:trPr>
        <w:tc>
          <w:tcPr>
            <w:tcW w:w="5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1"/>
              <w:spacing w:after="0" w:line="155" w:lineRule="exact"/>
              <w:rPr>
                <w:sz w:val="20"/>
                <w:szCs w:val="20"/>
                <w:color w:val="auto"/>
              </w:rPr>
            </w:pPr>
            <w:r>
              <w:rPr>
                <w:rFonts w:ascii="Arial" w:cs="Arial" w:eastAsia="Arial" w:hAnsi="Arial"/>
                <w:sz w:val="16"/>
                <w:szCs w:val="16"/>
                <w:b w:val="1"/>
                <w:bCs w:val="1"/>
                <w:color w:val="auto"/>
              </w:rPr>
              <w:t>Interest</w:t>
            </w:r>
          </w:p>
        </w:tc>
      </w:tr>
      <w:tr>
        <w:trPr>
          <w:trHeight w:val="176"/>
        </w:trPr>
        <w:tc>
          <w:tcPr>
            <w:tcW w:w="5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Cost of</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110"/>
              <w:spacing w:after="0" w:line="176" w:lineRule="exact"/>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31"/>
              <w:spacing w:after="0" w:line="176" w:lineRule="exact"/>
              <w:rPr>
                <w:sz w:val="20"/>
                <w:szCs w:val="20"/>
                <w:color w:val="auto"/>
              </w:rPr>
            </w:pPr>
            <w:r>
              <w:rPr>
                <w:rFonts w:ascii="Arial" w:cs="Arial" w:eastAsia="Arial" w:hAnsi="Arial"/>
                <w:sz w:val="16"/>
                <w:szCs w:val="16"/>
                <w:b w:val="1"/>
                <w:bCs w:val="1"/>
                <w:color w:val="auto"/>
                <w:w w:val="97"/>
              </w:rPr>
              <w:t>and Other</w:t>
            </w:r>
          </w:p>
        </w:tc>
      </w:tr>
      <w:tr>
        <w:trPr>
          <w:trHeight w:val="176"/>
        </w:trPr>
        <w:tc>
          <w:tcPr>
            <w:tcW w:w="5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Products</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(Income)</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51"/>
              <w:spacing w:after="0" w:line="176" w:lineRule="exact"/>
              <w:rPr>
                <w:sz w:val="20"/>
                <w:szCs w:val="20"/>
                <w:color w:val="auto"/>
              </w:rPr>
            </w:pPr>
            <w:r>
              <w:rPr>
                <w:rFonts w:ascii="Arial" w:cs="Arial" w:eastAsia="Arial" w:hAnsi="Arial"/>
                <w:sz w:val="16"/>
                <w:szCs w:val="16"/>
                <w:b w:val="1"/>
                <w:bCs w:val="1"/>
                <w:color w:val="auto"/>
                <w:w w:val="97"/>
              </w:rPr>
              <w:t>Financial</w:t>
            </w:r>
          </w:p>
        </w:tc>
      </w:tr>
      <w:tr>
        <w:trPr>
          <w:trHeight w:val="190"/>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Sold</w:t>
            </w:r>
          </w:p>
        </w:tc>
        <w:tc>
          <w:tcPr>
            <w:tcW w:w="300" w:type="dxa"/>
            <w:vAlign w:val="bottom"/>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SG&amp;A</w:t>
            </w:r>
          </w:p>
        </w:tc>
        <w:tc>
          <w:tcPr>
            <w:tcW w:w="3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Expense</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96"/>
              </w:rPr>
              <w:t>Charges</w:t>
            </w:r>
          </w:p>
        </w:tc>
      </w:tr>
      <w:tr>
        <w:trPr>
          <w:trHeight w:val="237"/>
        </w:trPr>
        <w:tc>
          <w:tcPr>
            <w:tcW w:w="5560" w:type="dxa"/>
            <w:vAlign w:val="bottom"/>
            <w:shd w:val="clear" w:color="auto" w:fill="E5FFFF"/>
          </w:tcPr>
          <w:p>
            <w:pPr>
              <w:spacing w:after="0"/>
              <w:rPr>
                <w:sz w:val="20"/>
                <w:szCs w:val="20"/>
                <w:color w:val="auto"/>
              </w:rPr>
            </w:pP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$ 41,802</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$ 23,634</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$ 6,051</w:t>
            </w:r>
          </w:p>
        </w:tc>
        <w:tc>
          <w:tcPr>
            <w:tcW w:w="300" w:type="dxa"/>
            <w:vAlign w:val="bottom"/>
            <w:shd w:val="clear" w:color="auto" w:fill="E5FFFF"/>
          </w:tcPr>
          <w:p>
            <w:pPr>
              <w:spacing w:after="0"/>
              <w:rPr>
                <w:sz w:val="20"/>
                <w:szCs w:val="20"/>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(1,149)</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60" w:type="dxa"/>
            <w:vAlign w:val="bottom"/>
            <w:shd w:val="clear" w:color="auto" w:fill="E5FFFF"/>
          </w:tcPr>
          <w:p>
            <w:pPr>
              <w:jc w:val="right"/>
              <w:ind w:right="51"/>
              <w:spacing w:after="0"/>
              <w:rPr>
                <w:sz w:val="20"/>
                <w:szCs w:val="20"/>
                <w:color w:val="auto"/>
              </w:rPr>
            </w:pPr>
            <w:r>
              <w:rPr>
                <w:rFonts w:ascii="Arial" w:cs="Arial" w:eastAsia="Arial" w:hAnsi="Arial"/>
                <w:sz w:val="19"/>
                <w:szCs w:val="19"/>
                <w:color w:val="auto"/>
              </w:rPr>
              <w:t>367</w:t>
            </w:r>
          </w:p>
        </w:tc>
      </w:tr>
      <w:tr>
        <w:trPr>
          <w:trHeight w:val="216"/>
        </w:trPr>
        <w:tc>
          <w:tcPr>
            <w:tcW w:w="5560" w:type="dxa"/>
            <w:vAlign w:val="bottom"/>
          </w:tcPr>
          <w:p>
            <w:pPr>
              <w:spacing w:after="0" w:line="216" w:lineRule="exact"/>
              <w:rPr>
                <w:sz w:val="20"/>
                <w:szCs w:val="20"/>
                <w:color w:val="auto"/>
              </w:rPr>
            </w:pPr>
            <w:r>
              <w:rPr>
                <w:rFonts w:ascii="Arial" w:cs="Arial" w:eastAsia="Arial" w:hAnsi="Arial"/>
                <w:sz w:val="19"/>
                <w:szCs w:val="19"/>
                <w:b w:val="1"/>
                <w:bCs w:val="1"/>
                <w:color w:val="auto"/>
              </w:rPr>
              <w:t>Gain or (loss) on cash flow hedges: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56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Foreign Currency Exchange Contracts:</w:t>
            </w:r>
          </w:p>
        </w:tc>
        <w:tc>
          <w:tcPr>
            <w:tcW w:w="34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r>
      <w:tr>
        <w:trPr>
          <w:trHeight w:val="216"/>
        </w:trPr>
        <w:tc>
          <w:tcPr>
            <w:tcW w:w="5560" w:type="dxa"/>
            <w:vAlign w:val="bottom"/>
          </w:tcPr>
          <w:p>
            <w:pPr>
              <w:ind w:left="360"/>
              <w:spacing w:after="0" w:line="216" w:lineRule="exact"/>
              <w:rPr>
                <w:sz w:val="20"/>
                <w:szCs w:val="20"/>
                <w:color w:val="auto"/>
              </w:rPr>
            </w:pPr>
            <w:r>
              <w:rPr>
                <w:rFonts w:ascii="Arial" w:cs="Arial" w:eastAsia="Arial" w:hAnsi="Arial"/>
                <w:sz w:val="19"/>
                <w:szCs w:val="19"/>
                <w:color w:val="auto"/>
              </w:rPr>
              <w:t>Amount reclassified from accumulated other comprehensive</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560" w:type="dxa"/>
            <w:vAlign w:val="bottom"/>
          </w:tcPr>
          <w:p>
            <w:pPr>
              <w:ind w:left="540"/>
              <w:spacing w:after="0" w:line="216" w:lineRule="exact"/>
              <w:rPr>
                <w:sz w:val="20"/>
                <w:szCs w:val="20"/>
                <w:color w:val="auto"/>
              </w:rPr>
            </w:pPr>
            <w:r>
              <w:rPr>
                <w:rFonts w:ascii="Arial" w:cs="Arial" w:eastAsia="Arial" w:hAnsi="Arial"/>
                <w:sz w:val="19"/>
                <w:szCs w:val="19"/>
                <w:color w:val="auto"/>
              </w:rPr>
              <w:t>income into income</w:t>
            </w:r>
          </w:p>
        </w:tc>
        <w:tc>
          <w:tcPr>
            <w:tcW w:w="122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(9)</w:t>
            </w:r>
          </w:p>
        </w:tc>
        <w:tc>
          <w:tcPr>
            <w:tcW w:w="116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(35)</w:t>
            </w:r>
          </w:p>
        </w:tc>
        <w:tc>
          <w:tcPr>
            <w:tcW w:w="106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(2)</w:t>
            </w:r>
          </w:p>
        </w:tc>
        <w:tc>
          <w:tcPr>
            <w:tcW w:w="30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Arial" w:cs="Arial" w:eastAsia="Arial" w:hAnsi="Arial"/>
                <w:sz w:val="19"/>
                <w:szCs w:val="19"/>
                <w:color w:val="auto"/>
              </w:rPr>
              <w:t>47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1"/>
              <w:spacing w:after="0" w:line="216" w:lineRule="exact"/>
              <w:rPr>
                <w:sz w:val="20"/>
                <w:szCs w:val="20"/>
                <w:color w:val="auto"/>
              </w:rPr>
            </w:pPr>
            <w:r>
              <w:rPr>
                <w:rFonts w:ascii="Arial" w:cs="Arial" w:eastAsia="Arial" w:hAnsi="Arial"/>
                <w:sz w:val="19"/>
                <w:szCs w:val="19"/>
                <w:color w:val="auto"/>
              </w:rPr>
              <w:t>—</w:t>
            </w:r>
          </w:p>
        </w:tc>
      </w:tr>
      <w:tr>
        <w:trPr>
          <w:trHeight w:val="216"/>
        </w:trPr>
        <w:tc>
          <w:tcPr>
            <w:tcW w:w="5560" w:type="dxa"/>
            <w:vAlign w:val="bottom"/>
            <w:shd w:val="clear" w:color="auto" w:fill="E5FFFF"/>
          </w:tcPr>
          <w:p>
            <w:pPr>
              <w:ind w:left="360"/>
              <w:spacing w:after="0" w:line="216" w:lineRule="exact"/>
              <w:rPr>
                <w:sz w:val="20"/>
                <w:szCs w:val="20"/>
                <w:color w:val="auto"/>
              </w:rPr>
            </w:pPr>
            <w:r>
              <w:rPr>
                <w:rFonts w:ascii="Arial" w:cs="Arial" w:eastAsia="Arial" w:hAnsi="Arial"/>
                <w:sz w:val="19"/>
                <w:szCs w:val="19"/>
                <w:color w:val="auto"/>
              </w:rPr>
              <w:t>Amount excluded from effectiveness testing recognized in</w:t>
            </w:r>
          </w:p>
        </w:tc>
        <w:tc>
          <w:tcPr>
            <w:tcW w:w="34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r>
      <w:tr>
        <w:trPr>
          <w:trHeight w:val="216"/>
        </w:trPr>
        <w:tc>
          <w:tcPr>
            <w:tcW w:w="5560" w:type="dxa"/>
            <w:vAlign w:val="bottom"/>
            <w:shd w:val="clear" w:color="auto" w:fill="E5FFFF"/>
          </w:tcPr>
          <w:p>
            <w:pPr>
              <w:ind w:left="540"/>
              <w:spacing w:after="0" w:line="216" w:lineRule="exact"/>
              <w:rPr>
                <w:sz w:val="20"/>
                <w:szCs w:val="20"/>
                <w:color w:val="auto"/>
              </w:rPr>
            </w:pPr>
            <w:r>
              <w:rPr>
                <w:rFonts w:ascii="Arial" w:cs="Arial" w:eastAsia="Arial" w:hAnsi="Arial"/>
                <w:sz w:val="19"/>
                <w:szCs w:val="19"/>
                <w:color w:val="auto"/>
              </w:rPr>
              <w:t>earnings using an amortization approach</w:t>
            </w:r>
          </w:p>
        </w:tc>
        <w:tc>
          <w:tcPr>
            <w:tcW w:w="340" w:type="dxa"/>
            <w:vAlign w:val="bottom"/>
            <w:shd w:val="clear" w:color="auto" w:fill="E5FFFF"/>
          </w:tcPr>
          <w:p>
            <w:pPr>
              <w:spacing w:after="0"/>
              <w:rPr>
                <w:sz w:val="18"/>
                <w:szCs w:val="18"/>
                <w:color w:val="auto"/>
              </w:rPr>
            </w:pPr>
          </w:p>
        </w:tc>
        <w:tc>
          <w:tcPr>
            <w:tcW w:w="88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w:t>
            </w:r>
          </w:p>
        </w:tc>
        <w:tc>
          <w:tcPr>
            <w:tcW w:w="1160" w:type="dxa"/>
            <w:vAlign w:val="bottom"/>
            <w:gridSpan w:val="2"/>
            <w:shd w:val="clear" w:color="auto" w:fill="E5FFFF"/>
          </w:tcPr>
          <w:p>
            <w:pPr>
              <w:jc w:val="right"/>
              <w:spacing w:after="0" w:line="216" w:lineRule="exact"/>
              <w:rPr>
                <w:sz w:val="20"/>
                <w:szCs w:val="20"/>
                <w:color w:val="auto"/>
              </w:rPr>
            </w:pPr>
            <w:r>
              <w:rPr>
                <w:rFonts w:ascii="Arial" w:cs="Arial" w:eastAsia="Arial" w:hAnsi="Arial"/>
                <w:sz w:val="19"/>
                <w:szCs w:val="19"/>
                <w:color w:val="auto"/>
              </w:rPr>
              <w:t>6</w:t>
            </w:r>
          </w:p>
        </w:tc>
        <w:tc>
          <w:tcPr>
            <w:tcW w:w="3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380"/>
              <w:spacing w:after="0" w:line="216" w:lineRule="exact"/>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9</w:t>
            </w: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60" w:type="dxa"/>
            <w:vAlign w:val="bottom"/>
            <w:shd w:val="clear" w:color="auto" w:fill="E5FFFF"/>
          </w:tcPr>
          <w:p>
            <w:pPr>
              <w:jc w:val="right"/>
              <w:ind w:right="51"/>
              <w:spacing w:after="0" w:line="216" w:lineRule="exact"/>
              <w:rPr>
                <w:sz w:val="20"/>
                <w:szCs w:val="20"/>
                <w:color w:val="auto"/>
              </w:rPr>
            </w:pPr>
            <w:r>
              <w:rPr>
                <w:rFonts w:ascii="Arial" w:cs="Arial" w:eastAsia="Arial" w:hAnsi="Arial"/>
                <w:sz w:val="19"/>
                <w:szCs w:val="19"/>
                <w:color w:val="auto"/>
              </w:rPr>
              <w:t>—</w:t>
            </w:r>
          </w:p>
        </w:tc>
      </w:tr>
      <w:tr>
        <w:trPr>
          <w:trHeight w:val="216"/>
        </w:trPr>
        <w:tc>
          <w:tcPr>
            <w:tcW w:w="5560" w:type="dxa"/>
            <w:vAlign w:val="bottom"/>
          </w:tcPr>
          <w:p>
            <w:pPr>
              <w:spacing w:after="0" w:line="216" w:lineRule="exact"/>
              <w:rPr>
                <w:sz w:val="20"/>
                <w:szCs w:val="20"/>
                <w:color w:val="auto"/>
              </w:rPr>
            </w:pPr>
            <w:r>
              <w:rPr>
                <w:rFonts w:ascii="Arial" w:cs="Arial" w:eastAsia="Arial" w:hAnsi="Arial"/>
                <w:sz w:val="19"/>
                <w:szCs w:val="19"/>
                <w:b w:val="1"/>
                <w:bCs w:val="1"/>
                <w:color w:val="auto"/>
              </w:rPr>
              <w:t>Gain or (loss) on fair value hedges: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56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Interest Rate Swap Agreements:</w:t>
            </w:r>
          </w:p>
        </w:tc>
        <w:tc>
          <w:tcPr>
            <w:tcW w:w="34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r>
      <w:tr>
        <w:trPr>
          <w:trHeight w:val="243"/>
        </w:trPr>
        <w:tc>
          <w:tcPr>
            <w:tcW w:w="5560" w:type="dxa"/>
            <w:vAlign w:val="bottom"/>
          </w:tcPr>
          <w:p>
            <w:pPr>
              <w:ind w:left="360"/>
              <w:spacing w:after="0"/>
              <w:rPr>
                <w:sz w:val="20"/>
                <w:szCs w:val="20"/>
                <w:color w:val="auto"/>
              </w:rPr>
            </w:pPr>
            <w:r>
              <w:rPr>
                <w:rFonts w:ascii="Arial" w:cs="Arial" w:eastAsia="Arial" w:hAnsi="Arial"/>
                <w:sz w:val="19"/>
                <w:szCs w:val="19"/>
                <w:color w:val="auto"/>
              </w:rPr>
              <w:t>Hedged Items</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9"/>
                <w:szCs w:val="19"/>
                <w:color w:val="auto"/>
              </w:rPr>
              <w:t>37</w:t>
            </w:r>
          </w:p>
        </w:tc>
      </w:tr>
      <w:tr>
        <w:trPr>
          <w:trHeight w:val="243"/>
        </w:trPr>
        <w:tc>
          <w:tcPr>
            <w:tcW w:w="55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Derivatives designated as hedges</w:t>
            </w:r>
          </w:p>
        </w:tc>
        <w:tc>
          <w:tcPr>
            <w:tcW w:w="34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ind w:right="38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w:t>
            </w:r>
          </w:p>
        </w:tc>
      </w:tr>
      <w:tr>
        <w:trPr>
          <w:trHeight w:val="328"/>
        </w:trPr>
        <w:tc>
          <w:tcPr>
            <w:tcW w:w="55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9"/>
                <w:szCs w:val="19"/>
                <w:color w:val="auto"/>
              </w:rPr>
              <w:t>65</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9"/>
        </w:trPr>
        <w:tc>
          <w:tcPr>
            <w:tcW w:w="5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tbl>
      <w:tblPr>
        <w:tblLayout w:type="fixed"/>
        <w:tblInd w:w="0" w:type="dxa"/>
        <w:tblCellMar>
          <w:top w:w="0" w:type="dxa"/>
          <w:left w:w="0" w:type="dxa"/>
          <w:bottom w:w="0" w:type="dxa"/>
          <w:right w:w="0" w:type="dxa"/>
        </w:tblCellMar>
      </w:tblPr>
      <w:tr>
        <w:trPr>
          <w:trHeight w:val="174"/>
        </w:trPr>
        <w:tc>
          <w:tcPr>
            <w:tcW w:w="7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gridSpan w:val="3"/>
          </w:tcPr>
          <w:p>
            <w:pPr>
              <w:jc w:val="right"/>
              <w:ind w:right="409"/>
              <w:spacing w:after="0" w:line="175" w:lineRule="exact"/>
              <w:rPr>
                <w:sz w:val="20"/>
                <w:szCs w:val="20"/>
                <w:color w:val="auto"/>
              </w:rPr>
            </w:pPr>
            <w:r>
              <w:rPr>
                <w:rFonts w:ascii="Arial" w:cs="Arial" w:eastAsia="Arial" w:hAnsi="Arial"/>
                <w:sz w:val="16"/>
                <w:szCs w:val="16"/>
                <w:b w:val="1"/>
                <w:bCs w:val="1"/>
                <w:color w:val="auto"/>
              </w:rPr>
              <w:t>Year Ended</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0"/>
        </w:trPr>
        <w:tc>
          <w:tcPr>
            <w:tcW w:w="70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6"/>
                <w:szCs w:val="16"/>
                <w:b w:val="1"/>
                <w:bCs w:val="1"/>
                <w:color w:val="auto"/>
              </w:rPr>
              <w:t>December 31, 2017</w:t>
            </w: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55"/>
        </w:trPr>
        <w:tc>
          <w:tcPr>
            <w:tcW w:w="7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1"/>
              <w:spacing w:after="0" w:line="155" w:lineRule="exact"/>
              <w:rPr>
                <w:sz w:val="20"/>
                <w:szCs w:val="20"/>
                <w:color w:val="auto"/>
              </w:rPr>
            </w:pPr>
            <w:r>
              <w:rPr>
                <w:rFonts w:ascii="Arial" w:cs="Arial" w:eastAsia="Arial" w:hAnsi="Arial"/>
                <w:sz w:val="16"/>
                <w:szCs w:val="16"/>
                <w:b w:val="1"/>
                <w:bCs w:val="1"/>
                <w:color w:val="auto"/>
              </w:rPr>
              <w:t>Interest</w:t>
            </w:r>
          </w:p>
        </w:tc>
      </w:tr>
      <w:tr>
        <w:trPr>
          <w:trHeight w:val="176"/>
        </w:trPr>
        <w:tc>
          <w:tcPr>
            <w:tcW w:w="7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Cost of</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and Other</w:t>
            </w:r>
          </w:p>
        </w:tc>
      </w:tr>
      <w:tr>
        <w:trPr>
          <w:trHeight w:val="176"/>
        </w:trPr>
        <w:tc>
          <w:tcPr>
            <w:tcW w:w="7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Products</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31"/>
              <w:spacing w:after="0" w:line="176" w:lineRule="exact"/>
              <w:rPr>
                <w:sz w:val="20"/>
                <w:szCs w:val="20"/>
                <w:color w:val="auto"/>
              </w:rPr>
            </w:pPr>
            <w:r>
              <w:rPr>
                <w:rFonts w:ascii="Arial" w:cs="Arial" w:eastAsia="Arial" w:hAnsi="Arial"/>
                <w:sz w:val="16"/>
                <w:szCs w:val="16"/>
                <w:b w:val="1"/>
                <w:bCs w:val="1"/>
                <w:color w:val="auto"/>
                <w:w w:val="97"/>
              </w:rPr>
              <w:t>Financial</w:t>
            </w:r>
          </w:p>
        </w:tc>
      </w:tr>
      <w:tr>
        <w:trPr>
          <w:trHeight w:val="190"/>
        </w:trPr>
        <w:tc>
          <w:tcPr>
            <w:tcW w:w="7040" w:type="dxa"/>
            <w:vAlign w:val="bottom"/>
          </w:tcPr>
          <w:p>
            <w:pPr>
              <w:spacing w:after="0"/>
              <w:rPr>
                <w:sz w:val="16"/>
                <w:szCs w:val="16"/>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Sold</w:t>
            </w:r>
          </w:p>
        </w:tc>
        <w:tc>
          <w:tcPr>
            <w:tcW w:w="300" w:type="dxa"/>
            <w:vAlign w:val="bottom"/>
          </w:tcPr>
          <w:p>
            <w:pPr>
              <w:spacing w:after="0"/>
              <w:rPr>
                <w:sz w:val="16"/>
                <w:szCs w:val="16"/>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6"/>
                <w:szCs w:val="16"/>
                <w:b w:val="1"/>
                <w:bCs w:val="1"/>
                <w:color w:val="auto"/>
              </w:rPr>
              <w:t>SG&amp;A</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99"/>
              </w:rPr>
              <w:t>Charges</w:t>
            </w:r>
          </w:p>
        </w:tc>
      </w:tr>
      <w:tr>
        <w:trPr>
          <w:trHeight w:val="237"/>
        </w:trPr>
        <w:tc>
          <w:tcPr>
            <w:tcW w:w="7040" w:type="dxa"/>
            <w:vAlign w:val="bottom"/>
            <w:shd w:val="clear" w:color="auto" w:fill="E5FFFF"/>
          </w:tcPr>
          <w:p>
            <w:pPr>
              <w:spacing w:after="0"/>
              <w:rPr>
                <w:sz w:val="20"/>
                <w:szCs w:val="20"/>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$ 40,534</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$ 23,176</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$ 6,087</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ind w:right="51"/>
              <w:spacing w:after="0"/>
              <w:rPr>
                <w:sz w:val="20"/>
                <w:szCs w:val="20"/>
                <w:color w:val="auto"/>
              </w:rPr>
            </w:pPr>
            <w:r>
              <w:rPr>
                <w:rFonts w:ascii="Arial" w:cs="Arial" w:eastAsia="Arial" w:hAnsi="Arial"/>
                <w:sz w:val="19"/>
                <w:szCs w:val="19"/>
                <w:color w:val="auto"/>
              </w:rPr>
              <w:t>316</w:t>
            </w: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b w:val="1"/>
                <w:bCs w:val="1"/>
                <w:color w:val="auto"/>
              </w:rPr>
              <w:t>Gain or (loss) on cash flow hedges: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04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Foreign Currency Exchange Contracts:</w:t>
            </w: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r>
      <w:tr>
        <w:trPr>
          <w:trHeight w:val="216"/>
        </w:trPr>
        <w:tc>
          <w:tcPr>
            <w:tcW w:w="7040" w:type="dxa"/>
            <w:vAlign w:val="bottom"/>
          </w:tcPr>
          <w:p>
            <w:pPr>
              <w:ind w:left="360"/>
              <w:spacing w:after="0" w:line="216" w:lineRule="exact"/>
              <w:rPr>
                <w:sz w:val="20"/>
                <w:szCs w:val="20"/>
                <w:color w:val="auto"/>
              </w:rPr>
            </w:pPr>
            <w:r>
              <w:rPr>
                <w:rFonts w:ascii="Arial" w:cs="Arial" w:eastAsia="Arial" w:hAnsi="Arial"/>
                <w:sz w:val="19"/>
                <w:szCs w:val="19"/>
                <w:color w:val="auto"/>
              </w:rPr>
              <w:t>Amount reclassified from accumulated other comprehensive income into</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040" w:type="dxa"/>
            <w:vAlign w:val="bottom"/>
          </w:tcPr>
          <w:p>
            <w:pPr>
              <w:ind w:left="540"/>
              <w:spacing w:after="0" w:line="216" w:lineRule="exact"/>
              <w:rPr>
                <w:sz w:val="20"/>
                <w:szCs w:val="20"/>
                <w:color w:val="auto"/>
              </w:rPr>
            </w:pPr>
            <w:r>
              <w:rPr>
                <w:rFonts w:ascii="Arial" w:cs="Arial" w:eastAsia="Arial" w:hAnsi="Arial"/>
                <w:sz w:val="19"/>
                <w:szCs w:val="19"/>
                <w:color w:val="auto"/>
              </w:rPr>
              <w:t>income</w:t>
            </w:r>
          </w:p>
        </w:tc>
        <w:tc>
          <w:tcPr>
            <w:tcW w:w="880" w:type="dxa"/>
            <w:vAlign w:val="bottom"/>
          </w:tcPr>
          <w:p>
            <w:pPr>
              <w:jc w:val="right"/>
              <w:spacing w:after="0" w:line="216" w:lineRule="exact"/>
              <w:rPr>
                <w:sz w:val="20"/>
                <w:szCs w:val="20"/>
                <w:color w:val="auto"/>
              </w:rPr>
            </w:pPr>
            <w:r>
              <w:rPr>
                <w:rFonts w:ascii="Arial" w:cs="Arial" w:eastAsia="Arial" w:hAnsi="Arial"/>
                <w:sz w:val="19"/>
                <w:szCs w:val="19"/>
                <w:color w:val="auto"/>
              </w:rPr>
              <w:t>15</w:t>
            </w:r>
          </w:p>
        </w:tc>
        <w:tc>
          <w:tcPr>
            <w:tcW w:w="118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31</w:t>
            </w:r>
          </w:p>
        </w:tc>
        <w:tc>
          <w:tcPr>
            <w:tcW w:w="106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51"/>
              <w:spacing w:after="0" w:line="216" w:lineRule="exact"/>
              <w:rPr>
                <w:sz w:val="20"/>
                <w:szCs w:val="20"/>
                <w:color w:val="auto"/>
              </w:rPr>
            </w:pPr>
            <w:r>
              <w:rPr>
                <w:rFonts w:ascii="Arial" w:cs="Arial" w:eastAsia="Arial" w:hAnsi="Arial"/>
                <w:sz w:val="19"/>
                <w:szCs w:val="19"/>
                <w:color w:val="auto"/>
              </w:rPr>
              <w:t>—</w:t>
            </w:r>
          </w:p>
        </w:tc>
      </w:tr>
      <w:tr>
        <w:trPr>
          <w:trHeight w:val="216"/>
        </w:trPr>
        <w:tc>
          <w:tcPr>
            <w:tcW w:w="704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Gain or (loss) on fair value hedges:</w:t>
            </w: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r>
      <w:tr>
        <w:trPr>
          <w:trHeight w:val="216"/>
        </w:trPr>
        <w:tc>
          <w:tcPr>
            <w:tcW w:w="7040" w:type="dxa"/>
            <w:vAlign w:val="bottom"/>
          </w:tcPr>
          <w:p>
            <w:pPr>
              <w:ind w:left="180"/>
              <w:spacing w:after="0" w:line="216" w:lineRule="exact"/>
              <w:rPr>
                <w:sz w:val="20"/>
                <w:szCs w:val="20"/>
                <w:color w:val="auto"/>
              </w:rPr>
            </w:pPr>
            <w:r>
              <w:rPr>
                <w:rFonts w:ascii="Arial" w:cs="Arial" w:eastAsia="Arial" w:hAnsi="Arial"/>
                <w:sz w:val="19"/>
                <w:szCs w:val="19"/>
                <w:color w:val="auto"/>
              </w:rPr>
              <w:t>Interest Rate Swap Agreements: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3"/>
        </w:trPr>
        <w:tc>
          <w:tcPr>
            <w:tcW w:w="70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Hedged Items</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51"/>
              <w:spacing w:after="0"/>
              <w:rPr>
                <w:sz w:val="20"/>
                <w:szCs w:val="20"/>
                <w:color w:val="auto"/>
              </w:rPr>
            </w:pPr>
            <w:r>
              <w:rPr>
                <w:rFonts w:ascii="Arial" w:cs="Arial" w:eastAsia="Arial" w:hAnsi="Arial"/>
                <w:sz w:val="19"/>
                <w:szCs w:val="19"/>
                <w:color w:val="auto"/>
              </w:rPr>
              <w:t>29</w:t>
            </w:r>
          </w:p>
        </w:tc>
      </w:tr>
      <w:tr>
        <w:trPr>
          <w:trHeight w:val="261"/>
        </w:trPr>
        <w:tc>
          <w:tcPr>
            <w:tcW w:w="7040" w:type="dxa"/>
            <w:vAlign w:val="bottom"/>
          </w:tcPr>
          <w:p>
            <w:pPr>
              <w:ind w:left="360"/>
              <w:spacing w:after="0"/>
              <w:rPr>
                <w:sz w:val="20"/>
                <w:szCs w:val="20"/>
                <w:color w:val="auto"/>
              </w:rPr>
            </w:pPr>
            <w:r>
              <w:rPr>
                <w:rFonts w:ascii="Arial" w:cs="Arial" w:eastAsia="Arial" w:hAnsi="Arial"/>
                <w:sz w:val="19"/>
                <w:szCs w:val="19"/>
                <w:color w:val="auto"/>
              </w:rPr>
              <w:t>Derivatives designated as hedges</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(29)</w:t>
            </w:r>
          </w:p>
        </w:tc>
      </w:tr>
    </w:tbl>
    <w:p>
      <w:pPr>
        <w:spacing w:after="0" w:line="91" w:lineRule="exact"/>
        <w:rPr>
          <w:sz w:val="20"/>
          <w:szCs w:val="20"/>
          <w:color w:val="auto"/>
        </w:rPr>
      </w:pPr>
    </w:p>
    <w:p>
      <w:pPr>
        <w:ind w:right="680" w:firstLine="357"/>
        <w:spacing w:after="0" w:line="246" w:lineRule="auto"/>
        <w:rPr>
          <w:sz w:val="20"/>
          <w:szCs w:val="20"/>
          <w:color w:val="auto"/>
        </w:rPr>
      </w:pPr>
      <w:r>
        <w:rPr>
          <w:rFonts w:ascii="Arial" w:cs="Arial" w:eastAsia="Arial" w:hAnsi="Arial"/>
          <w:sz w:val="19"/>
          <w:szCs w:val="19"/>
          <w:color w:val="auto"/>
        </w:rPr>
        <w:t>The following table summarizes the amounts of gain or (loss) on net investment hedges recognized in Accumulated other comprehensive income (loss):</w:t>
      </w:r>
    </w:p>
    <w:tbl>
      <w:tblPr>
        <w:tblLayout w:type="fixed"/>
        <w:tblInd w:w="0" w:type="dxa"/>
        <w:tblCellMar>
          <w:top w:w="0" w:type="dxa"/>
          <w:left w:w="0" w:type="dxa"/>
          <w:bottom w:w="0" w:type="dxa"/>
          <w:right w:w="0" w:type="dxa"/>
        </w:tblCellMar>
      </w:tblPr>
      <w:tr>
        <w:trPr>
          <w:trHeight w:val="172"/>
        </w:trPr>
        <w:tc>
          <w:tcPr>
            <w:tcW w:w="50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6"/>
          </w:tcPr>
          <w:p>
            <w:pPr>
              <w:jc w:val="right"/>
              <w:ind w:right="206"/>
              <w:spacing w:after="0" w:line="172" w:lineRule="exact"/>
              <w:rPr>
                <w:sz w:val="20"/>
                <w:szCs w:val="20"/>
                <w:color w:val="auto"/>
              </w:rPr>
            </w:pPr>
            <w:r>
              <w:rPr>
                <w:rFonts w:ascii="Arial" w:cs="Arial" w:eastAsia="Arial" w:hAnsi="Arial"/>
                <w:sz w:val="16"/>
                <w:szCs w:val="16"/>
                <w:b w:val="1"/>
                <w:bCs w:val="1"/>
                <w:color w:val="auto"/>
              </w:rPr>
              <w:t>Years Ended</w:t>
            </w: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8520" w:type="dxa"/>
            <w:vAlign w:val="bottom"/>
            <w:vMerge w:val="restart"/>
          </w:tcPr>
          <w:p>
            <w:pPr>
              <w:spacing w:after="0"/>
              <w:rPr>
                <w:sz w:val="20"/>
                <w:szCs w:val="20"/>
                <w:color w:val="auto"/>
              </w:rPr>
            </w:pPr>
            <w:r>
              <w:rPr>
                <w:rFonts w:ascii="Arial" w:cs="Arial" w:eastAsia="Arial" w:hAnsi="Arial"/>
                <w:sz w:val="16"/>
                <w:szCs w:val="16"/>
                <w:b w:val="1"/>
                <w:bCs w:val="1"/>
                <w:color w:val="auto"/>
              </w:rPr>
              <w:t>Derivatives Net Investment Hedging Relationships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Borders>
              <w:bottom w:val="single" w:sz="8" w:color="auto"/>
            </w:tcBorders>
            <w:gridSpan w:val="6"/>
          </w:tcPr>
          <w:p>
            <w:pPr>
              <w:jc w:val="right"/>
              <w:ind w:right="166"/>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85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6"/>
              <w:spacing w:after="0" w:line="169" w:lineRule="exact"/>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8520" w:type="dxa"/>
            <w:vAlign w:val="bottom"/>
            <w:shd w:val="clear" w:color="auto" w:fill="E5FFFF"/>
          </w:tcPr>
          <w:p>
            <w:pPr>
              <w:spacing w:after="0"/>
              <w:rPr>
                <w:sz w:val="20"/>
                <w:szCs w:val="20"/>
                <w:color w:val="auto"/>
              </w:rPr>
            </w:pPr>
            <w:r>
              <w:rPr>
                <w:rFonts w:ascii="Arial" w:cs="Arial" w:eastAsia="Arial" w:hAnsi="Arial"/>
                <w:sz w:val="19"/>
                <w:szCs w:val="19"/>
                <w:color w:val="auto"/>
              </w:rPr>
              <w:t>Euro-denominated long-term debt</w:t>
            </w:r>
          </w:p>
        </w:tc>
        <w:tc>
          <w:tcPr>
            <w:tcW w:w="88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$ 177</w:t>
            </w:r>
          </w:p>
        </w:tc>
        <w:tc>
          <w:tcPr>
            <w:tcW w:w="44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(582)</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20" w:type="dxa"/>
            <w:vAlign w:val="bottom"/>
          </w:tcPr>
          <w:p>
            <w:pPr>
              <w:spacing w:after="0"/>
              <w:rPr>
                <w:sz w:val="20"/>
                <w:szCs w:val="20"/>
                <w:color w:val="auto"/>
              </w:rPr>
            </w:pPr>
            <w:r>
              <w:rPr>
                <w:rFonts w:ascii="Arial" w:cs="Arial" w:eastAsia="Arial" w:hAnsi="Arial"/>
                <w:sz w:val="19"/>
                <w:szCs w:val="19"/>
                <w:color w:val="auto"/>
              </w:rPr>
              <w:t>Euro-denominated commercial paper</w:t>
            </w:r>
          </w:p>
        </w:tc>
        <w:tc>
          <w:tcPr>
            <w:tcW w:w="880" w:type="dxa"/>
            <w:vAlign w:val="bottom"/>
            <w:gridSpan w:val="4"/>
          </w:tcPr>
          <w:p>
            <w:pPr>
              <w:jc w:val="right"/>
              <w:ind w:right="60"/>
              <w:spacing w:after="0"/>
              <w:rPr>
                <w:sz w:val="20"/>
                <w:szCs w:val="20"/>
                <w:color w:val="auto"/>
              </w:rPr>
            </w:pPr>
            <w:r>
              <w:rPr>
                <w:rFonts w:ascii="Arial" w:cs="Arial" w:eastAsia="Arial" w:hAnsi="Arial"/>
                <w:sz w:val="19"/>
                <w:szCs w:val="19"/>
                <w:color w:val="auto"/>
              </w:rPr>
              <w:t>168</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(458)</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20" w:type="dxa"/>
            <w:vAlign w:val="bottom"/>
            <w:shd w:val="clear" w:color="auto" w:fill="E5FFFF"/>
          </w:tcPr>
          <w:p>
            <w:pPr>
              <w:spacing w:after="0"/>
              <w:rPr>
                <w:sz w:val="20"/>
                <w:szCs w:val="20"/>
                <w:color w:val="auto"/>
              </w:rPr>
            </w:pPr>
            <w:r>
              <w:rPr>
                <w:rFonts w:ascii="Arial" w:cs="Arial" w:eastAsia="Arial" w:hAnsi="Arial"/>
                <w:sz w:val="19"/>
                <w:szCs w:val="19"/>
                <w:color w:val="auto"/>
              </w:rPr>
              <w:t>Cross currency swap</w:t>
            </w:r>
          </w:p>
        </w:tc>
        <w:tc>
          <w:tcPr>
            <w:tcW w:w="88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44</w:t>
            </w: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558"/>
        </w:trPr>
        <w:tc>
          <w:tcPr>
            <w:tcW w:w="9020" w:type="dxa"/>
            <w:vAlign w:val="bottom"/>
            <w:gridSpan w:val="2"/>
          </w:tcPr>
          <w:p>
            <w:pPr>
              <w:spacing w:after="0"/>
              <w:rPr>
                <w:sz w:val="20"/>
                <w:szCs w:val="20"/>
                <w:color w:val="auto"/>
              </w:rPr>
            </w:pPr>
            <w:r>
              <w:rPr>
                <w:rFonts w:ascii="Arial" w:cs="Arial" w:eastAsia="Arial" w:hAnsi="Arial"/>
                <w:sz w:val="19"/>
                <w:szCs w:val="19"/>
                <w:b w:val="1"/>
                <w:bCs w:val="1"/>
                <w:color w:val="auto"/>
              </w:rPr>
              <w:t>Note 16. Other Liabilities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6"/>
            <w:vMerge w:val="restart"/>
          </w:tcPr>
          <w:p>
            <w:pPr>
              <w:jc w:val="right"/>
              <w:ind w:right="286"/>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8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101"/>
              <w:spacing w:after="0" w:line="169" w:lineRule="exact"/>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8520" w:type="dxa"/>
            <w:vAlign w:val="bottom"/>
            <w:shd w:val="clear" w:color="auto" w:fill="E5FFFF"/>
          </w:tcPr>
          <w:p>
            <w:pPr>
              <w:spacing w:after="0"/>
              <w:rPr>
                <w:sz w:val="20"/>
                <w:szCs w:val="20"/>
                <w:color w:val="auto"/>
              </w:rPr>
            </w:pPr>
            <w:r>
              <w:rPr>
                <w:rFonts w:ascii="Arial" w:cs="Arial" w:eastAsia="Arial" w:hAnsi="Arial"/>
                <w:sz w:val="19"/>
                <w:szCs w:val="19"/>
                <w:color w:val="auto"/>
              </w:rPr>
              <w:t>Pension and other employee related</w:t>
            </w: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$ 1,795</w:t>
            </w:r>
          </w:p>
        </w:tc>
        <w:tc>
          <w:tcPr>
            <w:tcW w:w="80" w:type="dxa"/>
            <w:vAlign w:val="bottom"/>
            <w:shd w:val="clear" w:color="auto" w:fill="E5FFFF"/>
          </w:tcPr>
          <w:p>
            <w:pPr>
              <w:spacing w:after="0"/>
              <w:rPr>
                <w:sz w:val="20"/>
                <w:szCs w:val="20"/>
                <w:color w:val="auto"/>
              </w:rPr>
            </w:pPr>
          </w:p>
        </w:tc>
        <w:tc>
          <w:tcPr>
            <w:tcW w:w="440" w:type="dxa"/>
            <w:vAlign w:val="bottom"/>
            <w:gridSpan w:val="3"/>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1,986</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20" w:type="dxa"/>
            <w:vAlign w:val="bottom"/>
          </w:tcPr>
          <w:p>
            <w:pPr>
              <w:spacing w:after="0"/>
              <w:rPr>
                <w:sz w:val="20"/>
                <w:szCs w:val="20"/>
                <w:color w:val="auto"/>
              </w:rPr>
            </w:pPr>
            <w:r>
              <w:rPr>
                <w:rFonts w:ascii="Arial" w:cs="Arial" w:eastAsia="Arial" w:hAnsi="Arial"/>
                <w:sz w:val="19"/>
                <w:szCs w:val="19"/>
                <w:color w:val="auto"/>
              </w:rPr>
              <w:t>Income taxes</w:t>
            </w:r>
          </w:p>
        </w:tc>
        <w:tc>
          <w:tcPr>
            <w:tcW w:w="800" w:type="dxa"/>
            <w:vAlign w:val="bottom"/>
            <w:gridSpan w:val="3"/>
          </w:tcPr>
          <w:p>
            <w:pPr>
              <w:jc w:val="right"/>
              <w:spacing w:after="0"/>
              <w:rPr>
                <w:sz w:val="20"/>
                <w:szCs w:val="20"/>
                <w:color w:val="auto"/>
              </w:rPr>
            </w:pPr>
            <w:r>
              <w:rPr>
                <w:rFonts w:ascii="Arial" w:cs="Arial" w:eastAsia="Arial" w:hAnsi="Arial"/>
                <w:sz w:val="19"/>
                <w:szCs w:val="19"/>
                <w:color w:val="auto"/>
              </w:rPr>
              <w:t>2,236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2,898</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20" w:type="dxa"/>
            <w:vAlign w:val="bottom"/>
            <w:shd w:val="clear" w:color="auto" w:fill="E5FFFF"/>
          </w:tcPr>
          <w:p>
            <w:pPr>
              <w:spacing w:after="0"/>
              <w:rPr>
                <w:sz w:val="20"/>
                <w:szCs w:val="20"/>
                <w:color w:val="auto"/>
              </w:rPr>
            </w:pPr>
            <w:r>
              <w:rPr>
                <w:rFonts w:ascii="Arial" w:cs="Arial" w:eastAsia="Arial" w:hAnsi="Arial"/>
                <w:sz w:val="19"/>
                <w:szCs w:val="19"/>
                <w:color w:val="auto"/>
              </w:rPr>
              <w:t>Environmental</w:t>
            </w: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580</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369</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20" w:type="dxa"/>
            <w:vAlign w:val="bottom"/>
          </w:tcPr>
          <w:p>
            <w:pPr>
              <w:spacing w:after="0"/>
              <w:rPr>
                <w:sz w:val="20"/>
                <w:szCs w:val="20"/>
                <w:color w:val="auto"/>
              </w:rPr>
            </w:pPr>
            <w:r>
              <w:rPr>
                <w:rFonts w:ascii="Arial" w:cs="Arial" w:eastAsia="Arial" w:hAnsi="Arial"/>
                <w:sz w:val="19"/>
                <w:szCs w:val="19"/>
                <w:color w:val="auto"/>
              </w:rPr>
              <w:t>Insurance</w:t>
            </w:r>
          </w:p>
        </w:tc>
        <w:tc>
          <w:tcPr>
            <w:tcW w:w="800" w:type="dxa"/>
            <w:vAlign w:val="bottom"/>
            <w:gridSpan w:val="3"/>
          </w:tcPr>
          <w:p>
            <w:pPr>
              <w:jc w:val="right"/>
              <w:spacing w:after="0"/>
              <w:rPr>
                <w:sz w:val="20"/>
                <w:szCs w:val="20"/>
                <w:color w:val="auto"/>
              </w:rPr>
            </w:pPr>
            <w:r>
              <w:rPr>
                <w:rFonts w:ascii="Arial" w:cs="Arial" w:eastAsia="Arial" w:hAnsi="Arial"/>
                <w:sz w:val="19"/>
                <w:szCs w:val="19"/>
                <w:color w:val="auto"/>
              </w:rPr>
              <w:t>236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233</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20" w:type="dxa"/>
            <w:vAlign w:val="bottom"/>
            <w:shd w:val="clear" w:color="auto" w:fill="E5FFFF"/>
          </w:tcPr>
          <w:p>
            <w:pPr>
              <w:spacing w:after="0"/>
              <w:rPr>
                <w:sz w:val="20"/>
                <w:szCs w:val="20"/>
                <w:color w:val="auto"/>
              </w:rPr>
            </w:pPr>
            <w:r>
              <w:rPr>
                <w:rFonts w:ascii="Arial" w:cs="Arial" w:eastAsia="Arial" w:hAnsi="Arial"/>
                <w:sz w:val="19"/>
                <w:szCs w:val="19"/>
                <w:color w:val="auto"/>
              </w:rPr>
              <w:t>Product warranties and performance guarantees</w:t>
            </w: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67</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101</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20" w:type="dxa"/>
            <w:vAlign w:val="bottom"/>
          </w:tcPr>
          <w:p>
            <w:pPr>
              <w:spacing w:after="0"/>
              <w:rPr>
                <w:sz w:val="20"/>
                <w:szCs w:val="20"/>
                <w:color w:val="auto"/>
              </w:rPr>
            </w:pPr>
            <w:r>
              <w:rPr>
                <w:rFonts w:ascii="Arial" w:cs="Arial" w:eastAsia="Arial" w:hAnsi="Arial"/>
                <w:sz w:val="19"/>
                <w:szCs w:val="19"/>
                <w:color w:val="auto"/>
              </w:rPr>
              <w:t>Asset retirement obligations</w:t>
            </w:r>
          </w:p>
        </w:tc>
        <w:tc>
          <w:tcPr>
            <w:tcW w:w="800" w:type="dxa"/>
            <w:vAlign w:val="bottom"/>
            <w:gridSpan w:val="3"/>
          </w:tcPr>
          <w:p>
            <w:pPr>
              <w:jc w:val="right"/>
              <w:spacing w:after="0"/>
              <w:rPr>
                <w:sz w:val="20"/>
                <w:szCs w:val="20"/>
                <w:color w:val="auto"/>
              </w:rPr>
            </w:pPr>
            <w:r>
              <w:rPr>
                <w:rFonts w:ascii="Arial" w:cs="Arial" w:eastAsia="Arial" w:hAnsi="Arial"/>
                <w:sz w:val="19"/>
                <w:szCs w:val="19"/>
                <w:color w:val="auto"/>
              </w:rPr>
              <w:t>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82</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20" w:type="dxa"/>
            <w:vAlign w:val="bottom"/>
            <w:shd w:val="clear" w:color="auto" w:fill="E5FFFF"/>
          </w:tcPr>
          <w:p>
            <w:pPr>
              <w:spacing w:after="0"/>
              <w:rPr>
                <w:sz w:val="20"/>
                <w:szCs w:val="20"/>
                <w:color w:val="auto"/>
              </w:rPr>
            </w:pPr>
            <w:r>
              <w:rPr>
                <w:rFonts w:ascii="Arial" w:cs="Arial" w:eastAsia="Arial" w:hAnsi="Arial"/>
                <w:sz w:val="19"/>
                <w:szCs w:val="19"/>
                <w:color w:val="auto"/>
              </w:rPr>
              <w:t>Deferred income</w:t>
            </w: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1,264</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76</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520" w:type="dxa"/>
            <w:vAlign w:val="bottom"/>
          </w:tcPr>
          <w:p>
            <w:pPr>
              <w:spacing w:after="0"/>
              <w:rPr>
                <w:sz w:val="20"/>
                <w:szCs w:val="20"/>
                <w:color w:val="auto"/>
              </w:rPr>
            </w:pPr>
            <w:r>
              <w:rPr>
                <w:rFonts w:ascii="Arial" w:cs="Arial" w:eastAsia="Arial" w:hAnsi="Arial"/>
                <w:sz w:val="19"/>
                <w:szCs w:val="19"/>
                <w:color w:val="auto"/>
              </w:rPr>
              <w:t>Other</w:t>
            </w:r>
          </w:p>
        </w:tc>
        <w:tc>
          <w:tcPr>
            <w:tcW w:w="60" w:type="dxa"/>
            <w:vAlign w:val="bottom"/>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150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185</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$ 6,402</w:t>
            </w:r>
          </w:p>
        </w:tc>
        <w:tc>
          <w:tcPr>
            <w:tcW w:w="80" w:type="dxa"/>
            <w:vAlign w:val="bottom"/>
            <w:shd w:val="clear" w:color="auto" w:fill="E5FFFF"/>
          </w:tcPr>
          <w:p>
            <w:pPr>
              <w:spacing w:after="0"/>
              <w:rPr>
                <w:sz w:val="21"/>
                <w:szCs w:val="21"/>
                <w:color w:val="auto"/>
              </w:rPr>
            </w:pPr>
          </w:p>
        </w:tc>
        <w:tc>
          <w:tcPr>
            <w:tcW w:w="440" w:type="dxa"/>
            <w:vAlign w:val="bottom"/>
            <w:gridSpan w:val="3"/>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5,930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17. Capital Stock</w:t>
      </w:r>
    </w:p>
    <w:p>
      <w:pPr>
        <w:spacing w:after="0" w:line="130" w:lineRule="exact"/>
        <w:rPr>
          <w:sz w:val="20"/>
          <w:szCs w:val="20"/>
          <w:color w:val="auto"/>
        </w:rPr>
      </w:pPr>
    </w:p>
    <w:p>
      <w:pPr>
        <w:ind w:right="120" w:firstLine="357"/>
        <w:spacing w:after="0"/>
        <w:rPr>
          <w:sz w:val="20"/>
          <w:szCs w:val="20"/>
          <w:color w:val="auto"/>
        </w:rPr>
      </w:pPr>
      <w:r>
        <w:rPr>
          <w:rFonts w:ascii="Arial" w:cs="Arial" w:eastAsia="Arial" w:hAnsi="Arial"/>
          <w:sz w:val="19"/>
          <w:szCs w:val="19"/>
          <w:color w:val="auto"/>
        </w:rPr>
        <w:t>We are authorized to issue up to 2,000,000,000 shares of common stock, with a par value of $1. Common shareowners are entitled to receive such dividends as may be declared by the Board of Directors, are entitled to one vote per share, and are entitled, in the event of liquidation, to share ratably in all the assets of Honeywell which are available for distribution to the common shareowners. Common shareowners do not have preemptive or conversion rights. Shares of common stock issued and outstanding or held in the treasury are not liable to further calls or assessments. There are no restrictions on us relative to dividends or the repurchase or redemption of common stock.</w:t>
      </w:r>
    </w:p>
    <w:p>
      <w:pPr>
        <w:spacing w:after="0" w:line="94" w:lineRule="exact"/>
        <w:rPr>
          <w:sz w:val="20"/>
          <w:szCs w:val="20"/>
          <w:color w:val="auto"/>
        </w:rPr>
      </w:pPr>
    </w:p>
    <w:p>
      <w:pPr>
        <w:ind w:right="40" w:firstLine="357"/>
        <w:spacing w:after="0" w:line="247" w:lineRule="auto"/>
        <w:rPr>
          <w:sz w:val="20"/>
          <w:szCs w:val="20"/>
          <w:color w:val="auto"/>
        </w:rPr>
      </w:pPr>
      <w:r>
        <w:rPr>
          <w:rFonts w:ascii="Arial" w:cs="Arial" w:eastAsia="Arial" w:hAnsi="Arial"/>
          <w:sz w:val="19"/>
          <w:szCs w:val="19"/>
          <w:color w:val="auto"/>
        </w:rPr>
        <w:t>In December 2017, the Board of Directors authorized the repurchase of up to $8 billion of Honeywell common stock. Approximately $3.7 billion and $7.7 billion remained available as of December 31, 2018, and December 31, 2017 for additional share repurchases.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300" w:firstLine="357"/>
        <w:spacing w:after="0" w:line="253" w:lineRule="auto"/>
        <w:rPr>
          <w:sz w:val="20"/>
          <w:szCs w:val="20"/>
          <w:color w:val="auto"/>
        </w:rPr>
      </w:pPr>
      <w:r>
        <w:rPr>
          <w:rFonts w:ascii="Arial" w:cs="Arial" w:eastAsia="Arial" w:hAnsi="Arial"/>
          <w:sz w:val="19"/>
          <w:szCs w:val="19"/>
          <w:color w:val="auto"/>
        </w:rPr>
        <w:t>We repurchased approximately 26.5 million and 20.5 million shares of our common stock in 2018 and 2017, for $4,000 million and $2,889 million.</w:t>
      </w:r>
    </w:p>
    <w:p>
      <w:pPr>
        <w:spacing w:after="0" w:line="80" w:lineRule="exact"/>
        <w:rPr>
          <w:sz w:val="20"/>
          <w:szCs w:val="20"/>
          <w:color w:val="auto"/>
        </w:rPr>
      </w:pPr>
    </w:p>
    <w:p>
      <w:pPr>
        <w:jc w:val="both"/>
        <w:ind w:right="500" w:firstLine="357"/>
        <w:spacing w:after="0" w:line="245" w:lineRule="auto"/>
        <w:rPr>
          <w:sz w:val="20"/>
          <w:szCs w:val="20"/>
          <w:color w:val="auto"/>
        </w:rPr>
      </w:pPr>
      <w:r>
        <w:rPr>
          <w:rFonts w:ascii="Arial" w:cs="Arial" w:eastAsia="Arial" w:hAnsi="Arial"/>
          <w:sz w:val="19"/>
          <w:szCs w:val="19"/>
          <w:color w:val="auto"/>
        </w:rPr>
        <w:t>We are authorized to issue up to 40,000,000 shares of preferred stock, without par value, and can determine the number of shares of each series, and the rights, preferences and limitations of each series. At December 31, 2018, there was no preferred stock outstanding.</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18. Accumulated Other Comprehensive Income (Loss)</w:t>
      </w:r>
    </w:p>
    <w:p>
      <w:pPr>
        <w:spacing w:after="0" w:line="116" w:lineRule="exact"/>
        <w:rPr>
          <w:sz w:val="20"/>
          <w:szCs w:val="20"/>
          <w:color w:val="auto"/>
        </w:rPr>
      </w:pPr>
    </w:p>
    <w:p>
      <w:pPr>
        <w:ind w:right="20" w:firstLine="357"/>
        <w:spacing w:after="0" w:line="246" w:lineRule="auto"/>
        <w:rPr>
          <w:sz w:val="20"/>
          <w:szCs w:val="20"/>
          <w:color w:val="auto"/>
        </w:rPr>
      </w:pPr>
      <w:r>
        <w:rPr>
          <w:rFonts w:ascii="Arial" w:cs="Arial" w:eastAsia="Arial" w:hAnsi="Arial"/>
          <w:sz w:val="19"/>
          <w:szCs w:val="19"/>
          <w:color w:val="auto"/>
        </w:rPr>
        <w:t>The changes in Accumulated other comprehensive income (loss) are provided in the tables below. Comprehensive income (loss) attributable to noncontrolling interest consists predominantly of net income.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44"/>
              <w:spacing w:after="0"/>
              <w:rPr>
                <w:sz w:val="20"/>
                <w:szCs w:val="20"/>
                <w:color w:val="auto"/>
              </w:rPr>
            </w:pPr>
            <w:r>
              <w:rPr>
                <w:rFonts w:ascii="Arial" w:cs="Arial" w:eastAsia="Arial" w:hAnsi="Arial"/>
                <w:sz w:val="16"/>
                <w:szCs w:val="16"/>
                <w:b w:val="1"/>
                <w:bCs w:val="1"/>
                <w:color w:val="auto"/>
                <w:w w:val="95"/>
              </w:rPr>
              <w:t>Pre-tax</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Tax</w:t>
            </w:r>
          </w:p>
        </w:tc>
        <w:tc>
          <w:tcPr>
            <w:tcW w:w="60" w:type="dxa"/>
            <w:vAlign w:val="bottom"/>
          </w:tcPr>
          <w:p>
            <w:pPr>
              <w:spacing w:after="0"/>
              <w:rPr>
                <w:sz w:val="16"/>
                <w:szCs w:val="16"/>
                <w:color w:val="auto"/>
              </w:rPr>
            </w:pPr>
          </w:p>
        </w:tc>
        <w:tc>
          <w:tcPr>
            <w:tcW w:w="86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After-Tax</w:t>
            </w:r>
          </w:p>
        </w:tc>
        <w:tc>
          <w:tcPr>
            <w:tcW w:w="0" w:type="dxa"/>
            <w:vAlign w:val="bottom"/>
          </w:tcPr>
          <w:p>
            <w:pPr>
              <w:spacing w:after="0"/>
              <w:rPr>
                <w:sz w:val="1"/>
                <w:szCs w:val="1"/>
                <w:color w:val="auto"/>
              </w:rPr>
            </w:pPr>
          </w:p>
        </w:tc>
      </w:tr>
      <w:tr>
        <w:trPr>
          <w:trHeight w:val="210"/>
        </w:trPr>
        <w:tc>
          <w:tcPr>
            <w:tcW w:w="842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Year Ended December 31, 2018</w:t>
            </w:r>
          </w:p>
        </w:tc>
        <w:tc>
          <w:tcPr>
            <w:tcW w:w="140" w:type="dxa"/>
            <w:vAlign w:val="bottom"/>
            <w:tcBorders>
              <w:top w:val="single" w:sz="8" w:color="auto"/>
            </w:tcBorders>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500" w:type="dxa"/>
            <w:vAlign w:val="bottom"/>
            <w:tcBorders>
              <w:top w:val="single" w:sz="8" w:color="auto"/>
            </w:tcBorders>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70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20" w:type="dxa"/>
            <w:vAlign w:val="bottom"/>
          </w:tcPr>
          <w:p>
            <w:pPr>
              <w:spacing w:after="0"/>
              <w:rPr>
                <w:sz w:val="20"/>
                <w:szCs w:val="20"/>
                <w:color w:val="auto"/>
              </w:rPr>
            </w:pPr>
            <w:r>
              <w:rPr>
                <w:rFonts w:ascii="Arial" w:cs="Arial" w:eastAsia="Arial" w:hAnsi="Arial"/>
                <w:sz w:val="19"/>
                <w:szCs w:val="19"/>
                <w:color w:val="auto"/>
              </w:rPr>
              <w:t>Foreign exchange translation adjustment</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(728)</w:t>
            </w:r>
          </w:p>
        </w:tc>
        <w:tc>
          <w:tcPr>
            <w:tcW w:w="46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gridSpan w:val="3"/>
          </w:tcPr>
          <w:p>
            <w:pPr>
              <w:jc w:val="right"/>
              <w:ind w:right="380"/>
              <w:spacing w:after="0"/>
              <w:rPr>
                <w:sz w:val="20"/>
                <w:szCs w:val="20"/>
                <w:color w:val="auto"/>
              </w:rPr>
            </w:pPr>
            <w:r>
              <w:rPr>
                <w:rFonts w:ascii="Arial" w:cs="Arial" w:eastAsia="Arial" w:hAnsi="Arial"/>
                <w:sz w:val="19"/>
                <w:szCs w:val="19"/>
                <w:color w:val="auto"/>
              </w:rPr>
              <w:t>—</w:t>
            </w:r>
          </w:p>
        </w:tc>
        <w:tc>
          <w:tcPr>
            <w:tcW w:w="220" w:type="dxa"/>
            <w:vAlign w:val="bottom"/>
            <w:gridSpan w:val="2"/>
          </w:tcPr>
          <w:p>
            <w:pPr>
              <w:jc w:val="right"/>
              <w:ind w:right="21"/>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(728)</w:t>
            </w:r>
          </w:p>
        </w:tc>
        <w:tc>
          <w:tcPr>
            <w:tcW w:w="0" w:type="dxa"/>
            <w:vAlign w:val="bottom"/>
          </w:tcPr>
          <w:p>
            <w:pPr>
              <w:spacing w:after="0"/>
              <w:rPr>
                <w:sz w:val="1"/>
                <w:szCs w:val="1"/>
                <w:color w:val="auto"/>
              </w:rPr>
            </w:pPr>
          </w:p>
        </w:tc>
      </w:tr>
      <w:tr>
        <w:trPr>
          <w:trHeight w:val="243"/>
        </w:trPr>
        <w:tc>
          <w:tcPr>
            <w:tcW w:w="8420" w:type="dxa"/>
            <w:vAlign w:val="bottom"/>
            <w:shd w:val="clear" w:color="auto" w:fill="E5FFFF"/>
          </w:tcPr>
          <w:p>
            <w:pPr>
              <w:spacing w:after="0"/>
              <w:rPr>
                <w:sz w:val="20"/>
                <w:szCs w:val="20"/>
                <w:color w:val="auto"/>
              </w:rPr>
            </w:pPr>
            <w:r>
              <w:rPr>
                <w:rFonts w:ascii="Arial" w:cs="Arial" w:eastAsia="Arial" w:hAnsi="Arial"/>
                <w:sz w:val="19"/>
                <w:szCs w:val="19"/>
                <w:color w:val="auto"/>
              </w:rPr>
              <w:t>Pensions and other postretirement benefit adjustments</w:t>
            </w: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(727)</w:t>
            </w: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168</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(559)</w:t>
            </w:r>
          </w:p>
        </w:tc>
        <w:tc>
          <w:tcPr>
            <w:tcW w:w="0" w:type="dxa"/>
            <w:vAlign w:val="bottom"/>
          </w:tcPr>
          <w:p>
            <w:pPr>
              <w:spacing w:after="0"/>
              <w:rPr>
                <w:sz w:val="1"/>
                <w:szCs w:val="1"/>
                <w:color w:val="auto"/>
              </w:rPr>
            </w:pPr>
          </w:p>
        </w:tc>
      </w:tr>
      <w:tr>
        <w:trPr>
          <w:trHeight w:val="250"/>
        </w:trPr>
        <w:tc>
          <w:tcPr>
            <w:tcW w:w="8420" w:type="dxa"/>
            <w:vAlign w:val="bottom"/>
          </w:tcPr>
          <w:p>
            <w:pPr>
              <w:spacing w:after="0"/>
              <w:rPr>
                <w:sz w:val="20"/>
                <w:szCs w:val="20"/>
                <w:color w:val="auto"/>
              </w:rPr>
            </w:pPr>
            <w:r>
              <w:rPr>
                <w:rFonts w:ascii="Arial" w:cs="Arial" w:eastAsia="Arial" w:hAnsi="Arial"/>
                <w:sz w:val="19"/>
                <w:szCs w:val="19"/>
                <w:color w:val="auto"/>
              </w:rPr>
              <w:t>Changes in fair value of effective cash flow hedges</w:t>
            </w: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85</w:t>
            </w:r>
          </w:p>
        </w:tc>
        <w:tc>
          <w:tcPr>
            <w:tcW w:w="0" w:type="dxa"/>
            <w:vAlign w:val="bottom"/>
          </w:tcPr>
          <w:p>
            <w:pPr>
              <w:spacing w:after="0"/>
              <w:rPr>
                <w:sz w:val="1"/>
                <w:szCs w:val="1"/>
                <w:color w:val="auto"/>
              </w:rPr>
            </w:pPr>
          </w:p>
        </w:tc>
      </w:tr>
      <w:tr>
        <w:trPr>
          <w:trHeight w:val="243"/>
        </w:trPr>
        <w:tc>
          <w:tcPr>
            <w:tcW w:w="8420" w:type="dxa"/>
            <w:vAlign w:val="bottom"/>
            <w:shd w:val="clear" w:color="auto" w:fill="E5FFFF"/>
          </w:tcPr>
          <w:p>
            <w:pPr>
              <w:spacing w:after="0"/>
              <w:rPr>
                <w:sz w:val="21"/>
                <w:szCs w:val="21"/>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(1,353)</w:t>
            </w:r>
          </w:p>
        </w:tc>
        <w:tc>
          <w:tcPr>
            <w:tcW w:w="46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151</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(1,202)</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9"/>
                <w:szCs w:val="19"/>
                <w:b w:val="1"/>
                <w:bCs w:val="1"/>
                <w:color w:val="auto"/>
              </w:rPr>
              <w:t>Year Ended December 31, 2017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20" w:type="dxa"/>
            <w:vAlign w:val="bottom"/>
            <w:shd w:val="clear" w:color="auto" w:fill="E5FFFF"/>
          </w:tcPr>
          <w:p>
            <w:pPr>
              <w:spacing w:after="0"/>
              <w:rPr>
                <w:sz w:val="20"/>
                <w:szCs w:val="20"/>
                <w:color w:val="auto"/>
              </w:rPr>
            </w:pPr>
            <w:r>
              <w:rPr>
                <w:rFonts w:ascii="Arial" w:cs="Arial" w:eastAsia="Arial" w:hAnsi="Arial"/>
                <w:sz w:val="19"/>
                <w:szCs w:val="19"/>
                <w:color w:val="auto"/>
              </w:rPr>
              <w:t>Foreign exchange translation adjustment</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w:t>
            </w:r>
          </w:p>
        </w:tc>
        <w:tc>
          <w:tcPr>
            <w:tcW w:w="46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gridSpan w:val="3"/>
            <w:shd w:val="clear" w:color="auto" w:fill="E5FFFF"/>
          </w:tcPr>
          <w:p>
            <w:pPr>
              <w:jc w:val="right"/>
              <w:ind w:right="380"/>
              <w:spacing w:after="0"/>
              <w:rPr>
                <w:sz w:val="20"/>
                <w:szCs w:val="20"/>
                <w:color w:val="auto"/>
              </w:rPr>
            </w:pPr>
            <w:r>
              <w:rPr>
                <w:rFonts w:ascii="Arial" w:cs="Arial" w:eastAsia="Arial" w:hAnsi="Arial"/>
                <w:sz w:val="19"/>
                <w:szCs w:val="19"/>
                <w:color w:val="auto"/>
              </w:rPr>
              <w:t>—</w:t>
            </w:r>
          </w:p>
        </w:tc>
        <w:tc>
          <w:tcPr>
            <w:tcW w:w="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w:t>
            </w:r>
          </w:p>
        </w:tc>
        <w:tc>
          <w:tcPr>
            <w:tcW w:w="0" w:type="dxa"/>
            <w:vAlign w:val="bottom"/>
          </w:tcPr>
          <w:p>
            <w:pPr>
              <w:spacing w:after="0"/>
              <w:rPr>
                <w:sz w:val="1"/>
                <w:szCs w:val="1"/>
                <w:color w:val="auto"/>
              </w:rPr>
            </w:pPr>
          </w:p>
        </w:tc>
      </w:tr>
      <w:tr>
        <w:trPr>
          <w:trHeight w:val="243"/>
        </w:trPr>
        <w:tc>
          <w:tcPr>
            <w:tcW w:w="8420" w:type="dxa"/>
            <w:vAlign w:val="bottom"/>
          </w:tcPr>
          <w:p>
            <w:pPr>
              <w:spacing w:after="0"/>
              <w:rPr>
                <w:sz w:val="20"/>
                <w:szCs w:val="20"/>
                <w:color w:val="auto"/>
              </w:rPr>
            </w:pPr>
            <w:r>
              <w:rPr>
                <w:rFonts w:ascii="Arial" w:cs="Arial" w:eastAsia="Arial" w:hAnsi="Arial"/>
                <w:sz w:val="19"/>
                <w:szCs w:val="19"/>
                <w:color w:val="auto"/>
              </w:rPr>
              <w:t>Pensions and other postretirement benefit adjustments</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847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(170)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677</w:t>
            </w:r>
          </w:p>
        </w:tc>
        <w:tc>
          <w:tcPr>
            <w:tcW w:w="0" w:type="dxa"/>
            <w:vAlign w:val="bottom"/>
          </w:tcPr>
          <w:p>
            <w:pPr>
              <w:spacing w:after="0"/>
              <w:rPr>
                <w:sz w:val="1"/>
                <w:szCs w:val="1"/>
                <w:color w:val="auto"/>
              </w:rPr>
            </w:pPr>
          </w:p>
        </w:tc>
      </w:tr>
      <w:tr>
        <w:trPr>
          <w:trHeight w:val="243"/>
        </w:trPr>
        <w:tc>
          <w:tcPr>
            <w:tcW w:w="8420" w:type="dxa"/>
            <w:vAlign w:val="bottom"/>
            <w:shd w:val="clear" w:color="auto" w:fill="E5FFFF"/>
          </w:tcPr>
          <w:p>
            <w:pPr>
              <w:spacing w:after="0"/>
              <w:rPr>
                <w:sz w:val="20"/>
                <w:szCs w:val="20"/>
                <w:color w:val="auto"/>
              </w:rPr>
            </w:pPr>
            <w:r>
              <w:rPr>
                <w:rFonts w:ascii="Arial" w:cs="Arial" w:eastAsia="Arial" w:hAnsi="Arial"/>
                <w:sz w:val="19"/>
                <w:szCs w:val="19"/>
                <w:color w:val="auto"/>
              </w:rPr>
              <w:t>Changes in fair value of effective cash flow hedges</w:t>
            </w:r>
          </w:p>
        </w:tc>
        <w:tc>
          <w:tcPr>
            <w:tcW w:w="14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(194)</w:t>
            </w: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33</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60" w:type="dxa"/>
            <w:vAlign w:val="bottom"/>
            <w:tcBorders>
              <w:bottom w:val="single" w:sz="8" w:color="auto"/>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(161)</w:t>
            </w:r>
          </w:p>
        </w:tc>
        <w:tc>
          <w:tcPr>
            <w:tcW w:w="0" w:type="dxa"/>
            <w:vAlign w:val="bottom"/>
          </w:tcPr>
          <w:p>
            <w:pPr>
              <w:spacing w:after="0"/>
              <w:rPr>
                <w:sz w:val="1"/>
                <w:szCs w:val="1"/>
                <w:color w:val="auto"/>
              </w:rPr>
            </w:pPr>
          </w:p>
        </w:tc>
      </w:tr>
      <w:tr>
        <w:trPr>
          <w:trHeight w:val="250"/>
        </w:trPr>
        <w:tc>
          <w:tcPr>
            <w:tcW w:w="84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616</w:t>
            </w:r>
          </w:p>
        </w:tc>
        <w:tc>
          <w:tcPr>
            <w:tcW w:w="960" w:type="dxa"/>
            <w:vAlign w:val="bottom"/>
            <w:gridSpan w:val="4"/>
          </w:tcPr>
          <w:p>
            <w:pPr>
              <w:jc w:val="right"/>
              <w:spacing w:after="0"/>
              <w:rPr>
                <w:sz w:val="20"/>
                <w:szCs w:val="20"/>
                <w:color w:val="auto"/>
              </w:rPr>
            </w:pPr>
            <w:r>
              <w:rPr>
                <w:rFonts w:ascii="Arial" w:cs="Arial" w:eastAsia="Arial" w:hAnsi="Arial"/>
                <w:sz w:val="19"/>
                <w:szCs w:val="19"/>
                <w:color w:val="auto"/>
              </w:rPr>
              <w:t>$ (137)</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jc w:val="right"/>
              <w:ind w:right="21"/>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479</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Year Ended December 31, 2016</w:t>
            </w:r>
          </w:p>
        </w:tc>
        <w:tc>
          <w:tcPr>
            <w:tcW w:w="14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20" w:type="dxa"/>
            <w:vAlign w:val="bottom"/>
          </w:tcPr>
          <w:p>
            <w:pPr>
              <w:spacing w:after="0"/>
              <w:rPr>
                <w:sz w:val="20"/>
                <w:szCs w:val="20"/>
                <w:color w:val="auto"/>
              </w:rPr>
            </w:pPr>
            <w:r>
              <w:rPr>
                <w:rFonts w:ascii="Arial" w:cs="Arial" w:eastAsia="Arial" w:hAnsi="Arial"/>
                <w:sz w:val="19"/>
                <w:szCs w:val="19"/>
                <w:color w:val="auto"/>
              </w:rPr>
              <w:t>Foreign exchange translation adjustment</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(52)</w:t>
            </w:r>
          </w:p>
        </w:tc>
        <w:tc>
          <w:tcPr>
            <w:tcW w:w="46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gridSpan w:val="3"/>
          </w:tcPr>
          <w:p>
            <w:pPr>
              <w:jc w:val="right"/>
              <w:ind w:right="380"/>
              <w:spacing w:after="0"/>
              <w:rPr>
                <w:sz w:val="20"/>
                <w:szCs w:val="20"/>
                <w:color w:val="auto"/>
              </w:rPr>
            </w:pPr>
            <w:r>
              <w:rPr>
                <w:rFonts w:ascii="Arial" w:cs="Arial" w:eastAsia="Arial" w:hAnsi="Arial"/>
                <w:sz w:val="19"/>
                <w:szCs w:val="19"/>
                <w:color w:val="auto"/>
              </w:rPr>
              <w:t>—</w:t>
            </w:r>
          </w:p>
        </w:tc>
        <w:tc>
          <w:tcPr>
            <w:tcW w:w="220" w:type="dxa"/>
            <w:vAlign w:val="bottom"/>
            <w:gridSpan w:val="2"/>
          </w:tcPr>
          <w:p>
            <w:pPr>
              <w:jc w:val="right"/>
              <w:ind w:right="21"/>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(52)</w:t>
            </w:r>
          </w:p>
        </w:tc>
        <w:tc>
          <w:tcPr>
            <w:tcW w:w="0" w:type="dxa"/>
            <w:vAlign w:val="bottom"/>
          </w:tcPr>
          <w:p>
            <w:pPr>
              <w:spacing w:after="0"/>
              <w:rPr>
                <w:sz w:val="1"/>
                <w:szCs w:val="1"/>
                <w:color w:val="auto"/>
              </w:rPr>
            </w:pPr>
          </w:p>
        </w:tc>
      </w:tr>
      <w:tr>
        <w:trPr>
          <w:trHeight w:val="243"/>
        </w:trPr>
        <w:tc>
          <w:tcPr>
            <w:tcW w:w="8420" w:type="dxa"/>
            <w:vAlign w:val="bottom"/>
            <w:shd w:val="clear" w:color="auto" w:fill="E5FFFF"/>
          </w:tcPr>
          <w:p>
            <w:pPr>
              <w:spacing w:after="0"/>
              <w:rPr>
                <w:sz w:val="20"/>
                <w:szCs w:val="20"/>
                <w:color w:val="auto"/>
              </w:rPr>
            </w:pPr>
            <w:r>
              <w:rPr>
                <w:rFonts w:ascii="Arial" w:cs="Arial" w:eastAsia="Arial" w:hAnsi="Arial"/>
                <w:sz w:val="19"/>
                <w:szCs w:val="19"/>
                <w:color w:val="auto"/>
              </w:rPr>
              <w:t>Pensions and other postretirement benefit adjustments</w:t>
            </w: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(336)</w:t>
            </w: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101</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(235)</w:t>
            </w:r>
          </w:p>
        </w:tc>
        <w:tc>
          <w:tcPr>
            <w:tcW w:w="0" w:type="dxa"/>
            <w:vAlign w:val="bottom"/>
          </w:tcPr>
          <w:p>
            <w:pPr>
              <w:spacing w:after="0"/>
              <w:rPr>
                <w:sz w:val="1"/>
                <w:szCs w:val="1"/>
                <w:color w:val="auto"/>
              </w:rPr>
            </w:pPr>
          </w:p>
        </w:tc>
      </w:tr>
      <w:tr>
        <w:trPr>
          <w:trHeight w:val="250"/>
        </w:trPr>
        <w:tc>
          <w:tcPr>
            <w:tcW w:w="8420" w:type="dxa"/>
            <w:vAlign w:val="bottom"/>
          </w:tcPr>
          <w:p>
            <w:pPr>
              <w:spacing w:after="0"/>
              <w:rPr>
                <w:sz w:val="20"/>
                <w:szCs w:val="20"/>
                <w:color w:val="auto"/>
              </w:rPr>
            </w:pPr>
            <w:r>
              <w:rPr>
                <w:rFonts w:ascii="Arial" w:cs="Arial" w:eastAsia="Arial" w:hAnsi="Arial"/>
                <w:sz w:val="19"/>
                <w:szCs w:val="19"/>
                <w:color w:val="auto"/>
              </w:rPr>
              <w:t>Changes in fair value of effective cash flow hedges</w:t>
            </w: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108</w:t>
            </w:r>
          </w:p>
        </w:tc>
        <w:tc>
          <w:tcPr>
            <w:tcW w:w="0" w:type="dxa"/>
            <w:vAlign w:val="bottom"/>
          </w:tcPr>
          <w:p>
            <w:pPr>
              <w:spacing w:after="0"/>
              <w:rPr>
                <w:sz w:val="1"/>
                <w:szCs w:val="1"/>
                <w:color w:val="auto"/>
              </w:rPr>
            </w:pPr>
          </w:p>
        </w:tc>
      </w:tr>
      <w:tr>
        <w:trPr>
          <w:trHeight w:val="243"/>
        </w:trPr>
        <w:tc>
          <w:tcPr>
            <w:tcW w:w="8420" w:type="dxa"/>
            <w:vAlign w:val="bottom"/>
            <w:shd w:val="clear" w:color="auto" w:fill="E5FFFF"/>
          </w:tcPr>
          <w:p>
            <w:pPr>
              <w:spacing w:after="0"/>
              <w:rPr>
                <w:sz w:val="21"/>
                <w:szCs w:val="21"/>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(254)</w:t>
            </w:r>
          </w:p>
        </w:tc>
        <w:tc>
          <w:tcPr>
            <w:tcW w:w="46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75</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(179)</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9"/>
                <w:szCs w:val="19"/>
                <w:b w:val="1"/>
                <w:bCs w:val="1"/>
                <w:color w:val="auto"/>
              </w:rPr>
              <w:t>Components of Accumulated Other Comprehensive Income (Loss)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8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6"/>
            <w:vMerge w:val="restart"/>
          </w:tcPr>
          <w:p>
            <w:pPr>
              <w:jc w:val="right"/>
              <w:ind w:right="38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5"/>
        </w:trPr>
        <w:tc>
          <w:tcPr>
            <w:tcW w:w="8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gridSpan w:val="3"/>
          </w:tcPr>
          <w:p>
            <w:pPr>
              <w:jc w:val="right"/>
              <w:ind w:right="105"/>
              <w:spacing w:after="0" w:line="169" w:lineRule="exact"/>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0"/>
        </w:trPr>
        <w:tc>
          <w:tcPr>
            <w:tcW w:w="842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Cumulative foreign exchange translation adjustment</w:t>
            </w:r>
          </w:p>
        </w:tc>
        <w:tc>
          <w:tcPr>
            <w:tcW w:w="14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1000" w:type="dxa"/>
            <w:vAlign w:val="bottom"/>
            <w:gridSpan w:val="5"/>
            <w:shd w:val="clear" w:color="auto" w:fill="E5FFFF"/>
          </w:tcPr>
          <w:p>
            <w:pPr>
              <w:jc w:val="right"/>
              <w:ind w:right="20"/>
              <w:spacing w:after="0" w:line="210" w:lineRule="exact"/>
              <w:rPr>
                <w:sz w:val="20"/>
                <w:szCs w:val="20"/>
                <w:color w:val="auto"/>
              </w:rPr>
            </w:pPr>
            <w:r>
              <w:rPr>
                <w:rFonts w:ascii="Arial" w:cs="Arial" w:eastAsia="Arial" w:hAnsi="Arial"/>
                <w:sz w:val="19"/>
                <w:szCs w:val="19"/>
                <w:color w:val="auto"/>
              </w:rPr>
              <w:t>$ (2,709)</w:t>
            </w:r>
          </w:p>
        </w:tc>
        <w:tc>
          <w:tcPr>
            <w:tcW w:w="260" w:type="dxa"/>
            <w:vAlign w:val="bottom"/>
            <w:shd w:val="clear" w:color="auto" w:fill="E5FFFF"/>
          </w:tcPr>
          <w:p>
            <w:pPr>
              <w:spacing w:after="0"/>
              <w:rPr>
                <w:sz w:val="18"/>
                <w:szCs w:val="18"/>
                <w:color w:val="auto"/>
              </w:rPr>
            </w:pPr>
          </w:p>
        </w:tc>
        <w:tc>
          <w:tcPr>
            <w:tcW w:w="220" w:type="dxa"/>
            <w:vAlign w:val="bottom"/>
            <w:gridSpan w:val="2"/>
            <w:shd w:val="clear" w:color="auto" w:fill="E5FFFF"/>
          </w:tcPr>
          <w:p>
            <w:pPr>
              <w:jc w:val="right"/>
              <w:spacing w:after="0" w:line="210" w:lineRule="exact"/>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(1,981)</w:t>
            </w:r>
          </w:p>
        </w:tc>
        <w:tc>
          <w:tcPr>
            <w:tcW w:w="0" w:type="dxa"/>
            <w:vAlign w:val="bottom"/>
          </w:tcPr>
          <w:p>
            <w:pPr>
              <w:spacing w:after="0"/>
              <w:rPr>
                <w:sz w:val="1"/>
                <w:szCs w:val="1"/>
                <w:color w:val="auto"/>
              </w:rPr>
            </w:pPr>
          </w:p>
        </w:tc>
      </w:tr>
      <w:tr>
        <w:trPr>
          <w:trHeight w:val="243"/>
        </w:trPr>
        <w:tc>
          <w:tcPr>
            <w:tcW w:w="8420" w:type="dxa"/>
            <w:vAlign w:val="bottom"/>
          </w:tcPr>
          <w:p>
            <w:pPr>
              <w:spacing w:after="0"/>
              <w:rPr>
                <w:sz w:val="20"/>
                <w:szCs w:val="20"/>
                <w:color w:val="auto"/>
              </w:rPr>
            </w:pPr>
            <w:r>
              <w:rPr>
                <w:rFonts w:ascii="Arial" w:cs="Arial" w:eastAsia="Arial" w:hAnsi="Arial"/>
                <w:sz w:val="19"/>
                <w:szCs w:val="19"/>
                <w:color w:val="auto"/>
              </w:rPr>
              <w:t>Pensions and other postretirement benefit adjustments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9"/>
                <w:szCs w:val="19"/>
                <w:color w:val="auto"/>
              </w:rPr>
              <w:t>(761)</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(202)</w:t>
            </w:r>
          </w:p>
        </w:tc>
        <w:tc>
          <w:tcPr>
            <w:tcW w:w="0" w:type="dxa"/>
            <w:vAlign w:val="bottom"/>
          </w:tcPr>
          <w:p>
            <w:pPr>
              <w:spacing w:after="0"/>
              <w:rPr>
                <w:sz w:val="1"/>
                <w:szCs w:val="1"/>
                <w:color w:val="auto"/>
              </w:rPr>
            </w:pPr>
          </w:p>
        </w:tc>
      </w:tr>
      <w:tr>
        <w:trPr>
          <w:trHeight w:val="243"/>
        </w:trPr>
        <w:tc>
          <w:tcPr>
            <w:tcW w:w="8420" w:type="dxa"/>
            <w:vAlign w:val="bottom"/>
            <w:shd w:val="clear" w:color="auto" w:fill="E5FFFF"/>
          </w:tcPr>
          <w:p>
            <w:pPr>
              <w:spacing w:after="0"/>
              <w:rPr>
                <w:sz w:val="20"/>
                <w:szCs w:val="20"/>
                <w:color w:val="auto"/>
              </w:rPr>
            </w:pPr>
            <w:r>
              <w:rPr>
                <w:rFonts w:ascii="Arial" w:cs="Arial" w:eastAsia="Arial" w:hAnsi="Arial"/>
                <w:sz w:val="19"/>
                <w:szCs w:val="19"/>
                <w:color w:val="auto"/>
              </w:rPr>
              <w:t>Fair value of effective cash flow hedges</w:t>
            </w: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33</w:t>
            </w:r>
          </w:p>
        </w:tc>
        <w:tc>
          <w:tcPr>
            <w:tcW w:w="40" w:type="dxa"/>
            <w:vAlign w:val="bottom"/>
            <w:tcBorders>
              <w:bottom w:val="single" w:sz="8" w:color="auto"/>
            </w:tcBorders>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(52)</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9"/>
                <w:szCs w:val="19"/>
                <w:color w:val="auto"/>
              </w:rPr>
              <w:t>$ (3,437)</w:t>
            </w:r>
          </w:p>
        </w:tc>
        <w:tc>
          <w:tcPr>
            <w:tcW w:w="2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(2,235)</w:t>
            </w:r>
          </w:p>
        </w:tc>
        <w:tc>
          <w:tcPr>
            <w:tcW w:w="0" w:type="dxa"/>
            <w:vAlign w:val="bottom"/>
          </w:tcPr>
          <w:p>
            <w:pPr>
              <w:spacing w:after="0"/>
              <w:rPr>
                <w:sz w:val="1"/>
                <w:szCs w:val="1"/>
                <w:color w:val="auto"/>
              </w:rPr>
            </w:pPr>
          </w:p>
        </w:tc>
      </w:tr>
      <w:tr>
        <w:trPr>
          <w:trHeight w:val="20"/>
        </w:trPr>
        <w:tc>
          <w:tcPr>
            <w:tcW w:w="8420" w:type="dxa"/>
            <w:vAlign w:val="bottom"/>
            <w:vMerge w:val="restart"/>
          </w:tcPr>
          <w:p>
            <w:pPr>
              <w:ind w:left="5600"/>
              <w:spacing w:after="0"/>
              <w:rPr>
                <w:sz w:val="20"/>
                <w:szCs w:val="20"/>
                <w:color w:val="auto"/>
              </w:rPr>
            </w:pPr>
            <w:r>
              <w:rPr>
                <w:rFonts w:ascii="Arial" w:cs="Arial" w:eastAsia="Arial" w:hAnsi="Arial"/>
                <w:sz w:val="19"/>
                <w:szCs w:val="19"/>
                <w:color w:val="auto"/>
              </w:rPr>
              <w:t>67</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Accumulated Other Comprehensive Income (Loss) by Component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9"/>
              </w:rPr>
              <w:t>Changes in</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5"/>
          </w:tcPr>
          <w:p>
            <w:pPr>
              <w:jc w:val="center"/>
              <w:ind w:right="500"/>
              <w:spacing w:after="0" w:line="176" w:lineRule="exact"/>
              <w:rPr>
                <w:sz w:val="20"/>
                <w:szCs w:val="20"/>
                <w:color w:val="auto"/>
              </w:rPr>
            </w:pPr>
            <w:r>
              <w:rPr>
                <w:rFonts w:ascii="Arial" w:cs="Arial" w:eastAsia="Arial" w:hAnsi="Arial"/>
                <w:sz w:val="16"/>
                <w:szCs w:val="16"/>
                <w:b w:val="1"/>
                <w:bCs w:val="1"/>
                <w:color w:val="auto"/>
                <w:w w:val="98"/>
              </w:rPr>
              <w:t>Foreign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center"/>
              <w:ind w:right="180"/>
              <w:spacing w:after="0" w:line="176" w:lineRule="exact"/>
              <w:rPr>
                <w:sz w:val="20"/>
                <w:szCs w:val="20"/>
                <w:color w:val="auto"/>
              </w:rPr>
            </w:pPr>
            <w:r>
              <w:rPr>
                <w:rFonts w:ascii="Arial" w:cs="Arial" w:eastAsia="Arial" w:hAnsi="Arial"/>
                <w:sz w:val="16"/>
                <w:szCs w:val="16"/>
                <w:b w:val="1"/>
                <w:bCs w:val="1"/>
                <w:color w:val="auto"/>
                <w:w w:val="99"/>
              </w:rPr>
              <w:t>Pension</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4"/>
          </w:tcPr>
          <w:p>
            <w:pPr>
              <w:jc w:val="center"/>
              <w:spacing w:after="0" w:line="176" w:lineRule="exact"/>
              <w:rPr>
                <w:sz w:val="20"/>
                <w:szCs w:val="20"/>
                <w:color w:val="auto"/>
              </w:rPr>
            </w:pPr>
            <w:r>
              <w:rPr>
                <w:rFonts w:ascii="Arial" w:cs="Arial" w:eastAsia="Arial" w:hAnsi="Arial"/>
                <w:sz w:val="16"/>
                <w:szCs w:val="16"/>
                <w:b w:val="1"/>
                <w:bCs w:val="1"/>
                <w:color w:val="auto"/>
                <w:w w:val="97"/>
              </w:rPr>
              <w:t>Fair Value of</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5"/>
          </w:tcPr>
          <w:p>
            <w:pPr>
              <w:jc w:val="center"/>
              <w:ind w:right="500"/>
              <w:spacing w:after="0" w:line="176" w:lineRule="exact"/>
              <w:rPr>
                <w:sz w:val="20"/>
                <w:szCs w:val="20"/>
                <w:color w:val="auto"/>
              </w:rPr>
            </w:pPr>
            <w:r>
              <w:rPr>
                <w:rFonts w:ascii="Arial" w:cs="Arial" w:eastAsia="Arial" w:hAnsi="Arial"/>
                <w:sz w:val="16"/>
                <w:szCs w:val="16"/>
                <w:b w:val="1"/>
                <w:bCs w:val="1"/>
                <w:color w:val="auto"/>
                <w:w w:val="97"/>
              </w:rPr>
              <w:t>Exchange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center"/>
              <w:ind w:right="180"/>
              <w:spacing w:after="0" w:line="176" w:lineRule="exact"/>
              <w:rPr>
                <w:sz w:val="20"/>
                <w:szCs w:val="20"/>
                <w:color w:val="auto"/>
              </w:rPr>
            </w:pPr>
            <w:r>
              <w:rPr>
                <w:rFonts w:ascii="Arial" w:cs="Arial" w:eastAsia="Arial" w:hAnsi="Arial"/>
                <w:sz w:val="16"/>
                <w:szCs w:val="16"/>
                <w:b w:val="1"/>
                <w:bCs w:val="1"/>
                <w:color w:val="auto"/>
                <w:w w:val="97"/>
              </w:rPr>
              <w:t>and Other</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4"/>
          </w:tcPr>
          <w:p>
            <w:pPr>
              <w:jc w:val="center"/>
              <w:spacing w:after="0" w:line="176" w:lineRule="exact"/>
              <w:rPr>
                <w:sz w:val="20"/>
                <w:szCs w:val="20"/>
                <w:color w:val="auto"/>
              </w:rPr>
            </w:pPr>
            <w:r>
              <w:rPr>
                <w:rFonts w:ascii="Arial" w:cs="Arial" w:eastAsia="Arial" w:hAnsi="Arial"/>
                <w:sz w:val="16"/>
                <w:szCs w:val="16"/>
                <w:b w:val="1"/>
                <w:bCs w:val="1"/>
                <w:color w:val="auto"/>
                <w:w w:val="98"/>
              </w:rPr>
              <w:t>Effective</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6"/>
          </w:tcPr>
          <w:p>
            <w:pPr>
              <w:jc w:val="center"/>
              <w:ind w:right="440"/>
              <w:spacing w:after="0" w:line="176" w:lineRule="exact"/>
              <w:rPr>
                <w:sz w:val="20"/>
                <w:szCs w:val="20"/>
                <w:color w:val="auto"/>
              </w:rPr>
            </w:pPr>
            <w:r>
              <w:rPr>
                <w:rFonts w:ascii="Arial" w:cs="Arial" w:eastAsia="Arial" w:hAnsi="Arial"/>
                <w:sz w:val="16"/>
                <w:szCs w:val="16"/>
                <w:b w:val="1"/>
                <w:bCs w:val="1"/>
                <w:color w:val="auto"/>
                <w:w w:val="97"/>
              </w:rPr>
              <w:t>Translation</w:t>
            </w:r>
          </w:p>
        </w:tc>
        <w:tc>
          <w:tcPr>
            <w:tcW w:w="1300" w:type="dxa"/>
            <w:vAlign w:val="bottom"/>
            <w:gridSpan w:val="5"/>
          </w:tcPr>
          <w:p>
            <w:pPr>
              <w:jc w:val="center"/>
              <w:ind w:left="8"/>
              <w:spacing w:after="0" w:line="176" w:lineRule="exact"/>
              <w:rPr>
                <w:sz w:val="20"/>
                <w:szCs w:val="20"/>
                <w:color w:val="auto"/>
              </w:rPr>
            </w:pPr>
            <w:r>
              <w:rPr>
                <w:rFonts w:ascii="Arial" w:cs="Arial" w:eastAsia="Arial" w:hAnsi="Arial"/>
                <w:sz w:val="16"/>
                <w:szCs w:val="16"/>
                <w:b w:val="1"/>
                <w:bCs w:val="1"/>
                <w:color w:val="auto"/>
                <w:w w:val="99"/>
              </w:rPr>
              <w:t>Postretirement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4"/>
          </w:tcPr>
          <w:p>
            <w:pPr>
              <w:jc w:val="center"/>
              <w:spacing w:after="0" w:line="176" w:lineRule="exact"/>
              <w:rPr>
                <w:sz w:val="20"/>
                <w:szCs w:val="20"/>
                <w:color w:val="auto"/>
              </w:rPr>
            </w:pPr>
            <w:r>
              <w:rPr>
                <w:rFonts w:ascii="Arial" w:cs="Arial" w:eastAsia="Arial" w:hAnsi="Arial"/>
                <w:sz w:val="16"/>
                <w:szCs w:val="16"/>
                <w:b w:val="1"/>
                <w:bCs w:val="1"/>
                <w:color w:val="auto"/>
                <w:w w:val="97"/>
              </w:rPr>
              <w:t>Cash Flow</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46"/>
              <w:spacing w:after="0"/>
              <w:rPr>
                <w:sz w:val="20"/>
                <w:szCs w:val="20"/>
                <w:color w:val="auto"/>
              </w:rPr>
            </w:pPr>
            <w:r>
              <w:rPr>
                <w:rFonts w:ascii="Arial" w:cs="Arial" w:eastAsia="Arial" w:hAnsi="Arial"/>
                <w:sz w:val="16"/>
                <w:szCs w:val="16"/>
                <w:b w:val="1"/>
                <w:bCs w:val="1"/>
                <w:color w:val="auto"/>
                <w:w w:val="97"/>
              </w:rPr>
              <w:t>Adjustment</w:t>
            </w:r>
          </w:p>
        </w:tc>
        <w:tc>
          <w:tcPr>
            <w:tcW w:w="320" w:type="dxa"/>
            <w:vAlign w:val="bottom"/>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99"/>
              </w:rPr>
              <w:t>Adjustments</w:t>
            </w:r>
          </w:p>
        </w:tc>
        <w:tc>
          <w:tcPr>
            <w:tcW w:w="1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Hedges</w:t>
            </w:r>
          </w:p>
        </w:tc>
        <w:tc>
          <w:tcPr>
            <w:tcW w:w="300" w:type="dxa"/>
            <w:vAlign w:val="bottom"/>
          </w:tcPr>
          <w:p>
            <w:pPr>
              <w:spacing w:after="0"/>
              <w:rPr>
                <w:sz w:val="16"/>
                <w:szCs w:val="16"/>
                <w:color w:val="auto"/>
              </w:rPr>
            </w:pPr>
          </w:p>
        </w:tc>
        <w:tc>
          <w:tcPr>
            <w:tcW w:w="80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6"/>
                <w:szCs w:val="16"/>
                <w:b w:val="1"/>
                <w:bCs w:val="1"/>
                <w:color w:val="auto"/>
              </w:rPr>
              <w:t>Total</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2016</w:t>
            </w:r>
          </w:p>
        </w:tc>
        <w:tc>
          <w:tcPr>
            <w:tcW w:w="120" w:type="dxa"/>
            <w:vAlign w:val="bottom"/>
            <w:shd w:val="clear" w:color="auto" w:fill="E5FFFF"/>
          </w:tcPr>
          <w:p>
            <w:pPr>
              <w:spacing w:after="0"/>
              <w:rPr>
                <w:sz w:val="20"/>
                <w:szCs w:val="20"/>
                <w:color w:val="auto"/>
              </w:rPr>
            </w:pP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(1,944)</w:t>
            </w:r>
          </w:p>
        </w:tc>
        <w:tc>
          <w:tcPr>
            <w:tcW w:w="2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w:t>
            </w:r>
          </w:p>
        </w:tc>
        <w:tc>
          <w:tcPr>
            <w:tcW w:w="120" w:type="dxa"/>
            <w:vAlign w:val="bottom"/>
            <w:shd w:val="clear" w:color="auto" w:fill="E5FFFF"/>
          </w:tcPr>
          <w:p>
            <w:pPr>
              <w:spacing w:after="0"/>
              <w:rPr>
                <w:sz w:val="20"/>
                <w:szCs w:val="20"/>
                <w:color w:val="auto"/>
              </w:rPr>
            </w:pP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(879)</w:t>
            </w:r>
          </w:p>
        </w:tc>
        <w:tc>
          <w:tcPr>
            <w:tcW w:w="120" w:type="dxa"/>
            <w:vAlign w:val="bottom"/>
            <w:shd w:val="clear" w:color="auto" w:fill="E5FFFF"/>
          </w:tcPr>
          <w:p>
            <w:pPr>
              <w:spacing w:after="0"/>
              <w:rPr>
                <w:sz w:val="20"/>
                <w:szCs w:val="20"/>
                <w:color w:val="auto"/>
              </w:rPr>
            </w:pPr>
          </w:p>
        </w:tc>
        <w:tc>
          <w:tcPr>
            <w:tcW w:w="920" w:type="dxa"/>
            <w:vAlign w:val="bottom"/>
            <w:gridSpan w:val="2"/>
            <w:shd w:val="clear" w:color="auto" w:fill="E5FFFF"/>
          </w:tcPr>
          <w:p>
            <w:pPr>
              <w:jc w:val="right"/>
              <w:ind w:right="413"/>
              <w:spacing w:after="0"/>
              <w:rPr>
                <w:sz w:val="20"/>
                <w:szCs w:val="20"/>
                <w:color w:val="auto"/>
              </w:rPr>
            </w:pPr>
            <w:r>
              <w:rPr>
                <w:rFonts w:ascii="Arial" w:cs="Arial" w:eastAsia="Arial" w:hAnsi="Arial"/>
                <w:sz w:val="19"/>
                <w:szCs w:val="19"/>
                <w:color w:val="auto"/>
              </w:rPr>
              <w:t>$</w:t>
            </w:r>
          </w:p>
        </w:tc>
        <w:tc>
          <w:tcPr>
            <w:tcW w:w="580" w:type="dxa"/>
            <w:vAlign w:val="bottom"/>
            <w:gridSpan w:val="3"/>
            <w:shd w:val="clear" w:color="auto" w:fill="E5FFFF"/>
          </w:tcPr>
          <w:p>
            <w:pPr>
              <w:jc w:val="right"/>
              <w:ind w:right="81"/>
              <w:spacing w:after="0"/>
              <w:rPr>
                <w:sz w:val="20"/>
                <w:szCs w:val="20"/>
                <w:color w:val="auto"/>
              </w:rPr>
            </w:pPr>
            <w:r>
              <w:rPr>
                <w:rFonts w:ascii="Arial" w:cs="Arial" w:eastAsia="Arial" w:hAnsi="Arial"/>
                <w:sz w:val="19"/>
                <w:szCs w:val="19"/>
                <w:color w:val="auto"/>
              </w:rPr>
              <w:t>109</w:t>
            </w:r>
          </w:p>
        </w:tc>
        <w:tc>
          <w:tcPr>
            <w:tcW w:w="11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 (2,714)</w:t>
            </w:r>
          </w:p>
        </w:tc>
        <w:tc>
          <w:tcPr>
            <w:tcW w:w="38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line="216" w:lineRule="exact"/>
              <w:rPr>
                <w:sz w:val="20"/>
                <w:szCs w:val="20"/>
                <w:color w:val="auto"/>
              </w:rPr>
            </w:pPr>
            <w:r>
              <w:rPr>
                <w:rFonts w:ascii="Arial" w:cs="Arial" w:eastAsia="Arial" w:hAnsi="Arial"/>
                <w:sz w:val="19"/>
                <w:szCs w:val="19"/>
                <w:color w:val="auto"/>
              </w:rPr>
              <w:t>Other comprehensive income (loss) before</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line="216" w:lineRule="exact"/>
              <w:rPr>
                <w:sz w:val="20"/>
                <w:szCs w:val="20"/>
                <w:color w:val="auto"/>
              </w:rPr>
            </w:pPr>
            <w:r>
              <w:rPr>
                <w:rFonts w:ascii="Arial" w:cs="Arial" w:eastAsia="Arial" w:hAnsi="Arial"/>
                <w:sz w:val="19"/>
                <w:szCs w:val="19"/>
                <w:color w:val="auto"/>
              </w:rPr>
              <w:t>reclassifications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line="216" w:lineRule="exact"/>
              <w:rPr>
                <w:sz w:val="20"/>
                <w:szCs w:val="20"/>
                <w:color w:val="auto"/>
              </w:rPr>
            </w:pPr>
            <w:r>
              <w:rPr>
                <w:rFonts w:ascii="Arial" w:cs="Arial" w:eastAsia="Arial" w:hAnsi="Arial"/>
                <w:sz w:val="19"/>
                <w:szCs w:val="19"/>
                <w:color w:val="auto"/>
              </w:rPr>
              <w:t>(37)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
              <w:spacing w:after="0" w:line="216" w:lineRule="exact"/>
              <w:rPr>
                <w:sz w:val="20"/>
                <w:szCs w:val="20"/>
                <w:color w:val="auto"/>
              </w:rPr>
            </w:pPr>
            <w:r>
              <w:rPr>
                <w:rFonts w:ascii="Arial" w:cs="Arial" w:eastAsia="Arial" w:hAnsi="Arial"/>
                <w:sz w:val="19"/>
                <w:szCs w:val="19"/>
                <w:color w:val="auto"/>
              </w:rPr>
              <w:t>645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gridSpan w:val="3"/>
          </w:tcPr>
          <w:p>
            <w:pPr>
              <w:jc w:val="right"/>
              <w:ind w:right="21"/>
              <w:spacing w:after="0" w:line="216" w:lineRule="exact"/>
              <w:rPr>
                <w:sz w:val="20"/>
                <w:szCs w:val="20"/>
                <w:color w:val="auto"/>
              </w:rPr>
            </w:pPr>
            <w:r>
              <w:rPr>
                <w:rFonts w:ascii="Arial" w:cs="Arial" w:eastAsia="Arial" w:hAnsi="Arial"/>
                <w:sz w:val="19"/>
                <w:szCs w:val="19"/>
                <w:color w:val="auto"/>
              </w:rPr>
              <w:t>(101)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tcPr>
          <w:p>
            <w:pPr>
              <w:jc w:val="right"/>
              <w:ind w:right="1"/>
              <w:spacing w:after="0" w:line="216" w:lineRule="exact"/>
              <w:rPr>
                <w:sz w:val="20"/>
                <w:szCs w:val="20"/>
                <w:color w:val="auto"/>
              </w:rPr>
            </w:pPr>
            <w:r>
              <w:rPr>
                <w:rFonts w:ascii="Arial" w:cs="Arial" w:eastAsia="Arial" w:hAnsi="Arial"/>
                <w:sz w:val="19"/>
                <w:szCs w:val="19"/>
                <w:color w:val="auto"/>
              </w:rPr>
              <w:t>507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Amounts reclassified from accumulated other</w:t>
            </w:r>
          </w:p>
        </w:tc>
        <w:tc>
          <w:tcPr>
            <w:tcW w:w="1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5FFFF"/>
          </w:tcPr>
          <w:p>
            <w:pPr>
              <w:ind w:left="360"/>
              <w:spacing w:after="0" w:line="216" w:lineRule="exact"/>
              <w:rPr>
                <w:sz w:val="20"/>
                <w:szCs w:val="20"/>
                <w:color w:val="auto"/>
              </w:rPr>
            </w:pPr>
            <w:r>
              <w:rPr>
                <w:rFonts w:ascii="Arial" w:cs="Arial" w:eastAsia="Arial" w:hAnsi="Arial"/>
                <w:sz w:val="19"/>
                <w:szCs w:val="19"/>
                <w:color w:val="auto"/>
              </w:rPr>
              <w:t>comprehensive income (loss)</w:t>
            </w:r>
          </w:p>
        </w:tc>
        <w:tc>
          <w:tcPr>
            <w:tcW w:w="1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440"/>
              <w:spacing w:after="0" w:line="216" w:lineRule="exact"/>
              <w:rPr>
                <w:sz w:val="20"/>
                <w:szCs w:val="20"/>
                <w:color w:val="auto"/>
              </w:rPr>
            </w:pPr>
            <w:r>
              <w:rPr>
                <w:rFonts w:ascii="Arial" w:cs="Arial" w:eastAsia="Arial" w:hAnsi="Arial"/>
                <w:sz w:val="19"/>
                <w:szCs w:val="19"/>
                <w:color w:val="auto"/>
              </w:rPr>
              <w:t>—</w:t>
            </w:r>
          </w:p>
        </w:tc>
        <w:tc>
          <w:tcPr>
            <w:tcW w:w="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40"/>
              <w:spacing w:after="0" w:line="216" w:lineRule="exact"/>
              <w:rPr>
                <w:sz w:val="20"/>
                <w:szCs w:val="20"/>
                <w:color w:val="auto"/>
              </w:rPr>
            </w:pPr>
            <w:r>
              <w:rPr>
                <w:rFonts w:ascii="Arial" w:cs="Arial" w:eastAsia="Arial" w:hAnsi="Arial"/>
                <w:sz w:val="19"/>
                <w:szCs w:val="19"/>
                <w:color w:val="auto"/>
              </w:rPr>
              <w:t>32</w:t>
            </w: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580" w:type="dxa"/>
            <w:vAlign w:val="bottom"/>
            <w:gridSpan w:val="3"/>
            <w:shd w:val="clear" w:color="auto" w:fill="E5FFFF"/>
          </w:tcPr>
          <w:p>
            <w:pPr>
              <w:jc w:val="right"/>
              <w:ind w:right="21"/>
              <w:spacing w:after="0" w:line="216" w:lineRule="exact"/>
              <w:rPr>
                <w:sz w:val="20"/>
                <w:szCs w:val="20"/>
                <w:color w:val="auto"/>
              </w:rPr>
            </w:pPr>
            <w:r>
              <w:rPr>
                <w:rFonts w:ascii="Arial" w:cs="Arial" w:eastAsia="Arial" w:hAnsi="Arial"/>
                <w:sz w:val="19"/>
                <w:szCs w:val="19"/>
                <w:color w:val="auto"/>
              </w:rPr>
              <w:t>(60)</w:t>
            </w:r>
          </w:p>
        </w:tc>
        <w:tc>
          <w:tcPr>
            <w:tcW w:w="3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460" w:type="dxa"/>
            <w:vAlign w:val="bottom"/>
            <w:gridSpan w:val="2"/>
            <w:shd w:val="clear" w:color="auto" w:fill="E5FFFF"/>
          </w:tcPr>
          <w:p>
            <w:pPr>
              <w:jc w:val="right"/>
              <w:spacing w:after="0" w:line="216" w:lineRule="exact"/>
              <w:rPr>
                <w:sz w:val="20"/>
                <w:szCs w:val="20"/>
                <w:color w:val="auto"/>
              </w:rPr>
            </w:pPr>
            <w:r>
              <w:rPr>
                <w:rFonts w:ascii="Arial" w:cs="Arial" w:eastAsia="Arial" w:hAnsi="Arial"/>
                <w:sz w:val="19"/>
                <w:szCs w:val="19"/>
                <w:color w:val="auto"/>
              </w:rPr>
              <w:t>(28)</w:t>
            </w:r>
          </w:p>
        </w:tc>
        <w:tc>
          <w:tcPr>
            <w:tcW w:w="3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360"/>
              <w:spacing w:after="0"/>
              <w:rPr>
                <w:sz w:val="20"/>
                <w:szCs w:val="20"/>
                <w:color w:val="auto"/>
              </w:rPr>
            </w:pPr>
            <w:r>
              <w:rPr>
                <w:rFonts w:ascii="Arial" w:cs="Arial" w:eastAsia="Arial" w:hAnsi="Arial"/>
                <w:sz w:val="19"/>
                <w:szCs w:val="19"/>
                <w:color w:val="auto"/>
              </w:rPr>
              <w:t>Net current period other comprehensive income (loss)</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(37)</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9"/>
                <w:szCs w:val="19"/>
                <w:color w:val="auto"/>
              </w:rPr>
              <w:t>677</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gridSpan w:val="3"/>
          </w:tcPr>
          <w:p>
            <w:pPr>
              <w:jc w:val="right"/>
              <w:ind w:right="21"/>
              <w:spacing w:after="0"/>
              <w:rPr>
                <w:sz w:val="20"/>
                <w:szCs w:val="20"/>
                <w:color w:val="auto"/>
              </w:rPr>
            </w:pPr>
            <w:r>
              <w:rPr>
                <w:rFonts w:ascii="Arial" w:cs="Arial" w:eastAsia="Arial" w:hAnsi="Arial"/>
                <w:sz w:val="19"/>
                <w:szCs w:val="19"/>
                <w:color w:val="auto"/>
              </w:rPr>
              <w:t>(161)</w:t>
            </w:r>
          </w:p>
        </w:tc>
        <w:tc>
          <w:tcPr>
            <w:tcW w:w="3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9"/>
                <w:szCs w:val="19"/>
                <w:color w:val="auto"/>
              </w:rPr>
              <w:t>479</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Balance at December 31, 2017</w:t>
            </w:r>
          </w:p>
        </w:tc>
        <w:tc>
          <w:tcPr>
            <w:tcW w:w="120" w:type="dxa"/>
            <w:vAlign w:val="bottom"/>
            <w:shd w:val="clear" w:color="auto" w:fill="E5FFFF"/>
          </w:tcPr>
          <w:p>
            <w:pPr>
              <w:spacing w:after="0"/>
              <w:rPr>
                <w:sz w:val="18"/>
                <w:szCs w:val="18"/>
                <w:color w:val="auto"/>
              </w:rPr>
            </w:pPr>
          </w:p>
        </w:tc>
        <w:tc>
          <w:tcPr>
            <w:tcW w:w="540" w:type="dxa"/>
            <w:vAlign w:val="bottom"/>
            <w:gridSpan w:val="2"/>
            <w:shd w:val="clear" w:color="auto" w:fill="E5FFFF"/>
          </w:tcPr>
          <w:p>
            <w:pPr>
              <w:jc w:val="right"/>
              <w:spacing w:after="0" w:line="216" w:lineRule="exact"/>
              <w:rPr>
                <w:sz w:val="20"/>
                <w:szCs w:val="20"/>
                <w:color w:val="auto"/>
              </w:rPr>
            </w:pPr>
            <w:r>
              <w:rPr>
                <w:rFonts w:ascii="Arial" w:cs="Arial" w:eastAsia="Arial" w:hAnsi="Arial"/>
                <w:sz w:val="19"/>
                <w:szCs w:val="19"/>
                <w:color w:val="auto"/>
              </w:rPr>
              <w:t>$</w:t>
            </w:r>
          </w:p>
        </w:tc>
        <w:tc>
          <w:tcPr>
            <w:tcW w:w="1000" w:type="dxa"/>
            <w:vAlign w:val="bottom"/>
            <w:gridSpan w:val="4"/>
            <w:shd w:val="clear" w:color="auto" w:fill="E5FFFF"/>
          </w:tcPr>
          <w:p>
            <w:pPr>
              <w:jc w:val="right"/>
              <w:spacing w:after="0" w:line="216" w:lineRule="exact"/>
              <w:rPr>
                <w:sz w:val="20"/>
                <w:szCs w:val="20"/>
                <w:color w:val="auto"/>
              </w:rPr>
            </w:pPr>
            <w:r>
              <w:rPr>
                <w:rFonts w:ascii="Arial" w:cs="Arial" w:eastAsia="Arial" w:hAnsi="Arial"/>
                <w:sz w:val="19"/>
                <w:szCs w:val="19"/>
                <w:color w:val="auto"/>
              </w:rPr>
              <w:t>(1,981)</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ind w:left="20"/>
              <w:spacing w:after="0" w:line="216" w:lineRule="exact"/>
              <w:rPr>
                <w:sz w:val="20"/>
                <w:szCs w:val="20"/>
                <w:color w:val="auto"/>
              </w:rPr>
            </w:pPr>
            <w:r>
              <w:rPr>
                <w:rFonts w:ascii="Arial" w:cs="Arial" w:eastAsia="Arial" w:hAnsi="Arial"/>
                <w:sz w:val="19"/>
                <w:szCs w:val="19"/>
                <w:color w:val="auto"/>
              </w:rPr>
              <w:t>$</w:t>
            </w:r>
          </w:p>
        </w:tc>
        <w:tc>
          <w:tcPr>
            <w:tcW w:w="120" w:type="dxa"/>
            <w:vAlign w:val="bottom"/>
            <w:shd w:val="clear" w:color="auto" w:fill="E5FFFF"/>
          </w:tcPr>
          <w:p>
            <w:pPr>
              <w:spacing w:after="0"/>
              <w:rPr>
                <w:sz w:val="18"/>
                <w:szCs w:val="18"/>
                <w:color w:val="auto"/>
              </w:rPr>
            </w:pPr>
          </w:p>
        </w:tc>
        <w:tc>
          <w:tcPr>
            <w:tcW w:w="1000" w:type="dxa"/>
            <w:vAlign w:val="bottom"/>
            <w:gridSpan w:val="3"/>
            <w:shd w:val="clear" w:color="auto" w:fill="E5FFFF"/>
          </w:tcPr>
          <w:p>
            <w:pPr>
              <w:jc w:val="right"/>
              <w:spacing w:after="0" w:line="216" w:lineRule="exact"/>
              <w:rPr>
                <w:sz w:val="20"/>
                <w:szCs w:val="20"/>
                <w:color w:val="auto"/>
              </w:rPr>
            </w:pPr>
            <w:r>
              <w:rPr>
                <w:rFonts w:ascii="Arial" w:cs="Arial" w:eastAsia="Arial" w:hAnsi="Arial"/>
                <w:sz w:val="19"/>
                <w:szCs w:val="19"/>
                <w:color w:val="auto"/>
              </w:rPr>
              <w:t>(202)</w:t>
            </w:r>
          </w:p>
        </w:tc>
        <w:tc>
          <w:tcPr>
            <w:tcW w:w="12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413"/>
              <w:spacing w:after="0" w:line="216" w:lineRule="exact"/>
              <w:rPr>
                <w:sz w:val="20"/>
                <w:szCs w:val="20"/>
                <w:color w:val="auto"/>
              </w:rPr>
            </w:pPr>
            <w:r>
              <w:rPr>
                <w:rFonts w:ascii="Arial" w:cs="Arial" w:eastAsia="Arial" w:hAnsi="Arial"/>
                <w:sz w:val="19"/>
                <w:szCs w:val="19"/>
                <w:color w:val="auto"/>
              </w:rPr>
              <w:t>$</w:t>
            </w:r>
          </w:p>
        </w:tc>
        <w:tc>
          <w:tcPr>
            <w:tcW w:w="580" w:type="dxa"/>
            <w:vAlign w:val="bottom"/>
            <w:gridSpan w:val="3"/>
            <w:shd w:val="clear" w:color="auto" w:fill="E5FFFF"/>
          </w:tcPr>
          <w:p>
            <w:pPr>
              <w:jc w:val="right"/>
              <w:ind w:right="21"/>
              <w:spacing w:after="0" w:line="216" w:lineRule="exact"/>
              <w:rPr>
                <w:sz w:val="20"/>
                <w:szCs w:val="20"/>
                <w:color w:val="auto"/>
              </w:rPr>
            </w:pPr>
            <w:r>
              <w:rPr>
                <w:rFonts w:ascii="Arial" w:cs="Arial" w:eastAsia="Arial" w:hAnsi="Arial"/>
                <w:sz w:val="19"/>
                <w:szCs w:val="19"/>
                <w:color w:val="auto"/>
              </w:rPr>
              <w:t>(52)</w:t>
            </w:r>
          </w:p>
        </w:tc>
        <w:tc>
          <w:tcPr>
            <w:tcW w:w="1100" w:type="dxa"/>
            <w:vAlign w:val="bottom"/>
            <w:gridSpan w:val="4"/>
            <w:shd w:val="clear" w:color="auto" w:fill="E5FFFF"/>
          </w:tcPr>
          <w:p>
            <w:pPr>
              <w:jc w:val="right"/>
              <w:spacing w:after="0" w:line="216" w:lineRule="exact"/>
              <w:rPr>
                <w:sz w:val="20"/>
                <w:szCs w:val="20"/>
                <w:color w:val="auto"/>
              </w:rPr>
            </w:pPr>
            <w:r>
              <w:rPr>
                <w:rFonts w:ascii="Arial" w:cs="Arial" w:eastAsia="Arial" w:hAnsi="Arial"/>
                <w:sz w:val="19"/>
                <w:szCs w:val="19"/>
                <w:color w:val="auto"/>
              </w:rPr>
              <w:t>$ (2,235)</w:t>
            </w:r>
          </w:p>
        </w:tc>
        <w:tc>
          <w:tcPr>
            <w:tcW w:w="3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Arial" w:cs="Arial" w:eastAsia="Arial" w:hAnsi="Arial"/>
                <w:sz w:val="19"/>
                <w:szCs w:val="19"/>
                <w:color w:val="auto"/>
              </w:rPr>
              <w:t>Other comprehensive income (loss) before</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line="216" w:lineRule="exact"/>
              <w:rPr>
                <w:sz w:val="20"/>
                <w:szCs w:val="20"/>
                <w:color w:val="auto"/>
              </w:rPr>
            </w:pPr>
            <w:r>
              <w:rPr>
                <w:rFonts w:ascii="Arial" w:cs="Arial" w:eastAsia="Arial" w:hAnsi="Arial"/>
                <w:sz w:val="19"/>
                <w:szCs w:val="19"/>
                <w:color w:val="auto"/>
              </w:rPr>
              <w:t>reclassifications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line="216" w:lineRule="exact"/>
              <w:rPr>
                <w:sz w:val="20"/>
                <w:szCs w:val="20"/>
                <w:color w:val="auto"/>
              </w:rPr>
            </w:pPr>
            <w:r>
              <w:rPr>
                <w:rFonts w:ascii="Arial" w:cs="Arial" w:eastAsia="Arial" w:hAnsi="Arial"/>
                <w:sz w:val="19"/>
                <w:szCs w:val="19"/>
                <w:color w:val="auto"/>
                <w:w w:val="99"/>
              </w:rPr>
              <w:t>(685)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line="216" w:lineRule="exact"/>
              <w:rPr>
                <w:sz w:val="20"/>
                <w:szCs w:val="20"/>
                <w:color w:val="auto"/>
              </w:rPr>
            </w:pPr>
            <w:r>
              <w:rPr>
                <w:rFonts w:ascii="Arial" w:cs="Arial" w:eastAsia="Arial" w:hAnsi="Arial"/>
                <w:sz w:val="19"/>
                <w:szCs w:val="19"/>
                <w:color w:val="auto"/>
              </w:rPr>
              <w:t>(569)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gridSpan w:val="3"/>
          </w:tcPr>
          <w:p>
            <w:pPr>
              <w:jc w:val="right"/>
              <w:ind w:right="81"/>
              <w:spacing w:after="0" w:line="216" w:lineRule="exact"/>
              <w:rPr>
                <w:sz w:val="20"/>
                <w:szCs w:val="20"/>
                <w:color w:val="auto"/>
              </w:rPr>
            </w:pPr>
            <w:r>
              <w:rPr>
                <w:rFonts w:ascii="Arial" w:cs="Arial" w:eastAsia="Arial" w:hAnsi="Arial"/>
                <w:sz w:val="19"/>
                <w:szCs w:val="19"/>
                <w:color w:val="auto"/>
              </w:rPr>
              <w:t>89</w:t>
            </w:r>
          </w:p>
        </w:tc>
        <w:tc>
          <w:tcPr>
            <w:tcW w:w="1100" w:type="dxa"/>
            <w:vAlign w:val="bottom"/>
            <w:gridSpan w:val="4"/>
          </w:tcPr>
          <w:p>
            <w:pPr>
              <w:jc w:val="right"/>
              <w:spacing w:after="0" w:line="216" w:lineRule="exact"/>
              <w:rPr>
                <w:sz w:val="20"/>
                <w:szCs w:val="20"/>
                <w:color w:val="auto"/>
              </w:rPr>
            </w:pPr>
            <w:r>
              <w:rPr>
                <w:rFonts w:ascii="Arial" w:cs="Arial" w:eastAsia="Arial" w:hAnsi="Arial"/>
                <w:sz w:val="19"/>
                <w:szCs w:val="19"/>
                <w:color w:val="auto"/>
              </w:rPr>
              <w:t>(1,165)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Amounts reclassified from accumulated other</w:t>
            </w:r>
          </w:p>
        </w:tc>
        <w:tc>
          <w:tcPr>
            <w:tcW w:w="1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5FFFF"/>
          </w:tcPr>
          <w:p>
            <w:pPr>
              <w:ind w:left="360"/>
              <w:spacing w:after="0" w:line="216" w:lineRule="exact"/>
              <w:rPr>
                <w:sz w:val="20"/>
                <w:szCs w:val="20"/>
                <w:color w:val="auto"/>
              </w:rPr>
            </w:pPr>
            <w:r>
              <w:rPr>
                <w:rFonts w:ascii="Arial" w:cs="Arial" w:eastAsia="Arial" w:hAnsi="Arial"/>
                <w:sz w:val="19"/>
                <w:szCs w:val="19"/>
                <w:color w:val="auto"/>
              </w:rPr>
              <w:t>comprehensive income</w:t>
            </w:r>
          </w:p>
        </w:tc>
        <w:tc>
          <w:tcPr>
            <w:tcW w:w="1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440"/>
              <w:spacing w:after="0" w:line="216" w:lineRule="exact"/>
              <w:rPr>
                <w:sz w:val="20"/>
                <w:szCs w:val="20"/>
                <w:color w:val="auto"/>
              </w:rPr>
            </w:pPr>
            <w:r>
              <w:rPr>
                <w:rFonts w:ascii="Arial" w:cs="Arial" w:eastAsia="Arial" w:hAnsi="Arial"/>
                <w:sz w:val="19"/>
                <w:szCs w:val="19"/>
                <w:color w:val="auto"/>
              </w:rPr>
              <w:t>—</w:t>
            </w:r>
          </w:p>
        </w:tc>
        <w:tc>
          <w:tcPr>
            <w:tcW w:w="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0" w:type="dxa"/>
            <w:vAlign w:val="bottom"/>
            <w:gridSpan w:val="3"/>
            <w:shd w:val="clear" w:color="auto" w:fill="E5FFFF"/>
          </w:tcPr>
          <w:p>
            <w:pPr>
              <w:jc w:val="right"/>
              <w:spacing w:after="0" w:line="216" w:lineRule="exact"/>
              <w:rPr>
                <w:sz w:val="20"/>
                <w:szCs w:val="20"/>
                <w:color w:val="auto"/>
              </w:rPr>
            </w:pPr>
            <w:r>
              <w:rPr>
                <w:rFonts w:ascii="Arial" w:cs="Arial" w:eastAsia="Arial" w:hAnsi="Arial"/>
                <w:sz w:val="19"/>
                <w:szCs w:val="19"/>
                <w:color w:val="auto"/>
              </w:rPr>
              <w:t>(37)</w:t>
            </w:r>
          </w:p>
        </w:tc>
        <w:tc>
          <w:tcPr>
            <w:tcW w:w="1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580" w:type="dxa"/>
            <w:vAlign w:val="bottom"/>
            <w:gridSpan w:val="3"/>
            <w:shd w:val="clear" w:color="auto" w:fill="E5FFFF"/>
          </w:tcPr>
          <w:p>
            <w:pPr>
              <w:jc w:val="right"/>
              <w:ind w:right="21"/>
              <w:spacing w:after="0" w:line="216" w:lineRule="exact"/>
              <w:rPr>
                <w:sz w:val="20"/>
                <w:szCs w:val="20"/>
                <w:color w:val="auto"/>
              </w:rPr>
            </w:pPr>
            <w:r>
              <w:rPr>
                <w:rFonts w:ascii="Arial" w:cs="Arial" w:eastAsia="Arial" w:hAnsi="Arial"/>
                <w:sz w:val="19"/>
                <w:szCs w:val="19"/>
                <w:color w:val="auto"/>
              </w:rPr>
              <w:t>(4)</w:t>
            </w:r>
          </w:p>
        </w:tc>
        <w:tc>
          <w:tcPr>
            <w:tcW w:w="3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460" w:type="dxa"/>
            <w:vAlign w:val="bottom"/>
            <w:gridSpan w:val="2"/>
            <w:shd w:val="clear" w:color="auto" w:fill="E5FFFF"/>
          </w:tcPr>
          <w:p>
            <w:pPr>
              <w:jc w:val="right"/>
              <w:spacing w:after="0" w:line="216" w:lineRule="exact"/>
              <w:rPr>
                <w:sz w:val="20"/>
                <w:szCs w:val="20"/>
                <w:color w:val="auto"/>
              </w:rPr>
            </w:pPr>
            <w:r>
              <w:rPr>
                <w:rFonts w:ascii="Arial" w:cs="Arial" w:eastAsia="Arial" w:hAnsi="Arial"/>
                <w:sz w:val="19"/>
                <w:szCs w:val="19"/>
                <w:color w:val="auto"/>
              </w:rPr>
              <w:t>(41)</w:t>
            </w:r>
          </w:p>
        </w:tc>
        <w:tc>
          <w:tcPr>
            <w:tcW w:w="3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180"/>
              <w:spacing w:after="0"/>
              <w:rPr>
                <w:sz w:val="20"/>
                <w:szCs w:val="20"/>
                <w:color w:val="auto"/>
              </w:rPr>
            </w:pPr>
            <w:r>
              <w:rPr>
                <w:rFonts w:ascii="Arial" w:cs="Arial" w:eastAsia="Arial" w:hAnsi="Arial"/>
                <w:sz w:val="19"/>
                <w:szCs w:val="19"/>
                <w:color w:val="auto"/>
              </w:rPr>
              <w:t>Spin-off</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9"/>
                <w:szCs w:val="19"/>
                <w:color w:val="auto"/>
              </w:rPr>
              <w:t>47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9"/>
                <w:szCs w:val="19"/>
                <w:color w:val="auto"/>
              </w:rPr>
              <w:t>4</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Net current period other comprehensive income (loss)</w:t>
            </w:r>
          </w:p>
        </w:tc>
        <w:tc>
          <w:tcPr>
            <w:tcW w:w="12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300" w:type="dxa"/>
            <w:vAlign w:val="bottom"/>
            <w:tcBorders>
              <w:bottom w:val="single" w:sz="8" w:color="auto"/>
            </w:tcBorders>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9"/>
              </w:rPr>
              <w:t>(728)</w:t>
            </w:r>
          </w:p>
        </w:tc>
        <w:tc>
          <w:tcPr>
            <w:tcW w:w="2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100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(559)</w:t>
            </w:r>
          </w:p>
        </w:tc>
        <w:tc>
          <w:tcPr>
            <w:tcW w:w="12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gridSpan w:val="3"/>
            <w:shd w:val="clear" w:color="auto" w:fill="E5FFFF"/>
          </w:tcPr>
          <w:p>
            <w:pPr>
              <w:jc w:val="right"/>
              <w:ind w:right="81"/>
              <w:spacing w:after="0"/>
              <w:rPr>
                <w:sz w:val="20"/>
                <w:szCs w:val="20"/>
                <w:color w:val="auto"/>
              </w:rPr>
            </w:pPr>
            <w:r>
              <w:rPr>
                <w:rFonts w:ascii="Arial" w:cs="Arial" w:eastAsia="Arial" w:hAnsi="Arial"/>
                <w:sz w:val="19"/>
                <w:szCs w:val="19"/>
                <w:color w:val="auto"/>
              </w:rPr>
              <w:t>85</w:t>
            </w:r>
          </w:p>
        </w:tc>
        <w:tc>
          <w:tcPr>
            <w:tcW w:w="300" w:type="dxa"/>
            <w:vAlign w:val="bottom"/>
            <w:shd w:val="clear" w:color="auto" w:fill="E5FFFF"/>
          </w:tcPr>
          <w:p>
            <w:pPr>
              <w:spacing w:after="0"/>
              <w:rPr>
                <w:sz w:val="21"/>
                <w:szCs w:val="21"/>
                <w:color w:val="auto"/>
              </w:rPr>
            </w:pPr>
          </w:p>
        </w:tc>
        <w:tc>
          <w:tcPr>
            <w:tcW w:w="80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(1,202)</w:t>
            </w:r>
          </w:p>
        </w:tc>
        <w:tc>
          <w:tcPr>
            <w:tcW w:w="3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19"/>
                <w:szCs w:val="19"/>
                <w:color w:val="auto"/>
              </w:rPr>
              <w:t>Balance at December 31, 2018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color w:val="auto"/>
              </w:rPr>
              <w:t>(2,709)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(761)</w:t>
            </w:r>
          </w:p>
        </w:tc>
        <w:tc>
          <w:tcPr>
            <w:tcW w:w="1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Borders>
              <w:bottom w:val="single" w:sz="8" w:color="auto"/>
            </w:tcBorders>
          </w:tcPr>
          <w:p>
            <w:pPr>
              <w:jc w:val="right"/>
              <w:ind w:right="413"/>
              <w:spacing w:after="0"/>
              <w:rPr>
                <w:sz w:val="20"/>
                <w:szCs w:val="20"/>
                <w:color w:val="auto"/>
              </w:rPr>
            </w:pPr>
            <w:r>
              <w:rPr>
                <w:rFonts w:ascii="Arial" w:cs="Arial" w:eastAsia="Arial" w:hAnsi="Arial"/>
                <w:sz w:val="19"/>
                <w:szCs w:val="19"/>
                <w:color w:val="auto"/>
                <w:w w:val="94"/>
              </w:rPr>
              <w:t>$</w:t>
            </w:r>
          </w:p>
        </w:tc>
        <w:tc>
          <w:tcPr>
            <w:tcW w:w="58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9"/>
                <w:szCs w:val="19"/>
                <w:color w:val="auto"/>
              </w:rPr>
              <w:t>33</w:t>
            </w:r>
          </w:p>
        </w:tc>
        <w:tc>
          <w:tcPr>
            <w:tcW w:w="300" w:type="dxa"/>
            <w:vAlign w:val="bottom"/>
          </w:tcPr>
          <w:p>
            <w:pPr>
              <w:spacing w:after="0"/>
              <w:rPr>
                <w:sz w:val="21"/>
                <w:szCs w:val="21"/>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w w:val="99"/>
              </w:rPr>
              <w:t>$ (3,437)</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60" w:type="dxa"/>
            <w:vAlign w:val="bottom"/>
            <w:gridSpan w:val="3"/>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7020" w:type="dxa"/>
            <w:vAlign w:val="bottom"/>
            <w:gridSpan w:val="10"/>
          </w:tcPr>
          <w:p>
            <w:pPr>
              <w:spacing w:after="0"/>
              <w:rPr>
                <w:sz w:val="20"/>
                <w:szCs w:val="20"/>
                <w:color w:val="auto"/>
              </w:rPr>
            </w:pPr>
            <w:r>
              <w:rPr>
                <w:rFonts w:ascii="Arial" w:cs="Arial" w:eastAsia="Arial" w:hAnsi="Arial"/>
                <w:sz w:val="19"/>
                <w:szCs w:val="19"/>
                <w:b w:val="1"/>
                <w:bCs w:val="1"/>
                <w:color w:val="auto"/>
              </w:rPr>
              <w:t>Reclassifications Out of Accumulated Other Comprehensive Income (Loss)</w:t>
            </w:r>
          </w:p>
        </w:tc>
        <w:tc>
          <w:tcPr>
            <w:tcW w:w="2920" w:type="dxa"/>
            <w:vAlign w:val="bottom"/>
            <w:gridSpan w:val="11"/>
            <w:vMerge w:val="restart"/>
          </w:tcPr>
          <w:p>
            <w:pPr>
              <w:ind w:left="40"/>
              <w:spacing w:after="0"/>
              <w:rPr>
                <w:sz w:val="20"/>
                <w:szCs w:val="20"/>
                <w:color w:val="auto"/>
              </w:rPr>
            </w:pPr>
            <w:r>
              <w:rPr>
                <w:rFonts w:ascii="Arial" w:cs="Arial" w:eastAsia="Arial" w:hAnsi="Arial"/>
                <w:sz w:val="16"/>
                <w:szCs w:val="16"/>
                <w:b w:val="1"/>
                <w:bCs w:val="1"/>
                <w:color w:val="auto"/>
              </w:rPr>
              <w:t>Year Ended December 31, 2018</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11"/>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840" w:type="dxa"/>
            <w:vAlign w:val="bottom"/>
            <w:tcBorders>
              <w:bottom w:val="single" w:sz="8" w:color="auto"/>
            </w:tcBorders>
            <w:gridSpan w:val="18"/>
          </w:tcPr>
          <w:p>
            <w:pPr>
              <w:jc w:val="right"/>
              <w:ind w:right="69"/>
              <w:spacing w:after="0"/>
              <w:rPr>
                <w:sz w:val="20"/>
                <w:szCs w:val="20"/>
                <w:color w:val="auto"/>
              </w:rPr>
            </w:pPr>
            <w:r>
              <w:rPr>
                <w:rFonts w:ascii="Arial" w:cs="Arial" w:eastAsia="Arial" w:hAnsi="Arial"/>
                <w:sz w:val="16"/>
                <w:szCs w:val="16"/>
                <w:b w:val="1"/>
                <w:bCs w:val="1"/>
                <w:color w:val="auto"/>
              </w:rPr>
              <w:t>Affected Line in the Consolidated Statement of Operations</w:t>
            </w: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8"/>
              </w:rPr>
              <w:t>Selling,</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center"/>
              <w:ind w:right="260"/>
              <w:spacing w:after="0" w:line="176" w:lineRule="exact"/>
              <w:rPr>
                <w:sz w:val="20"/>
                <w:szCs w:val="20"/>
                <w:color w:val="auto"/>
              </w:rPr>
            </w:pPr>
            <w:r>
              <w:rPr>
                <w:rFonts w:ascii="Arial" w:cs="Arial" w:eastAsia="Arial" w:hAnsi="Arial"/>
                <w:sz w:val="16"/>
                <w:szCs w:val="16"/>
                <w:b w:val="1"/>
                <w:bCs w:val="1"/>
                <w:color w:val="auto"/>
                <w:w w:val="97"/>
              </w:rPr>
              <w:t>Cost of</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center"/>
              <w:ind w:right="460"/>
              <w:spacing w:after="0" w:line="176" w:lineRule="exact"/>
              <w:rPr>
                <w:sz w:val="20"/>
                <w:szCs w:val="20"/>
                <w:color w:val="auto"/>
              </w:rPr>
            </w:pPr>
            <w:r>
              <w:rPr>
                <w:rFonts w:ascii="Arial" w:cs="Arial" w:eastAsia="Arial" w:hAnsi="Arial"/>
                <w:sz w:val="16"/>
                <w:szCs w:val="16"/>
                <w:b w:val="1"/>
                <w:bCs w:val="1"/>
                <w:color w:val="auto"/>
                <w:w w:val="97"/>
              </w:rPr>
              <w:t>Cost of</w:t>
            </w:r>
          </w:p>
        </w:tc>
        <w:tc>
          <w:tcPr>
            <w:tcW w:w="104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97"/>
              </w:rPr>
              <w:t>General and</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center"/>
              <w:ind w:right="89"/>
              <w:spacing w:after="0" w:line="176" w:lineRule="exact"/>
              <w:rPr>
                <w:sz w:val="20"/>
                <w:szCs w:val="20"/>
                <w:color w:val="auto"/>
              </w:rPr>
            </w:pPr>
            <w:r>
              <w:rPr>
                <w:rFonts w:ascii="Arial" w:cs="Arial" w:eastAsia="Arial" w:hAnsi="Arial"/>
                <w:sz w:val="16"/>
                <w:szCs w:val="16"/>
                <w:b w:val="1"/>
                <w:bCs w:val="1"/>
                <w:color w:val="auto"/>
                <w:w w:val="98"/>
              </w:rPr>
              <w:t>Other</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660" w:type="dxa"/>
            <w:vAlign w:val="bottom"/>
            <w:gridSpan w:val="3"/>
          </w:tcPr>
          <w:p>
            <w:pPr>
              <w:jc w:val="right"/>
              <w:spacing w:after="0" w:line="176" w:lineRule="exact"/>
              <w:rPr>
                <w:sz w:val="20"/>
                <w:szCs w:val="20"/>
                <w:color w:val="auto"/>
              </w:rPr>
            </w:pPr>
            <w:r>
              <w:rPr>
                <w:rFonts w:ascii="Arial" w:cs="Arial" w:eastAsia="Arial" w:hAnsi="Arial"/>
                <w:sz w:val="16"/>
                <w:szCs w:val="16"/>
                <w:b w:val="1"/>
                <w:bCs w:val="1"/>
                <w:color w:val="auto"/>
              </w:rPr>
              <w:t>Product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4"/>
          </w:tcPr>
          <w:p>
            <w:pPr>
              <w:jc w:val="center"/>
              <w:ind w:right="120"/>
              <w:spacing w:after="0" w:line="176" w:lineRule="exact"/>
              <w:rPr>
                <w:sz w:val="20"/>
                <w:szCs w:val="20"/>
                <w:color w:val="auto"/>
              </w:rPr>
            </w:pPr>
            <w:r>
              <w:rPr>
                <w:rFonts w:ascii="Arial" w:cs="Arial" w:eastAsia="Arial" w:hAnsi="Arial"/>
                <w:sz w:val="16"/>
                <w:szCs w:val="16"/>
                <w:b w:val="1"/>
                <w:bCs w:val="1"/>
                <w:color w:val="auto"/>
              </w:rPr>
              <w:t>Products</w:t>
            </w:r>
          </w:p>
        </w:tc>
        <w:tc>
          <w:tcPr>
            <w:tcW w:w="180" w:type="dxa"/>
            <w:vAlign w:val="bottom"/>
          </w:tcPr>
          <w:p>
            <w:pPr>
              <w:spacing w:after="0"/>
              <w:rPr>
                <w:sz w:val="15"/>
                <w:szCs w:val="15"/>
                <w:color w:val="auto"/>
              </w:rPr>
            </w:pPr>
          </w:p>
        </w:tc>
        <w:tc>
          <w:tcPr>
            <w:tcW w:w="1120" w:type="dxa"/>
            <w:vAlign w:val="bottom"/>
            <w:gridSpan w:val="4"/>
          </w:tcPr>
          <w:p>
            <w:pPr>
              <w:jc w:val="center"/>
              <w:ind w:right="340"/>
              <w:spacing w:after="0" w:line="176" w:lineRule="exact"/>
              <w:rPr>
                <w:sz w:val="20"/>
                <w:szCs w:val="20"/>
                <w:color w:val="auto"/>
              </w:rPr>
            </w:pPr>
            <w:r>
              <w:rPr>
                <w:rFonts w:ascii="Arial" w:cs="Arial" w:eastAsia="Arial" w:hAnsi="Arial"/>
                <w:sz w:val="16"/>
                <w:szCs w:val="16"/>
                <w:b w:val="1"/>
                <w:bCs w:val="1"/>
                <w:color w:val="auto"/>
              </w:rPr>
              <w:t>Services</w:t>
            </w:r>
          </w:p>
        </w:tc>
        <w:tc>
          <w:tcPr>
            <w:tcW w:w="120" w:type="dxa"/>
            <w:vAlign w:val="bottom"/>
          </w:tcPr>
          <w:p>
            <w:pPr>
              <w:spacing w:after="0"/>
              <w:rPr>
                <w:sz w:val="15"/>
                <w:szCs w:val="15"/>
                <w:color w:val="auto"/>
              </w:rPr>
            </w:pPr>
          </w:p>
        </w:tc>
        <w:tc>
          <w:tcPr>
            <w:tcW w:w="9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9"/>
              </w:rPr>
              <w:t>Admin.</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98"/>
              </w:rPr>
              <w:t>(Income)</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tcPr>
          <w:p>
            <w:pPr>
              <w:jc w:val="right"/>
              <w:ind w:right="3"/>
              <w:spacing w:after="0"/>
              <w:rPr>
                <w:sz w:val="20"/>
                <w:szCs w:val="20"/>
                <w:color w:val="auto"/>
              </w:rPr>
            </w:pPr>
            <w:r>
              <w:rPr>
                <w:rFonts w:ascii="Arial" w:cs="Arial" w:eastAsia="Arial" w:hAnsi="Arial"/>
                <w:sz w:val="16"/>
                <w:szCs w:val="16"/>
                <w:b w:val="1"/>
                <w:bCs w:val="1"/>
                <w:color w:val="auto"/>
              </w:rPr>
              <w:t>Sales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7"/>
              </w:rPr>
              <w:t>Sold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7"/>
              </w:rPr>
              <w:t>Sold</w:t>
            </w:r>
          </w:p>
        </w:tc>
        <w:tc>
          <w:tcPr>
            <w:tcW w:w="1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Expenses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Arial" w:cs="Arial" w:eastAsia="Arial" w:hAnsi="Arial"/>
                <w:sz w:val="16"/>
                <w:szCs w:val="16"/>
                <w:b w:val="1"/>
                <w:bCs w:val="1"/>
                <w:color w:val="auto"/>
              </w:rPr>
              <w:t>Expense</w:t>
            </w:r>
          </w:p>
        </w:tc>
        <w:tc>
          <w:tcPr>
            <w:tcW w:w="32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6"/>
        </w:trPr>
        <w:tc>
          <w:tcPr>
            <w:tcW w:w="5040" w:type="dxa"/>
            <w:vAlign w:val="bottom"/>
            <w:shd w:val="clear" w:color="auto" w:fill="E5FFFF"/>
          </w:tcPr>
          <w:p>
            <w:pPr>
              <w:spacing w:after="0" w:line="185" w:lineRule="exact"/>
              <w:rPr>
                <w:sz w:val="20"/>
                <w:szCs w:val="20"/>
                <w:color w:val="auto"/>
              </w:rPr>
            </w:pPr>
            <w:r>
              <w:rPr>
                <w:rFonts w:ascii="Arial" w:cs="Arial" w:eastAsia="Arial" w:hAnsi="Arial"/>
                <w:sz w:val="19"/>
                <w:szCs w:val="19"/>
                <w:b w:val="1"/>
                <w:bCs w:val="1"/>
                <w:color w:val="auto"/>
              </w:rPr>
              <w:t>Amortization of Pension and Other Postretirement</w:t>
            </w:r>
          </w:p>
        </w:tc>
        <w:tc>
          <w:tcPr>
            <w:tcW w:w="120" w:type="dxa"/>
            <w:vAlign w:val="bottom"/>
            <w:tcBorders>
              <w:top w:val="single" w:sz="8" w:color="auto"/>
            </w:tcBorders>
            <w:shd w:val="clear" w:color="auto" w:fill="E5FFFF"/>
          </w:tcPr>
          <w:p>
            <w:pPr>
              <w:spacing w:after="0"/>
              <w:rPr>
                <w:sz w:val="16"/>
                <w:szCs w:val="16"/>
                <w:color w:val="auto"/>
              </w:rPr>
            </w:pPr>
          </w:p>
        </w:tc>
        <w:tc>
          <w:tcPr>
            <w:tcW w:w="400" w:type="dxa"/>
            <w:vAlign w:val="bottom"/>
            <w:tcBorders>
              <w:top w:val="single" w:sz="8" w:color="auto"/>
            </w:tcBorders>
            <w:shd w:val="clear" w:color="auto" w:fill="E5FFFF"/>
          </w:tcPr>
          <w:p>
            <w:pPr>
              <w:spacing w:after="0"/>
              <w:rPr>
                <w:sz w:val="16"/>
                <w:szCs w:val="16"/>
                <w:color w:val="auto"/>
              </w:rPr>
            </w:pPr>
          </w:p>
        </w:tc>
        <w:tc>
          <w:tcPr>
            <w:tcW w:w="140" w:type="dxa"/>
            <w:vAlign w:val="bottom"/>
            <w:tcBorders>
              <w:top w:val="single" w:sz="8" w:color="auto"/>
            </w:tcBorders>
            <w:shd w:val="clear" w:color="auto" w:fill="E5FFFF"/>
          </w:tcPr>
          <w:p>
            <w:pPr>
              <w:spacing w:after="0"/>
              <w:rPr>
                <w:sz w:val="16"/>
                <w:szCs w:val="16"/>
                <w:color w:val="auto"/>
              </w:rPr>
            </w:pPr>
          </w:p>
        </w:tc>
        <w:tc>
          <w:tcPr>
            <w:tcW w:w="40" w:type="dxa"/>
            <w:vAlign w:val="bottom"/>
            <w:tcBorders>
              <w:top w:val="single" w:sz="8" w:color="auto"/>
            </w:tcBorders>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140" w:type="dxa"/>
            <w:vAlign w:val="bottom"/>
            <w:tcBorders>
              <w:top w:val="single" w:sz="8" w:color="auto"/>
            </w:tcBorders>
            <w:shd w:val="clear" w:color="auto" w:fill="E5FFFF"/>
          </w:tcPr>
          <w:p>
            <w:pPr>
              <w:spacing w:after="0"/>
              <w:rPr>
                <w:sz w:val="16"/>
                <w:szCs w:val="16"/>
                <w:color w:val="auto"/>
              </w:rPr>
            </w:pPr>
          </w:p>
        </w:tc>
        <w:tc>
          <w:tcPr>
            <w:tcW w:w="520" w:type="dxa"/>
            <w:vAlign w:val="bottom"/>
            <w:tcBorders>
              <w:top w:val="single" w:sz="8" w:color="auto"/>
            </w:tcBorders>
            <w:shd w:val="clear" w:color="auto" w:fill="E5FFFF"/>
          </w:tcPr>
          <w:p>
            <w:pPr>
              <w:spacing w:after="0"/>
              <w:rPr>
                <w:sz w:val="16"/>
                <w:szCs w:val="16"/>
                <w:color w:val="auto"/>
              </w:rPr>
            </w:pPr>
          </w:p>
        </w:tc>
        <w:tc>
          <w:tcPr>
            <w:tcW w:w="200" w:type="dxa"/>
            <w:vAlign w:val="bottom"/>
            <w:tcBorders>
              <w:top w:val="single" w:sz="8" w:color="auto"/>
            </w:tcBorders>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20" w:type="dxa"/>
            <w:vAlign w:val="bottom"/>
            <w:tcBorders>
              <w:top w:val="single" w:sz="8" w:color="auto"/>
            </w:tcBorders>
            <w:shd w:val="clear" w:color="auto" w:fill="E5FFFF"/>
          </w:tcPr>
          <w:p>
            <w:pPr>
              <w:spacing w:after="0"/>
              <w:rPr>
                <w:sz w:val="16"/>
                <w:szCs w:val="16"/>
                <w:color w:val="auto"/>
              </w:rPr>
            </w:pPr>
          </w:p>
        </w:tc>
        <w:tc>
          <w:tcPr>
            <w:tcW w:w="660" w:type="dxa"/>
            <w:vAlign w:val="bottom"/>
            <w:tcBorders>
              <w:top w:val="single" w:sz="8" w:color="auto"/>
            </w:tcBorders>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40" w:type="dxa"/>
            <w:vAlign w:val="bottom"/>
            <w:tcBorders>
              <w:top w:val="single" w:sz="8" w:color="auto"/>
            </w:tcBorders>
            <w:shd w:val="clear" w:color="auto" w:fill="E5FFFF"/>
          </w:tcPr>
          <w:p>
            <w:pPr>
              <w:spacing w:after="0"/>
              <w:rPr>
                <w:sz w:val="16"/>
                <w:szCs w:val="16"/>
                <w:color w:val="auto"/>
              </w:rPr>
            </w:pPr>
          </w:p>
        </w:tc>
        <w:tc>
          <w:tcPr>
            <w:tcW w:w="120" w:type="dxa"/>
            <w:vAlign w:val="bottom"/>
            <w:tcBorders>
              <w:top w:val="single" w:sz="8" w:color="auto"/>
            </w:tcBorders>
            <w:shd w:val="clear" w:color="auto" w:fill="E5FFFF"/>
          </w:tcPr>
          <w:p>
            <w:pPr>
              <w:spacing w:after="0"/>
              <w:rPr>
                <w:sz w:val="16"/>
                <w:szCs w:val="16"/>
                <w:color w:val="auto"/>
              </w:rPr>
            </w:pPr>
          </w:p>
        </w:tc>
        <w:tc>
          <w:tcPr>
            <w:tcW w:w="300" w:type="dxa"/>
            <w:vAlign w:val="bottom"/>
            <w:tcBorders>
              <w:top w:val="single" w:sz="8" w:color="auto"/>
            </w:tcBorders>
            <w:shd w:val="clear" w:color="auto" w:fill="E5FFFF"/>
          </w:tcPr>
          <w:p>
            <w:pPr>
              <w:spacing w:after="0"/>
              <w:rPr>
                <w:sz w:val="16"/>
                <w:szCs w:val="16"/>
                <w:color w:val="auto"/>
              </w:rPr>
            </w:pPr>
          </w:p>
        </w:tc>
        <w:tc>
          <w:tcPr>
            <w:tcW w:w="620" w:type="dxa"/>
            <w:vAlign w:val="bottom"/>
            <w:tcBorders>
              <w:top w:val="single" w:sz="8" w:color="auto"/>
            </w:tcBorders>
            <w:shd w:val="clear" w:color="auto" w:fill="E5FFFF"/>
          </w:tcPr>
          <w:p>
            <w:pPr>
              <w:spacing w:after="0"/>
              <w:rPr>
                <w:sz w:val="16"/>
                <w:szCs w:val="16"/>
                <w:color w:val="auto"/>
              </w:rPr>
            </w:pPr>
          </w:p>
        </w:tc>
        <w:tc>
          <w:tcPr>
            <w:tcW w:w="80" w:type="dxa"/>
            <w:vAlign w:val="bottom"/>
            <w:tcBorders>
              <w:top w:val="single" w:sz="8" w:color="auto"/>
            </w:tcBorders>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180" w:type="dxa"/>
            <w:vAlign w:val="bottom"/>
            <w:tcBorders>
              <w:top w:val="single" w:sz="8" w:color="auto"/>
            </w:tcBorders>
            <w:shd w:val="clear" w:color="auto" w:fill="E5FFFF"/>
          </w:tcPr>
          <w:p>
            <w:pPr>
              <w:spacing w:after="0"/>
              <w:rPr>
                <w:sz w:val="16"/>
                <w:szCs w:val="16"/>
                <w:color w:val="auto"/>
              </w:rPr>
            </w:pPr>
          </w:p>
        </w:tc>
        <w:tc>
          <w:tcPr>
            <w:tcW w:w="300" w:type="dxa"/>
            <w:vAlign w:val="bottom"/>
            <w:tcBorders>
              <w:top w:val="single" w:sz="8" w:color="auto"/>
            </w:tcBorders>
            <w:shd w:val="clear" w:color="auto" w:fill="E5FFFF"/>
          </w:tcPr>
          <w:p>
            <w:pPr>
              <w:spacing w:after="0"/>
              <w:rPr>
                <w:sz w:val="16"/>
                <w:szCs w:val="16"/>
                <w:color w:val="auto"/>
              </w:rPr>
            </w:pPr>
          </w:p>
        </w:tc>
        <w:tc>
          <w:tcPr>
            <w:tcW w:w="340" w:type="dxa"/>
            <w:vAlign w:val="bottom"/>
            <w:tcBorders>
              <w:top w:val="single" w:sz="8" w:color="auto"/>
            </w:tcBorders>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140" w:type="dxa"/>
            <w:vAlign w:val="bottom"/>
            <w:tcBorders>
              <w:top w:val="single" w:sz="8" w:color="auto"/>
            </w:tcBorders>
            <w:shd w:val="clear" w:color="auto" w:fill="E5FFFF"/>
          </w:tcPr>
          <w:p>
            <w:pPr>
              <w:spacing w:after="0"/>
              <w:rPr>
                <w:sz w:val="16"/>
                <w:szCs w:val="16"/>
                <w:color w:val="auto"/>
              </w:rPr>
            </w:pPr>
          </w:p>
        </w:tc>
        <w:tc>
          <w:tcPr>
            <w:tcW w:w="380" w:type="dxa"/>
            <w:vAlign w:val="bottom"/>
            <w:tcBorders>
              <w:top w:val="single" w:sz="8" w:color="auto"/>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040" w:type="dxa"/>
            <w:vAlign w:val="bottom"/>
            <w:shd w:val="clear" w:color="auto" w:fill="E5FFFF"/>
          </w:tcPr>
          <w:p>
            <w:pPr>
              <w:ind w:left="180"/>
              <w:spacing w:after="0"/>
              <w:rPr>
                <w:sz w:val="20"/>
                <w:szCs w:val="20"/>
                <w:color w:val="auto"/>
              </w:rPr>
            </w:pPr>
            <w:r>
              <w:rPr>
                <w:rFonts w:ascii="Arial" w:cs="Arial" w:eastAsia="Arial" w:hAnsi="Arial"/>
                <w:sz w:val="19"/>
                <w:szCs w:val="19"/>
                <w:b w:val="1"/>
                <w:bCs w:val="1"/>
                <w:color w:val="auto"/>
              </w:rPr>
              <w:t>Items:</w:t>
            </w:r>
          </w:p>
        </w:tc>
        <w:tc>
          <w:tcPr>
            <w:tcW w:w="120" w:type="dxa"/>
            <w:vAlign w:val="bottom"/>
            <w:shd w:val="clear" w:color="auto" w:fill="E5FFFF"/>
          </w:tcPr>
          <w:p>
            <w:pPr>
              <w:spacing w:after="0"/>
              <w:rPr>
                <w:sz w:val="20"/>
                <w:szCs w:val="20"/>
                <w:color w:val="auto"/>
              </w:rPr>
            </w:pPr>
          </w:p>
        </w:tc>
        <w:tc>
          <w:tcPr>
            <w:tcW w:w="4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5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62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38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9"/>
                <w:szCs w:val="19"/>
                <w:color w:val="auto"/>
              </w:rPr>
              <w:t>Actuarial losses recognized</w:t>
            </w:r>
          </w:p>
        </w:tc>
        <w:tc>
          <w:tcPr>
            <w:tcW w:w="12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80" w:type="dxa"/>
            <w:vAlign w:val="bottom"/>
            <w:gridSpan w:val="3"/>
          </w:tcPr>
          <w:p>
            <w:pPr>
              <w:jc w:val="center"/>
              <w:ind w:left="248"/>
              <w:spacing w:after="0"/>
              <w:rPr>
                <w:sz w:val="20"/>
                <w:szCs w:val="20"/>
                <w:color w:val="auto"/>
              </w:rPr>
            </w:pPr>
            <w:r>
              <w:rPr>
                <w:rFonts w:ascii="Arial" w:cs="Arial" w:eastAsia="Arial" w:hAnsi="Arial"/>
                <w:sz w:val="19"/>
                <w:szCs w:val="19"/>
                <w:color w:val="auto"/>
                <w:w w:val="94"/>
              </w:rPr>
              <w:t>$</w:t>
            </w:r>
          </w:p>
        </w:tc>
        <w:tc>
          <w:tcPr>
            <w:tcW w:w="840" w:type="dxa"/>
            <w:vAlign w:val="bottom"/>
            <w:gridSpan w:val="3"/>
          </w:tcPr>
          <w:p>
            <w:pPr>
              <w:jc w:val="right"/>
              <w:ind w:right="260"/>
              <w:spacing w:after="0"/>
              <w:rPr>
                <w:sz w:val="20"/>
                <w:szCs w:val="20"/>
                <w:color w:val="auto"/>
              </w:rPr>
            </w:pPr>
            <w:r>
              <w:rPr>
                <w:rFonts w:ascii="Arial" w:cs="Arial" w:eastAsia="Arial" w:hAnsi="Arial"/>
                <w:sz w:val="19"/>
                <w:szCs w:val="19"/>
                <w:color w:val="auto"/>
              </w:rPr>
              <w:t>—</w:t>
            </w:r>
          </w:p>
        </w:tc>
        <w:tc>
          <w:tcPr>
            <w:tcW w:w="300" w:type="dxa"/>
            <w:vAlign w:val="bottom"/>
            <w:gridSpan w:val="2"/>
          </w:tcPr>
          <w:p>
            <w:pPr>
              <w:ind w:left="180"/>
              <w:spacing w:after="0"/>
              <w:rPr>
                <w:sz w:val="20"/>
                <w:szCs w:val="20"/>
                <w:color w:val="auto"/>
              </w:rPr>
            </w:pPr>
            <w:r>
              <w:rPr>
                <w:rFonts w:ascii="Arial" w:cs="Arial" w:eastAsia="Arial" w:hAnsi="Arial"/>
                <w:sz w:val="19"/>
                <w:szCs w:val="19"/>
                <w:color w:val="auto"/>
                <w:w w:val="94"/>
              </w:rPr>
              <w:t>$</w:t>
            </w:r>
          </w:p>
        </w:tc>
        <w:tc>
          <w:tcPr>
            <w:tcW w:w="1000" w:type="dxa"/>
            <w:vAlign w:val="bottom"/>
            <w:gridSpan w:val="3"/>
          </w:tcPr>
          <w:p>
            <w:pPr>
              <w:jc w:val="right"/>
              <w:ind w:right="460"/>
              <w:spacing w:after="0"/>
              <w:rPr>
                <w:sz w:val="20"/>
                <w:szCs w:val="20"/>
                <w:color w:val="auto"/>
              </w:rPr>
            </w:pPr>
            <w:r>
              <w:rPr>
                <w:rFonts w:ascii="Arial" w:cs="Arial" w:eastAsia="Arial" w:hAnsi="Arial"/>
                <w:sz w:val="19"/>
                <w:szCs w:val="19"/>
                <w:color w:val="auto"/>
              </w:rPr>
              <w:t>—</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w:t>
            </w:r>
          </w:p>
        </w:tc>
        <w:tc>
          <w:tcPr>
            <w:tcW w:w="58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640" w:type="dxa"/>
            <w:vAlign w:val="bottom"/>
            <w:gridSpan w:val="2"/>
          </w:tcPr>
          <w:p>
            <w:pPr>
              <w:jc w:val="right"/>
              <w:ind w:right="49"/>
              <w:spacing w:after="0"/>
              <w:rPr>
                <w:sz w:val="20"/>
                <w:szCs w:val="20"/>
                <w:color w:val="auto"/>
              </w:rPr>
            </w:pPr>
            <w:r>
              <w:rPr>
                <w:rFonts w:ascii="Arial" w:cs="Arial" w:eastAsia="Arial" w:hAnsi="Arial"/>
                <w:sz w:val="19"/>
                <w:szCs w:val="19"/>
                <w:color w:val="auto"/>
              </w:rPr>
              <w:t>45</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45</w:t>
            </w:r>
          </w:p>
        </w:tc>
        <w:tc>
          <w:tcPr>
            <w:tcW w:w="0" w:type="dxa"/>
            <w:vAlign w:val="bottom"/>
          </w:tcPr>
          <w:p>
            <w:pPr>
              <w:spacing w:after="0"/>
              <w:rPr>
                <w:sz w:val="1"/>
                <w:szCs w:val="1"/>
                <w:color w:val="auto"/>
              </w:rPr>
            </w:pPr>
          </w:p>
        </w:tc>
      </w:tr>
      <w:tr>
        <w:trPr>
          <w:trHeight w:val="243"/>
        </w:trPr>
        <w:tc>
          <w:tcPr>
            <w:tcW w:w="50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Prior service (credit) recognized</w:t>
            </w:r>
          </w:p>
        </w:tc>
        <w:tc>
          <w:tcPr>
            <w:tcW w:w="120" w:type="dxa"/>
            <w:vAlign w:val="bottom"/>
            <w:shd w:val="clear" w:color="auto" w:fill="E5FFFF"/>
          </w:tcPr>
          <w:p>
            <w:pPr>
              <w:spacing w:after="0"/>
              <w:rPr>
                <w:sz w:val="21"/>
                <w:szCs w:val="21"/>
                <w:color w:val="auto"/>
              </w:rPr>
            </w:pP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ind w:right="260"/>
              <w:spacing w:after="0"/>
              <w:rPr>
                <w:sz w:val="20"/>
                <w:szCs w:val="20"/>
                <w:color w:val="auto"/>
              </w:rPr>
            </w:pPr>
            <w:r>
              <w:rPr>
                <w:rFonts w:ascii="Arial" w:cs="Arial" w:eastAsia="Arial" w:hAnsi="Arial"/>
                <w:sz w:val="19"/>
                <w:szCs w:val="19"/>
                <w:color w:val="auto"/>
              </w:rPr>
              <w:t>—</w:t>
            </w: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0" w:type="dxa"/>
            <w:vAlign w:val="bottom"/>
            <w:gridSpan w:val="3"/>
            <w:shd w:val="clear" w:color="auto" w:fill="E5FFFF"/>
          </w:tcPr>
          <w:p>
            <w:pPr>
              <w:jc w:val="right"/>
              <w:ind w:right="460"/>
              <w:spacing w:after="0"/>
              <w:rPr>
                <w:sz w:val="20"/>
                <w:szCs w:val="20"/>
                <w:color w:val="auto"/>
              </w:rPr>
            </w:pPr>
            <w:r>
              <w:rPr>
                <w:rFonts w:ascii="Arial" w:cs="Arial" w:eastAsia="Arial" w:hAnsi="Arial"/>
                <w:sz w:val="19"/>
                <w:szCs w:val="19"/>
                <w:color w:val="auto"/>
              </w:rPr>
              <w:t>—</w:t>
            </w:r>
          </w:p>
        </w:tc>
        <w:tc>
          <w:tcPr>
            <w:tcW w:w="1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(99)</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(99)</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9"/>
                <w:szCs w:val="19"/>
                <w:color w:val="auto"/>
              </w:rPr>
              <w:t>Settlements and curtailments</w:t>
            </w:r>
          </w:p>
        </w:tc>
        <w:tc>
          <w:tcPr>
            <w:tcW w:w="1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49"/>
              <w:spacing w:after="0"/>
              <w:rPr>
                <w:sz w:val="20"/>
                <w:szCs w:val="20"/>
                <w:color w:val="auto"/>
              </w:rPr>
            </w:pPr>
            <w:r>
              <w:rPr>
                <w:rFonts w:ascii="Arial" w:cs="Arial" w:eastAsia="Arial" w:hAnsi="Arial"/>
                <w:sz w:val="19"/>
                <w:szCs w:val="19"/>
                <w:color w:val="auto"/>
              </w:rPr>
              <w:t>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43"/>
        </w:trPr>
        <w:tc>
          <w:tcPr>
            <w:tcW w:w="5040" w:type="dxa"/>
            <w:vAlign w:val="bottom"/>
            <w:shd w:val="clear" w:color="auto" w:fill="E5FFFF"/>
          </w:tcPr>
          <w:p>
            <w:pPr>
              <w:spacing w:after="0"/>
              <w:rPr>
                <w:sz w:val="20"/>
                <w:szCs w:val="20"/>
                <w:color w:val="auto"/>
              </w:rPr>
            </w:pPr>
            <w:r>
              <w:rPr>
                <w:rFonts w:ascii="Arial" w:cs="Arial" w:eastAsia="Arial" w:hAnsi="Arial"/>
                <w:sz w:val="19"/>
                <w:szCs w:val="19"/>
                <w:color w:val="auto"/>
              </w:rPr>
              <w:t>Losses (gains) on cash flow hedges</w:t>
            </w:r>
          </w:p>
        </w:tc>
        <w:tc>
          <w:tcPr>
            <w:tcW w:w="12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10</w:t>
            </w:r>
          </w:p>
        </w:tc>
        <w:tc>
          <w:tcPr>
            <w:tcW w:w="4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gridSpan w:val="2"/>
            <w:shd w:val="clear" w:color="auto" w:fill="E5FFFF"/>
          </w:tcPr>
          <w:p>
            <w:pPr>
              <w:jc w:val="right"/>
              <w:ind w:right="140"/>
              <w:spacing w:after="0"/>
              <w:rPr>
                <w:sz w:val="20"/>
                <w:szCs w:val="20"/>
                <w:color w:val="auto"/>
              </w:rPr>
            </w:pPr>
            <w:r>
              <w:rPr>
                <w:rFonts w:ascii="Arial" w:cs="Arial" w:eastAsia="Arial" w:hAnsi="Arial"/>
                <w:sz w:val="19"/>
                <w:szCs w:val="19"/>
                <w:color w:val="auto"/>
              </w:rPr>
              <w:t>30</w:t>
            </w: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ind w:right="27"/>
              <w:spacing w:after="0"/>
              <w:rPr>
                <w:sz w:val="20"/>
                <w:szCs w:val="20"/>
                <w:color w:val="auto"/>
              </w:rPr>
            </w:pPr>
            <w:r>
              <w:rPr>
                <w:rFonts w:ascii="Arial" w:cs="Arial" w:eastAsia="Arial" w:hAnsi="Arial"/>
                <w:sz w:val="19"/>
                <w:szCs w:val="19"/>
                <w:color w:val="auto"/>
              </w:rPr>
              <w:t>6</w:t>
            </w:r>
          </w:p>
        </w:tc>
        <w:tc>
          <w:tcPr>
            <w:tcW w:w="30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80" w:type="dxa"/>
            <w:vAlign w:val="bottom"/>
            <w:tcBorders>
              <w:bottom w:val="single" w:sz="8" w:color="auto"/>
            </w:tcBorders>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(47)</w:t>
            </w:r>
          </w:p>
        </w:tc>
        <w:tc>
          <w:tcPr>
            <w:tcW w:w="3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19"/>
                <w:szCs w:val="19"/>
                <w:color w:val="auto"/>
              </w:rPr>
              <w:t>Total before tax</w:t>
            </w:r>
          </w:p>
        </w:tc>
        <w:tc>
          <w:tcPr>
            <w:tcW w:w="12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40" w:type="dxa"/>
            <w:vAlign w:val="bottom"/>
            <w:gridSpan w:val="2"/>
          </w:tcPr>
          <w:p>
            <w:pPr>
              <w:jc w:val="right"/>
              <w:spacing w:after="0"/>
              <w:rPr>
                <w:sz w:val="20"/>
                <w:szCs w:val="20"/>
                <w:color w:val="auto"/>
              </w:rPr>
            </w:pPr>
            <w:r>
              <w:rPr>
                <w:rFonts w:ascii="Arial" w:cs="Arial" w:eastAsia="Arial" w:hAnsi="Arial"/>
                <w:sz w:val="19"/>
                <w:szCs w:val="19"/>
                <w:color w:val="auto"/>
              </w:rPr>
              <w:t>10</w:t>
            </w:r>
          </w:p>
        </w:tc>
        <w:tc>
          <w:tcPr>
            <w:tcW w:w="480" w:type="dxa"/>
            <w:vAlign w:val="bottom"/>
            <w:gridSpan w:val="3"/>
          </w:tcPr>
          <w:p>
            <w:pPr>
              <w:jc w:val="center"/>
              <w:ind w:left="248"/>
              <w:spacing w:after="0"/>
              <w:rPr>
                <w:sz w:val="20"/>
                <w:szCs w:val="20"/>
                <w:color w:val="auto"/>
              </w:rPr>
            </w:pPr>
            <w:r>
              <w:rPr>
                <w:rFonts w:ascii="Arial" w:cs="Arial" w:eastAsia="Arial" w:hAnsi="Arial"/>
                <w:sz w:val="19"/>
                <w:szCs w:val="19"/>
                <w:color w:val="auto"/>
                <w:w w:val="94"/>
              </w:rPr>
              <w:t>$</w:t>
            </w:r>
          </w:p>
        </w:tc>
        <w:tc>
          <w:tcPr>
            <w:tcW w:w="720" w:type="dxa"/>
            <w:vAlign w:val="bottom"/>
            <w:gridSpan w:val="2"/>
          </w:tcPr>
          <w:p>
            <w:pPr>
              <w:jc w:val="right"/>
              <w:ind w:right="140"/>
              <w:spacing w:after="0"/>
              <w:rPr>
                <w:sz w:val="20"/>
                <w:szCs w:val="20"/>
                <w:color w:val="auto"/>
              </w:rPr>
            </w:pPr>
            <w:r>
              <w:rPr>
                <w:rFonts w:ascii="Arial" w:cs="Arial" w:eastAsia="Arial" w:hAnsi="Arial"/>
                <w:sz w:val="19"/>
                <w:szCs w:val="19"/>
                <w:color w:val="auto"/>
              </w:rPr>
              <w:t>30</w:t>
            </w:r>
          </w:p>
        </w:tc>
        <w:tc>
          <w:tcPr>
            <w:tcW w:w="120" w:type="dxa"/>
            <w:vAlign w:val="bottom"/>
          </w:tcPr>
          <w:p>
            <w:pPr>
              <w:spacing w:after="0"/>
              <w:rPr>
                <w:sz w:val="21"/>
                <w:szCs w:val="21"/>
                <w:color w:val="auto"/>
              </w:rPr>
            </w:pPr>
          </w:p>
        </w:tc>
        <w:tc>
          <w:tcPr>
            <w:tcW w:w="300" w:type="dxa"/>
            <w:vAlign w:val="bottom"/>
            <w:gridSpan w:val="2"/>
          </w:tcPr>
          <w:p>
            <w:pPr>
              <w:ind w:left="180"/>
              <w:spacing w:after="0"/>
              <w:rPr>
                <w:sz w:val="20"/>
                <w:szCs w:val="20"/>
                <w:color w:val="auto"/>
              </w:rPr>
            </w:pPr>
            <w:r>
              <w:rPr>
                <w:rFonts w:ascii="Arial" w:cs="Arial" w:eastAsia="Arial" w:hAnsi="Arial"/>
                <w:sz w:val="19"/>
                <w:szCs w:val="19"/>
                <w:color w:val="auto"/>
                <w:w w:val="94"/>
              </w:rPr>
              <w:t>$</w:t>
            </w:r>
          </w:p>
        </w:tc>
        <w:tc>
          <w:tcPr>
            <w:tcW w:w="660" w:type="dxa"/>
            <w:vAlign w:val="bottom"/>
          </w:tcPr>
          <w:p>
            <w:pPr>
              <w:jc w:val="right"/>
              <w:ind w:right="27"/>
              <w:spacing w:after="0"/>
              <w:rPr>
                <w:sz w:val="20"/>
                <w:szCs w:val="20"/>
                <w:color w:val="auto"/>
              </w:rPr>
            </w:pPr>
            <w:r>
              <w:rPr>
                <w:rFonts w:ascii="Arial" w:cs="Arial" w:eastAsia="Arial" w:hAnsi="Arial"/>
                <w:sz w:val="19"/>
                <w:szCs w:val="19"/>
                <w:color w:val="auto"/>
              </w:rPr>
              <w:t>6</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2</w:t>
            </w:r>
          </w:p>
        </w:tc>
        <w:tc>
          <w:tcPr>
            <w:tcW w:w="58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(99)</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(51)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E5FFFF"/>
          </w:tcPr>
          <w:p>
            <w:pPr>
              <w:spacing w:after="0"/>
              <w:rPr>
                <w:sz w:val="20"/>
                <w:szCs w:val="20"/>
                <w:color w:val="auto"/>
              </w:rPr>
            </w:pPr>
            <w:r>
              <w:rPr>
                <w:rFonts w:ascii="Arial" w:cs="Arial" w:eastAsia="Arial" w:hAnsi="Arial"/>
                <w:sz w:val="19"/>
                <w:szCs w:val="19"/>
                <w:color w:val="auto"/>
              </w:rPr>
              <w:t>Tax expense (benefit)</w:t>
            </w:r>
          </w:p>
        </w:tc>
        <w:tc>
          <w:tcPr>
            <w:tcW w:w="120" w:type="dxa"/>
            <w:vAlign w:val="bottom"/>
            <w:shd w:val="clear" w:color="auto" w:fill="E5FFFF"/>
          </w:tcPr>
          <w:p>
            <w:pPr>
              <w:spacing w:after="0"/>
              <w:rPr>
                <w:sz w:val="20"/>
                <w:szCs w:val="20"/>
                <w:color w:val="auto"/>
              </w:rPr>
            </w:pPr>
          </w:p>
        </w:tc>
        <w:tc>
          <w:tcPr>
            <w:tcW w:w="4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5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62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140" w:type="dxa"/>
            <w:vAlign w:val="bottom"/>
            <w:tcBorders>
              <w:bottom w:val="single" w:sz="8" w:color="auto"/>
            </w:tcBorders>
            <w:shd w:val="clear" w:color="auto" w:fill="E5FFFF"/>
          </w:tcPr>
          <w:p>
            <w:pPr>
              <w:spacing w:after="0"/>
              <w:rPr>
                <w:sz w:val="20"/>
                <w:szCs w:val="20"/>
                <w:color w:val="auto"/>
              </w:rPr>
            </w:pPr>
          </w:p>
        </w:tc>
        <w:tc>
          <w:tcPr>
            <w:tcW w:w="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9"/>
                <w:szCs w:val="19"/>
                <w:color w:val="auto"/>
              </w:rPr>
              <w:t>Total reclassifications for the period, net of tax</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(41)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4"/>
            <w:vMerge w:val="restart"/>
          </w:tcPr>
          <w:p>
            <w:pPr>
              <w:jc w:val="right"/>
              <w:ind w:right="141"/>
              <w:spacing w:after="0"/>
              <w:rPr>
                <w:sz w:val="20"/>
                <w:szCs w:val="20"/>
                <w:color w:val="auto"/>
              </w:rPr>
            </w:pPr>
            <w:r>
              <w:rPr>
                <w:rFonts w:ascii="Arial" w:cs="Arial" w:eastAsia="Arial" w:hAnsi="Arial"/>
                <w:sz w:val="19"/>
                <w:szCs w:val="19"/>
                <w:color w:val="auto"/>
              </w:rPr>
              <w:t>68</w:t>
            </w: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tbl>
      <w:tblPr>
        <w:tblLayout w:type="fixed"/>
        <w:tblInd w:w="0" w:type="dxa"/>
        <w:tblCellMar>
          <w:top w:w="0" w:type="dxa"/>
          <w:left w:w="0" w:type="dxa"/>
          <w:bottom w:w="0" w:type="dxa"/>
          <w:right w:w="0" w:type="dxa"/>
        </w:tblCellMar>
      </w:tblPr>
      <w:tr>
        <w:trPr>
          <w:trHeight w:val="174"/>
        </w:trPr>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60" w:type="dxa"/>
            <w:vAlign w:val="bottom"/>
            <w:gridSpan w:val="7"/>
          </w:tcPr>
          <w:p>
            <w:pPr>
              <w:ind w:left="240"/>
              <w:spacing w:after="0" w:line="175" w:lineRule="exact"/>
              <w:rPr>
                <w:sz w:val="20"/>
                <w:szCs w:val="20"/>
                <w:color w:val="auto"/>
              </w:rPr>
            </w:pPr>
            <w:r>
              <w:rPr>
                <w:rFonts w:ascii="Arial" w:cs="Arial" w:eastAsia="Arial" w:hAnsi="Arial"/>
                <w:sz w:val="16"/>
                <w:szCs w:val="16"/>
                <w:b w:val="1"/>
                <w:bCs w:val="1"/>
                <w:color w:val="auto"/>
              </w:rPr>
              <w:t>Year Ended December 31, 2017</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0"/>
        </w:trPr>
        <w:tc>
          <w:tcPr>
            <w:tcW w:w="4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11"/>
          </w:tcPr>
          <w:p>
            <w:pPr>
              <w:jc w:val="right"/>
              <w:spacing w:after="0"/>
              <w:rPr>
                <w:sz w:val="20"/>
                <w:szCs w:val="20"/>
                <w:color w:val="auto"/>
              </w:rPr>
            </w:pPr>
            <w:r>
              <w:rPr>
                <w:rFonts w:ascii="Arial" w:cs="Arial" w:eastAsia="Arial" w:hAnsi="Arial"/>
                <w:sz w:val="16"/>
                <w:szCs w:val="16"/>
                <w:b w:val="1"/>
                <w:bCs w:val="1"/>
                <w:color w:val="auto"/>
                <w:w w:val="99"/>
              </w:rPr>
              <w:t>Affected Line in the Consolidated Statement of Operations</w:t>
            </w: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r>
      <w:tr>
        <w:trPr>
          <w:trHeight w:val="155"/>
        </w:trPr>
        <w:tc>
          <w:tcPr>
            <w:tcW w:w="4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440"/>
              <w:spacing w:after="0" w:line="155" w:lineRule="exact"/>
              <w:rPr>
                <w:sz w:val="20"/>
                <w:szCs w:val="20"/>
                <w:color w:val="auto"/>
              </w:rPr>
            </w:pPr>
            <w:r>
              <w:rPr>
                <w:rFonts w:ascii="Arial" w:cs="Arial" w:eastAsia="Arial" w:hAnsi="Arial"/>
                <w:sz w:val="16"/>
                <w:szCs w:val="16"/>
                <w:b w:val="1"/>
                <w:bCs w:val="1"/>
                <w:color w:val="auto"/>
                <w:w w:val="98"/>
              </w:rPr>
              <w:t>Selling,</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6"/>
        </w:trPr>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48"/>
              <w:spacing w:after="0" w:line="176" w:lineRule="exact"/>
              <w:rPr>
                <w:sz w:val="20"/>
                <w:szCs w:val="20"/>
                <w:color w:val="auto"/>
              </w:rPr>
            </w:pPr>
            <w:r>
              <w:rPr>
                <w:rFonts w:ascii="Arial" w:cs="Arial" w:eastAsia="Arial" w:hAnsi="Arial"/>
                <w:sz w:val="16"/>
                <w:szCs w:val="16"/>
                <w:b w:val="1"/>
                <w:bCs w:val="1"/>
                <w:color w:val="auto"/>
              </w:rPr>
              <w:t>Cost of</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28"/>
              <w:spacing w:after="0" w:line="176" w:lineRule="exact"/>
              <w:rPr>
                <w:sz w:val="20"/>
                <w:szCs w:val="20"/>
                <w:color w:val="auto"/>
              </w:rPr>
            </w:pPr>
            <w:r>
              <w:rPr>
                <w:rFonts w:ascii="Arial" w:cs="Arial" w:eastAsia="Arial" w:hAnsi="Arial"/>
                <w:sz w:val="16"/>
                <w:szCs w:val="16"/>
                <w:b w:val="1"/>
                <w:bCs w:val="1"/>
                <w:color w:val="auto"/>
                <w:w w:val="97"/>
              </w:rPr>
              <w:t>Cost of</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440"/>
              <w:spacing w:after="0" w:line="176" w:lineRule="exact"/>
              <w:rPr>
                <w:sz w:val="20"/>
                <w:szCs w:val="20"/>
                <w:color w:val="auto"/>
              </w:rPr>
            </w:pPr>
            <w:r>
              <w:rPr>
                <w:rFonts w:ascii="Arial" w:cs="Arial" w:eastAsia="Arial" w:hAnsi="Arial"/>
                <w:sz w:val="16"/>
                <w:szCs w:val="16"/>
                <w:b w:val="1"/>
                <w:bCs w:val="1"/>
                <w:color w:val="auto"/>
                <w:w w:val="99"/>
              </w:rPr>
              <w:t>General and</w:t>
            </w:r>
          </w:p>
        </w:tc>
        <w:tc>
          <w:tcPr>
            <w:tcW w:w="160" w:type="dxa"/>
            <w:vAlign w:val="bottom"/>
          </w:tcPr>
          <w:p>
            <w:pPr>
              <w:spacing w:after="0"/>
              <w:rPr>
                <w:sz w:val="15"/>
                <w:szCs w:val="15"/>
                <w:color w:val="auto"/>
              </w:rPr>
            </w:pPr>
          </w:p>
        </w:tc>
        <w:tc>
          <w:tcPr>
            <w:tcW w:w="660" w:type="dxa"/>
            <w:vAlign w:val="bottom"/>
          </w:tcPr>
          <w:p>
            <w:pPr>
              <w:jc w:val="right"/>
              <w:ind w:right="106"/>
              <w:spacing w:after="0" w:line="176" w:lineRule="exact"/>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6"/>
        </w:trPr>
        <w:tc>
          <w:tcPr>
            <w:tcW w:w="4900" w:type="dxa"/>
            <w:vAlign w:val="bottom"/>
          </w:tcPr>
          <w:p>
            <w:pPr>
              <w:spacing w:after="0"/>
              <w:rPr>
                <w:sz w:val="15"/>
                <w:szCs w:val="15"/>
                <w:color w:val="auto"/>
              </w:rPr>
            </w:pPr>
          </w:p>
        </w:tc>
        <w:tc>
          <w:tcPr>
            <w:tcW w:w="720" w:type="dxa"/>
            <w:vAlign w:val="bottom"/>
            <w:gridSpan w:val="2"/>
          </w:tcPr>
          <w:p>
            <w:pPr>
              <w:jc w:val="right"/>
              <w:spacing w:after="0" w:line="176" w:lineRule="exact"/>
              <w:rPr>
                <w:sz w:val="20"/>
                <w:szCs w:val="20"/>
                <w:color w:val="auto"/>
              </w:rPr>
            </w:pPr>
            <w:r>
              <w:rPr>
                <w:rFonts w:ascii="Arial" w:cs="Arial" w:eastAsia="Arial" w:hAnsi="Arial"/>
                <w:sz w:val="16"/>
                <w:szCs w:val="16"/>
                <w:b w:val="1"/>
                <w:bCs w:val="1"/>
                <w:color w:val="auto"/>
              </w:rPr>
              <w:t>Product</w:t>
            </w:r>
          </w:p>
        </w:tc>
        <w:tc>
          <w:tcPr>
            <w:tcW w:w="300" w:type="dxa"/>
            <w:vAlign w:val="bottom"/>
          </w:tcPr>
          <w:p>
            <w:pPr>
              <w:spacing w:after="0"/>
              <w:rPr>
                <w:sz w:val="15"/>
                <w:szCs w:val="15"/>
                <w:color w:val="auto"/>
              </w:rPr>
            </w:pPr>
          </w:p>
        </w:tc>
        <w:tc>
          <w:tcPr>
            <w:tcW w:w="84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Products</w:t>
            </w:r>
          </w:p>
        </w:tc>
        <w:tc>
          <w:tcPr>
            <w:tcW w:w="300" w:type="dxa"/>
            <w:vAlign w:val="bottom"/>
          </w:tcPr>
          <w:p>
            <w:pPr>
              <w:spacing w:after="0"/>
              <w:rPr>
                <w:sz w:val="15"/>
                <w:szCs w:val="15"/>
                <w:color w:val="auto"/>
              </w:rPr>
            </w:pPr>
          </w:p>
        </w:tc>
        <w:tc>
          <w:tcPr>
            <w:tcW w:w="7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Services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440"/>
              <w:spacing w:after="0" w:line="176" w:lineRule="exact"/>
              <w:rPr>
                <w:sz w:val="20"/>
                <w:szCs w:val="20"/>
                <w:color w:val="auto"/>
              </w:rPr>
            </w:pPr>
            <w:r>
              <w:rPr>
                <w:rFonts w:ascii="Arial" w:cs="Arial" w:eastAsia="Arial" w:hAnsi="Arial"/>
                <w:sz w:val="16"/>
                <w:szCs w:val="16"/>
                <w:b w:val="1"/>
                <w:bCs w:val="1"/>
                <w:color w:val="auto"/>
                <w:w w:val="95"/>
              </w:rPr>
              <w:t>Admin.</w:t>
            </w:r>
          </w:p>
        </w:tc>
        <w:tc>
          <w:tcPr>
            <w:tcW w:w="820" w:type="dxa"/>
            <w:vAlign w:val="bottom"/>
            <w:gridSpan w:val="2"/>
          </w:tcPr>
          <w:p>
            <w:pPr>
              <w:jc w:val="right"/>
              <w:spacing w:after="0" w:line="176" w:lineRule="exact"/>
              <w:rPr>
                <w:sz w:val="20"/>
                <w:szCs w:val="20"/>
                <w:color w:val="auto"/>
              </w:rPr>
            </w:pPr>
            <w:r>
              <w:rPr>
                <w:rFonts w:ascii="Arial" w:cs="Arial" w:eastAsia="Arial" w:hAnsi="Arial"/>
                <w:sz w:val="16"/>
                <w:szCs w:val="16"/>
                <w:b w:val="1"/>
                <w:bCs w:val="1"/>
                <w:color w:val="auto"/>
              </w:rPr>
              <w:t>(Income)</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0"/>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66"/>
              <w:spacing w:after="0"/>
              <w:rPr>
                <w:sz w:val="20"/>
                <w:szCs w:val="20"/>
                <w:color w:val="auto"/>
              </w:rPr>
            </w:pPr>
            <w:r>
              <w:rPr>
                <w:rFonts w:ascii="Arial" w:cs="Arial" w:eastAsia="Arial" w:hAnsi="Arial"/>
                <w:sz w:val="16"/>
                <w:szCs w:val="16"/>
                <w:b w:val="1"/>
                <w:bCs w:val="1"/>
                <w:color w:val="auto"/>
                <w:w w:val="95"/>
              </w:rPr>
              <w:t>Sales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28"/>
              <w:spacing w:after="0"/>
              <w:rPr>
                <w:sz w:val="20"/>
                <w:szCs w:val="20"/>
                <w:color w:val="auto"/>
              </w:rPr>
            </w:pPr>
            <w:r>
              <w:rPr>
                <w:rFonts w:ascii="Arial" w:cs="Arial" w:eastAsia="Arial" w:hAnsi="Arial"/>
                <w:sz w:val="16"/>
                <w:szCs w:val="16"/>
                <w:b w:val="1"/>
                <w:bCs w:val="1"/>
                <w:color w:val="auto"/>
                <w:w w:val="97"/>
              </w:rPr>
              <w:t>Sold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Arial" w:cs="Arial" w:eastAsia="Arial" w:hAnsi="Arial"/>
                <w:sz w:val="16"/>
                <w:szCs w:val="16"/>
                <w:b w:val="1"/>
                <w:bCs w:val="1"/>
                <w:color w:val="auto"/>
                <w:w w:val="97"/>
              </w:rPr>
              <w:t>Sold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8"/>
              </w:rPr>
              <w:t>Expenses</w:t>
            </w: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Expense</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45"/>
              <w:spacing w:after="0"/>
              <w:rPr>
                <w:sz w:val="20"/>
                <w:szCs w:val="20"/>
                <w:color w:val="auto"/>
              </w:rPr>
            </w:pPr>
            <w:r>
              <w:rPr>
                <w:rFonts w:ascii="Arial" w:cs="Arial" w:eastAsia="Arial" w:hAnsi="Arial"/>
                <w:sz w:val="16"/>
                <w:szCs w:val="16"/>
                <w:b w:val="1"/>
                <w:bCs w:val="1"/>
                <w:color w:val="auto"/>
                <w:w w:val="94"/>
              </w:rPr>
              <w:t>Total</w:t>
            </w:r>
          </w:p>
        </w:tc>
      </w:tr>
      <w:tr>
        <w:trPr>
          <w:trHeight w:val="186"/>
        </w:trPr>
        <w:tc>
          <w:tcPr>
            <w:tcW w:w="4900" w:type="dxa"/>
            <w:vAlign w:val="bottom"/>
            <w:shd w:val="clear" w:color="auto" w:fill="E5FFFF"/>
          </w:tcPr>
          <w:p>
            <w:pPr>
              <w:spacing w:after="0" w:line="185" w:lineRule="exact"/>
              <w:rPr>
                <w:sz w:val="20"/>
                <w:szCs w:val="20"/>
                <w:color w:val="auto"/>
              </w:rPr>
            </w:pPr>
            <w:r>
              <w:rPr>
                <w:rFonts w:ascii="Arial" w:cs="Arial" w:eastAsia="Arial" w:hAnsi="Arial"/>
                <w:sz w:val="19"/>
                <w:szCs w:val="19"/>
                <w:b w:val="1"/>
                <w:bCs w:val="1"/>
                <w:color w:val="auto"/>
              </w:rPr>
              <w:t>Amortization of Pension and Other</w:t>
            </w:r>
          </w:p>
        </w:tc>
        <w:tc>
          <w:tcPr>
            <w:tcW w:w="140" w:type="dxa"/>
            <w:vAlign w:val="bottom"/>
            <w:tcBorders>
              <w:top w:val="single" w:sz="8" w:color="auto"/>
            </w:tcBorders>
            <w:shd w:val="clear" w:color="auto" w:fill="E5FFFF"/>
          </w:tcPr>
          <w:p>
            <w:pPr>
              <w:spacing w:after="0"/>
              <w:rPr>
                <w:sz w:val="16"/>
                <w:szCs w:val="16"/>
                <w:color w:val="auto"/>
              </w:rPr>
            </w:pPr>
          </w:p>
        </w:tc>
        <w:tc>
          <w:tcPr>
            <w:tcW w:w="580" w:type="dxa"/>
            <w:vAlign w:val="bottom"/>
            <w:tcBorders>
              <w:top w:val="single" w:sz="8" w:color="auto"/>
            </w:tcBorders>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140" w:type="dxa"/>
            <w:vAlign w:val="bottom"/>
            <w:tcBorders>
              <w:top w:val="single" w:sz="8" w:color="auto"/>
            </w:tcBorders>
            <w:shd w:val="clear" w:color="auto" w:fill="E5FFFF"/>
          </w:tcPr>
          <w:p>
            <w:pPr>
              <w:spacing w:after="0"/>
              <w:rPr>
                <w:sz w:val="16"/>
                <w:szCs w:val="16"/>
                <w:color w:val="auto"/>
              </w:rPr>
            </w:pPr>
          </w:p>
        </w:tc>
        <w:tc>
          <w:tcPr>
            <w:tcW w:w="700" w:type="dxa"/>
            <w:vAlign w:val="bottom"/>
            <w:tcBorders>
              <w:top w:val="single" w:sz="8" w:color="auto"/>
            </w:tcBorders>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120" w:type="dxa"/>
            <w:vAlign w:val="bottom"/>
            <w:tcBorders>
              <w:top w:val="single" w:sz="8" w:color="auto"/>
            </w:tcBorders>
            <w:shd w:val="clear" w:color="auto" w:fill="E5FFFF"/>
          </w:tcPr>
          <w:p>
            <w:pPr>
              <w:spacing w:after="0"/>
              <w:rPr>
                <w:sz w:val="16"/>
                <w:szCs w:val="16"/>
                <w:color w:val="auto"/>
              </w:rPr>
            </w:pPr>
          </w:p>
        </w:tc>
        <w:tc>
          <w:tcPr>
            <w:tcW w:w="660" w:type="dxa"/>
            <w:vAlign w:val="bottom"/>
            <w:tcBorders>
              <w:top w:val="single" w:sz="8" w:color="auto"/>
            </w:tcBorders>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120" w:type="dxa"/>
            <w:vAlign w:val="bottom"/>
            <w:tcBorders>
              <w:top w:val="single" w:sz="8" w:color="auto"/>
            </w:tcBorders>
            <w:shd w:val="clear" w:color="auto" w:fill="E5FFFF"/>
          </w:tcPr>
          <w:p>
            <w:pPr>
              <w:spacing w:after="0"/>
              <w:rPr>
                <w:sz w:val="16"/>
                <w:szCs w:val="16"/>
                <w:color w:val="auto"/>
              </w:rPr>
            </w:pPr>
          </w:p>
        </w:tc>
        <w:tc>
          <w:tcPr>
            <w:tcW w:w="1040" w:type="dxa"/>
            <w:vAlign w:val="bottom"/>
            <w:tcBorders>
              <w:top w:val="single" w:sz="8" w:color="auto"/>
            </w:tcBorders>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160" w:type="dxa"/>
            <w:vAlign w:val="bottom"/>
            <w:tcBorders>
              <w:top w:val="single" w:sz="8" w:color="auto"/>
            </w:tcBorders>
            <w:shd w:val="clear" w:color="auto" w:fill="E5FFFF"/>
          </w:tcPr>
          <w:p>
            <w:pPr>
              <w:spacing w:after="0"/>
              <w:rPr>
                <w:sz w:val="16"/>
                <w:szCs w:val="16"/>
                <w:color w:val="auto"/>
              </w:rPr>
            </w:pPr>
          </w:p>
        </w:tc>
        <w:tc>
          <w:tcPr>
            <w:tcW w:w="660" w:type="dxa"/>
            <w:vAlign w:val="bottom"/>
            <w:tcBorders>
              <w:top w:val="single" w:sz="8" w:color="auto"/>
            </w:tcBorders>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140" w:type="dxa"/>
            <w:vAlign w:val="bottom"/>
            <w:tcBorders>
              <w:top w:val="single" w:sz="8" w:color="auto"/>
            </w:tcBorders>
            <w:shd w:val="clear" w:color="auto" w:fill="E5FFFF"/>
          </w:tcPr>
          <w:p>
            <w:pPr>
              <w:spacing w:after="0"/>
              <w:rPr>
                <w:sz w:val="16"/>
                <w:szCs w:val="16"/>
                <w:color w:val="auto"/>
              </w:rPr>
            </w:pPr>
          </w:p>
        </w:tc>
        <w:tc>
          <w:tcPr>
            <w:tcW w:w="520" w:type="dxa"/>
            <w:vAlign w:val="bottom"/>
            <w:tcBorders>
              <w:top w:val="single" w:sz="8" w:color="auto"/>
            </w:tcBorders>
            <w:shd w:val="clear" w:color="auto" w:fill="E5FFFF"/>
          </w:tcPr>
          <w:p>
            <w:pPr>
              <w:spacing w:after="0"/>
              <w:rPr>
                <w:sz w:val="16"/>
                <w:szCs w:val="16"/>
                <w:color w:val="auto"/>
              </w:rPr>
            </w:pPr>
          </w:p>
        </w:tc>
      </w:tr>
      <w:tr>
        <w:trPr>
          <w:trHeight w:val="240"/>
        </w:trPr>
        <w:tc>
          <w:tcPr>
            <w:tcW w:w="4900" w:type="dxa"/>
            <w:vAlign w:val="bottom"/>
            <w:shd w:val="clear" w:color="auto" w:fill="E5FFFF"/>
          </w:tcPr>
          <w:p>
            <w:pPr>
              <w:ind w:left="180"/>
              <w:spacing w:after="0"/>
              <w:rPr>
                <w:sz w:val="20"/>
                <w:szCs w:val="20"/>
                <w:color w:val="auto"/>
              </w:rPr>
            </w:pPr>
            <w:r>
              <w:rPr>
                <w:rFonts w:ascii="Arial" w:cs="Arial" w:eastAsia="Arial" w:hAnsi="Arial"/>
                <w:sz w:val="19"/>
                <w:szCs w:val="19"/>
                <w:b w:val="1"/>
                <w:bCs w:val="1"/>
                <w:color w:val="auto"/>
              </w:rPr>
              <w:t>Postretirement Items:</w:t>
            </w:r>
          </w:p>
        </w:tc>
        <w:tc>
          <w:tcPr>
            <w:tcW w:w="140" w:type="dxa"/>
            <w:vAlign w:val="bottom"/>
            <w:shd w:val="clear" w:color="auto" w:fill="E5FFFF"/>
          </w:tcPr>
          <w:p>
            <w:pPr>
              <w:spacing w:after="0"/>
              <w:rPr>
                <w:sz w:val="20"/>
                <w:szCs w:val="20"/>
                <w:color w:val="auto"/>
              </w:rPr>
            </w:pPr>
          </w:p>
        </w:tc>
        <w:tc>
          <w:tcPr>
            <w:tcW w:w="5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7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0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520" w:type="dxa"/>
            <w:vAlign w:val="bottom"/>
            <w:shd w:val="clear" w:color="auto" w:fill="E5FFFF"/>
          </w:tcPr>
          <w:p>
            <w:pPr>
              <w:spacing w:after="0"/>
              <w:rPr>
                <w:sz w:val="20"/>
                <w:szCs w:val="20"/>
                <w:color w:val="auto"/>
              </w:rPr>
            </w:pPr>
          </w:p>
        </w:tc>
      </w:tr>
      <w:tr>
        <w:trPr>
          <w:trHeight w:val="243"/>
        </w:trPr>
        <w:tc>
          <w:tcPr>
            <w:tcW w:w="4900" w:type="dxa"/>
            <w:vAlign w:val="bottom"/>
          </w:tcPr>
          <w:p>
            <w:pPr>
              <w:ind w:left="360"/>
              <w:spacing w:after="0"/>
              <w:rPr>
                <w:sz w:val="20"/>
                <w:szCs w:val="20"/>
                <w:color w:val="auto"/>
              </w:rPr>
            </w:pPr>
            <w:r>
              <w:rPr>
                <w:rFonts w:ascii="Arial" w:cs="Arial" w:eastAsia="Arial" w:hAnsi="Arial"/>
                <w:sz w:val="19"/>
                <w:szCs w:val="19"/>
                <w:color w:val="auto"/>
              </w:rPr>
              <w:t>Actuarial losses recognized</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48"/>
              <w:spacing w:after="0"/>
              <w:rPr>
                <w:sz w:val="20"/>
                <w:szCs w:val="20"/>
                <w:color w:val="auto"/>
              </w:rPr>
            </w:pPr>
            <w:r>
              <w:rPr>
                <w:rFonts w:ascii="Arial" w:cs="Arial" w:eastAsia="Arial" w:hAnsi="Arial"/>
                <w:sz w:val="19"/>
                <w:szCs w:val="19"/>
                <w:color w:val="auto"/>
              </w:rPr>
              <w:t>—</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48"/>
              <w:spacing w:after="0"/>
              <w:rPr>
                <w:sz w:val="20"/>
                <w:szCs w:val="20"/>
                <w:color w:val="auto"/>
              </w:rPr>
            </w:pPr>
            <w:r>
              <w:rPr>
                <w:rFonts w:ascii="Arial" w:cs="Arial" w:eastAsia="Arial" w:hAnsi="Arial"/>
                <w:sz w:val="19"/>
                <w:szCs w:val="19"/>
                <w:color w:val="auto"/>
              </w:rPr>
              <w:t>—</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360" w:type="dxa"/>
            <w:vAlign w:val="bottom"/>
            <w:gridSpan w:val="2"/>
          </w:tcPr>
          <w:p>
            <w:pPr>
              <w:jc w:val="right"/>
              <w:ind w:right="500"/>
              <w:spacing w:after="0"/>
              <w:rPr>
                <w:sz w:val="20"/>
                <w:szCs w:val="20"/>
                <w:color w:val="auto"/>
              </w:rPr>
            </w:pPr>
            <w:r>
              <w:rPr>
                <w:rFonts w:ascii="Arial" w:cs="Arial" w:eastAsia="Arial" w:hAnsi="Arial"/>
                <w:sz w:val="19"/>
                <w:szCs w:val="19"/>
                <w:color w:val="auto"/>
              </w:rPr>
              <w:t>—</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tcPr>
          <w:p>
            <w:pPr>
              <w:jc w:val="right"/>
              <w:ind w:right="6"/>
              <w:spacing w:after="0"/>
              <w:rPr>
                <w:sz w:val="20"/>
                <w:szCs w:val="20"/>
                <w:color w:val="auto"/>
              </w:rPr>
            </w:pPr>
            <w:r>
              <w:rPr>
                <w:rFonts w:ascii="Arial" w:cs="Arial" w:eastAsia="Arial" w:hAnsi="Arial"/>
                <w:sz w:val="19"/>
                <w:szCs w:val="19"/>
                <w:color w:val="auto"/>
              </w:rPr>
              <w:t>110</w:t>
            </w:r>
          </w:p>
        </w:tc>
        <w:tc>
          <w:tcPr>
            <w:tcW w:w="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20" w:type="dxa"/>
            <w:vAlign w:val="bottom"/>
          </w:tcPr>
          <w:p>
            <w:pPr>
              <w:jc w:val="right"/>
              <w:ind w:right="5"/>
              <w:spacing w:after="0"/>
              <w:rPr>
                <w:sz w:val="20"/>
                <w:szCs w:val="20"/>
                <w:color w:val="auto"/>
              </w:rPr>
            </w:pPr>
            <w:r>
              <w:rPr>
                <w:rFonts w:ascii="Arial" w:cs="Arial" w:eastAsia="Arial" w:hAnsi="Arial"/>
                <w:sz w:val="19"/>
                <w:szCs w:val="19"/>
                <w:color w:val="auto"/>
              </w:rPr>
              <w:t>110</w:t>
            </w:r>
          </w:p>
        </w:tc>
      </w:tr>
      <w:tr>
        <w:trPr>
          <w:trHeight w:val="243"/>
        </w:trPr>
        <w:tc>
          <w:tcPr>
            <w:tcW w:w="49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Prior service (credit) recognized</w:t>
            </w:r>
          </w:p>
        </w:tc>
        <w:tc>
          <w:tcPr>
            <w:tcW w:w="140" w:type="dxa"/>
            <w:vAlign w:val="bottom"/>
            <w:shd w:val="clear" w:color="auto" w:fill="E5FFFF"/>
          </w:tcPr>
          <w:p>
            <w:pPr>
              <w:spacing w:after="0"/>
              <w:rPr>
                <w:sz w:val="21"/>
                <w:szCs w:val="21"/>
                <w:color w:val="auto"/>
              </w:rPr>
            </w:pPr>
          </w:p>
        </w:tc>
        <w:tc>
          <w:tcPr>
            <w:tcW w:w="58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360" w:type="dxa"/>
            <w:vAlign w:val="bottom"/>
            <w:gridSpan w:val="2"/>
            <w:shd w:val="clear" w:color="auto" w:fill="E5FFFF"/>
          </w:tcPr>
          <w:p>
            <w:pPr>
              <w:jc w:val="right"/>
              <w:ind w:right="500"/>
              <w:spacing w:after="0"/>
              <w:rPr>
                <w:sz w:val="20"/>
                <w:szCs w:val="20"/>
                <w:color w:val="auto"/>
              </w:rPr>
            </w:pPr>
            <w:r>
              <w:rPr>
                <w:rFonts w:ascii="Arial" w:cs="Arial" w:eastAsia="Arial" w:hAnsi="Arial"/>
                <w:sz w:val="19"/>
                <w:szCs w:val="19"/>
                <w:color w:val="auto"/>
              </w:rPr>
              <w:t>—</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w:t>
            </w:r>
          </w:p>
        </w:tc>
      </w:tr>
      <w:tr>
        <w:trPr>
          <w:trHeight w:val="243"/>
        </w:trPr>
        <w:tc>
          <w:tcPr>
            <w:tcW w:w="4900" w:type="dxa"/>
            <w:vAlign w:val="bottom"/>
          </w:tcPr>
          <w:p>
            <w:pPr>
              <w:ind w:left="360"/>
              <w:spacing w:after="0"/>
              <w:rPr>
                <w:sz w:val="20"/>
                <w:szCs w:val="20"/>
                <w:color w:val="auto"/>
              </w:rPr>
            </w:pPr>
            <w:r>
              <w:rPr>
                <w:rFonts w:ascii="Arial" w:cs="Arial" w:eastAsia="Arial" w:hAnsi="Arial"/>
                <w:sz w:val="19"/>
                <w:szCs w:val="19"/>
                <w:color w:val="auto"/>
              </w:rPr>
              <w:t>Settlements and curtailments</w:t>
            </w:r>
          </w:p>
        </w:tc>
        <w:tc>
          <w:tcPr>
            <w:tcW w:w="14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660" w:type="dxa"/>
            <w:vAlign w:val="bottom"/>
          </w:tcPr>
          <w:p>
            <w:pPr>
              <w:jc w:val="right"/>
              <w:ind w:right="6"/>
              <w:spacing w:after="0"/>
              <w:rPr>
                <w:sz w:val="20"/>
                <w:szCs w:val="20"/>
                <w:color w:val="auto"/>
              </w:rPr>
            </w:pPr>
            <w:r>
              <w:rPr>
                <w:rFonts w:ascii="Arial" w:cs="Arial" w:eastAsia="Arial" w:hAnsi="Arial"/>
                <w:sz w:val="19"/>
                <w:szCs w:val="19"/>
                <w:color w:val="auto"/>
              </w:rPr>
              <w:t>24</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5"/>
              <w:spacing w:after="0"/>
              <w:rPr>
                <w:sz w:val="20"/>
                <w:szCs w:val="20"/>
                <w:color w:val="auto"/>
              </w:rPr>
            </w:pPr>
            <w:r>
              <w:rPr>
                <w:rFonts w:ascii="Arial" w:cs="Arial" w:eastAsia="Arial" w:hAnsi="Arial"/>
                <w:sz w:val="19"/>
                <w:szCs w:val="19"/>
                <w:color w:val="auto"/>
              </w:rPr>
              <w:t>24</w:t>
            </w:r>
          </w:p>
        </w:tc>
      </w:tr>
      <w:tr>
        <w:trPr>
          <w:trHeight w:val="243"/>
        </w:trPr>
        <w:tc>
          <w:tcPr>
            <w:tcW w:w="4900" w:type="dxa"/>
            <w:vAlign w:val="bottom"/>
            <w:shd w:val="clear" w:color="auto" w:fill="E5FFFF"/>
          </w:tcPr>
          <w:p>
            <w:pPr>
              <w:spacing w:after="0"/>
              <w:rPr>
                <w:sz w:val="20"/>
                <w:szCs w:val="20"/>
                <w:color w:val="auto"/>
              </w:rPr>
            </w:pPr>
            <w:r>
              <w:rPr>
                <w:rFonts w:ascii="Arial" w:cs="Arial" w:eastAsia="Arial" w:hAnsi="Arial"/>
                <w:sz w:val="19"/>
                <w:szCs w:val="19"/>
                <w:color w:val="auto"/>
              </w:rPr>
              <w:t>Losses (gains) on cash flow hedges</w:t>
            </w:r>
          </w:p>
        </w:tc>
        <w:tc>
          <w:tcPr>
            <w:tcW w:w="14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(15)</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(22)</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10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9"/>
                <w:szCs w:val="19"/>
                <w:color w:val="auto"/>
              </w:rPr>
              <w:t>(28)</w:t>
            </w:r>
          </w:p>
        </w:tc>
        <w:tc>
          <w:tcPr>
            <w:tcW w:w="3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(69)</w:t>
            </w:r>
          </w:p>
        </w:tc>
      </w:tr>
      <w:tr>
        <w:trPr>
          <w:trHeight w:val="250"/>
        </w:trPr>
        <w:tc>
          <w:tcPr>
            <w:tcW w:w="4900" w:type="dxa"/>
            <w:vAlign w:val="bottom"/>
          </w:tcPr>
          <w:p>
            <w:pPr>
              <w:spacing w:after="0"/>
              <w:rPr>
                <w:sz w:val="20"/>
                <w:szCs w:val="20"/>
                <w:color w:val="auto"/>
              </w:rPr>
            </w:pPr>
            <w:r>
              <w:rPr>
                <w:rFonts w:ascii="Arial" w:cs="Arial" w:eastAsia="Arial" w:hAnsi="Arial"/>
                <w:sz w:val="19"/>
                <w:szCs w:val="19"/>
                <w:color w:val="auto"/>
              </w:rPr>
              <w:t>Total before tax</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(15)</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(22)</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(4)</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31"/>
              <w:spacing w:after="0"/>
              <w:rPr>
                <w:sz w:val="20"/>
                <w:szCs w:val="20"/>
                <w:color w:val="auto"/>
              </w:rPr>
            </w:pPr>
            <w:r>
              <w:rPr>
                <w:rFonts w:ascii="Arial" w:cs="Arial" w:eastAsia="Arial" w:hAnsi="Arial"/>
                <w:sz w:val="19"/>
                <w:szCs w:val="19"/>
                <w:color w:val="auto"/>
              </w:rPr>
              <w:t>(28)</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tcPr>
          <w:p>
            <w:pPr>
              <w:jc w:val="right"/>
              <w:ind w:right="6"/>
              <w:spacing w:after="0"/>
              <w:rPr>
                <w:sz w:val="20"/>
                <w:szCs w:val="20"/>
                <w:color w:val="auto"/>
              </w:rPr>
            </w:pPr>
            <w:r>
              <w:rPr>
                <w:rFonts w:ascii="Arial" w:cs="Arial" w:eastAsia="Arial" w:hAnsi="Arial"/>
                <w:sz w:val="19"/>
                <w:szCs w:val="19"/>
                <w:color w:val="auto"/>
              </w:rPr>
              <w:t>31</w:t>
            </w:r>
          </w:p>
        </w:tc>
        <w:tc>
          <w:tcPr>
            <w:tcW w:w="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20"/>
        </w:trPr>
        <w:tc>
          <w:tcPr>
            <w:tcW w:w="4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900" w:type="dxa"/>
            <w:vAlign w:val="bottom"/>
            <w:shd w:val="clear" w:color="auto" w:fill="E5FFFF"/>
          </w:tcPr>
          <w:p>
            <w:pPr>
              <w:spacing w:after="0"/>
              <w:rPr>
                <w:sz w:val="20"/>
                <w:szCs w:val="20"/>
                <w:color w:val="auto"/>
              </w:rPr>
            </w:pPr>
            <w:r>
              <w:rPr>
                <w:rFonts w:ascii="Arial" w:cs="Arial" w:eastAsia="Arial" w:hAnsi="Arial"/>
                <w:sz w:val="19"/>
                <w:szCs w:val="19"/>
                <w:color w:val="auto"/>
              </w:rPr>
              <w:t>Tax expense (benefit)</w:t>
            </w:r>
          </w:p>
        </w:tc>
        <w:tc>
          <w:tcPr>
            <w:tcW w:w="140" w:type="dxa"/>
            <w:vAlign w:val="bottom"/>
            <w:shd w:val="clear" w:color="auto" w:fill="E5FFFF"/>
          </w:tcPr>
          <w:p>
            <w:pPr>
              <w:spacing w:after="0"/>
              <w:rPr>
                <w:sz w:val="20"/>
                <w:szCs w:val="20"/>
                <w:color w:val="auto"/>
              </w:rPr>
            </w:pPr>
          </w:p>
        </w:tc>
        <w:tc>
          <w:tcPr>
            <w:tcW w:w="5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7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0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140" w:type="dxa"/>
            <w:vAlign w:val="bottom"/>
            <w:tcBorders>
              <w:bottom w:val="single" w:sz="8" w:color="auto"/>
            </w:tcBorders>
            <w:shd w:val="clear" w:color="auto" w:fill="E5FFFF"/>
          </w:tcPr>
          <w:p>
            <w:pPr>
              <w:spacing w:after="0"/>
              <w:rPr>
                <w:sz w:val="20"/>
                <w:szCs w:val="20"/>
                <w:color w:val="auto"/>
              </w:rPr>
            </w:pPr>
          </w:p>
        </w:tc>
        <w:tc>
          <w:tcPr>
            <w:tcW w:w="52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10</w:t>
            </w:r>
          </w:p>
        </w:tc>
      </w:tr>
      <w:tr>
        <w:trPr>
          <w:trHeight w:val="223"/>
        </w:trPr>
        <w:tc>
          <w:tcPr>
            <w:tcW w:w="4900" w:type="dxa"/>
            <w:vAlign w:val="bottom"/>
          </w:tcPr>
          <w:p>
            <w:pPr>
              <w:spacing w:after="0"/>
              <w:rPr>
                <w:sz w:val="20"/>
                <w:szCs w:val="20"/>
                <w:color w:val="auto"/>
              </w:rPr>
            </w:pPr>
            <w:r>
              <w:rPr>
                <w:rFonts w:ascii="Arial" w:cs="Arial" w:eastAsia="Arial" w:hAnsi="Arial"/>
                <w:sz w:val="19"/>
                <w:szCs w:val="19"/>
                <w:color w:val="auto"/>
              </w:rPr>
              <w:t>Total reclassifications for the period, net of tax</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19. Stock-Based Compensation Plans</w:t>
      </w:r>
    </w:p>
    <w:p>
      <w:pPr>
        <w:spacing w:after="0" w:line="130"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The 2016 Stock Incentive Plan of Honeywell International Inc. and its Affiliates (2016 Plan) and 2016 Stock Plan for Non-Employee Directors of Honeywell International Inc (2016 Directors Plan) were both approved by the shareowners at the Annual Meeting of Shareowners effective on April 25, 2016. Following approval of both plans, we have not and will not grant any new awards under any previously existing stock-based compensation plans. At December 31, 2018, there were 40,270,690, and 893,809 shares of Honeywell common stock available for future grants under terms of the 2016 Plan and 2016 Directors Plan, respectively.</w:t>
      </w:r>
    </w:p>
    <w:p>
      <w:pPr>
        <w:spacing w:after="0" w:line="67" w:lineRule="exact"/>
        <w:rPr>
          <w:sz w:val="20"/>
          <w:szCs w:val="20"/>
          <w:color w:val="auto"/>
        </w:rPr>
      </w:pPr>
    </w:p>
    <w:p>
      <w:pPr>
        <w:ind w:right="20" w:firstLine="357"/>
        <w:spacing w:after="0" w:line="248" w:lineRule="auto"/>
        <w:rPr>
          <w:sz w:val="20"/>
          <w:szCs w:val="20"/>
          <w:color w:val="auto"/>
        </w:rPr>
      </w:pPr>
      <w:r>
        <w:rPr>
          <w:rFonts w:ascii="Arial" w:cs="Arial" w:eastAsia="Arial" w:hAnsi="Arial"/>
          <w:sz w:val="19"/>
          <w:szCs w:val="19"/>
          <w:b w:val="1"/>
          <w:bCs w:val="1"/>
          <w:i w:val="1"/>
          <w:iCs w:val="1"/>
          <w:color w:val="auto"/>
        </w:rPr>
        <w:t>Stock Options</w:t>
      </w:r>
      <w:r>
        <w:rPr>
          <w:rFonts w:ascii="Arial" w:cs="Arial" w:eastAsia="Arial" w:hAnsi="Arial"/>
          <w:sz w:val="19"/>
          <w:szCs w:val="19"/>
          <w:color w:val="auto"/>
        </w:rPr>
        <w:t>—The exercise price, term and other conditions applicable to each option granted under our stock plans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generally determined by the Management Development and Compensation Committee of the Board. The exercise price of stock options is set on the grant date and may not be less than the fair market value per share of our stock on that date. The fair value is recognized as an expense over the employee’s requisite service period (generally the vesting period of the award). Options generally vest over a four-year period and expire after ten years.</w:t>
      </w:r>
    </w:p>
    <w:p>
      <w:pPr>
        <w:spacing w:after="0" w:line="70"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The fair value of each option award is estimated on the date of grant using the Black-Scholes option-pricing model. Expected volatility is based on implied volatilities from traded options on our common stock and historical volatility of our common stock. We used a Monte Carlo simulation model to derive an expected term which represents an estimate of the time options are expected to remain outstanding. Such model uses historical data to estimate option exercise activity and post-vest termination behavior. The risk-free rate for periods within the contractual life of the option is based on the U.S. treasury yield curve in effect at the time of grant.</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impact to the Consolidated Statement of Operations from stock options:</w:t>
      </w:r>
    </w:p>
    <w:p>
      <w:pPr>
        <w:spacing w:after="0" w:line="15"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635</wp:posOffset>
            </wp:positionV>
            <wp:extent cx="14833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ind w:left="8700"/>
        <w:spacing w:after="0"/>
        <w:tabs>
          <w:tab w:leader="none" w:pos="9580" w:val="left"/>
          <w:tab w:leader="none" w:pos="1046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tbl>
      <w:tblPr>
        <w:tblLayout w:type="fixed"/>
        <w:tblInd w:w="500" w:type="dxa"/>
        <w:tblCellMar>
          <w:top w:w="0" w:type="dxa"/>
          <w:left w:w="0" w:type="dxa"/>
          <w:bottom w:w="0" w:type="dxa"/>
          <w:right w:w="0" w:type="dxa"/>
        </w:tblCellMar>
      </w:tblPr>
      <w:tr>
        <w:trPr>
          <w:trHeight w:val="237"/>
        </w:trPr>
        <w:tc>
          <w:tcPr>
            <w:tcW w:w="8080" w:type="dxa"/>
            <w:vAlign w:val="bottom"/>
            <w:shd w:val="clear" w:color="auto" w:fill="E5FFFF"/>
          </w:tcPr>
          <w:p>
            <w:pPr>
              <w:spacing w:after="0"/>
              <w:rPr>
                <w:sz w:val="20"/>
                <w:szCs w:val="20"/>
                <w:color w:val="auto"/>
              </w:rPr>
            </w:pPr>
            <w:r>
              <w:rPr>
                <w:rFonts w:ascii="Arial" w:cs="Arial" w:eastAsia="Arial" w:hAnsi="Arial"/>
                <w:sz w:val="19"/>
                <w:szCs w:val="19"/>
                <w:color w:val="auto"/>
              </w:rPr>
              <w:t>Compensation expense</w:t>
            </w:r>
          </w:p>
        </w:tc>
        <w:tc>
          <w:tcPr>
            <w:tcW w:w="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  64</w:t>
            </w:r>
          </w:p>
        </w:tc>
        <w:tc>
          <w:tcPr>
            <w:tcW w:w="320" w:type="dxa"/>
            <w:vAlign w:val="bottom"/>
            <w:shd w:val="clear" w:color="auto" w:fill="E5FFFF"/>
          </w:tcPr>
          <w:p>
            <w:pPr>
              <w:spacing w:after="0"/>
              <w:rPr>
                <w:sz w:val="20"/>
                <w:szCs w:val="20"/>
                <w:color w:val="auto"/>
              </w:rPr>
            </w:pPr>
          </w:p>
        </w:tc>
        <w:tc>
          <w:tcPr>
            <w:tcW w:w="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  79</w:t>
            </w:r>
          </w:p>
        </w:tc>
        <w:tc>
          <w:tcPr>
            <w:tcW w:w="320" w:type="dxa"/>
            <w:vAlign w:val="bottom"/>
            <w:shd w:val="clear" w:color="auto" w:fill="E5FFFF"/>
          </w:tcPr>
          <w:p>
            <w:pPr>
              <w:spacing w:after="0"/>
              <w:rPr>
                <w:sz w:val="20"/>
                <w:szCs w:val="20"/>
                <w:color w:val="auto"/>
              </w:rPr>
            </w:pPr>
          </w:p>
        </w:tc>
        <w:tc>
          <w:tcPr>
            <w:tcW w:w="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$ 87</w:t>
            </w:r>
          </w:p>
        </w:tc>
      </w:tr>
      <w:tr>
        <w:trPr>
          <w:trHeight w:val="261"/>
        </w:trPr>
        <w:tc>
          <w:tcPr>
            <w:tcW w:w="8080" w:type="dxa"/>
            <w:vAlign w:val="bottom"/>
          </w:tcPr>
          <w:p>
            <w:pPr>
              <w:spacing w:after="0"/>
              <w:rPr>
                <w:sz w:val="20"/>
                <w:szCs w:val="20"/>
                <w:color w:val="auto"/>
              </w:rPr>
            </w:pPr>
            <w:r>
              <w:rPr>
                <w:rFonts w:ascii="Arial" w:cs="Arial" w:eastAsia="Arial" w:hAnsi="Arial"/>
                <w:sz w:val="19"/>
                <w:szCs w:val="19"/>
                <w:color w:val="auto"/>
              </w:rPr>
              <w:t>Future income tax benefit recognized</w:t>
            </w:r>
          </w:p>
        </w:tc>
        <w:tc>
          <w:tcPr>
            <w:tcW w:w="580" w:type="dxa"/>
            <w:vAlign w:val="bottom"/>
          </w:tcPr>
          <w:p>
            <w:pPr>
              <w:jc w:val="right"/>
              <w:spacing w:after="0"/>
              <w:rPr>
                <w:sz w:val="20"/>
                <w:szCs w:val="20"/>
                <w:color w:val="auto"/>
              </w:rPr>
            </w:pPr>
            <w:r>
              <w:rPr>
                <w:rFonts w:ascii="Arial" w:cs="Arial" w:eastAsia="Arial" w:hAnsi="Arial"/>
                <w:sz w:val="19"/>
                <w:szCs w:val="19"/>
                <w:color w:val="auto"/>
              </w:rPr>
              <w:t>13</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17</w:t>
            </w:r>
          </w:p>
        </w:tc>
        <w:tc>
          <w:tcPr>
            <w:tcW w:w="820" w:type="dxa"/>
            <w:vAlign w:val="bottom"/>
            <w:gridSpan w:val="2"/>
          </w:tcPr>
          <w:p>
            <w:pPr>
              <w:jc w:val="right"/>
              <w:spacing w:after="0"/>
              <w:rPr>
                <w:sz w:val="20"/>
                <w:szCs w:val="20"/>
                <w:color w:val="auto"/>
              </w:rPr>
            </w:pPr>
            <w:r>
              <w:rPr>
                <w:rFonts w:ascii="Arial" w:cs="Arial" w:eastAsia="Arial" w:hAnsi="Arial"/>
                <w:sz w:val="19"/>
                <w:szCs w:val="19"/>
                <w:color w:val="auto"/>
              </w:rPr>
              <w:t>29</w:t>
            </w:r>
          </w:p>
        </w:tc>
      </w:tr>
    </w:tbl>
    <w:p>
      <w:pPr>
        <w:spacing w:after="0" w:line="91" w:lineRule="exact"/>
        <w:rPr>
          <w:sz w:val="20"/>
          <w:szCs w:val="20"/>
          <w:color w:val="auto"/>
        </w:rPr>
      </w:pPr>
    </w:p>
    <w:p>
      <w:pPr>
        <w:ind w:right="860" w:firstLine="357"/>
        <w:spacing w:after="0" w:line="253" w:lineRule="auto"/>
        <w:rPr>
          <w:sz w:val="20"/>
          <w:szCs w:val="20"/>
          <w:color w:val="auto"/>
        </w:rPr>
      </w:pPr>
      <w:r>
        <w:rPr>
          <w:rFonts w:ascii="Arial" w:cs="Arial" w:eastAsia="Arial" w:hAnsi="Arial"/>
          <w:sz w:val="19"/>
          <w:szCs w:val="19"/>
          <w:color w:val="auto"/>
        </w:rPr>
        <w:t>The following table sets forth fair value per share information, including related weighted-average assumptions, used to determine compensation cost.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5"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3200" w:type="dxa"/>
            <w:vAlign w:val="bottom"/>
            <w:tcBorders>
              <w:bottom w:val="single" w:sz="8" w:color="auto"/>
            </w:tcBorders>
            <w:gridSpan w:val="5"/>
          </w:tcPr>
          <w:p>
            <w:pPr>
              <w:jc w:val="right"/>
              <w:ind w:right="501"/>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7200" w:type="dxa"/>
            <w:vAlign w:val="bottom"/>
          </w:tcPr>
          <w:p>
            <w:pPr>
              <w:spacing w:after="0"/>
              <w:rPr>
                <w:sz w:val="14"/>
                <w:szCs w:val="14"/>
                <w:color w:val="auto"/>
              </w:rPr>
            </w:pPr>
          </w:p>
        </w:tc>
        <w:tc>
          <w:tcPr>
            <w:tcW w:w="860" w:type="dxa"/>
            <w:vAlign w:val="bottom"/>
            <w:tcBorders>
              <w:bottom w:val="single" w:sz="8" w:color="auto"/>
            </w:tcBorders>
          </w:tcPr>
          <w:p>
            <w:pPr>
              <w:jc w:val="right"/>
              <w:ind w:right="168"/>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ind w:right="181"/>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880" w:type="dxa"/>
            <w:vAlign w:val="bottom"/>
            <w:tcBorders>
              <w:bottom w:val="single" w:sz="8" w:color="auto"/>
            </w:tcBorders>
          </w:tcPr>
          <w:p>
            <w:pPr>
              <w:jc w:val="right"/>
              <w:ind w:right="181"/>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7200" w:type="dxa"/>
            <w:vAlign w:val="bottom"/>
            <w:shd w:val="clear" w:color="auto" w:fill="E5FFFF"/>
          </w:tcPr>
          <w:p>
            <w:pPr>
              <w:spacing w:after="0"/>
              <w:rPr>
                <w:sz w:val="20"/>
                <w:szCs w:val="20"/>
                <w:color w:val="auto"/>
              </w:rPr>
            </w:pPr>
            <w:r>
              <w:rPr>
                <w:rFonts w:ascii="Arial" w:cs="Arial" w:eastAsia="Arial" w:hAnsi="Arial"/>
                <w:sz w:val="19"/>
                <w:szCs w:val="19"/>
                <w:color w:val="auto"/>
              </w:rPr>
              <w:t>Weighted average fair value per share of options granted during the year</w:t>
            </w:r>
            <w:r>
              <w:rPr>
                <w:rFonts w:ascii="Arial" w:cs="Arial" w:eastAsia="Arial" w:hAnsi="Arial"/>
                <w:sz w:val="10"/>
                <w:szCs w:val="10"/>
                <w:color w:val="auto"/>
              </w:rPr>
              <w:t>(1)</w:t>
            </w:r>
          </w:p>
        </w:tc>
        <w:tc>
          <w:tcPr>
            <w:tcW w:w="86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$ 23.63</w:t>
            </w:r>
          </w:p>
        </w:tc>
        <w:tc>
          <w:tcPr>
            <w:tcW w:w="116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$ 16.68</w:t>
            </w:r>
          </w:p>
        </w:tc>
        <w:tc>
          <w:tcPr>
            <w:tcW w:w="118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$ 15.59</w:t>
            </w:r>
          </w:p>
        </w:tc>
      </w:tr>
      <w:tr>
        <w:trPr>
          <w:trHeight w:val="216"/>
        </w:trPr>
        <w:tc>
          <w:tcPr>
            <w:tcW w:w="7200" w:type="dxa"/>
            <w:vAlign w:val="bottom"/>
          </w:tcPr>
          <w:p>
            <w:pPr>
              <w:spacing w:after="0" w:line="216" w:lineRule="exact"/>
              <w:rPr>
                <w:sz w:val="20"/>
                <w:szCs w:val="20"/>
                <w:color w:val="auto"/>
              </w:rPr>
            </w:pPr>
            <w:r>
              <w:rPr>
                <w:rFonts w:ascii="Arial" w:cs="Arial" w:eastAsia="Arial" w:hAnsi="Arial"/>
                <w:sz w:val="19"/>
                <w:szCs w:val="19"/>
                <w:color w:val="auto"/>
              </w:rPr>
              <w:t>Assumptions: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3"/>
        </w:trPr>
        <w:tc>
          <w:tcPr>
            <w:tcW w:w="7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Expected annual dividend yield</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2.49%</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2.81%</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2.92%</w:t>
            </w:r>
          </w:p>
        </w:tc>
      </w:tr>
      <w:tr>
        <w:trPr>
          <w:trHeight w:val="243"/>
        </w:trPr>
        <w:tc>
          <w:tcPr>
            <w:tcW w:w="7200" w:type="dxa"/>
            <w:vAlign w:val="bottom"/>
          </w:tcPr>
          <w:p>
            <w:pPr>
              <w:ind w:left="360"/>
              <w:spacing w:after="0"/>
              <w:rPr>
                <w:sz w:val="20"/>
                <w:szCs w:val="20"/>
                <w:color w:val="auto"/>
              </w:rPr>
            </w:pPr>
            <w:r>
              <w:rPr>
                <w:rFonts w:ascii="Arial" w:cs="Arial" w:eastAsia="Arial" w:hAnsi="Arial"/>
                <w:sz w:val="19"/>
                <w:szCs w:val="19"/>
                <w:color w:val="auto"/>
              </w:rPr>
              <w:t>Expected volatility</w:t>
            </w:r>
          </w:p>
        </w:tc>
        <w:tc>
          <w:tcPr>
            <w:tcW w:w="860" w:type="dxa"/>
            <w:vAlign w:val="bottom"/>
          </w:tcPr>
          <w:p>
            <w:pPr>
              <w:jc w:val="right"/>
              <w:spacing w:after="0"/>
              <w:rPr>
                <w:sz w:val="20"/>
                <w:szCs w:val="20"/>
                <w:color w:val="auto"/>
              </w:rPr>
            </w:pPr>
            <w:r>
              <w:rPr>
                <w:rFonts w:ascii="Arial" w:cs="Arial" w:eastAsia="Arial" w:hAnsi="Arial"/>
                <w:sz w:val="19"/>
                <w:szCs w:val="19"/>
                <w:color w:val="auto"/>
              </w:rPr>
              <w:t>18.93%</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18.96%</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23.07%</w:t>
            </w:r>
          </w:p>
        </w:tc>
      </w:tr>
      <w:tr>
        <w:trPr>
          <w:trHeight w:val="243"/>
        </w:trPr>
        <w:tc>
          <w:tcPr>
            <w:tcW w:w="7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Risk-free rate of return</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2.71%</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2.02%</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1.29%</w:t>
            </w:r>
          </w:p>
        </w:tc>
      </w:tr>
      <w:tr>
        <w:trPr>
          <w:trHeight w:val="261"/>
        </w:trPr>
        <w:tc>
          <w:tcPr>
            <w:tcW w:w="7200" w:type="dxa"/>
            <w:vAlign w:val="bottom"/>
          </w:tcPr>
          <w:p>
            <w:pPr>
              <w:ind w:left="360"/>
              <w:spacing w:after="0"/>
              <w:rPr>
                <w:sz w:val="20"/>
                <w:szCs w:val="20"/>
                <w:color w:val="auto"/>
              </w:rPr>
            </w:pPr>
            <w:r>
              <w:rPr>
                <w:rFonts w:ascii="Arial" w:cs="Arial" w:eastAsia="Arial" w:hAnsi="Arial"/>
                <w:sz w:val="19"/>
                <w:szCs w:val="19"/>
                <w:color w:val="auto"/>
              </w:rPr>
              <w:t>Expected option term (years)</w:t>
            </w:r>
          </w:p>
        </w:tc>
        <w:tc>
          <w:tcPr>
            <w:tcW w:w="860" w:type="dxa"/>
            <w:vAlign w:val="bottom"/>
          </w:tcPr>
          <w:p>
            <w:pPr>
              <w:jc w:val="right"/>
              <w:ind w:right="108"/>
              <w:spacing w:after="0"/>
              <w:rPr>
                <w:sz w:val="20"/>
                <w:szCs w:val="20"/>
                <w:color w:val="auto"/>
              </w:rPr>
            </w:pPr>
            <w:r>
              <w:rPr>
                <w:rFonts w:ascii="Arial" w:cs="Arial" w:eastAsia="Arial" w:hAnsi="Arial"/>
                <w:sz w:val="19"/>
                <w:szCs w:val="19"/>
                <w:color w:val="auto"/>
              </w:rPr>
              <w:t>4.95</w:t>
            </w:r>
          </w:p>
        </w:tc>
        <w:tc>
          <w:tcPr>
            <w:tcW w:w="1160" w:type="dxa"/>
            <w:vAlign w:val="bottom"/>
            <w:gridSpan w:val="2"/>
          </w:tcPr>
          <w:p>
            <w:pPr>
              <w:jc w:val="right"/>
              <w:ind w:right="121"/>
              <w:spacing w:after="0"/>
              <w:rPr>
                <w:sz w:val="20"/>
                <w:szCs w:val="20"/>
                <w:color w:val="auto"/>
              </w:rPr>
            </w:pPr>
            <w:r>
              <w:rPr>
                <w:rFonts w:ascii="Arial" w:cs="Arial" w:eastAsia="Arial" w:hAnsi="Arial"/>
                <w:sz w:val="19"/>
                <w:szCs w:val="19"/>
                <w:color w:val="auto"/>
              </w:rPr>
              <w:t>5.04</w:t>
            </w:r>
          </w:p>
        </w:tc>
        <w:tc>
          <w:tcPr>
            <w:tcW w:w="1180" w:type="dxa"/>
            <w:vAlign w:val="bottom"/>
            <w:gridSpan w:val="2"/>
          </w:tcPr>
          <w:p>
            <w:pPr>
              <w:jc w:val="right"/>
              <w:ind w:right="121"/>
              <w:spacing w:after="0"/>
              <w:rPr>
                <w:sz w:val="20"/>
                <w:szCs w:val="20"/>
                <w:color w:val="auto"/>
              </w:rPr>
            </w:pPr>
            <w:r>
              <w:rPr>
                <w:rFonts w:ascii="Arial" w:cs="Arial" w:eastAsia="Arial" w:hAnsi="Arial"/>
                <w:sz w:val="19"/>
                <w:szCs w:val="19"/>
                <w:color w:val="auto"/>
              </w:rPr>
              <w:t>4.97</w:t>
            </w:r>
          </w:p>
        </w:tc>
      </w:tr>
    </w:tbl>
    <w:p>
      <w:pPr>
        <w:spacing w:after="0" w:line="307"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Estimated on date of grant using Black-Scholes option-pricing model.</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about stock option activity for the three years ended December 31, 2018:</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Weighted</w:t>
            </w:r>
          </w:p>
        </w:tc>
      </w:tr>
      <w:tr>
        <w:trPr>
          <w:trHeight w:val="176"/>
        </w:trPr>
        <w:tc>
          <w:tcPr>
            <w:tcW w:w="8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26"/>
              <w:spacing w:after="0" w:line="176" w:lineRule="exact"/>
              <w:rPr>
                <w:sz w:val="20"/>
                <w:szCs w:val="20"/>
                <w:color w:val="auto"/>
              </w:rPr>
            </w:pPr>
            <w:r>
              <w:rPr>
                <w:rFonts w:ascii="Arial" w:cs="Arial" w:eastAsia="Arial" w:hAnsi="Arial"/>
                <w:sz w:val="16"/>
                <w:szCs w:val="16"/>
                <w:b w:val="1"/>
                <w:bCs w:val="1"/>
                <w:color w:val="auto"/>
                <w:w w:val="98"/>
              </w:rPr>
              <w:t>Average</w:t>
            </w:r>
          </w:p>
        </w:tc>
      </w:tr>
      <w:tr>
        <w:trPr>
          <w:trHeight w:val="176"/>
        </w:trPr>
        <w:tc>
          <w:tcPr>
            <w:tcW w:w="8980" w:type="dxa"/>
            <w:vAlign w:val="bottom"/>
          </w:tcPr>
          <w:p>
            <w:pPr>
              <w:spacing w:after="0"/>
              <w:rPr>
                <w:sz w:val="15"/>
                <w:szCs w:val="15"/>
                <w:color w:val="auto"/>
              </w:rPr>
            </w:pPr>
          </w:p>
        </w:tc>
        <w:tc>
          <w:tcPr>
            <w:tcW w:w="1240" w:type="dxa"/>
            <w:vAlign w:val="bottom"/>
          </w:tcPr>
          <w:p>
            <w:pPr>
              <w:jc w:val="right"/>
              <w:ind w:right="125"/>
              <w:spacing w:after="0" w:line="176" w:lineRule="exact"/>
              <w:rPr>
                <w:sz w:val="20"/>
                <w:szCs w:val="20"/>
                <w:color w:val="auto"/>
              </w:rPr>
            </w:pPr>
            <w:r>
              <w:rPr>
                <w:rFonts w:ascii="Arial" w:cs="Arial" w:eastAsia="Arial" w:hAnsi="Arial"/>
                <w:sz w:val="16"/>
                <w:szCs w:val="16"/>
                <w:b w:val="1"/>
                <w:bCs w:val="1"/>
                <w:color w:val="auto"/>
              </w:rPr>
              <w:t>Number of</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26"/>
              <w:spacing w:after="0" w:line="176" w:lineRule="exact"/>
              <w:rPr>
                <w:sz w:val="20"/>
                <w:szCs w:val="20"/>
                <w:color w:val="auto"/>
              </w:rPr>
            </w:pPr>
            <w:r>
              <w:rPr>
                <w:rFonts w:ascii="Arial" w:cs="Arial" w:eastAsia="Arial" w:hAnsi="Arial"/>
                <w:sz w:val="16"/>
                <w:szCs w:val="16"/>
                <w:b w:val="1"/>
                <w:bCs w:val="1"/>
                <w:color w:val="auto"/>
              </w:rPr>
              <w:t>Exercise</w:t>
            </w:r>
          </w:p>
        </w:tc>
      </w:tr>
      <w:tr>
        <w:trPr>
          <w:trHeight w:val="190"/>
        </w:trPr>
        <w:tc>
          <w:tcPr>
            <w:tcW w:w="8980" w:type="dxa"/>
            <w:vAlign w:val="bottom"/>
          </w:tcPr>
          <w:p>
            <w:pPr>
              <w:spacing w:after="0"/>
              <w:rPr>
                <w:sz w:val="16"/>
                <w:szCs w:val="16"/>
                <w:color w:val="auto"/>
              </w:rPr>
            </w:pPr>
          </w:p>
        </w:tc>
        <w:tc>
          <w:tcPr>
            <w:tcW w:w="124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b w:val="1"/>
                <w:bCs w:val="1"/>
                <w:color w:val="auto"/>
              </w:rPr>
              <w:t>Options</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6"/>
              <w:spacing w:after="0"/>
              <w:rPr>
                <w:sz w:val="20"/>
                <w:szCs w:val="20"/>
                <w:color w:val="auto"/>
              </w:rPr>
            </w:pPr>
            <w:r>
              <w:rPr>
                <w:rFonts w:ascii="Arial" w:cs="Arial" w:eastAsia="Arial" w:hAnsi="Arial"/>
                <w:sz w:val="16"/>
                <w:szCs w:val="16"/>
                <w:b w:val="1"/>
                <w:bCs w:val="1"/>
                <w:color w:val="auto"/>
                <w:w w:val="96"/>
              </w:rPr>
              <w:t>Price</w:t>
            </w:r>
          </w:p>
        </w:tc>
      </w:tr>
      <w:tr>
        <w:trPr>
          <w:trHeight w:val="237"/>
        </w:trPr>
        <w:tc>
          <w:tcPr>
            <w:tcW w:w="8980" w:type="dxa"/>
            <w:vAlign w:val="bottom"/>
            <w:shd w:val="clear" w:color="auto" w:fill="E5FFFF"/>
          </w:tcPr>
          <w:p>
            <w:pPr>
              <w:spacing w:after="0"/>
              <w:rPr>
                <w:sz w:val="20"/>
                <w:szCs w:val="20"/>
                <w:color w:val="auto"/>
              </w:rPr>
            </w:pPr>
            <w:r>
              <w:rPr>
                <w:rFonts w:ascii="Arial" w:cs="Arial" w:eastAsia="Arial" w:hAnsi="Arial"/>
                <w:sz w:val="19"/>
                <w:szCs w:val="19"/>
                <w:color w:val="auto"/>
              </w:rPr>
              <w:t>Outstanding at December 31, 2015</w:t>
            </w:r>
          </w:p>
        </w:tc>
        <w:tc>
          <w:tcPr>
            <w:tcW w:w="1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30,569,438</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70.76</w:t>
            </w:r>
          </w:p>
        </w:tc>
      </w:tr>
      <w:tr>
        <w:trPr>
          <w:trHeight w:val="243"/>
        </w:trPr>
        <w:tc>
          <w:tcPr>
            <w:tcW w:w="8980" w:type="dxa"/>
            <w:vAlign w:val="bottom"/>
          </w:tcPr>
          <w:p>
            <w:pPr>
              <w:ind w:left="360"/>
              <w:spacing w:after="0"/>
              <w:rPr>
                <w:sz w:val="20"/>
                <w:szCs w:val="20"/>
                <w:color w:val="auto"/>
              </w:rPr>
            </w:pPr>
            <w:r>
              <w:rPr>
                <w:rFonts w:ascii="Arial" w:cs="Arial" w:eastAsia="Arial" w:hAnsi="Arial"/>
                <w:sz w:val="19"/>
                <w:szCs w:val="19"/>
                <w:color w:val="auto"/>
              </w:rPr>
              <w:t>Granted</w:t>
            </w:r>
          </w:p>
        </w:tc>
        <w:tc>
          <w:tcPr>
            <w:tcW w:w="1240" w:type="dxa"/>
            <w:vAlign w:val="bottom"/>
          </w:tcPr>
          <w:p>
            <w:pPr>
              <w:jc w:val="right"/>
              <w:spacing w:after="0"/>
              <w:rPr>
                <w:sz w:val="20"/>
                <w:szCs w:val="20"/>
                <w:color w:val="auto"/>
              </w:rPr>
            </w:pPr>
            <w:r>
              <w:rPr>
                <w:rFonts w:ascii="Arial" w:cs="Arial" w:eastAsia="Arial" w:hAnsi="Arial"/>
                <w:sz w:val="19"/>
                <w:szCs w:val="19"/>
                <w:color w:val="auto"/>
              </w:rPr>
              <w:t>6,281,053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103.51</w:t>
            </w:r>
          </w:p>
        </w:tc>
      </w:tr>
      <w:tr>
        <w:trPr>
          <w:trHeight w:val="243"/>
        </w:trPr>
        <w:tc>
          <w:tcPr>
            <w:tcW w:w="89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Exercised</w:t>
            </w:r>
          </w:p>
        </w:tc>
        <w:tc>
          <w:tcPr>
            <w:tcW w:w="1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(7,075,852)</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57.41</w:t>
            </w:r>
          </w:p>
        </w:tc>
      </w:tr>
      <w:tr>
        <w:trPr>
          <w:trHeight w:val="250"/>
        </w:trPr>
        <w:tc>
          <w:tcPr>
            <w:tcW w:w="8980" w:type="dxa"/>
            <w:vAlign w:val="bottom"/>
          </w:tcPr>
          <w:p>
            <w:pPr>
              <w:ind w:left="360"/>
              <w:spacing w:after="0"/>
              <w:rPr>
                <w:sz w:val="20"/>
                <w:szCs w:val="20"/>
                <w:color w:val="auto"/>
              </w:rPr>
            </w:pPr>
            <w:r>
              <w:rPr>
                <w:rFonts w:ascii="Arial" w:cs="Arial" w:eastAsia="Arial" w:hAnsi="Arial"/>
                <w:sz w:val="19"/>
                <w:szCs w:val="19"/>
                <w:color w:val="auto"/>
              </w:rPr>
              <w:t>Lapsed or canceled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(1,107,339)</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96.81</w:t>
            </w:r>
          </w:p>
        </w:tc>
      </w:tr>
      <w:tr>
        <w:trPr>
          <w:trHeight w:val="243"/>
        </w:trPr>
        <w:tc>
          <w:tcPr>
            <w:tcW w:w="8980" w:type="dxa"/>
            <w:vAlign w:val="bottom"/>
            <w:shd w:val="clear" w:color="auto" w:fill="E5FFFF"/>
          </w:tcPr>
          <w:p>
            <w:pPr>
              <w:spacing w:after="0"/>
              <w:rPr>
                <w:sz w:val="20"/>
                <w:szCs w:val="20"/>
                <w:color w:val="auto"/>
              </w:rPr>
            </w:pPr>
            <w:r>
              <w:rPr>
                <w:rFonts w:ascii="Arial" w:cs="Arial" w:eastAsia="Arial" w:hAnsi="Arial"/>
                <w:sz w:val="19"/>
                <w:szCs w:val="19"/>
                <w:color w:val="auto"/>
              </w:rPr>
              <w:t>Outstanding at December 31, 2016</w:t>
            </w:r>
          </w:p>
        </w:tc>
        <w:tc>
          <w:tcPr>
            <w:tcW w:w="1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28,667,300</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79.57</w:t>
            </w:r>
          </w:p>
        </w:tc>
      </w:tr>
      <w:tr>
        <w:trPr>
          <w:trHeight w:val="243"/>
        </w:trPr>
        <w:tc>
          <w:tcPr>
            <w:tcW w:w="8980" w:type="dxa"/>
            <w:vAlign w:val="bottom"/>
          </w:tcPr>
          <w:p>
            <w:pPr>
              <w:ind w:left="360"/>
              <w:spacing w:after="0"/>
              <w:rPr>
                <w:sz w:val="20"/>
                <w:szCs w:val="20"/>
                <w:color w:val="auto"/>
              </w:rPr>
            </w:pPr>
            <w:r>
              <w:rPr>
                <w:rFonts w:ascii="Arial" w:cs="Arial" w:eastAsia="Arial" w:hAnsi="Arial"/>
                <w:sz w:val="19"/>
                <w:szCs w:val="19"/>
                <w:color w:val="auto"/>
              </w:rPr>
              <w:t>Granted</w:t>
            </w:r>
          </w:p>
        </w:tc>
        <w:tc>
          <w:tcPr>
            <w:tcW w:w="1240" w:type="dxa"/>
            <w:vAlign w:val="bottom"/>
          </w:tcPr>
          <w:p>
            <w:pPr>
              <w:jc w:val="right"/>
              <w:spacing w:after="0"/>
              <w:rPr>
                <w:sz w:val="20"/>
                <w:szCs w:val="20"/>
                <w:color w:val="auto"/>
              </w:rPr>
            </w:pPr>
            <w:r>
              <w:rPr>
                <w:rFonts w:ascii="Arial" w:cs="Arial" w:eastAsia="Arial" w:hAnsi="Arial"/>
                <w:sz w:val="19"/>
                <w:szCs w:val="19"/>
                <w:color w:val="auto"/>
              </w:rPr>
              <w:t>5,098,569</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125.16</w:t>
            </w:r>
          </w:p>
        </w:tc>
      </w:tr>
      <w:tr>
        <w:trPr>
          <w:trHeight w:val="243"/>
        </w:trPr>
        <w:tc>
          <w:tcPr>
            <w:tcW w:w="89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Exercised</w:t>
            </w:r>
          </w:p>
        </w:tc>
        <w:tc>
          <w:tcPr>
            <w:tcW w:w="1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(8,840,019)</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62.34</w:t>
            </w:r>
          </w:p>
        </w:tc>
      </w:tr>
      <w:tr>
        <w:trPr>
          <w:trHeight w:val="250"/>
        </w:trPr>
        <w:tc>
          <w:tcPr>
            <w:tcW w:w="8980" w:type="dxa"/>
            <w:vAlign w:val="bottom"/>
          </w:tcPr>
          <w:p>
            <w:pPr>
              <w:ind w:left="360"/>
              <w:spacing w:after="0"/>
              <w:rPr>
                <w:sz w:val="20"/>
                <w:szCs w:val="20"/>
                <w:color w:val="auto"/>
              </w:rPr>
            </w:pPr>
            <w:r>
              <w:rPr>
                <w:rFonts w:ascii="Arial" w:cs="Arial" w:eastAsia="Arial" w:hAnsi="Arial"/>
                <w:sz w:val="19"/>
                <w:szCs w:val="19"/>
                <w:color w:val="auto"/>
              </w:rPr>
              <w:t>Lapsed or canceled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(1,516,557)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109.04</w:t>
            </w:r>
          </w:p>
        </w:tc>
      </w:tr>
      <w:tr>
        <w:trPr>
          <w:trHeight w:val="243"/>
        </w:trPr>
        <w:tc>
          <w:tcPr>
            <w:tcW w:w="8980" w:type="dxa"/>
            <w:vAlign w:val="bottom"/>
            <w:shd w:val="clear" w:color="auto" w:fill="E5FFFF"/>
          </w:tcPr>
          <w:p>
            <w:pPr>
              <w:spacing w:after="0"/>
              <w:rPr>
                <w:sz w:val="20"/>
                <w:szCs w:val="20"/>
                <w:color w:val="auto"/>
              </w:rPr>
            </w:pPr>
            <w:r>
              <w:rPr>
                <w:rFonts w:ascii="Arial" w:cs="Arial" w:eastAsia="Arial" w:hAnsi="Arial"/>
                <w:sz w:val="19"/>
                <w:szCs w:val="19"/>
                <w:color w:val="auto"/>
              </w:rPr>
              <w:t>Outstanding at December 31, 2017</w:t>
            </w:r>
          </w:p>
        </w:tc>
        <w:tc>
          <w:tcPr>
            <w:tcW w:w="1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23,409,293</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94.16</w:t>
            </w:r>
          </w:p>
        </w:tc>
      </w:tr>
      <w:tr>
        <w:trPr>
          <w:trHeight w:val="243"/>
        </w:trPr>
        <w:tc>
          <w:tcPr>
            <w:tcW w:w="8980" w:type="dxa"/>
            <w:vAlign w:val="bottom"/>
          </w:tcPr>
          <w:p>
            <w:pPr>
              <w:ind w:left="360"/>
              <w:spacing w:after="0"/>
              <w:rPr>
                <w:sz w:val="20"/>
                <w:szCs w:val="20"/>
                <w:color w:val="auto"/>
              </w:rPr>
            </w:pPr>
            <w:r>
              <w:rPr>
                <w:rFonts w:ascii="Arial" w:cs="Arial" w:eastAsia="Arial" w:hAnsi="Arial"/>
                <w:sz w:val="19"/>
                <w:szCs w:val="19"/>
                <w:color w:val="auto"/>
              </w:rPr>
              <w:t>Spin related adjustment</w:t>
            </w:r>
            <w:r>
              <w:rPr>
                <w:rFonts w:ascii="Arial" w:cs="Arial" w:eastAsia="Arial" w:hAnsi="Arial"/>
                <w:sz w:val="10"/>
                <w:szCs w:val="10"/>
                <w:color w:val="auto"/>
              </w:rPr>
              <w:t>(1)</w:t>
            </w:r>
          </w:p>
        </w:tc>
        <w:tc>
          <w:tcPr>
            <w:tcW w:w="1240" w:type="dxa"/>
            <w:vAlign w:val="bottom"/>
          </w:tcPr>
          <w:p>
            <w:pPr>
              <w:jc w:val="right"/>
              <w:spacing w:after="0"/>
              <w:rPr>
                <w:sz w:val="20"/>
                <w:szCs w:val="20"/>
                <w:color w:val="auto"/>
              </w:rPr>
            </w:pPr>
            <w:r>
              <w:rPr>
                <w:rFonts w:ascii="Arial" w:cs="Arial" w:eastAsia="Arial" w:hAnsi="Arial"/>
                <w:sz w:val="19"/>
                <w:szCs w:val="19"/>
                <w:color w:val="auto"/>
              </w:rPr>
              <w:t>989,158</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89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Granted</w:t>
            </w:r>
          </w:p>
        </w:tc>
        <w:tc>
          <w:tcPr>
            <w:tcW w:w="1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3,303,722</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148.48</w:t>
            </w:r>
          </w:p>
        </w:tc>
      </w:tr>
      <w:tr>
        <w:trPr>
          <w:trHeight w:val="243"/>
        </w:trPr>
        <w:tc>
          <w:tcPr>
            <w:tcW w:w="8980" w:type="dxa"/>
            <w:vAlign w:val="bottom"/>
          </w:tcPr>
          <w:p>
            <w:pPr>
              <w:ind w:left="360"/>
              <w:spacing w:after="0"/>
              <w:rPr>
                <w:sz w:val="20"/>
                <w:szCs w:val="20"/>
                <w:color w:val="auto"/>
              </w:rPr>
            </w:pPr>
            <w:r>
              <w:rPr>
                <w:rFonts w:ascii="Arial" w:cs="Arial" w:eastAsia="Arial" w:hAnsi="Arial"/>
                <w:sz w:val="19"/>
                <w:szCs w:val="19"/>
                <w:color w:val="auto"/>
              </w:rPr>
              <w:t>Exercised</w:t>
            </w:r>
          </w:p>
        </w:tc>
        <w:tc>
          <w:tcPr>
            <w:tcW w:w="1240" w:type="dxa"/>
            <w:vAlign w:val="bottom"/>
          </w:tcPr>
          <w:p>
            <w:pPr>
              <w:jc w:val="right"/>
              <w:spacing w:after="0"/>
              <w:rPr>
                <w:sz w:val="20"/>
                <w:szCs w:val="20"/>
                <w:color w:val="auto"/>
              </w:rPr>
            </w:pPr>
            <w:r>
              <w:rPr>
                <w:rFonts w:ascii="Arial" w:cs="Arial" w:eastAsia="Arial" w:hAnsi="Arial"/>
                <w:sz w:val="19"/>
                <w:szCs w:val="19"/>
                <w:color w:val="auto"/>
              </w:rPr>
              <w:t>(3,399,375)</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78.29</w:t>
            </w:r>
          </w:p>
        </w:tc>
      </w:tr>
      <w:tr>
        <w:trPr>
          <w:trHeight w:val="243"/>
        </w:trPr>
        <w:tc>
          <w:tcPr>
            <w:tcW w:w="89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Lapsed or canceled</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(1,824,217)</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123.01</w:t>
            </w:r>
          </w:p>
        </w:tc>
      </w:tr>
      <w:tr>
        <w:trPr>
          <w:trHeight w:val="250"/>
        </w:trPr>
        <w:tc>
          <w:tcPr>
            <w:tcW w:w="8980" w:type="dxa"/>
            <w:vAlign w:val="bottom"/>
          </w:tcPr>
          <w:p>
            <w:pPr>
              <w:spacing w:after="0"/>
              <w:rPr>
                <w:sz w:val="20"/>
                <w:szCs w:val="20"/>
                <w:color w:val="auto"/>
              </w:rPr>
            </w:pPr>
            <w:r>
              <w:rPr>
                <w:rFonts w:ascii="Arial" w:cs="Arial" w:eastAsia="Arial" w:hAnsi="Arial"/>
                <w:sz w:val="19"/>
                <w:szCs w:val="19"/>
                <w:color w:val="auto"/>
              </w:rPr>
              <w:t>Outstanding at December 31, 2018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22,478,581</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97.83</w:t>
            </w:r>
          </w:p>
        </w:tc>
      </w:tr>
      <w:tr>
        <w:trPr>
          <w:trHeight w:val="20"/>
        </w:trPr>
        <w:tc>
          <w:tcPr>
            <w:tcW w:w="8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7"/>
        </w:trPr>
        <w:tc>
          <w:tcPr>
            <w:tcW w:w="8980" w:type="dxa"/>
            <w:vAlign w:val="bottom"/>
            <w:shd w:val="clear" w:color="auto" w:fill="E5FFFF"/>
          </w:tcPr>
          <w:p>
            <w:pPr>
              <w:spacing w:after="0"/>
              <w:rPr>
                <w:sz w:val="20"/>
                <w:szCs w:val="20"/>
                <w:color w:val="auto"/>
              </w:rPr>
            </w:pPr>
            <w:r>
              <w:rPr>
                <w:rFonts w:ascii="Arial" w:cs="Arial" w:eastAsia="Arial" w:hAnsi="Arial"/>
                <w:sz w:val="19"/>
                <w:szCs w:val="19"/>
                <w:color w:val="auto"/>
              </w:rPr>
              <w:t>Vested and expected to vest at December 31, 2018</w:t>
            </w:r>
            <w:r>
              <w:rPr>
                <w:rFonts w:ascii="Arial" w:cs="Arial" w:eastAsia="Arial" w:hAnsi="Arial"/>
                <w:sz w:val="10"/>
                <w:szCs w:val="10"/>
                <w:color w:val="auto"/>
              </w:rPr>
              <w:t>(2)</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21,590,740</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96.27</w:t>
            </w:r>
          </w:p>
        </w:tc>
      </w:tr>
      <w:tr>
        <w:trPr>
          <w:trHeight w:val="20"/>
        </w:trPr>
        <w:tc>
          <w:tcPr>
            <w:tcW w:w="8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7"/>
        </w:trPr>
        <w:tc>
          <w:tcPr>
            <w:tcW w:w="8980" w:type="dxa"/>
            <w:vAlign w:val="bottom"/>
          </w:tcPr>
          <w:p>
            <w:pPr>
              <w:spacing w:after="0"/>
              <w:rPr>
                <w:sz w:val="20"/>
                <w:szCs w:val="20"/>
                <w:color w:val="auto"/>
              </w:rPr>
            </w:pPr>
            <w:r>
              <w:rPr>
                <w:rFonts w:ascii="Arial" w:cs="Arial" w:eastAsia="Arial" w:hAnsi="Arial"/>
                <w:sz w:val="19"/>
                <w:szCs w:val="19"/>
                <w:color w:val="auto"/>
              </w:rPr>
              <w:t>Exercisable at December 31, 2018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14,073,120</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83.42</w:t>
            </w:r>
          </w:p>
        </w:tc>
      </w:tr>
      <w:tr>
        <w:trPr>
          <w:trHeight w:val="20"/>
        </w:trPr>
        <w:tc>
          <w:tcPr>
            <w:tcW w:w="8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338" w:lineRule="exact"/>
        <w:rPr>
          <w:sz w:val="20"/>
          <w:szCs w:val="20"/>
          <w:color w:val="auto"/>
        </w:rPr>
      </w:pPr>
    </w:p>
    <w:p>
      <w:pPr>
        <w:ind w:left="420" w:hanging="338"/>
        <w:spacing w:after="0"/>
        <w:tabs>
          <w:tab w:leader="none" w:pos="4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Additional options granted to offset the dilutive impact of the spin-offs on outstanding options.</w:t>
      </w:r>
    </w:p>
    <w:p>
      <w:pPr>
        <w:spacing w:after="0" w:line="92" w:lineRule="exact"/>
        <w:rPr>
          <w:rFonts w:ascii="Arial" w:cs="Arial" w:eastAsia="Arial" w:hAnsi="Arial"/>
          <w:sz w:val="19"/>
          <w:szCs w:val="19"/>
          <w:color w:val="auto"/>
        </w:rPr>
      </w:pPr>
    </w:p>
    <w:p>
      <w:pPr>
        <w:ind w:left="420" w:right="280" w:hanging="338"/>
        <w:spacing w:after="0" w:line="253" w:lineRule="auto"/>
        <w:tabs>
          <w:tab w:leader="none" w:pos="4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Represents the sum of vested options of 14.1 million and expected to vest options of 7.5 million. Expected to vest options are derived by applying the pre-vesting forfeiture rate assumption to total outstanding unvested options of 8.6 million.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about stock options outstanding and exercisable at December 31, 2018:</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6"/>
                <w:szCs w:val="16"/>
                <w:b w:val="1"/>
                <w:bCs w:val="1"/>
                <w:color w:val="auto"/>
              </w:rPr>
              <w:t>Options Outstanding</w:t>
            </w: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tcBorders>
              <w:bottom w:val="single" w:sz="8" w:color="auto"/>
            </w:tcBorders>
            <w:gridSpan w:val="5"/>
          </w:tcPr>
          <w:p>
            <w:pPr>
              <w:ind w:left="920"/>
              <w:spacing w:after="0"/>
              <w:rPr>
                <w:sz w:val="20"/>
                <w:szCs w:val="20"/>
                <w:color w:val="auto"/>
              </w:rPr>
            </w:pPr>
            <w:r>
              <w:rPr>
                <w:rFonts w:ascii="Arial" w:cs="Arial" w:eastAsia="Arial" w:hAnsi="Arial"/>
                <w:sz w:val="16"/>
                <w:szCs w:val="16"/>
                <w:b w:val="1"/>
                <w:bCs w:val="1"/>
                <w:color w:val="auto"/>
              </w:rPr>
              <w:t>Options Exercisable</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55"/>
        </w:trPr>
        <w:tc>
          <w:tcPr>
            <w:tcW w:w="2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3"/>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Weighted</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76"/>
        </w:trPr>
        <w:tc>
          <w:tcPr>
            <w:tcW w:w="2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Weighted</w:t>
            </w:r>
          </w:p>
        </w:tc>
        <w:tc>
          <w:tcPr>
            <w:tcW w:w="28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Average</w:t>
            </w:r>
          </w:p>
        </w:tc>
        <w:tc>
          <w:tcPr>
            <w:tcW w:w="280" w:type="dxa"/>
            <w:vAlign w:val="bottom"/>
          </w:tcPr>
          <w:p>
            <w:pPr>
              <w:spacing w:after="0"/>
              <w:rPr>
                <w:sz w:val="15"/>
                <w:szCs w:val="15"/>
                <w:color w:val="auto"/>
              </w:rPr>
            </w:pPr>
          </w:p>
        </w:tc>
        <w:tc>
          <w:tcPr>
            <w:tcW w:w="9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8"/>
              </w:rPr>
              <w:t>Aggregate</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400"/>
              <w:spacing w:after="0" w:line="176" w:lineRule="exact"/>
              <w:rPr>
                <w:sz w:val="20"/>
                <w:szCs w:val="20"/>
                <w:color w:val="auto"/>
              </w:rPr>
            </w:pPr>
            <w:r>
              <w:rPr>
                <w:rFonts w:ascii="Arial" w:cs="Arial" w:eastAsia="Arial" w:hAnsi="Arial"/>
                <w:sz w:val="16"/>
                <w:szCs w:val="16"/>
                <w:b w:val="1"/>
                <w:bCs w:val="1"/>
                <w:color w:val="auto"/>
                <w:w w:val="94"/>
              </w:rPr>
              <w:t>Average</w:t>
            </w:r>
          </w:p>
        </w:tc>
        <w:tc>
          <w:tcPr>
            <w:tcW w:w="82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w w:val="98"/>
              </w:rPr>
              <w:t>Aggregate</w:t>
            </w:r>
          </w:p>
        </w:tc>
      </w:tr>
      <w:tr>
        <w:trPr>
          <w:trHeight w:val="176"/>
        </w:trPr>
        <w:tc>
          <w:tcPr>
            <w:tcW w:w="2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198"/>
              <w:spacing w:after="0" w:line="176" w:lineRule="exact"/>
              <w:rPr>
                <w:sz w:val="20"/>
                <w:szCs w:val="20"/>
                <w:color w:val="auto"/>
              </w:rPr>
            </w:pPr>
            <w:r>
              <w:rPr>
                <w:rFonts w:ascii="Arial" w:cs="Arial" w:eastAsia="Arial" w:hAnsi="Arial"/>
                <w:sz w:val="16"/>
                <w:szCs w:val="16"/>
                <w:b w:val="1"/>
                <w:bCs w:val="1"/>
                <w:color w:val="auto"/>
              </w:rPr>
              <w:t>Number</w:t>
            </w:r>
          </w:p>
        </w:tc>
        <w:tc>
          <w:tcPr>
            <w:tcW w:w="26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Average</w:t>
            </w:r>
          </w:p>
        </w:tc>
        <w:tc>
          <w:tcPr>
            <w:tcW w:w="28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Exercise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73"/>
              <w:spacing w:after="0" w:line="176" w:lineRule="exact"/>
              <w:rPr>
                <w:sz w:val="20"/>
                <w:szCs w:val="20"/>
                <w:color w:val="auto"/>
              </w:rPr>
            </w:pPr>
            <w:r>
              <w:rPr>
                <w:rFonts w:ascii="Arial" w:cs="Arial" w:eastAsia="Arial" w:hAnsi="Arial"/>
                <w:sz w:val="16"/>
                <w:szCs w:val="16"/>
                <w:b w:val="1"/>
                <w:bCs w:val="1"/>
                <w:color w:val="auto"/>
                <w:w w:val="99"/>
              </w:rPr>
              <w:t>Intrinsic</w:t>
            </w:r>
          </w:p>
        </w:tc>
        <w:tc>
          <w:tcPr>
            <w:tcW w:w="280" w:type="dxa"/>
            <w:vAlign w:val="bottom"/>
          </w:tcPr>
          <w:p>
            <w:pPr>
              <w:spacing w:after="0"/>
              <w:rPr>
                <w:sz w:val="15"/>
                <w:szCs w:val="15"/>
                <w:color w:val="auto"/>
              </w:rPr>
            </w:pPr>
          </w:p>
        </w:tc>
        <w:tc>
          <w:tcPr>
            <w:tcW w:w="1100" w:type="dxa"/>
            <w:vAlign w:val="bottom"/>
          </w:tcPr>
          <w:p>
            <w:pPr>
              <w:jc w:val="right"/>
              <w:ind w:right="178"/>
              <w:spacing w:after="0" w:line="176" w:lineRule="exact"/>
              <w:rPr>
                <w:sz w:val="20"/>
                <w:szCs w:val="20"/>
                <w:color w:val="auto"/>
              </w:rPr>
            </w:pPr>
            <w:r>
              <w:rPr>
                <w:rFonts w:ascii="Arial" w:cs="Arial" w:eastAsia="Arial" w:hAnsi="Arial"/>
                <w:sz w:val="16"/>
                <w:szCs w:val="16"/>
                <w:b w:val="1"/>
                <w:bCs w:val="1"/>
                <w:color w:val="auto"/>
              </w:rPr>
              <w:t>Number</w:t>
            </w:r>
          </w:p>
        </w:tc>
        <w:tc>
          <w:tcPr>
            <w:tcW w:w="280" w:type="dxa"/>
            <w:vAlign w:val="bottom"/>
          </w:tcPr>
          <w:p>
            <w:pPr>
              <w:spacing w:after="0"/>
              <w:rPr>
                <w:sz w:val="15"/>
                <w:szCs w:val="15"/>
                <w:color w:val="auto"/>
              </w:rPr>
            </w:pPr>
          </w:p>
        </w:tc>
        <w:tc>
          <w:tcPr>
            <w:tcW w:w="1160" w:type="dxa"/>
            <w:vAlign w:val="bottom"/>
            <w:gridSpan w:val="3"/>
          </w:tcPr>
          <w:p>
            <w:pPr>
              <w:jc w:val="center"/>
              <w:ind w:right="280"/>
              <w:spacing w:after="0" w:line="176" w:lineRule="exact"/>
              <w:rPr>
                <w:sz w:val="20"/>
                <w:szCs w:val="20"/>
                <w:color w:val="auto"/>
              </w:rPr>
            </w:pPr>
            <w:r>
              <w:rPr>
                <w:rFonts w:ascii="Arial" w:cs="Arial" w:eastAsia="Arial" w:hAnsi="Arial"/>
                <w:sz w:val="16"/>
                <w:szCs w:val="16"/>
                <w:b w:val="1"/>
                <w:bCs w:val="1"/>
                <w:color w:val="auto"/>
                <w:w w:val="97"/>
              </w:rPr>
              <w:t>Exercise</w:t>
            </w:r>
          </w:p>
        </w:tc>
        <w:tc>
          <w:tcPr>
            <w:tcW w:w="820" w:type="dxa"/>
            <w:vAlign w:val="bottom"/>
            <w:gridSpan w:val="2"/>
          </w:tcPr>
          <w:p>
            <w:pPr>
              <w:jc w:val="right"/>
              <w:ind w:right="12"/>
              <w:spacing w:after="0" w:line="176" w:lineRule="exact"/>
              <w:rPr>
                <w:sz w:val="20"/>
                <w:szCs w:val="20"/>
                <w:color w:val="auto"/>
              </w:rPr>
            </w:pPr>
            <w:r>
              <w:rPr>
                <w:rFonts w:ascii="Arial" w:cs="Arial" w:eastAsia="Arial" w:hAnsi="Arial"/>
                <w:sz w:val="16"/>
                <w:szCs w:val="16"/>
                <w:b w:val="1"/>
                <w:bCs w:val="1"/>
                <w:color w:val="auto"/>
              </w:rPr>
              <w:t>Intrinsic</w:t>
            </w:r>
          </w:p>
        </w:tc>
      </w:tr>
      <w:tr>
        <w:trPr>
          <w:trHeight w:val="190"/>
        </w:trPr>
        <w:tc>
          <w:tcPr>
            <w:tcW w:w="2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Range of Exercise prices</w:t>
            </w:r>
          </w:p>
        </w:tc>
        <w:tc>
          <w:tcPr>
            <w:tcW w:w="280" w:type="dxa"/>
            <w:vAlign w:val="bottom"/>
          </w:tcPr>
          <w:p>
            <w:pPr>
              <w:spacing w:after="0"/>
              <w:rPr>
                <w:sz w:val="16"/>
                <w:szCs w:val="16"/>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Outstanding</w:t>
            </w:r>
          </w:p>
        </w:tc>
        <w:tc>
          <w:tcPr>
            <w:tcW w:w="26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Life</w:t>
            </w:r>
            <w:r>
              <w:rPr>
                <w:rFonts w:ascii="Arial" w:cs="Arial" w:eastAsia="Arial" w:hAnsi="Arial"/>
                <w:sz w:val="8"/>
                <w:szCs w:val="8"/>
                <w:b w:val="1"/>
                <w:bCs w:val="1"/>
                <w:color w:val="auto"/>
              </w:rPr>
              <w:t>(1)</w:t>
            </w:r>
          </w:p>
        </w:tc>
        <w:tc>
          <w:tcPr>
            <w:tcW w:w="2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Price</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8"/>
              </w:rPr>
              <w:t>Value</w:t>
            </w:r>
          </w:p>
        </w:tc>
        <w:tc>
          <w:tcPr>
            <w:tcW w:w="280" w:type="dxa"/>
            <w:vAlign w:val="bottom"/>
          </w:tcPr>
          <w:p>
            <w:pPr>
              <w:spacing w:after="0"/>
              <w:rPr>
                <w:sz w:val="16"/>
                <w:szCs w:val="16"/>
                <w:color w:val="auto"/>
              </w:rPr>
            </w:pP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Exercisable</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rPr>
              <w:t>Price</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Value</w:t>
            </w:r>
          </w:p>
        </w:tc>
      </w:tr>
      <w:tr>
        <w:trPr>
          <w:trHeight w:val="237"/>
        </w:trPr>
        <w:tc>
          <w:tcPr>
            <w:tcW w:w="2800" w:type="dxa"/>
            <w:vAlign w:val="bottom"/>
            <w:shd w:val="clear" w:color="auto" w:fill="E5FFFF"/>
          </w:tcPr>
          <w:p>
            <w:pPr>
              <w:spacing w:after="0"/>
              <w:rPr>
                <w:sz w:val="20"/>
                <w:szCs w:val="20"/>
                <w:color w:val="auto"/>
              </w:rPr>
            </w:pPr>
            <w:r>
              <w:rPr>
                <w:rFonts w:ascii="Arial" w:cs="Arial" w:eastAsia="Arial" w:hAnsi="Arial"/>
                <w:sz w:val="18"/>
                <w:szCs w:val="18"/>
                <w:color w:val="auto"/>
              </w:rPr>
              <w:t>$27.00–$64.99</w:t>
            </w:r>
          </w:p>
        </w:tc>
        <w:tc>
          <w:tcPr>
            <w:tcW w:w="1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3,225,142</w:t>
            </w:r>
          </w:p>
        </w:tc>
        <w:tc>
          <w:tcPr>
            <w:tcW w:w="114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2.47</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53.34</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254</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3,225,142</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53.34</w:t>
            </w:r>
          </w:p>
        </w:tc>
        <w:tc>
          <w:tcPr>
            <w:tcW w:w="28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254</w:t>
            </w: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$65.00–$89.99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4,788,204</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4.72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79.22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253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4,788,204</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79.22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253</w:t>
            </w:r>
          </w:p>
        </w:tc>
      </w:tr>
      <w:tr>
        <w:trPr>
          <w:trHeight w:val="243"/>
        </w:trPr>
        <w:tc>
          <w:tcPr>
            <w:tcW w:w="2800" w:type="dxa"/>
            <w:vAlign w:val="bottom"/>
            <w:shd w:val="clear" w:color="auto" w:fill="E5FFFF"/>
          </w:tcPr>
          <w:p>
            <w:pPr>
              <w:spacing w:after="0"/>
              <w:rPr>
                <w:sz w:val="20"/>
                <w:szCs w:val="20"/>
                <w:color w:val="auto"/>
              </w:rPr>
            </w:pPr>
            <w:r>
              <w:rPr>
                <w:rFonts w:ascii="Arial" w:cs="Arial" w:eastAsia="Arial" w:hAnsi="Arial"/>
                <w:sz w:val="18"/>
                <w:szCs w:val="18"/>
                <w:color w:val="auto"/>
              </w:rPr>
              <w:t>$90.00–$99.99</w:t>
            </w:r>
          </w:p>
        </w:tc>
        <w:tc>
          <w:tcPr>
            <w:tcW w:w="1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7,614,190</w:t>
            </w:r>
          </w:p>
        </w:tc>
        <w:tc>
          <w:tcPr>
            <w:tcW w:w="114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6.69</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98.80</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2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254</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4,885,314</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98.82</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163</w:t>
            </w: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$100.00–$134.99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4,155,389</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8.12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119.20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1,155,376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118.67</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43"/>
        </w:trPr>
        <w:tc>
          <w:tcPr>
            <w:tcW w:w="2800" w:type="dxa"/>
            <w:vAlign w:val="bottom"/>
            <w:shd w:val="clear" w:color="auto" w:fill="E5FFFF"/>
          </w:tcPr>
          <w:p>
            <w:pPr>
              <w:spacing w:after="0"/>
              <w:rPr>
                <w:sz w:val="20"/>
                <w:szCs w:val="20"/>
                <w:color w:val="auto"/>
              </w:rPr>
            </w:pPr>
            <w:r>
              <w:rPr>
                <w:rFonts w:ascii="Arial" w:cs="Arial" w:eastAsia="Arial" w:hAnsi="Arial"/>
                <w:sz w:val="18"/>
                <w:szCs w:val="18"/>
                <w:color w:val="auto"/>
              </w:rPr>
              <w:t>$135.00–$156.00</w:t>
            </w:r>
          </w:p>
        </w:tc>
        <w:tc>
          <w:tcPr>
            <w:tcW w:w="280" w:type="dxa"/>
            <w:vAlign w:val="bottom"/>
            <w:shd w:val="clear" w:color="auto" w:fill="E5FFFF"/>
          </w:tcPr>
          <w:p>
            <w:pPr>
              <w:spacing w:after="0"/>
              <w:rPr>
                <w:sz w:val="21"/>
                <w:szCs w:val="21"/>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2,695,656</w:t>
            </w:r>
          </w:p>
        </w:tc>
        <w:tc>
          <w:tcPr>
            <w:tcW w:w="114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9.17</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148.45</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82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FFFF"/>
          </w:tcPr>
          <w:p>
            <w:pPr>
              <w:spacing w:after="0"/>
              <w:rPr>
                <w:sz w:val="21"/>
                <w:szCs w:val="21"/>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19,084</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148.79</w:t>
            </w:r>
          </w:p>
        </w:tc>
        <w:tc>
          <w:tcPr>
            <w:tcW w:w="28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28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22,478,581</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6.23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97.83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14,073,120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83.42</w:t>
            </w:r>
          </w:p>
        </w:tc>
        <w:tc>
          <w:tcPr>
            <w:tcW w:w="2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686</w:t>
            </w:r>
          </w:p>
        </w:tc>
      </w:tr>
      <w:tr>
        <w:trPr>
          <w:trHeight w:val="20"/>
        </w:trPr>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Average remaining contractual life in years.</w:t>
      </w:r>
    </w:p>
    <w:p>
      <w:pPr>
        <w:spacing w:after="0" w:line="106" w:lineRule="exact"/>
        <w:rPr>
          <w:sz w:val="20"/>
          <w:szCs w:val="20"/>
          <w:color w:val="auto"/>
        </w:rPr>
      </w:pPr>
    </w:p>
    <w:p>
      <w:pPr>
        <w:ind w:right="620" w:firstLine="357"/>
        <w:spacing w:after="0" w:line="253" w:lineRule="auto"/>
        <w:rPr>
          <w:sz w:val="20"/>
          <w:szCs w:val="20"/>
          <w:color w:val="auto"/>
        </w:rPr>
      </w:pPr>
      <w:r>
        <w:rPr>
          <w:rFonts w:ascii="Arial" w:cs="Arial" w:eastAsia="Arial" w:hAnsi="Arial"/>
          <w:sz w:val="19"/>
          <w:szCs w:val="19"/>
          <w:color w:val="auto"/>
        </w:rPr>
        <w:t>There were 12,288,854, and 15,536,961 options exercisable at weighted average exercise prices of $78.35 and $63.39 at December 31, 2017 and 2016.</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financial statement impact from stock options exercised:</w:t>
      </w: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680" w:type="dxa"/>
            <w:vAlign w:val="bottom"/>
            <w:vMerge w:val="restart"/>
          </w:tcPr>
          <w:p>
            <w:pPr>
              <w:spacing w:after="0"/>
              <w:rPr>
                <w:sz w:val="20"/>
                <w:szCs w:val="20"/>
                <w:color w:val="auto"/>
              </w:rPr>
            </w:pPr>
            <w:r>
              <w:rPr>
                <w:rFonts w:ascii="Arial" w:cs="Arial" w:eastAsia="Arial" w:hAnsi="Arial"/>
                <w:sz w:val="16"/>
                <w:szCs w:val="16"/>
                <w:b w:val="1"/>
                <w:bCs w:val="1"/>
                <w:color w:val="auto"/>
              </w:rPr>
              <w:t>Options Exercised</w:t>
            </w:r>
          </w:p>
        </w:tc>
        <w:tc>
          <w:tcPr>
            <w:tcW w:w="30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121"/>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169"/>
        </w:trPr>
        <w:tc>
          <w:tcPr>
            <w:tcW w:w="768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21"/>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21"/>
              <w:spacing w:after="0" w:line="169" w:lineRule="exact"/>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61"/>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7680" w:type="dxa"/>
            <w:vAlign w:val="bottom"/>
            <w:shd w:val="clear" w:color="auto" w:fill="E5FFFF"/>
          </w:tcPr>
          <w:p>
            <w:pPr>
              <w:spacing w:after="0"/>
              <w:rPr>
                <w:sz w:val="20"/>
                <w:szCs w:val="20"/>
                <w:color w:val="auto"/>
              </w:rPr>
            </w:pPr>
            <w:r>
              <w:rPr>
                <w:rFonts w:ascii="Arial" w:cs="Arial" w:eastAsia="Arial" w:hAnsi="Arial"/>
                <w:sz w:val="19"/>
                <w:szCs w:val="19"/>
                <w:color w:val="auto"/>
              </w:rPr>
              <w:t>Intrinsic value</w:t>
            </w:r>
            <w:r>
              <w:rPr>
                <w:rFonts w:ascii="Arial" w:cs="Arial" w:eastAsia="Arial" w:hAnsi="Arial"/>
                <w:sz w:val="10"/>
                <w:szCs w:val="10"/>
                <w:color w:val="auto"/>
              </w:rPr>
              <w:t>(1)</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$ 238</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$ 620</w:t>
            </w:r>
          </w:p>
        </w:tc>
        <w:tc>
          <w:tcPr>
            <w:tcW w:w="96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$ 395</w:t>
            </w:r>
          </w:p>
        </w:tc>
        <w:tc>
          <w:tcPr>
            <w:tcW w:w="0" w:type="dxa"/>
            <w:vAlign w:val="bottom"/>
          </w:tcPr>
          <w:p>
            <w:pPr>
              <w:spacing w:after="0"/>
              <w:rPr>
                <w:sz w:val="1"/>
                <w:szCs w:val="1"/>
                <w:color w:val="auto"/>
              </w:rPr>
            </w:pPr>
          </w:p>
        </w:tc>
      </w:tr>
      <w:tr>
        <w:trPr>
          <w:trHeight w:val="261"/>
        </w:trPr>
        <w:tc>
          <w:tcPr>
            <w:tcW w:w="7680" w:type="dxa"/>
            <w:vAlign w:val="bottom"/>
          </w:tcPr>
          <w:p>
            <w:pPr>
              <w:spacing w:after="0"/>
              <w:rPr>
                <w:sz w:val="20"/>
                <w:szCs w:val="20"/>
                <w:color w:val="auto"/>
              </w:rPr>
            </w:pPr>
            <w:r>
              <w:rPr>
                <w:rFonts w:ascii="Arial" w:cs="Arial" w:eastAsia="Arial" w:hAnsi="Arial"/>
                <w:sz w:val="19"/>
                <w:szCs w:val="19"/>
                <w:color w:val="auto"/>
              </w:rPr>
              <w:t>Tax benefit realized</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47</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221</w:t>
            </w:r>
          </w:p>
        </w:tc>
        <w:tc>
          <w:tcPr>
            <w:tcW w:w="960" w:type="dxa"/>
            <w:vAlign w:val="bottom"/>
            <w:gridSpan w:val="2"/>
          </w:tcPr>
          <w:p>
            <w:pPr>
              <w:jc w:val="right"/>
              <w:ind w:right="1"/>
              <w:spacing w:after="0"/>
              <w:rPr>
                <w:sz w:val="20"/>
                <w:szCs w:val="20"/>
                <w:color w:val="auto"/>
              </w:rPr>
            </w:pPr>
            <w:r>
              <w:rPr>
                <w:rFonts w:ascii="Arial" w:cs="Arial" w:eastAsia="Arial" w:hAnsi="Arial"/>
                <w:sz w:val="19"/>
                <w:szCs w:val="19"/>
                <w:color w:val="auto"/>
              </w:rPr>
              <w:t>137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975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7"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Represents the amount by which the stock price exceeded the exercise price of the options on the date of exercise.</w:t>
      </w:r>
    </w:p>
    <w:p>
      <w:pPr>
        <w:spacing w:after="0" w:line="106" w:lineRule="exact"/>
        <w:rPr>
          <w:sz w:val="20"/>
          <w:szCs w:val="20"/>
          <w:color w:val="auto"/>
        </w:rPr>
      </w:pPr>
    </w:p>
    <w:p>
      <w:pPr>
        <w:jc w:val="both"/>
        <w:ind w:right="60" w:firstLine="357"/>
        <w:spacing w:after="0" w:line="245" w:lineRule="auto"/>
        <w:rPr>
          <w:sz w:val="20"/>
          <w:szCs w:val="20"/>
          <w:color w:val="auto"/>
        </w:rPr>
      </w:pPr>
      <w:r>
        <w:rPr>
          <w:rFonts w:ascii="Arial" w:cs="Arial" w:eastAsia="Arial" w:hAnsi="Arial"/>
          <w:sz w:val="19"/>
          <w:szCs w:val="19"/>
          <w:color w:val="auto"/>
        </w:rPr>
        <w:t>At December 31, 2018 there was $89 million of total unrecognized compensation cost related to non-vested stock option awards which is expected to be recognized over a weighted-average period of 2.43 years. The total fair value of options vested during 2018, 2017 and 2016 was $73 million, $87 million and $76 million.</w:t>
      </w:r>
    </w:p>
    <w:p>
      <w:pPr>
        <w:spacing w:after="0" w:line="63" w:lineRule="exact"/>
        <w:rPr>
          <w:sz w:val="20"/>
          <w:szCs w:val="20"/>
          <w:color w:val="auto"/>
        </w:rPr>
      </w:pPr>
    </w:p>
    <w:p>
      <w:pPr>
        <w:ind w:right="40" w:firstLine="357"/>
        <w:spacing w:after="0" w:line="251" w:lineRule="auto"/>
        <w:rPr>
          <w:sz w:val="20"/>
          <w:szCs w:val="20"/>
          <w:color w:val="auto"/>
        </w:rPr>
      </w:pPr>
      <w:r>
        <w:rPr>
          <w:rFonts w:ascii="Arial" w:cs="Arial" w:eastAsia="Arial" w:hAnsi="Arial"/>
          <w:sz w:val="19"/>
          <w:szCs w:val="19"/>
          <w:b w:val="1"/>
          <w:bCs w:val="1"/>
          <w:i w:val="1"/>
          <w:iCs w:val="1"/>
          <w:color w:val="auto"/>
        </w:rPr>
        <w:t>Restricted Stock Units</w:t>
      </w:r>
      <w:r>
        <w:rPr>
          <w:rFonts w:ascii="Arial" w:cs="Arial" w:eastAsia="Arial" w:hAnsi="Arial"/>
          <w:sz w:val="19"/>
          <w:szCs w:val="19"/>
          <w:color w:val="auto"/>
        </w:rPr>
        <w:t>—Restricted stock unit (RSU) awards entitle the holder to receive one share of common stock for each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unit when the units vest. RSUs are issued to certain key employees and directors as compensation at fair market value at the date of grant. RSUs typically become fully vested over periods ranging from three to seven years and are payable in Honeywell common stock upon vesting.</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about RSU activity for the three years ended December 31, 2018:</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47"/>
              <w:spacing w:after="0"/>
              <w:rPr>
                <w:sz w:val="20"/>
                <w:szCs w:val="20"/>
                <w:color w:val="auto"/>
              </w:rPr>
            </w:pPr>
            <w:r>
              <w:rPr>
                <w:rFonts w:ascii="Arial" w:cs="Arial" w:eastAsia="Arial" w:hAnsi="Arial"/>
                <w:sz w:val="16"/>
                <w:szCs w:val="16"/>
                <w:b w:val="1"/>
                <w:bCs w:val="1"/>
                <w:color w:val="auto"/>
                <w:w w:val="97"/>
              </w:rPr>
              <w:t>Weighted</w:t>
            </w:r>
          </w:p>
        </w:tc>
      </w:tr>
      <w:tr>
        <w:trPr>
          <w:trHeight w:val="176"/>
        </w:trPr>
        <w:tc>
          <w:tcPr>
            <w:tcW w:w="8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47"/>
              <w:spacing w:after="0" w:line="176" w:lineRule="exact"/>
              <w:rPr>
                <w:sz w:val="20"/>
                <w:szCs w:val="20"/>
                <w:color w:val="auto"/>
              </w:rPr>
            </w:pPr>
            <w:r>
              <w:rPr>
                <w:rFonts w:ascii="Arial" w:cs="Arial" w:eastAsia="Arial" w:hAnsi="Arial"/>
                <w:sz w:val="16"/>
                <w:szCs w:val="16"/>
                <w:b w:val="1"/>
                <w:bCs w:val="1"/>
                <w:color w:val="auto"/>
                <w:w w:val="98"/>
              </w:rPr>
              <w:t>Average</w:t>
            </w:r>
          </w:p>
        </w:tc>
      </w:tr>
      <w:tr>
        <w:trPr>
          <w:trHeight w:val="176"/>
        </w:trPr>
        <w:tc>
          <w:tcPr>
            <w:tcW w:w="894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5"/>
                <w:szCs w:val="15"/>
                <w:color w:val="auto"/>
              </w:rPr>
            </w:pPr>
          </w:p>
        </w:tc>
        <w:tc>
          <w:tcPr>
            <w:tcW w:w="10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Grant Date</w:t>
            </w:r>
          </w:p>
        </w:tc>
      </w:tr>
      <w:tr>
        <w:trPr>
          <w:trHeight w:val="176"/>
        </w:trPr>
        <w:tc>
          <w:tcPr>
            <w:tcW w:w="894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Restricted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47"/>
              <w:spacing w:after="0" w:line="176" w:lineRule="exact"/>
              <w:rPr>
                <w:sz w:val="20"/>
                <w:szCs w:val="20"/>
                <w:color w:val="auto"/>
              </w:rPr>
            </w:pPr>
            <w:r>
              <w:rPr>
                <w:rFonts w:ascii="Arial" w:cs="Arial" w:eastAsia="Arial" w:hAnsi="Arial"/>
                <w:sz w:val="16"/>
                <w:szCs w:val="16"/>
                <w:b w:val="1"/>
                <w:bCs w:val="1"/>
                <w:color w:val="auto"/>
                <w:w w:val="96"/>
              </w:rPr>
              <w:t>Fair Value</w:t>
            </w:r>
          </w:p>
        </w:tc>
      </w:tr>
      <w:tr>
        <w:trPr>
          <w:trHeight w:val="190"/>
        </w:trPr>
        <w:tc>
          <w:tcPr>
            <w:tcW w:w="89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Stock Units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7"/>
              <w:spacing w:after="0"/>
              <w:rPr>
                <w:sz w:val="20"/>
                <w:szCs w:val="20"/>
                <w:color w:val="auto"/>
              </w:rPr>
            </w:pPr>
            <w:r>
              <w:rPr>
                <w:rFonts w:ascii="Arial" w:cs="Arial" w:eastAsia="Arial" w:hAnsi="Arial"/>
                <w:sz w:val="16"/>
                <w:szCs w:val="16"/>
                <w:b w:val="1"/>
                <w:bCs w:val="1"/>
                <w:color w:val="auto"/>
                <w:w w:val="98"/>
              </w:rPr>
              <w:t>Per Share</w:t>
            </w:r>
          </w:p>
        </w:tc>
      </w:tr>
      <w:tr>
        <w:trPr>
          <w:trHeight w:val="237"/>
        </w:trPr>
        <w:tc>
          <w:tcPr>
            <w:tcW w:w="8940" w:type="dxa"/>
            <w:vAlign w:val="bottom"/>
            <w:shd w:val="clear" w:color="auto" w:fill="E5FFFF"/>
          </w:tcPr>
          <w:p>
            <w:pPr>
              <w:spacing w:after="0"/>
              <w:rPr>
                <w:sz w:val="20"/>
                <w:szCs w:val="20"/>
                <w:color w:val="auto"/>
              </w:rPr>
            </w:pPr>
            <w:r>
              <w:rPr>
                <w:rFonts w:ascii="Arial" w:cs="Arial" w:eastAsia="Arial" w:hAnsi="Arial"/>
                <w:sz w:val="19"/>
                <w:szCs w:val="19"/>
                <w:color w:val="auto"/>
              </w:rPr>
              <w:t>Non-vested at December 31, 2015</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4,981,588</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82.18</w:t>
            </w:r>
          </w:p>
        </w:tc>
      </w:tr>
      <w:tr>
        <w:trPr>
          <w:trHeight w:val="243"/>
        </w:trPr>
        <w:tc>
          <w:tcPr>
            <w:tcW w:w="8940" w:type="dxa"/>
            <w:vAlign w:val="bottom"/>
          </w:tcPr>
          <w:p>
            <w:pPr>
              <w:ind w:left="360"/>
              <w:spacing w:after="0"/>
              <w:rPr>
                <w:sz w:val="20"/>
                <w:szCs w:val="20"/>
                <w:color w:val="auto"/>
              </w:rPr>
            </w:pPr>
            <w:r>
              <w:rPr>
                <w:rFonts w:ascii="Arial" w:cs="Arial" w:eastAsia="Arial" w:hAnsi="Arial"/>
                <w:sz w:val="19"/>
                <w:szCs w:val="19"/>
                <w:color w:val="auto"/>
              </w:rPr>
              <w:t>Granted</w:t>
            </w:r>
          </w:p>
        </w:tc>
        <w:tc>
          <w:tcPr>
            <w:tcW w:w="1160" w:type="dxa"/>
            <w:vAlign w:val="bottom"/>
          </w:tcPr>
          <w:p>
            <w:pPr>
              <w:jc w:val="right"/>
              <w:spacing w:after="0"/>
              <w:rPr>
                <w:sz w:val="20"/>
                <w:szCs w:val="20"/>
                <w:color w:val="auto"/>
              </w:rPr>
            </w:pPr>
            <w:r>
              <w:rPr>
                <w:rFonts w:ascii="Arial" w:cs="Arial" w:eastAsia="Arial" w:hAnsi="Arial"/>
                <w:sz w:val="19"/>
                <w:szCs w:val="19"/>
                <w:color w:val="auto"/>
              </w:rPr>
              <w:t>1,364,469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110.49</w:t>
            </w:r>
          </w:p>
        </w:tc>
      </w:tr>
      <w:tr>
        <w:trPr>
          <w:trHeight w:val="243"/>
        </w:trPr>
        <w:tc>
          <w:tcPr>
            <w:tcW w:w="89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Vested</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(1,486,173)</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68.58</w:t>
            </w:r>
          </w:p>
        </w:tc>
      </w:tr>
      <w:tr>
        <w:trPr>
          <w:trHeight w:val="250"/>
        </w:trPr>
        <w:tc>
          <w:tcPr>
            <w:tcW w:w="8940" w:type="dxa"/>
            <w:vAlign w:val="bottom"/>
          </w:tcPr>
          <w:p>
            <w:pPr>
              <w:ind w:left="360"/>
              <w:spacing w:after="0"/>
              <w:rPr>
                <w:sz w:val="20"/>
                <w:szCs w:val="20"/>
                <w:color w:val="auto"/>
              </w:rPr>
            </w:pPr>
            <w:r>
              <w:rPr>
                <w:rFonts w:ascii="Arial" w:cs="Arial" w:eastAsia="Arial" w:hAnsi="Arial"/>
                <w:sz w:val="19"/>
                <w:szCs w:val="19"/>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(392,541)</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88.88</w:t>
            </w:r>
          </w:p>
        </w:tc>
      </w:tr>
      <w:tr>
        <w:trPr>
          <w:trHeight w:val="243"/>
        </w:trPr>
        <w:tc>
          <w:tcPr>
            <w:tcW w:w="8940" w:type="dxa"/>
            <w:vAlign w:val="bottom"/>
            <w:shd w:val="clear" w:color="auto" w:fill="E5FFFF"/>
          </w:tcPr>
          <w:p>
            <w:pPr>
              <w:spacing w:after="0"/>
              <w:rPr>
                <w:sz w:val="20"/>
                <w:szCs w:val="20"/>
                <w:color w:val="auto"/>
              </w:rPr>
            </w:pPr>
            <w:r>
              <w:rPr>
                <w:rFonts w:ascii="Arial" w:cs="Arial" w:eastAsia="Arial" w:hAnsi="Arial"/>
                <w:sz w:val="19"/>
                <w:szCs w:val="19"/>
                <w:color w:val="auto"/>
              </w:rPr>
              <w:t>Non-vested at December 31, 2016</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4,467,343</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94.17</w:t>
            </w:r>
          </w:p>
        </w:tc>
      </w:tr>
      <w:tr>
        <w:trPr>
          <w:trHeight w:val="243"/>
        </w:trPr>
        <w:tc>
          <w:tcPr>
            <w:tcW w:w="8940" w:type="dxa"/>
            <w:vAlign w:val="bottom"/>
          </w:tcPr>
          <w:p>
            <w:pPr>
              <w:ind w:left="360"/>
              <w:spacing w:after="0"/>
              <w:rPr>
                <w:sz w:val="20"/>
                <w:szCs w:val="20"/>
                <w:color w:val="auto"/>
              </w:rPr>
            </w:pPr>
            <w:r>
              <w:rPr>
                <w:rFonts w:ascii="Arial" w:cs="Arial" w:eastAsia="Arial" w:hAnsi="Arial"/>
                <w:sz w:val="19"/>
                <w:szCs w:val="19"/>
                <w:color w:val="auto"/>
              </w:rPr>
              <w:t>Granted</w:t>
            </w:r>
          </w:p>
        </w:tc>
        <w:tc>
          <w:tcPr>
            <w:tcW w:w="1160" w:type="dxa"/>
            <w:vAlign w:val="bottom"/>
          </w:tcPr>
          <w:p>
            <w:pPr>
              <w:jc w:val="right"/>
              <w:spacing w:after="0"/>
              <w:rPr>
                <w:sz w:val="20"/>
                <w:szCs w:val="20"/>
                <w:color w:val="auto"/>
              </w:rPr>
            </w:pPr>
            <w:r>
              <w:rPr>
                <w:rFonts w:ascii="Arial" w:cs="Arial" w:eastAsia="Arial" w:hAnsi="Arial"/>
                <w:sz w:val="19"/>
                <w:szCs w:val="19"/>
                <w:color w:val="auto"/>
              </w:rPr>
              <w:t>1,274,791</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129.71</w:t>
            </w:r>
          </w:p>
        </w:tc>
      </w:tr>
      <w:tr>
        <w:trPr>
          <w:trHeight w:val="243"/>
        </w:trPr>
        <w:tc>
          <w:tcPr>
            <w:tcW w:w="89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Vested</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(1,289,892)</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81.37</w:t>
            </w:r>
          </w:p>
        </w:tc>
      </w:tr>
      <w:tr>
        <w:trPr>
          <w:trHeight w:val="250"/>
        </w:trPr>
        <w:tc>
          <w:tcPr>
            <w:tcW w:w="8940" w:type="dxa"/>
            <w:vAlign w:val="bottom"/>
          </w:tcPr>
          <w:p>
            <w:pPr>
              <w:ind w:left="360"/>
              <w:spacing w:after="0"/>
              <w:rPr>
                <w:sz w:val="20"/>
                <w:szCs w:val="20"/>
                <w:color w:val="auto"/>
              </w:rPr>
            </w:pPr>
            <w:r>
              <w:rPr>
                <w:rFonts w:ascii="Arial" w:cs="Arial" w:eastAsia="Arial" w:hAnsi="Arial"/>
                <w:sz w:val="19"/>
                <w:szCs w:val="19"/>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(505,415)</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103.06</w:t>
            </w:r>
          </w:p>
        </w:tc>
      </w:tr>
      <w:tr>
        <w:trPr>
          <w:trHeight w:val="243"/>
        </w:trPr>
        <w:tc>
          <w:tcPr>
            <w:tcW w:w="8940" w:type="dxa"/>
            <w:vAlign w:val="bottom"/>
            <w:shd w:val="clear" w:color="auto" w:fill="E5FFFF"/>
          </w:tcPr>
          <w:p>
            <w:pPr>
              <w:spacing w:after="0"/>
              <w:rPr>
                <w:sz w:val="20"/>
                <w:szCs w:val="20"/>
                <w:color w:val="auto"/>
              </w:rPr>
            </w:pPr>
            <w:r>
              <w:rPr>
                <w:rFonts w:ascii="Arial" w:cs="Arial" w:eastAsia="Arial" w:hAnsi="Arial"/>
                <w:sz w:val="19"/>
                <w:szCs w:val="19"/>
                <w:color w:val="auto"/>
              </w:rPr>
              <w:t>Non-vested at December 31, 2017</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3,946,827</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108.60</w:t>
            </w:r>
          </w:p>
        </w:tc>
      </w:tr>
      <w:tr>
        <w:trPr>
          <w:trHeight w:val="243"/>
        </w:trPr>
        <w:tc>
          <w:tcPr>
            <w:tcW w:w="8940" w:type="dxa"/>
            <w:vAlign w:val="bottom"/>
          </w:tcPr>
          <w:p>
            <w:pPr>
              <w:ind w:left="360"/>
              <w:spacing w:after="0"/>
              <w:rPr>
                <w:sz w:val="20"/>
                <w:szCs w:val="20"/>
                <w:color w:val="auto"/>
              </w:rPr>
            </w:pPr>
            <w:r>
              <w:rPr>
                <w:rFonts w:ascii="Arial" w:cs="Arial" w:eastAsia="Arial" w:hAnsi="Arial"/>
                <w:sz w:val="19"/>
                <w:szCs w:val="19"/>
                <w:color w:val="auto"/>
              </w:rPr>
              <w:t>Spin related adjustment</w:t>
            </w:r>
            <w:r>
              <w:rPr>
                <w:rFonts w:ascii="Arial" w:cs="Arial" w:eastAsia="Arial" w:hAnsi="Arial"/>
                <w:sz w:val="10"/>
                <w:szCs w:val="10"/>
                <w:color w:val="auto"/>
              </w:rPr>
              <w:t>(1)</w:t>
            </w:r>
          </w:p>
        </w:tc>
        <w:tc>
          <w:tcPr>
            <w:tcW w:w="1160" w:type="dxa"/>
            <w:vAlign w:val="bottom"/>
          </w:tcPr>
          <w:p>
            <w:pPr>
              <w:jc w:val="right"/>
              <w:spacing w:after="0"/>
              <w:rPr>
                <w:sz w:val="20"/>
                <w:szCs w:val="20"/>
                <w:color w:val="auto"/>
              </w:rPr>
            </w:pPr>
            <w:r>
              <w:rPr>
                <w:rFonts w:ascii="Arial" w:cs="Arial" w:eastAsia="Arial" w:hAnsi="Arial"/>
                <w:sz w:val="19"/>
                <w:szCs w:val="19"/>
                <w:color w:val="auto"/>
              </w:rPr>
              <w:t>154,346</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89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Granted</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1,360,338</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153.46</w:t>
            </w:r>
          </w:p>
        </w:tc>
      </w:tr>
      <w:tr>
        <w:trPr>
          <w:trHeight w:val="243"/>
        </w:trPr>
        <w:tc>
          <w:tcPr>
            <w:tcW w:w="8940" w:type="dxa"/>
            <w:vAlign w:val="bottom"/>
          </w:tcPr>
          <w:p>
            <w:pPr>
              <w:ind w:left="360"/>
              <w:spacing w:after="0"/>
              <w:rPr>
                <w:sz w:val="20"/>
                <w:szCs w:val="20"/>
                <w:color w:val="auto"/>
              </w:rPr>
            </w:pPr>
            <w:r>
              <w:rPr>
                <w:rFonts w:ascii="Arial" w:cs="Arial" w:eastAsia="Arial" w:hAnsi="Arial"/>
                <w:sz w:val="19"/>
                <w:szCs w:val="19"/>
                <w:color w:val="auto"/>
              </w:rPr>
              <w:t>Vested</w:t>
            </w:r>
          </w:p>
        </w:tc>
        <w:tc>
          <w:tcPr>
            <w:tcW w:w="1160" w:type="dxa"/>
            <w:vAlign w:val="bottom"/>
          </w:tcPr>
          <w:p>
            <w:pPr>
              <w:jc w:val="right"/>
              <w:spacing w:after="0"/>
              <w:rPr>
                <w:sz w:val="20"/>
                <w:szCs w:val="20"/>
                <w:color w:val="auto"/>
              </w:rPr>
            </w:pPr>
            <w:r>
              <w:rPr>
                <w:rFonts w:ascii="Arial" w:cs="Arial" w:eastAsia="Arial" w:hAnsi="Arial"/>
                <w:sz w:val="19"/>
                <w:szCs w:val="19"/>
                <w:color w:val="auto"/>
              </w:rPr>
              <w:t>(988,787)</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91.68</w:t>
            </w:r>
          </w:p>
        </w:tc>
      </w:tr>
      <w:tr>
        <w:trPr>
          <w:trHeight w:val="243"/>
        </w:trPr>
        <w:tc>
          <w:tcPr>
            <w:tcW w:w="89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Forfeited</w:t>
            </w: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(814,851)</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117.40</w:t>
            </w:r>
          </w:p>
        </w:tc>
      </w:tr>
      <w:tr>
        <w:trPr>
          <w:trHeight w:val="250"/>
        </w:trPr>
        <w:tc>
          <w:tcPr>
            <w:tcW w:w="8940" w:type="dxa"/>
            <w:vAlign w:val="bottom"/>
          </w:tcPr>
          <w:p>
            <w:pPr>
              <w:spacing w:after="0"/>
              <w:rPr>
                <w:sz w:val="20"/>
                <w:szCs w:val="20"/>
                <w:color w:val="auto"/>
              </w:rPr>
            </w:pPr>
            <w:r>
              <w:rPr>
                <w:rFonts w:ascii="Arial" w:cs="Arial" w:eastAsia="Arial" w:hAnsi="Arial"/>
                <w:sz w:val="19"/>
                <w:szCs w:val="19"/>
                <w:color w:val="auto"/>
              </w:rPr>
              <w:t>Non-vested at December 31, 2018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3,657,873</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125.35</w:t>
            </w:r>
          </w:p>
        </w:tc>
      </w:tr>
      <w:tr>
        <w:trPr>
          <w:trHeight w:val="20"/>
        </w:trPr>
        <w:tc>
          <w:tcPr>
            <w:tcW w:w="89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Additional RSU grants to offset the dilutive impact of the spin-offs on non-vested RSUs.</w:t>
      </w:r>
    </w:p>
    <w:p>
      <w:pPr>
        <w:spacing w:after="0" w:line="106" w:lineRule="exact"/>
        <w:rPr>
          <w:sz w:val="20"/>
          <w:szCs w:val="20"/>
          <w:color w:val="auto"/>
        </w:rPr>
      </w:pPr>
    </w:p>
    <w:p>
      <w:pPr>
        <w:ind w:right="160" w:firstLine="357"/>
        <w:spacing w:after="0" w:line="253" w:lineRule="auto"/>
        <w:rPr>
          <w:sz w:val="20"/>
          <w:szCs w:val="20"/>
          <w:color w:val="auto"/>
        </w:rPr>
      </w:pPr>
      <w:r>
        <w:rPr>
          <w:rFonts w:ascii="Arial" w:cs="Arial" w:eastAsia="Arial" w:hAnsi="Arial"/>
          <w:sz w:val="19"/>
          <w:szCs w:val="19"/>
          <w:color w:val="auto"/>
        </w:rPr>
        <w:t>As of December 31, 2018, there was approximately $ 218 million of total unrecognized compensation cost related to non-vested RSUs granted under our stock plans which is expected to be recognized over a weighted-average period of 3.05 years.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impact to the Consolidated Statement of Operations from RSUs:</w:t>
      </w:r>
    </w:p>
    <w:p>
      <w:pPr>
        <w:spacing w:after="0" w:line="15"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635</wp:posOffset>
            </wp:positionV>
            <wp:extent cx="15176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8400"/>
        <w:spacing w:after="0"/>
        <w:tabs>
          <w:tab w:leader="none" w:pos="9300" w:val="left"/>
          <w:tab w:leader="none" w:pos="1020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tbl>
      <w:tblPr>
        <w:tblLayout w:type="fixed"/>
        <w:tblInd w:w="760" w:type="dxa"/>
        <w:tblCellMar>
          <w:top w:w="0" w:type="dxa"/>
          <w:left w:w="0" w:type="dxa"/>
          <w:bottom w:w="0" w:type="dxa"/>
          <w:right w:w="0" w:type="dxa"/>
        </w:tblCellMar>
      </w:tblPr>
      <w:tr>
        <w:trPr>
          <w:trHeight w:val="237"/>
        </w:trPr>
        <w:tc>
          <w:tcPr>
            <w:tcW w:w="7520" w:type="dxa"/>
            <w:vAlign w:val="bottom"/>
            <w:shd w:val="clear" w:color="auto" w:fill="E5FFFF"/>
          </w:tcPr>
          <w:p>
            <w:pPr>
              <w:spacing w:after="0"/>
              <w:rPr>
                <w:sz w:val="20"/>
                <w:szCs w:val="20"/>
                <w:color w:val="auto"/>
              </w:rPr>
            </w:pPr>
            <w:r>
              <w:rPr>
                <w:rFonts w:ascii="Arial" w:cs="Arial" w:eastAsia="Arial" w:hAnsi="Arial"/>
                <w:sz w:val="19"/>
                <w:szCs w:val="19"/>
                <w:color w:val="auto"/>
              </w:rPr>
              <w:t>Compensation expense</w:t>
            </w:r>
          </w:p>
        </w:tc>
        <w:tc>
          <w:tcPr>
            <w:tcW w:w="6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$ 111</w:t>
            </w:r>
          </w:p>
        </w:tc>
        <w:tc>
          <w:tcPr>
            <w:tcW w:w="300" w:type="dxa"/>
            <w:vAlign w:val="bottom"/>
            <w:shd w:val="clear" w:color="auto" w:fill="E5FFFF"/>
          </w:tcPr>
          <w:p>
            <w:pPr>
              <w:spacing w:after="0"/>
              <w:rPr>
                <w:sz w:val="20"/>
                <w:szCs w:val="20"/>
                <w:color w:val="auto"/>
              </w:rPr>
            </w:pPr>
          </w:p>
        </w:tc>
        <w:tc>
          <w:tcPr>
            <w:tcW w:w="620" w:type="dxa"/>
            <w:vAlign w:val="bottom"/>
            <w:tcBorders>
              <w:top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  97</w:t>
            </w:r>
          </w:p>
        </w:tc>
        <w:tc>
          <w:tcPr>
            <w:tcW w:w="320" w:type="dxa"/>
            <w:vAlign w:val="bottom"/>
            <w:shd w:val="clear" w:color="auto" w:fill="E5FFFF"/>
          </w:tcPr>
          <w:p>
            <w:pPr>
              <w:spacing w:after="0"/>
              <w:rPr>
                <w:sz w:val="20"/>
                <w:szCs w:val="20"/>
                <w:color w:val="auto"/>
              </w:rPr>
            </w:pPr>
          </w:p>
        </w:tc>
        <w:tc>
          <w:tcPr>
            <w:tcW w:w="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$ 97</w:t>
            </w:r>
          </w:p>
        </w:tc>
      </w:tr>
      <w:tr>
        <w:trPr>
          <w:trHeight w:val="261"/>
        </w:trPr>
        <w:tc>
          <w:tcPr>
            <w:tcW w:w="7520" w:type="dxa"/>
            <w:vAlign w:val="bottom"/>
          </w:tcPr>
          <w:p>
            <w:pPr>
              <w:spacing w:after="0"/>
              <w:rPr>
                <w:sz w:val="20"/>
                <w:szCs w:val="20"/>
                <w:color w:val="auto"/>
              </w:rPr>
            </w:pPr>
            <w:r>
              <w:rPr>
                <w:rFonts w:ascii="Arial" w:cs="Arial" w:eastAsia="Arial" w:hAnsi="Arial"/>
                <w:sz w:val="19"/>
                <w:szCs w:val="19"/>
                <w:color w:val="auto"/>
              </w:rPr>
              <w:t>Future income tax benefit recognized</w:t>
            </w:r>
          </w:p>
        </w:tc>
        <w:tc>
          <w:tcPr>
            <w:tcW w:w="620" w:type="dxa"/>
            <w:vAlign w:val="bottom"/>
          </w:tcPr>
          <w:p>
            <w:pPr>
              <w:jc w:val="right"/>
              <w:spacing w:after="0"/>
              <w:rPr>
                <w:sz w:val="20"/>
                <w:szCs w:val="20"/>
                <w:color w:val="auto"/>
              </w:rPr>
            </w:pPr>
            <w:r>
              <w:rPr>
                <w:rFonts w:ascii="Arial" w:cs="Arial" w:eastAsia="Arial" w:hAnsi="Arial"/>
                <w:sz w:val="19"/>
                <w:szCs w:val="19"/>
                <w:color w:val="auto"/>
              </w:rPr>
              <w:t>21</w:t>
            </w:r>
          </w:p>
        </w:tc>
        <w:tc>
          <w:tcPr>
            <w:tcW w:w="920" w:type="dxa"/>
            <w:vAlign w:val="bottom"/>
            <w:gridSpan w:val="2"/>
          </w:tcPr>
          <w:p>
            <w:pPr>
              <w:jc w:val="right"/>
              <w:ind w:right="3"/>
              <w:spacing w:after="0"/>
              <w:rPr>
                <w:sz w:val="20"/>
                <w:szCs w:val="20"/>
                <w:color w:val="auto"/>
              </w:rPr>
            </w:pPr>
            <w:r>
              <w:rPr>
                <w:rFonts w:ascii="Arial" w:cs="Arial" w:eastAsia="Arial" w:hAnsi="Arial"/>
                <w:sz w:val="19"/>
                <w:szCs w:val="19"/>
                <w:color w:val="auto"/>
              </w:rPr>
              <w:t>19</w:t>
            </w: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30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20. 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Matters</w:t>
      </w:r>
    </w:p>
    <w:p>
      <w:pPr>
        <w:spacing w:after="0" w:line="130"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substances are in accordance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96" w:lineRule="exact"/>
        <w:rPr>
          <w:sz w:val="20"/>
          <w:szCs w:val="20"/>
          <w:color w:val="auto"/>
        </w:rPr>
      </w:pPr>
    </w:p>
    <w:p>
      <w:pPr>
        <w:ind w:right="160" w:firstLine="357"/>
        <w:spacing w:after="0" w:line="245" w:lineRule="auto"/>
        <w:rPr>
          <w:sz w:val="20"/>
          <w:szCs w:val="20"/>
          <w:color w:val="auto"/>
        </w:rPr>
      </w:pPr>
      <w:r>
        <w:rPr>
          <w:rFonts w:ascii="Arial" w:cs="Arial" w:eastAsia="Arial" w:hAnsi="Arial"/>
          <w:sz w:val="19"/>
          <w:szCs w:val="19"/>
          <w:color w:val="auto"/>
        </w:rPr>
        <w:t>With respect to environmental matters involving site contamination, we continually conduct studies, individually or jointly with other potentially responsible parties, to determine the feasibility of various remedial techniques. It is our policy to record appropriate liabilities for environmental matters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color w:val="auto"/>
        </w:rPr>
        <w:t>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recorded liabilities. We expect to fund expenditures for these matters from operating cash flow.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concerning our recorded liabilities for environmental costs:</w:t>
      </w:r>
    </w:p>
    <w:p>
      <w:pPr>
        <w:spacing w:after="0" w:line="15"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14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11"/>
          </w:tcPr>
          <w:p>
            <w:pPr>
              <w:jc w:val="center"/>
              <w:ind w:right="26"/>
              <w:spacing w:after="0"/>
              <w:rPr>
                <w:sz w:val="20"/>
                <w:szCs w:val="20"/>
                <w:color w:val="auto"/>
              </w:rPr>
            </w:pPr>
            <w:r>
              <w:rPr>
                <w:rFonts w:ascii="Arial" w:cs="Arial" w:eastAsia="Arial" w:hAnsi="Arial"/>
                <w:sz w:val="16"/>
                <w:szCs w:val="16"/>
                <w:b w:val="1"/>
                <w:bCs w:val="1"/>
                <w:color w:val="auto"/>
                <w:w w:val="98"/>
              </w:rPr>
              <w:t>Years Ended December 31,</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
              <w:spacing w:after="0" w:line="169" w:lineRule="exact"/>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ind w:right="92"/>
              <w:spacing w:after="0" w:line="169" w:lineRule="exact"/>
              <w:rPr>
                <w:sz w:val="20"/>
                <w:szCs w:val="20"/>
                <w:color w:val="auto"/>
              </w:rPr>
            </w:pPr>
            <w:r>
              <w:rPr>
                <w:rFonts w:ascii="Arial" w:cs="Arial" w:eastAsia="Arial" w:hAnsi="Arial"/>
                <w:sz w:val="16"/>
                <w:szCs w:val="16"/>
                <w:b w:val="1"/>
                <w:bCs w:val="1"/>
                <w:color w:val="auto"/>
                <w:w w:val="95"/>
              </w:rPr>
              <w:t>2017</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6"/>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7680" w:type="dxa"/>
            <w:vAlign w:val="bottom"/>
            <w:shd w:val="clear" w:color="auto" w:fill="E5FFFF"/>
          </w:tcPr>
          <w:p>
            <w:pPr>
              <w:spacing w:after="0"/>
              <w:rPr>
                <w:sz w:val="20"/>
                <w:szCs w:val="20"/>
                <w:color w:val="auto"/>
              </w:rPr>
            </w:pPr>
            <w:r>
              <w:rPr>
                <w:rFonts w:ascii="Arial" w:cs="Arial" w:eastAsia="Arial" w:hAnsi="Arial"/>
                <w:sz w:val="19"/>
                <w:szCs w:val="19"/>
                <w:color w:val="auto"/>
              </w:rPr>
              <w:t>Beginning of year</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595</w:t>
            </w:r>
          </w:p>
        </w:tc>
        <w:tc>
          <w:tcPr>
            <w:tcW w:w="52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511</w:t>
            </w:r>
          </w:p>
        </w:tc>
        <w:tc>
          <w:tcPr>
            <w:tcW w:w="320" w:type="dxa"/>
            <w:vAlign w:val="bottom"/>
            <w:shd w:val="clear" w:color="auto" w:fill="E5FFFF"/>
          </w:tcPr>
          <w:p>
            <w:pPr>
              <w:spacing w:after="0"/>
              <w:rPr>
                <w:sz w:val="20"/>
                <w:szCs w:val="20"/>
                <w:color w:val="auto"/>
              </w:rPr>
            </w:pPr>
          </w:p>
        </w:tc>
        <w:tc>
          <w:tcPr>
            <w:tcW w:w="1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w w:val="94"/>
              </w:rPr>
              <w:t>$</w:t>
            </w:r>
          </w:p>
        </w:tc>
        <w:tc>
          <w:tcPr>
            <w:tcW w:w="5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518</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Arial" w:cs="Arial" w:eastAsia="Arial" w:hAnsi="Arial"/>
                <w:sz w:val="19"/>
                <w:szCs w:val="19"/>
                <w:color w:val="auto"/>
              </w:rPr>
              <w:t>Accruals for environmental matters deemed probable and reasonably estimable</w:t>
            </w: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395</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9"/>
                <w:szCs w:val="19"/>
                <w:color w:val="auto"/>
              </w:rPr>
              <w:t>287</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9"/>
                <w:szCs w:val="19"/>
                <w:color w:val="auto"/>
              </w:rPr>
              <w:t>195</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680" w:type="dxa"/>
            <w:vAlign w:val="bottom"/>
            <w:shd w:val="clear" w:color="auto" w:fill="E5FFFF"/>
          </w:tcPr>
          <w:p>
            <w:pPr>
              <w:spacing w:after="0"/>
              <w:rPr>
                <w:sz w:val="20"/>
                <w:szCs w:val="20"/>
                <w:color w:val="auto"/>
              </w:rPr>
            </w:pPr>
            <w:r>
              <w:rPr>
                <w:rFonts w:ascii="Arial" w:cs="Arial" w:eastAsia="Arial" w:hAnsi="Arial"/>
                <w:sz w:val="19"/>
                <w:szCs w:val="19"/>
                <w:color w:val="auto"/>
              </w:rPr>
              <w:t>Environmental liability payments</w:t>
            </w:r>
          </w:p>
        </w:tc>
        <w:tc>
          <w:tcPr>
            <w:tcW w:w="140" w:type="dxa"/>
            <w:vAlign w:val="bottom"/>
            <w:shd w:val="clear" w:color="auto" w:fill="E5FFFF"/>
          </w:tcPr>
          <w:p>
            <w:pPr>
              <w:spacing w:after="0"/>
              <w:rPr>
                <w:sz w:val="21"/>
                <w:szCs w:val="21"/>
                <w:color w:val="auto"/>
              </w:rPr>
            </w:pP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(218)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(212)</w:t>
            </w:r>
          </w:p>
        </w:tc>
        <w:tc>
          <w:tcPr>
            <w:tcW w:w="3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(228)</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Arial" w:cs="Arial" w:eastAsia="Arial" w:hAnsi="Arial"/>
                <w:sz w:val="19"/>
                <w:szCs w:val="19"/>
                <w:color w:val="auto"/>
              </w:rPr>
              <w:t>Other</w:t>
            </w: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(17)</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9</w:t>
            </w:r>
          </w:p>
        </w:tc>
        <w:tc>
          <w:tcPr>
            <w:tcW w:w="3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26</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680" w:type="dxa"/>
            <w:vAlign w:val="bottom"/>
            <w:shd w:val="clear" w:color="auto" w:fill="E5FFFF"/>
          </w:tcPr>
          <w:p>
            <w:pPr>
              <w:spacing w:after="0"/>
              <w:rPr>
                <w:sz w:val="20"/>
                <w:szCs w:val="20"/>
                <w:color w:val="auto"/>
              </w:rPr>
            </w:pPr>
            <w:r>
              <w:rPr>
                <w:rFonts w:ascii="Arial" w:cs="Arial" w:eastAsia="Arial" w:hAnsi="Arial"/>
                <w:sz w:val="19"/>
                <w:szCs w:val="19"/>
                <w:color w:val="auto"/>
              </w:rPr>
              <w:t>End of year</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755</w:t>
            </w:r>
          </w:p>
        </w:tc>
        <w:tc>
          <w:tcPr>
            <w:tcW w:w="52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595</w:t>
            </w:r>
          </w:p>
        </w:tc>
        <w:tc>
          <w:tcPr>
            <w:tcW w:w="320" w:type="dxa"/>
            <w:vAlign w:val="bottom"/>
            <w:shd w:val="clear" w:color="auto" w:fill="E5FFFF"/>
          </w:tcPr>
          <w:p>
            <w:pPr>
              <w:spacing w:after="0"/>
              <w:rPr>
                <w:sz w:val="21"/>
                <w:szCs w:val="21"/>
                <w:color w:val="auto"/>
              </w:rPr>
            </w:pPr>
          </w:p>
        </w:tc>
        <w:tc>
          <w:tcPr>
            <w:tcW w:w="1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w w:val="94"/>
              </w:rPr>
              <w:t>$</w:t>
            </w:r>
          </w:p>
        </w:tc>
        <w:tc>
          <w:tcPr>
            <w:tcW w:w="5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511</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9"/>
                <w:szCs w:val="19"/>
                <w:color w:val="auto"/>
              </w:rPr>
              <w:t>Environmental liabilities are included in the following balance sheet accounts: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8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6"/>
            <w:vMerge w:val="restart"/>
          </w:tcPr>
          <w:p>
            <w:pPr>
              <w:jc w:val="center"/>
              <w:spacing w:after="0"/>
              <w:rPr>
                <w:sz w:val="20"/>
                <w:szCs w:val="20"/>
                <w:color w:val="auto"/>
              </w:rPr>
            </w:pPr>
            <w:r>
              <w:rPr>
                <w:rFonts w:ascii="Arial" w:cs="Arial" w:eastAsia="Arial" w:hAnsi="Arial"/>
                <w:sz w:val="16"/>
                <w:szCs w:val="16"/>
                <w:b w:val="1"/>
                <w:bCs w:val="1"/>
                <w:color w:val="auto"/>
                <w:w w:val="97"/>
              </w:rPr>
              <w:t>December 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6"/>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Borders>
              <w:bottom w:val="single" w:sz="8" w:color="auto"/>
            </w:tcBorders>
            <w:gridSpan w:val="3"/>
          </w:tcPr>
          <w:p>
            <w:pPr>
              <w:jc w:val="right"/>
              <w:ind w:right="60"/>
              <w:spacing w:after="0" w:line="169" w:lineRule="exact"/>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40"/>
              <w:spacing w:after="0" w:line="169" w:lineRule="exact"/>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7680" w:type="dxa"/>
            <w:vAlign w:val="bottom"/>
            <w:shd w:val="clear" w:color="auto" w:fill="E5FFFF"/>
          </w:tcPr>
          <w:p>
            <w:pPr>
              <w:spacing w:after="0"/>
              <w:rPr>
                <w:sz w:val="20"/>
                <w:szCs w:val="20"/>
                <w:color w:val="auto"/>
              </w:rPr>
            </w:pPr>
            <w:r>
              <w:rPr>
                <w:rFonts w:ascii="Arial" w:cs="Arial" w:eastAsia="Arial" w:hAnsi="Arial"/>
                <w:sz w:val="19"/>
                <w:szCs w:val="19"/>
                <w:color w:val="auto"/>
              </w:rPr>
              <w:t>Accrued liabilities</w:t>
            </w:r>
          </w:p>
        </w:tc>
        <w:tc>
          <w:tcPr>
            <w:tcW w:w="140" w:type="dxa"/>
            <w:vAlign w:val="bottom"/>
            <w:shd w:val="clear" w:color="auto" w:fill="E5FFFF"/>
          </w:tcPr>
          <w:p>
            <w:pPr>
              <w:spacing w:after="0"/>
              <w:rPr>
                <w:sz w:val="20"/>
                <w:szCs w:val="20"/>
                <w:color w:val="auto"/>
              </w:rPr>
            </w:pPr>
          </w:p>
        </w:tc>
        <w:tc>
          <w:tcPr>
            <w:tcW w:w="480" w:type="dxa"/>
            <w:vAlign w:val="bottom"/>
            <w:shd w:val="clear" w:color="auto" w:fill="E5FFFF"/>
          </w:tcPr>
          <w:p>
            <w:pPr>
              <w:spacing w:after="0"/>
              <w:rPr>
                <w:sz w:val="20"/>
                <w:szCs w:val="20"/>
                <w:color w:val="auto"/>
              </w:rPr>
            </w:pPr>
          </w:p>
        </w:tc>
        <w:tc>
          <w:tcPr>
            <w:tcW w:w="5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$ 175</w:t>
            </w:r>
          </w:p>
        </w:tc>
        <w:tc>
          <w:tcPr>
            <w:tcW w:w="940" w:type="dxa"/>
            <w:vAlign w:val="bottom"/>
            <w:gridSpan w:val="5"/>
            <w:shd w:val="clear" w:color="auto" w:fill="E5FFFF"/>
          </w:tcPr>
          <w:p>
            <w:pPr>
              <w:jc w:val="right"/>
              <w:spacing w:after="0"/>
              <w:rPr>
                <w:sz w:val="20"/>
                <w:szCs w:val="20"/>
                <w:color w:val="auto"/>
              </w:rPr>
            </w:pPr>
            <w:r>
              <w:rPr>
                <w:rFonts w:ascii="Arial" w:cs="Arial" w:eastAsia="Arial" w:hAnsi="Arial"/>
                <w:sz w:val="19"/>
                <w:szCs w:val="19"/>
                <w:color w:val="auto"/>
              </w:rPr>
              <w:t>$ 226</w:t>
            </w:r>
          </w:p>
        </w:tc>
        <w:tc>
          <w:tcPr>
            <w:tcW w:w="8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Arial" w:cs="Arial" w:eastAsia="Arial" w:hAnsi="Arial"/>
                <w:sz w:val="19"/>
                <w:szCs w:val="19"/>
                <w:color w:val="auto"/>
              </w:rPr>
              <w:t>Other liabilities</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580</w:t>
            </w:r>
          </w:p>
        </w:tc>
        <w:tc>
          <w:tcPr>
            <w:tcW w:w="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369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6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$ 755</w:t>
            </w:r>
          </w:p>
        </w:tc>
        <w:tc>
          <w:tcPr>
            <w:tcW w:w="940" w:type="dxa"/>
            <w:vAlign w:val="bottom"/>
            <w:gridSpan w:val="5"/>
            <w:shd w:val="clear" w:color="auto" w:fill="E5FFFF"/>
          </w:tcPr>
          <w:p>
            <w:pPr>
              <w:jc w:val="right"/>
              <w:spacing w:after="0"/>
              <w:rPr>
                <w:sz w:val="20"/>
                <w:szCs w:val="20"/>
                <w:color w:val="auto"/>
              </w:rPr>
            </w:pPr>
            <w:r>
              <w:rPr>
                <w:rFonts w:ascii="Arial" w:cs="Arial" w:eastAsia="Arial" w:hAnsi="Arial"/>
                <w:sz w:val="19"/>
                <w:szCs w:val="19"/>
                <w:color w:val="auto"/>
              </w:rPr>
              <w:t>$ 595</w:t>
            </w:r>
          </w:p>
        </w:tc>
        <w:tc>
          <w:tcPr>
            <w:tcW w:w="8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right="60" w:firstLine="357"/>
        <w:spacing w:after="0" w:line="241" w:lineRule="auto"/>
        <w:rPr>
          <w:sz w:val="20"/>
          <w:szCs w:val="20"/>
          <w:color w:val="auto"/>
        </w:rPr>
      </w:pPr>
      <w:r>
        <w:rPr>
          <w:rFonts w:ascii="Arial" w:cs="Arial" w:eastAsia="Arial" w:hAnsi="Arial"/>
          <w:sz w:val="19"/>
          <w:szCs w:val="19"/>
          <w:color w:val="auto"/>
        </w:rPr>
        <w:t>We do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91"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In conjunction with the Resideo spin-off, the Company entered into an indemnification and reimbursement agreement with a Resideo subsidiary, pursuant to which Resideo’s subsidiary has an ongoing obligation to make cash payments to Honeywell in amounts equal to 90 percent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has been less than $25 million. Reimbursements associated with this indemnification agreement were $25 million in 2018 and offset operating cash outflows incurred by the Company. As the Company records the accruals for environmental matters deemed probable and reasonably estimable related to the sites covered by the indemnification agreement, a corresponding receivable from Resideo for 90 percent of that accrual is also recorded. This receivable amount recorded in 2018 subsequent to the spin-off was $50 million. As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58" w:right="259" w:bottom="1440" w:gutter="0" w:footer="0" w:header="0"/>
        </w:sectPr>
      </w:pPr>
    </w:p>
    <w:bookmarkStart w:id="76" w:name="page77"/>
    <w:bookmarkEnd w:id="7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300"/>
        <w:spacing w:after="0" w:line="253" w:lineRule="auto"/>
        <w:rPr>
          <w:sz w:val="20"/>
          <w:szCs w:val="20"/>
          <w:color w:val="auto"/>
        </w:rPr>
      </w:pPr>
      <w:r>
        <w:rPr>
          <w:rFonts w:ascii="Arial" w:cs="Arial" w:eastAsia="Arial" w:hAnsi="Arial"/>
          <w:sz w:val="19"/>
          <w:szCs w:val="19"/>
          <w:color w:val="auto"/>
        </w:rPr>
        <w:t>of December 31, 2018, Other Current Assets and Other Assets includes $140 million and $476 million representing the short-term and long-term portion of the receivable amount due from Resideo under the indemnification and reimbursement agreement.</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Asbestos Matters</w:t>
      </w:r>
    </w:p>
    <w:p>
      <w:pPr>
        <w:spacing w:after="0" w:line="130" w:lineRule="exact"/>
        <w:rPr>
          <w:sz w:val="20"/>
          <w:szCs w:val="20"/>
          <w:color w:val="auto"/>
        </w:rPr>
      </w:pPr>
    </w:p>
    <w:p>
      <w:pPr>
        <w:ind w:right="980" w:firstLine="357"/>
        <w:spacing w:after="0" w:line="253" w:lineRule="auto"/>
        <w:rPr>
          <w:sz w:val="20"/>
          <w:szCs w:val="20"/>
          <w:color w:val="auto"/>
        </w:rPr>
      </w:pPr>
      <w:r>
        <w:rPr>
          <w:rFonts w:ascii="Arial" w:cs="Arial" w:eastAsia="Arial" w:hAnsi="Arial"/>
          <w:sz w:val="19"/>
          <w:szCs w:val="19"/>
          <w:color w:val="auto"/>
        </w:rPr>
        <w:t>Honeywell is a defendant in asbestos related personal injury actions related to North American Refractories Company (“NARCO”), which was sold in 1986, and Bendix Friction Materials (“Bendix”) business, which was sold in 2014.</w:t>
      </w:r>
    </w:p>
    <w:p>
      <w:pPr>
        <w:spacing w:after="0" w:line="66"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In the third quarter of 2018, the Company revised its accounting to correct the time period associated with the determination of appropriate accruals for the legacy Bendix asbestos-related liability for unasserted claims. The prior accounting treatment applied a five-year time horizon; the revised treatment reflects the full term of epidemiological projections through 2059. Previously issued financial statements have been revised for this correction with the following effects: The Company’s revised estimated asbestos-related liabilities are now $ 2,610 million as of December 31, 2017, which is $1,087 million higher than the Company’s prior estimate. The Company’s insurance recoveries for asbestos-related liabilities are estimated to be $503 million as of December 31, 2017, which is $68 million higher than the Company’s prior estimate. As of December 31, 2017, the net deferred income taxes impact was $245 million, with a decrease to liabilities and increase to assets, and the cumulative impact on retained earnings was a decrease of $774 million. For 2017 and 2016 Cost of services sold decreased $48 million and $5 million, Tax expense increased $158 million and $2 million, and Net income decreased $110 million and $3 million.</w:t>
      </w:r>
    </w:p>
    <w:p>
      <w:pPr>
        <w:spacing w:after="0" w:line="93" w:lineRule="exact"/>
        <w:rPr>
          <w:sz w:val="20"/>
          <w:szCs w:val="20"/>
          <w:color w:val="auto"/>
        </w:rPr>
      </w:pPr>
    </w:p>
    <w:p>
      <w:pPr>
        <w:ind w:right="40" w:firstLine="357"/>
        <w:spacing w:after="0"/>
        <w:rPr>
          <w:sz w:val="20"/>
          <w:szCs w:val="20"/>
          <w:color w:val="auto"/>
        </w:rPr>
      </w:pPr>
      <w:r>
        <w:rPr>
          <w:rFonts w:ascii="Arial" w:cs="Arial" w:eastAsia="Arial" w:hAnsi="Arial"/>
          <w:sz w:val="19"/>
          <w:szCs w:val="19"/>
          <w:color w:val="auto"/>
        </w:rPr>
        <w:t>This revision followed the Securities and Exchange Commission (SEC) Division of Corporation Finance review of our Annual Report on Form 10-K for 2017, which included review of our prior accounting for liability for unasserted Bendix-related asbestos claims. On September 13, 2018, following completion of Corporation Finance’s review, the SEC Division of Enforcement advised that it has opened an investigation related to this matter. Honeywell intends to provide requested information and otherwise fully cooperate with the SEC staff. On October 31, 2018, David Kanefsky, a Honeywell shareholder, filed a putative class action complaint alleging violations of the Securities Exchange Act of 1934 and Rule 10b-5 related to the prior accounting for Bendix asbestos claims. We believe the Complaint has no merit.</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tables summarize information concerning NARCO and Bendix asbestos related balances: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Asbestos Related Liabilities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600" w:type="dxa"/>
            <w:vAlign w:val="bottom"/>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2600" w:type="dxa"/>
            <w:vAlign w:val="bottom"/>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2600" w:type="dxa"/>
            <w:vAlign w:val="bottom"/>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r>
      <w:tr>
        <w:trPr>
          <w:trHeight w:val="174"/>
        </w:trPr>
        <w:tc>
          <w:tcPr>
            <w:tcW w:w="30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left="21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left="19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left="19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56"/>
        </w:trPr>
        <w:tc>
          <w:tcPr>
            <w:tcW w:w="3020" w:type="dxa"/>
            <w:vAlign w:val="bottom"/>
          </w:tcPr>
          <w:p>
            <w:pPr>
              <w:spacing w:after="0"/>
              <w:rPr>
                <w:sz w:val="13"/>
                <w:szCs w:val="13"/>
                <w:color w:val="auto"/>
              </w:rPr>
            </w:pPr>
          </w:p>
        </w:tc>
        <w:tc>
          <w:tcPr>
            <w:tcW w:w="700" w:type="dxa"/>
            <w:vAlign w:val="bottom"/>
            <w:tcBorders>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Bendix</w:t>
            </w:r>
          </w:p>
        </w:tc>
        <w:tc>
          <w:tcPr>
            <w:tcW w:w="30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3"/>
                <w:szCs w:val="13"/>
                <w:color w:val="auto"/>
              </w:rPr>
            </w:pPr>
          </w:p>
        </w:tc>
        <w:tc>
          <w:tcPr>
            <w:tcW w:w="700" w:type="dxa"/>
            <w:vAlign w:val="bottom"/>
            <w:tcBorders>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700" w:type="dxa"/>
            <w:vAlign w:val="bottom"/>
            <w:tcBorders>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Bendix</w:t>
            </w:r>
          </w:p>
        </w:tc>
        <w:tc>
          <w:tcPr>
            <w:tcW w:w="300" w:type="dxa"/>
            <w:vAlign w:val="bottom"/>
          </w:tcPr>
          <w:p>
            <w:pPr>
              <w:spacing w:after="0"/>
              <w:rPr>
                <w:sz w:val="13"/>
                <w:szCs w:val="13"/>
                <w:color w:val="auto"/>
              </w:rPr>
            </w:pPr>
          </w:p>
        </w:tc>
        <w:tc>
          <w:tcPr>
            <w:tcW w:w="6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NARCO</w:t>
            </w:r>
          </w:p>
        </w:tc>
        <w:tc>
          <w:tcPr>
            <w:tcW w:w="280" w:type="dxa"/>
            <w:vAlign w:val="bottom"/>
          </w:tcPr>
          <w:p>
            <w:pPr>
              <w:spacing w:after="0"/>
              <w:rPr>
                <w:sz w:val="13"/>
                <w:szCs w:val="13"/>
                <w:color w:val="auto"/>
              </w:rPr>
            </w:pPr>
          </w:p>
        </w:tc>
        <w:tc>
          <w:tcPr>
            <w:tcW w:w="700" w:type="dxa"/>
            <w:vAlign w:val="bottom"/>
            <w:tcBorders>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700" w:type="dxa"/>
            <w:vAlign w:val="bottom"/>
            <w:tcBorders>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Bendix</w:t>
            </w:r>
          </w:p>
        </w:tc>
        <w:tc>
          <w:tcPr>
            <w:tcW w:w="300" w:type="dxa"/>
            <w:vAlign w:val="bottom"/>
          </w:tcPr>
          <w:p>
            <w:pPr>
              <w:spacing w:after="0"/>
              <w:rPr>
                <w:sz w:val="13"/>
                <w:szCs w:val="13"/>
                <w:color w:val="auto"/>
              </w:rPr>
            </w:pPr>
          </w:p>
        </w:tc>
        <w:tc>
          <w:tcPr>
            <w:tcW w:w="6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3"/>
                <w:szCs w:val="13"/>
                <w:color w:val="auto"/>
              </w:rPr>
            </w:pPr>
          </w:p>
        </w:tc>
        <w:tc>
          <w:tcPr>
            <w:tcW w:w="680" w:type="dxa"/>
            <w:vAlign w:val="bottom"/>
            <w:tcBorders>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Total</w:t>
            </w:r>
          </w:p>
        </w:tc>
      </w:tr>
      <w:tr>
        <w:trPr>
          <w:trHeight w:val="237"/>
        </w:trPr>
        <w:tc>
          <w:tcPr>
            <w:tcW w:w="3020" w:type="dxa"/>
            <w:vAlign w:val="bottom"/>
            <w:shd w:val="clear" w:color="auto" w:fill="E5FFFF"/>
          </w:tcPr>
          <w:p>
            <w:pPr>
              <w:spacing w:after="0"/>
              <w:rPr>
                <w:sz w:val="20"/>
                <w:szCs w:val="20"/>
                <w:color w:val="auto"/>
              </w:rPr>
            </w:pPr>
            <w:r>
              <w:rPr>
                <w:rFonts w:ascii="Arial" w:cs="Arial" w:eastAsia="Arial" w:hAnsi="Arial"/>
                <w:sz w:val="18"/>
                <w:szCs w:val="18"/>
                <w:color w:val="auto"/>
              </w:rPr>
              <w:t>Beginning of year</w:t>
            </w: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9"/>
              </w:rPr>
              <w:t>$ 1,703</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$ 907</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$ 2,610</w:t>
            </w:r>
          </w:p>
        </w:tc>
        <w:tc>
          <w:tcPr>
            <w:tcW w:w="1000" w:type="dxa"/>
            <w:vAlign w:val="bottom"/>
            <w:gridSpan w:val="2"/>
            <w:shd w:val="clear" w:color="auto" w:fill="E5FFFF"/>
          </w:tcPr>
          <w:p>
            <w:pPr>
              <w:jc w:val="right"/>
              <w:ind w:right="2"/>
              <w:spacing w:after="0"/>
              <w:rPr>
                <w:sz w:val="20"/>
                <w:szCs w:val="20"/>
                <w:color w:val="auto"/>
              </w:rPr>
            </w:pPr>
            <w:r>
              <w:rPr>
                <w:rFonts w:ascii="Arial" w:cs="Arial" w:eastAsia="Arial" w:hAnsi="Arial"/>
                <w:sz w:val="18"/>
                <w:szCs w:val="18"/>
                <w:color w:val="auto"/>
              </w:rPr>
              <w:t>$ 1,789</w:t>
            </w:r>
          </w:p>
        </w:tc>
        <w:tc>
          <w:tcPr>
            <w:tcW w:w="920" w:type="dxa"/>
            <w:vAlign w:val="bottom"/>
            <w:gridSpan w:val="2"/>
            <w:shd w:val="clear" w:color="auto" w:fill="E5FFFF"/>
          </w:tcPr>
          <w:p>
            <w:pPr>
              <w:jc w:val="right"/>
              <w:ind w:right="13"/>
              <w:spacing w:after="0"/>
              <w:rPr>
                <w:sz w:val="20"/>
                <w:szCs w:val="20"/>
                <w:color w:val="auto"/>
              </w:rPr>
            </w:pPr>
            <w:r>
              <w:rPr>
                <w:rFonts w:ascii="Arial" w:cs="Arial" w:eastAsia="Arial" w:hAnsi="Arial"/>
                <w:sz w:val="18"/>
                <w:szCs w:val="18"/>
                <w:color w:val="auto"/>
              </w:rPr>
              <w:t>$ 919</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$ 2,708</w:t>
            </w:r>
          </w:p>
        </w:tc>
        <w:tc>
          <w:tcPr>
            <w:tcW w:w="1000" w:type="dxa"/>
            <w:vAlign w:val="bottom"/>
            <w:gridSpan w:val="2"/>
            <w:shd w:val="clear" w:color="auto" w:fill="E5FFFF"/>
          </w:tcPr>
          <w:p>
            <w:pPr>
              <w:jc w:val="right"/>
              <w:ind w:right="2"/>
              <w:spacing w:after="0"/>
              <w:rPr>
                <w:sz w:val="20"/>
                <w:szCs w:val="20"/>
                <w:color w:val="auto"/>
              </w:rPr>
            </w:pPr>
            <w:r>
              <w:rPr>
                <w:rFonts w:ascii="Arial" w:cs="Arial" w:eastAsia="Arial" w:hAnsi="Arial"/>
                <w:sz w:val="18"/>
                <w:szCs w:val="18"/>
                <w:color w:val="auto"/>
              </w:rPr>
              <w:t>$ 1,793</w:t>
            </w:r>
          </w:p>
        </w:tc>
        <w:tc>
          <w:tcPr>
            <w:tcW w:w="920" w:type="dxa"/>
            <w:vAlign w:val="bottom"/>
            <w:gridSpan w:val="2"/>
            <w:shd w:val="clear" w:color="auto" w:fill="E5FFFF"/>
          </w:tcPr>
          <w:p>
            <w:pPr>
              <w:jc w:val="right"/>
              <w:ind w:right="13"/>
              <w:spacing w:after="0"/>
              <w:rPr>
                <w:sz w:val="20"/>
                <w:szCs w:val="20"/>
                <w:color w:val="auto"/>
              </w:rPr>
            </w:pPr>
            <w:r>
              <w:rPr>
                <w:rFonts w:ascii="Arial" w:cs="Arial" w:eastAsia="Arial" w:hAnsi="Arial"/>
                <w:sz w:val="18"/>
                <w:szCs w:val="18"/>
                <w:color w:val="auto"/>
              </w:rPr>
              <w:t>$ 921</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$ 2,714</w:t>
            </w:r>
          </w:p>
        </w:tc>
      </w:tr>
      <w:tr>
        <w:trPr>
          <w:trHeight w:val="198"/>
        </w:trPr>
        <w:tc>
          <w:tcPr>
            <w:tcW w:w="3020" w:type="dxa"/>
            <w:vAlign w:val="bottom"/>
          </w:tcPr>
          <w:p>
            <w:pPr>
              <w:spacing w:after="0" w:line="199" w:lineRule="exact"/>
              <w:rPr>
                <w:sz w:val="20"/>
                <w:szCs w:val="20"/>
                <w:color w:val="auto"/>
              </w:rPr>
            </w:pPr>
            <w:r>
              <w:rPr>
                <w:rFonts w:ascii="Arial" w:cs="Arial" w:eastAsia="Arial" w:hAnsi="Arial"/>
                <w:sz w:val="18"/>
                <w:szCs w:val="18"/>
                <w:color w:val="auto"/>
              </w:rPr>
              <w:t>Accrual for update to estimated</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7"/>
        </w:trPr>
        <w:tc>
          <w:tcPr>
            <w:tcW w:w="302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700" w:type="dxa"/>
            <w:vAlign w:val="bottom"/>
          </w:tcPr>
          <w:p>
            <w:pPr>
              <w:jc w:val="right"/>
              <w:spacing w:after="0"/>
              <w:rPr>
                <w:sz w:val="20"/>
                <w:szCs w:val="20"/>
                <w:color w:val="auto"/>
              </w:rPr>
            </w:pPr>
            <w:r>
              <w:rPr>
                <w:rFonts w:ascii="Arial" w:cs="Arial" w:eastAsia="Arial" w:hAnsi="Arial"/>
                <w:sz w:val="18"/>
                <w:szCs w:val="18"/>
                <w:color w:val="auto"/>
              </w:rPr>
              <w:t>197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000" w:type="dxa"/>
            <w:vAlign w:val="bottom"/>
            <w:gridSpan w:val="2"/>
          </w:tcPr>
          <w:p>
            <w:pPr>
              <w:jc w:val="right"/>
              <w:ind w:right="2"/>
              <w:spacing w:after="0"/>
              <w:rPr>
                <w:sz w:val="20"/>
                <w:szCs w:val="20"/>
                <w:color w:val="auto"/>
              </w:rPr>
            </w:pPr>
            <w:r>
              <w:rPr>
                <w:rFonts w:ascii="Arial" w:cs="Arial" w:eastAsia="Arial" w:hAnsi="Arial"/>
                <w:sz w:val="18"/>
                <w:szCs w:val="18"/>
                <w:color w:val="auto"/>
              </w:rPr>
              <w:t>199</w:t>
            </w:r>
          </w:p>
        </w:tc>
        <w:tc>
          <w:tcPr>
            <w:tcW w:w="920" w:type="dxa"/>
            <w:vAlign w:val="bottom"/>
            <w:gridSpan w:val="2"/>
          </w:tcPr>
          <w:p>
            <w:pPr>
              <w:jc w:val="right"/>
              <w:ind w:right="13"/>
              <w:spacing w:after="0"/>
              <w:rPr>
                <w:sz w:val="20"/>
                <w:szCs w:val="20"/>
                <w:color w:val="auto"/>
              </w:rPr>
            </w:pPr>
            <w:r>
              <w:rPr>
                <w:rFonts w:ascii="Arial" w:cs="Arial" w:eastAsia="Arial" w:hAnsi="Arial"/>
                <w:sz w:val="18"/>
                <w:szCs w:val="18"/>
                <w:color w:val="auto"/>
              </w:rPr>
              <w:t>31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1000" w:type="dxa"/>
            <w:vAlign w:val="bottom"/>
            <w:gridSpan w:val="2"/>
          </w:tcPr>
          <w:p>
            <w:pPr>
              <w:jc w:val="right"/>
              <w:ind w:right="2"/>
              <w:spacing w:after="0"/>
              <w:rPr>
                <w:sz w:val="20"/>
                <w:szCs w:val="20"/>
                <w:color w:val="auto"/>
              </w:rPr>
            </w:pPr>
            <w:r>
              <w:rPr>
                <w:rFonts w:ascii="Arial" w:cs="Arial" w:eastAsia="Arial" w:hAnsi="Arial"/>
                <w:sz w:val="18"/>
                <w:szCs w:val="18"/>
                <w:color w:val="auto"/>
              </w:rPr>
              <w:t>203</w:t>
            </w:r>
          </w:p>
        </w:tc>
        <w:tc>
          <w:tcPr>
            <w:tcW w:w="920" w:type="dxa"/>
            <w:vAlign w:val="bottom"/>
            <w:gridSpan w:val="2"/>
          </w:tcPr>
          <w:p>
            <w:pPr>
              <w:jc w:val="right"/>
              <w:ind w:right="13"/>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212</w:t>
            </w:r>
          </w:p>
        </w:tc>
      </w:tr>
      <w:tr>
        <w:trPr>
          <w:trHeight w:val="198"/>
        </w:trPr>
        <w:tc>
          <w:tcPr>
            <w:tcW w:w="3020" w:type="dxa"/>
            <w:vAlign w:val="bottom"/>
            <w:shd w:val="clear" w:color="auto" w:fill="E5FFFF"/>
          </w:tcPr>
          <w:p>
            <w:pPr>
              <w:spacing w:after="0" w:line="199" w:lineRule="exact"/>
              <w:rPr>
                <w:sz w:val="20"/>
                <w:szCs w:val="20"/>
                <w:color w:val="auto"/>
              </w:rPr>
            </w:pPr>
            <w:r>
              <w:rPr>
                <w:rFonts w:ascii="Arial" w:cs="Arial" w:eastAsia="Arial" w:hAnsi="Arial"/>
                <w:sz w:val="18"/>
                <w:szCs w:val="18"/>
                <w:color w:val="auto"/>
              </w:rPr>
              <w:t>Change in estimated cost of</w:t>
            </w:r>
          </w:p>
        </w:tc>
        <w:tc>
          <w:tcPr>
            <w:tcW w:w="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r>
      <w:tr>
        <w:trPr>
          <w:trHeight w:val="207"/>
        </w:trPr>
        <w:tc>
          <w:tcPr>
            <w:tcW w:w="3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future claims</w:t>
            </w: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E5FFFF"/>
          </w:tcPr>
          <w:p>
            <w:pPr>
              <w:spacing w:after="0"/>
              <w:rPr>
                <w:sz w:val="17"/>
                <w:szCs w:val="17"/>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(72)</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(65)</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w:t>
            </w:r>
          </w:p>
        </w:tc>
      </w:tr>
      <w:tr>
        <w:trPr>
          <w:trHeight w:val="198"/>
        </w:trPr>
        <w:tc>
          <w:tcPr>
            <w:tcW w:w="3020" w:type="dxa"/>
            <w:vAlign w:val="bottom"/>
          </w:tcPr>
          <w:p>
            <w:pPr>
              <w:spacing w:after="0" w:line="199" w:lineRule="exact"/>
              <w:rPr>
                <w:sz w:val="20"/>
                <w:szCs w:val="20"/>
                <w:color w:val="auto"/>
              </w:rPr>
            </w:pPr>
            <w:r>
              <w:rPr>
                <w:rFonts w:ascii="Arial" w:cs="Arial" w:eastAsia="Arial" w:hAnsi="Arial"/>
                <w:sz w:val="18"/>
                <w:szCs w:val="18"/>
                <w:color w:val="auto"/>
              </w:rPr>
              <w:t>Update of expected resolution</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7"/>
        </w:trPr>
        <w:tc>
          <w:tcPr>
            <w:tcW w:w="3020" w:type="dxa"/>
            <w:vAlign w:val="bottom"/>
          </w:tcPr>
          <w:p>
            <w:pPr>
              <w:ind w:left="180"/>
              <w:spacing w:after="0"/>
              <w:rPr>
                <w:sz w:val="20"/>
                <w:szCs w:val="20"/>
                <w:color w:val="auto"/>
              </w:rPr>
            </w:pPr>
            <w:r>
              <w:rPr>
                <w:rFonts w:ascii="Arial" w:cs="Arial" w:eastAsia="Arial" w:hAnsi="Arial"/>
                <w:sz w:val="18"/>
                <w:szCs w:val="18"/>
                <w:color w:val="auto"/>
              </w:rPr>
              <w:t>values for pending claims</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2"/>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2"/>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198"/>
        </w:trPr>
        <w:tc>
          <w:tcPr>
            <w:tcW w:w="3020" w:type="dxa"/>
            <w:vAlign w:val="bottom"/>
            <w:shd w:val="clear" w:color="auto" w:fill="E5FFFF"/>
          </w:tcPr>
          <w:p>
            <w:pPr>
              <w:spacing w:after="0" w:line="199" w:lineRule="exact"/>
              <w:rPr>
                <w:sz w:val="20"/>
                <w:szCs w:val="20"/>
                <w:color w:val="auto"/>
              </w:rPr>
            </w:pPr>
            <w:r>
              <w:rPr>
                <w:rFonts w:ascii="Arial" w:cs="Arial" w:eastAsia="Arial" w:hAnsi="Arial"/>
                <w:sz w:val="18"/>
                <w:szCs w:val="18"/>
                <w:color w:val="auto"/>
              </w:rPr>
              <w:t>Asbestos related liability</w:t>
            </w:r>
          </w:p>
        </w:tc>
        <w:tc>
          <w:tcPr>
            <w:tcW w:w="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r>
      <w:tr>
        <w:trPr>
          <w:trHeight w:val="207"/>
        </w:trPr>
        <w:tc>
          <w:tcPr>
            <w:tcW w:w="3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payments</w:t>
            </w: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(206)</w:t>
            </w:r>
          </w:p>
        </w:tc>
        <w:tc>
          <w:tcPr>
            <w:tcW w:w="300" w:type="dxa"/>
            <w:vAlign w:val="bottom"/>
            <w:shd w:val="clear" w:color="auto" w:fill="E5FFFF"/>
          </w:tcPr>
          <w:p>
            <w:pPr>
              <w:spacing w:after="0"/>
              <w:rPr>
                <w:sz w:val="17"/>
                <w:szCs w:val="17"/>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E5FFFF"/>
          </w:tcPr>
          <w:p>
            <w:pPr>
              <w:spacing w:after="0"/>
              <w:rPr>
                <w:sz w:val="17"/>
                <w:szCs w:val="17"/>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(254)</w:t>
            </w:r>
          </w:p>
        </w:tc>
        <w:tc>
          <w:tcPr>
            <w:tcW w:w="300" w:type="dxa"/>
            <w:vAlign w:val="bottom"/>
            <w:shd w:val="clear" w:color="auto" w:fill="E5FFFF"/>
          </w:tcPr>
          <w:p>
            <w:pPr>
              <w:spacing w:after="0"/>
              <w:rPr>
                <w:sz w:val="17"/>
                <w:szCs w:val="17"/>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E5FFFF"/>
          </w:tcPr>
          <w:p>
            <w:pPr>
              <w:spacing w:after="0"/>
              <w:rPr>
                <w:sz w:val="17"/>
                <w:szCs w:val="17"/>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E5FFFF"/>
          </w:tcPr>
          <w:p>
            <w:pPr>
              <w:spacing w:after="0"/>
              <w:rPr>
                <w:sz w:val="17"/>
                <w:szCs w:val="17"/>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E5FFFF"/>
          </w:tcPr>
          <w:p>
            <w:pPr>
              <w:spacing w:after="0"/>
              <w:rPr>
                <w:sz w:val="17"/>
                <w:szCs w:val="17"/>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E5FFFF"/>
          </w:tcPr>
          <w:p>
            <w:pPr>
              <w:spacing w:after="0"/>
              <w:rPr>
                <w:sz w:val="17"/>
                <w:szCs w:val="17"/>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E5FFFF"/>
          </w:tcPr>
          <w:p>
            <w:pPr>
              <w:spacing w:after="0"/>
              <w:rPr>
                <w:sz w:val="17"/>
                <w:szCs w:val="17"/>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(212)</w:t>
            </w:r>
          </w:p>
        </w:tc>
      </w:tr>
      <w:tr>
        <w:trPr>
          <w:trHeight w:val="250"/>
        </w:trPr>
        <w:tc>
          <w:tcPr>
            <w:tcW w:w="3020" w:type="dxa"/>
            <w:vAlign w:val="bottom"/>
          </w:tcPr>
          <w:p>
            <w:pPr>
              <w:spacing w:after="0"/>
              <w:rPr>
                <w:sz w:val="20"/>
                <w:szCs w:val="20"/>
                <w:color w:val="auto"/>
              </w:rPr>
            </w:pPr>
            <w:r>
              <w:rPr>
                <w:rFonts w:ascii="Arial" w:cs="Arial" w:eastAsia="Arial" w:hAnsi="Arial"/>
                <w:sz w:val="18"/>
                <w:szCs w:val="18"/>
                <w:color w:val="auto"/>
              </w:rPr>
              <w:t>End of year</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$ 1,623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$ 891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$ 2,514</w:t>
            </w:r>
          </w:p>
        </w:tc>
        <w:tc>
          <w:tcPr>
            <w:tcW w:w="1000" w:type="dxa"/>
            <w:vAlign w:val="bottom"/>
            <w:gridSpan w:val="2"/>
          </w:tcPr>
          <w:p>
            <w:pPr>
              <w:jc w:val="right"/>
              <w:ind w:right="2"/>
              <w:spacing w:after="0"/>
              <w:rPr>
                <w:sz w:val="20"/>
                <w:szCs w:val="20"/>
                <w:color w:val="auto"/>
              </w:rPr>
            </w:pPr>
            <w:r>
              <w:rPr>
                <w:rFonts w:ascii="Arial" w:cs="Arial" w:eastAsia="Arial" w:hAnsi="Arial"/>
                <w:sz w:val="18"/>
                <w:szCs w:val="18"/>
                <w:color w:val="auto"/>
              </w:rPr>
              <w:t>$ 1,703</w:t>
            </w:r>
          </w:p>
        </w:tc>
        <w:tc>
          <w:tcPr>
            <w:tcW w:w="920" w:type="dxa"/>
            <w:vAlign w:val="bottom"/>
            <w:gridSpan w:val="2"/>
          </w:tcPr>
          <w:p>
            <w:pPr>
              <w:jc w:val="right"/>
              <w:ind w:right="13"/>
              <w:spacing w:after="0"/>
              <w:rPr>
                <w:sz w:val="20"/>
                <w:szCs w:val="20"/>
                <w:color w:val="auto"/>
              </w:rPr>
            </w:pPr>
            <w:r>
              <w:rPr>
                <w:rFonts w:ascii="Arial" w:cs="Arial" w:eastAsia="Arial" w:hAnsi="Arial"/>
                <w:sz w:val="18"/>
                <w:szCs w:val="18"/>
                <w:color w:val="auto"/>
              </w:rPr>
              <w:t>$ 907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$ 2,610</w:t>
            </w:r>
          </w:p>
        </w:tc>
        <w:tc>
          <w:tcPr>
            <w:tcW w:w="1000" w:type="dxa"/>
            <w:vAlign w:val="bottom"/>
            <w:gridSpan w:val="2"/>
          </w:tcPr>
          <w:p>
            <w:pPr>
              <w:jc w:val="right"/>
              <w:ind w:right="2"/>
              <w:spacing w:after="0"/>
              <w:rPr>
                <w:sz w:val="20"/>
                <w:szCs w:val="20"/>
                <w:color w:val="auto"/>
              </w:rPr>
            </w:pPr>
            <w:r>
              <w:rPr>
                <w:rFonts w:ascii="Arial" w:cs="Arial" w:eastAsia="Arial" w:hAnsi="Arial"/>
                <w:sz w:val="18"/>
                <w:szCs w:val="18"/>
                <w:color w:val="auto"/>
              </w:rPr>
              <w:t>$ 1,789</w:t>
            </w:r>
          </w:p>
        </w:tc>
        <w:tc>
          <w:tcPr>
            <w:tcW w:w="920" w:type="dxa"/>
            <w:vAlign w:val="bottom"/>
            <w:gridSpan w:val="2"/>
          </w:tcPr>
          <w:p>
            <w:pPr>
              <w:jc w:val="right"/>
              <w:ind w:right="13"/>
              <w:spacing w:after="0"/>
              <w:rPr>
                <w:sz w:val="20"/>
                <w:szCs w:val="20"/>
                <w:color w:val="auto"/>
              </w:rPr>
            </w:pPr>
            <w:r>
              <w:rPr>
                <w:rFonts w:ascii="Arial" w:cs="Arial" w:eastAsia="Arial" w:hAnsi="Arial"/>
                <w:sz w:val="18"/>
                <w:szCs w:val="18"/>
                <w:color w:val="auto"/>
              </w:rPr>
              <w:t>$ 919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$ 2,708</w:t>
            </w:r>
          </w:p>
        </w:tc>
      </w:tr>
      <w:tr>
        <w:trPr>
          <w:trHeight w:val="20"/>
        </w:trPr>
        <w:tc>
          <w:tcPr>
            <w:tcW w:w="3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Insurance Recoveries for Asbestos Related Liabilities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280" w:type="dxa"/>
            <w:vAlign w:val="bottom"/>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2280" w:type="dxa"/>
            <w:vAlign w:val="bottom"/>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2280" w:type="dxa"/>
            <w:vAlign w:val="bottom"/>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r>
      <w:tr>
        <w:trPr>
          <w:trHeight w:val="174"/>
        </w:trPr>
        <w:tc>
          <w:tcPr>
            <w:tcW w:w="39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left="17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left="173"/>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left="17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r>
      <w:tr>
        <w:trPr>
          <w:trHeight w:val="156"/>
        </w:trPr>
        <w:tc>
          <w:tcPr>
            <w:tcW w:w="39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Bendix</w:t>
            </w:r>
          </w:p>
        </w:tc>
        <w:tc>
          <w:tcPr>
            <w:tcW w:w="280" w:type="dxa"/>
            <w:vAlign w:val="bottom"/>
          </w:tcPr>
          <w:p>
            <w:pPr>
              <w:spacing w:after="0"/>
              <w:rPr>
                <w:sz w:val="13"/>
                <w:szCs w:val="13"/>
                <w:color w:val="auto"/>
              </w:rPr>
            </w:pPr>
          </w:p>
        </w:tc>
        <w:tc>
          <w:tcPr>
            <w:tcW w:w="6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3"/>
                <w:szCs w:val="13"/>
                <w:color w:val="auto"/>
              </w:rPr>
            </w:pPr>
          </w:p>
        </w:tc>
        <w:tc>
          <w:tcPr>
            <w:tcW w:w="520" w:type="dxa"/>
            <w:vAlign w:val="bottom"/>
            <w:tcBorders>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Bendix</w:t>
            </w:r>
          </w:p>
        </w:tc>
        <w:tc>
          <w:tcPr>
            <w:tcW w:w="280" w:type="dxa"/>
            <w:vAlign w:val="bottom"/>
          </w:tcPr>
          <w:p>
            <w:pPr>
              <w:spacing w:after="0"/>
              <w:rPr>
                <w:sz w:val="13"/>
                <w:szCs w:val="13"/>
                <w:color w:val="auto"/>
              </w:rPr>
            </w:pPr>
          </w:p>
        </w:tc>
        <w:tc>
          <w:tcPr>
            <w:tcW w:w="6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3"/>
                <w:szCs w:val="13"/>
                <w:color w:val="auto"/>
              </w:rPr>
            </w:pPr>
          </w:p>
        </w:tc>
        <w:tc>
          <w:tcPr>
            <w:tcW w:w="520" w:type="dxa"/>
            <w:vAlign w:val="bottom"/>
            <w:tcBorders>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Bendix</w:t>
            </w:r>
          </w:p>
        </w:tc>
        <w:tc>
          <w:tcPr>
            <w:tcW w:w="280" w:type="dxa"/>
            <w:vAlign w:val="bottom"/>
          </w:tcPr>
          <w:p>
            <w:pPr>
              <w:spacing w:after="0"/>
              <w:rPr>
                <w:sz w:val="13"/>
                <w:szCs w:val="13"/>
                <w:color w:val="auto"/>
              </w:rPr>
            </w:pPr>
          </w:p>
        </w:tc>
        <w:tc>
          <w:tcPr>
            <w:tcW w:w="6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3"/>
                <w:szCs w:val="13"/>
                <w:color w:val="auto"/>
              </w:rPr>
            </w:pPr>
          </w:p>
        </w:tc>
        <w:tc>
          <w:tcPr>
            <w:tcW w:w="520" w:type="dxa"/>
            <w:vAlign w:val="bottom"/>
            <w:tcBorders>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rPr>
              <w:t>Total</w:t>
            </w:r>
          </w:p>
        </w:tc>
      </w:tr>
      <w:tr>
        <w:trPr>
          <w:trHeight w:val="237"/>
        </w:trPr>
        <w:tc>
          <w:tcPr>
            <w:tcW w:w="3980" w:type="dxa"/>
            <w:vAlign w:val="bottom"/>
            <w:shd w:val="clear" w:color="auto" w:fill="E5FFFF"/>
          </w:tcPr>
          <w:p>
            <w:pPr>
              <w:spacing w:after="0"/>
              <w:rPr>
                <w:sz w:val="20"/>
                <w:szCs w:val="20"/>
                <w:color w:val="auto"/>
              </w:rPr>
            </w:pPr>
            <w:r>
              <w:rPr>
                <w:rFonts w:ascii="Arial" w:cs="Arial" w:eastAsia="Arial" w:hAnsi="Arial"/>
                <w:sz w:val="18"/>
                <w:szCs w:val="18"/>
                <w:color w:val="auto"/>
              </w:rPr>
              <w:t>Beginning of year</w:t>
            </w: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$ 191</w:t>
            </w:r>
          </w:p>
        </w:tc>
        <w:tc>
          <w:tcPr>
            <w:tcW w:w="900" w:type="dxa"/>
            <w:vAlign w:val="bottom"/>
            <w:gridSpan w:val="2"/>
            <w:shd w:val="clear" w:color="auto" w:fill="E5FFFF"/>
          </w:tcPr>
          <w:p>
            <w:pPr>
              <w:jc w:val="right"/>
              <w:ind w:right="13"/>
              <w:spacing w:after="0"/>
              <w:rPr>
                <w:sz w:val="20"/>
                <w:szCs w:val="20"/>
                <w:color w:val="auto"/>
              </w:rPr>
            </w:pPr>
            <w:r>
              <w:rPr>
                <w:rFonts w:ascii="Arial" w:cs="Arial" w:eastAsia="Arial" w:hAnsi="Arial"/>
                <w:sz w:val="18"/>
                <w:szCs w:val="18"/>
                <w:color w:val="auto"/>
              </w:rPr>
              <w:t>$ 312</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$ 503</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$ 201</w:t>
            </w:r>
          </w:p>
        </w:tc>
        <w:tc>
          <w:tcPr>
            <w:tcW w:w="900" w:type="dxa"/>
            <w:vAlign w:val="bottom"/>
            <w:gridSpan w:val="2"/>
            <w:shd w:val="clear" w:color="auto" w:fill="E5FFFF"/>
          </w:tcPr>
          <w:p>
            <w:pPr>
              <w:jc w:val="right"/>
              <w:ind w:right="13"/>
              <w:spacing w:after="0"/>
              <w:rPr>
                <w:sz w:val="20"/>
                <w:szCs w:val="20"/>
                <w:color w:val="auto"/>
              </w:rPr>
            </w:pPr>
            <w:r>
              <w:rPr>
                <w:rFonts w:ascii="Arial" w:cs="Arial" w:eastAsia="Arial" w:hAnsi="Arial"/>
                <w:sz w:val="18"/>
                <w:szCs w:val="18"/>
                <w:color w:val="auto"/>
              </w:rPr>
              <w:t>$ 319</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$ 520</w:t>
            </w:r>
          </w:p>
        </w:tc>
        <w:tc>
          <w:tcPr>
            <w:tcW w:w="860" w:type="dxa"/>
            <w:vAlign w:val="bottom"/>
            <w:gridSpan w:val="2"/>
            <w:shd w:val="clear" w:color="auto" w:fill="E5FFFF"/>
          </w:tcPr>
          <w:p>
            <w:pPr>
              <w:jc w:val="right"/>
              <w:ind w:right="2"/>
              <w:spacing w:after="0"/>
              <w:rPr>
                <w:sz w:val="20"/>
                <w:szCs w:val="20"/>
                <w:color w:val="auto"/>
              </w:rPr>
            </w:pPr>
            <w:r>
              <w:rPr>
                <w:rFonts w:ascii="Arial" w:cs="Arial" w:eastAsia="Arial" w:hAnsi="Arial"/>
                <w:sz w:val="18"/>
                <w:szCs w:val="18"/>
                <w:color w:val="auto"/>
              </w:rPr>
              <w:t>$ 222</w:t>
            </w:r>
          </w:p>
        </w:tc>
        <w:tc>
          <w:tcPr>
            <w:tcW w:w="900" w:type="dxa"/>
            <w:vAlign w:val="bottom"/>
            <w:gridSpan w:val="2"/>
            <w:shd w:val="clear" w:color="auto" w:fill="E5FFFF"/>
          </w:tcPr>
          <w:p>
            <w:pPr>
              <w:jc w:val="right"/>
              <w:ind w:right="13"/>
              <w:spacing w:after="0"/>
              <w:rPr>
                <w:sz w:val="20"/>
                <w:szCs w:val="20"/>
                <w:color w:val="auto"/>
              </w:rPr>
            </w:pPr>
            <w:r>
              <w:rPr>
                <w:rFonts w:ascii="Arial" w:cs="Arial" w:eastAsia="Arial" w:hAnsi="Arial"/>
                <w:sz w:val="18"/>
                <w:szCs w:val="18"/>
                <w:color w:val="auto"/>
              </w:rPr>
              <w:t>$ 325</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$ 547</w:t>
            </w:r>
          </w:p>
        </w:tc>
      </w:tr>
      <w:tr>
        <w:trPr>
          <w:trHeight w:val="198"/>
        </w:trPr>
        <w:tc>
          <w:tcPr>
            <w:tcW w:w="3980" w:type="dxa"/>
            <w:vAlign w:val="bottom"/>
          </w:tcPr>
          <w:p>
            <w:pPr>
              <w:spacing w:after="0" w:line="199" w:lineRule="exact"/>
              <w:rPr>
                <w:sz w:val="20"/>
                <w:szCs w:val="20"/>
                <w:color w:val="auto"/>
              </w:rPr>
            </w:pPr>
            <w:r>
              <w:rPr>
                <w:rFonts w:ascii="Arial" w:cs="Arial" w:eastAsia="Arial" w:hAnsi="Arial"/>
                <w:sz w:val="18"/>
                <w:szCs w:val="18"/>
                <w:color w:val="auto"/>
              </w:rPr>
              <w:t>Probable insurance recoveries related to</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7"/>
        </w:trPr>
        <w:tc>
          <w:tcPr>
            <w:tcW w:w="3980" w:type="dxa"/>
            <w:vAlign w:val="bottom"/>
          </w:tcPr>
          <w:p>
            <w:pPr>
              <w:ind w:left="180"/>
              <w:spacing w:after="0"/>
              <w:rPr>
                <w:sz w:val="20"/>
                <w:szCs w:val="20"/>
                <w:color w:val="auto"/>
              </w:rPr>
            </w:pPr>
            <w:r>
              <w:rPr>
                <w:rFonts w:ascii="Arial" w:cs="Arial" w:eastAsia="Arial" w:hAnsi="Arial"/>
                <w:sz w:val="18"/>
                <w:szCs w:val="18"/>
                <w:color w:val="auto"/>
              </w:rPr>
              <w:t>estimated liability</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ind w:right="2"/>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198"/>
        </w:trPr>
        <w:tc>
          <w:tcPr>
            <w:tcW w:w="3980" w:type="dxa"/>
            <w:vAlign w:val="bottom"/>
            <w:shd w:val="clear" w:color="auto" w:fill="E5FFFF"/>
          </w:tcPr>
          <w:p>
            <w:pPr>
              <w:spacing w:after="0" w:line="199" w:lineRule="exact"/>
              <w:rPr>
                <w:sz w:val="20"/>
                <w:szCs w:val="20"/>
                <w:color w:val="auto"/>
              </w:rPr>
            </w:pPr>
            <w:r>
              <w:rPr>
                <w:rFonts w:ascii="Arial" w:cs="Arial" w:eastAsia="Arial" w:hAnsi="Arial"/>
                <w:sz w:val="18"/>
                <w:szCs w:val="18"/>
                <w:color w:val="auto"/>
              </w:rPr>
              <w:t>Insurance receipts for asbestos related</w:t>
            </w:r>
          </w:p>
        </w:tc>
        <w:tc>
          <w:tcPr>
            <w:tcW w:w="5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r>
      <w:tr>
        <w:trPr>
          <w:trHeight w:val="207"/>
        </w:trPr>
        <w:tc>
          <w:tcPr>
            <w:tcW w:w="3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liabilities</w:t>
            </w: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(33)</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(38)</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(20)</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(27)</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(37)</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(43)</w:t>
            </w:r>
          </w:p>
        </w:tc>
      </w:tr>
      <w:tr>
        <w:trPr>
          <w:trHeight w:val="198"/>
        </w:trPr>
        <w:tc>
          <w:tcPr>
            <w:tcW w:w="3980" w:type="dxa"/>
            <w:vAlign w:val="bottom"/>
          </w:tcPr>
          <w:p>
            <w:pPr>
              <w:spacing w:after="0" w:line="199" w:lineRule="exact"/>
              <w:rPr>
                <w:sz w:val="20"/>
                <w:szCs w:val="20"/>
                <w:color w:val="auto"/>
              </w:rPr>
            </w:pPr>
            <w:r>
              <w:rPr>
                <w:rFonts w:ascii="Arial" w:cs="Arial" w:eastAsia="Arial" w:hAnsi="Arial"/>
                <w:sz w:val="18"/>
                <w:szCs w:val="18"/>
                <w:color w:val="auto"/>
              </w:rPr>
              <w:t>Insurance receivables settlements and write</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7"/>
        </w:trPr>
        <w:tc>
          <w:tcPr>
            <w:tcW w:w="3980" w:type="dxa"/>
            <w:vAlign w:val="bottom"/>
          </w:tcPr>
          <w:p>
            <w:pPr>
              <w:ind w:left="180"/>
              <w:spacing w:after="0"/>
              <w:rPr>
                <w:sz w:val="20"/>
                <w:szCs w:val="20"/>
                <w:color w:val="auto"/>
              </w:rPr>
            </w:pPr>
            <w:r>
              <w:rPr>
                <w:rFonts w:ascii="Arial" w:cs="Arial" w:eastAsia="Arial" w:hAnsi="Arial"/>
                <w:sz w:val="18"/>
                <w:szCs w:val="18"/>
                <w:color w:val="auto"/>
              </w:rPr>
              <w:t>offs</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980" w:type="dxa"/>
            <w:vAlign w:val="bottom"/>
            <w:shd w:val="clear" w:color="auto" w:fill="E5FFFF"/>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1"/>
                <w:szCs w:val="21"/>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1"/>
                <w:szCs w:val="21"/>
                <w:color w:val="auto"/>
              </w:rPr>
            </w:pPr>
          </w:p>
        </w:tc>
        <w:tc>
          <w:tcPr>
            <w:tcW w:w="56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8"/>
                <w:szCs w:val="18"/>
                <w:color w:val="auto"/>
              </w:rPr>
              <w:t>1</w:t>
            </w:r>
          </w:p>
        </w:tc>
        <w:tc>
          <w:tcPr>
            <w:tcW w:w="280" w:type="dxa"/>
            <w:vAlign w:val="bottom"/>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3980" w:type="dxa"/>
            <w:vAlign w:val="bottom"/>
          </w:tcPr>
          <w:p>
            <w:pPr>
              <w:spacing w:after="0"/>
              <w:rPr>
                <w:sz w:val="20"/>
                <w:szCs w:val="20"/>
                <w:color w:val="auto"/>
              </w:rPr>
            </w:pPr>
            <w:r>
              <w:rPr>
                <w:rFonts w:ascii="Arial" w:cs="Arial" w:eastAsia="Arial" w:hAnsi="Arial"/>
                <w:sz w:val="18"/>
                <w:szCs w:val="18"/>
                <w:color w:val="auto"/>
              </w:rPr>
              <w:t>End of year</w:t>
            </w:r>
          </w:p>
        </w:tc>
        <w:tc>
          <w:tcPr>
            <w:tcW w:w="560" w:type="dxa"/>
            <w:vAlign w:val="bottom"/>
          </w:tcPr>
          <w:p>
            <w:pPr>
              <w:jc w:val="right"/>
              <w:spacing w:after="0"/>
              <w:rPr>
                <w:sz w:val="20"/>
                <w:szCs w:val="20"/>
                <w:color w:val="auto"/>
              </w:rPr>
            </w:pPr>
            <w:r>
              <w:rPr>
                <w:rFonts w:ascii="Arial" w:cs="Arial" w:eastAsia="Arial" w:hAnsi="Arial"/>
                <w:sz w:val="18"/>
                <w:szCs w:val="18"/>
                <w:color w:val="auto"/>
              </w:rPr>
              <w:t>$ 170</w:t>
            </w:r>
          </w:p>
        </w:tc>
        <w:tc>
          <w:tcPr>
            <w:tcW w:w="900" w:type="dxa"/>
            <w:vAlign w:val="bottom"/>
            <w:gridSpan w:val="2"/>
          </w:tcPr>
          <w:p>
            <w:pPr>
              <w:jc w:val="right"/>
              <w:ind w:right="13"/>
              <w:spacing w:after="0"/>
              <w:rPr>
                <w:sz w:val="20"/>
                <w:szCs w:val="20"/>
                <w:color w:val="auto"/>
              </w:rPr>
            </w:pPr>
            <w:r>
              <w:rPr>
                <w:rFonts w:ascii="Arial" w:cs="Arial" w:eastAsia="Arial" w:hAnsi="Arial"/>
                <w:sz w:val="18"/>
                <w:szCs w:val="18"/>
                <w:color w:val="auto"/>
              </w:rPr>
              <w:t>$ 307</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477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$ 191</w:t>
            </w:r>
          </w:p>
        </w:tc>
        <w:tc>
          <w:tcPr>
            <w:tcW w:w="900" w:type="dxa"/>
            <w:vAlign w:val="bottom"/>
            <w:gridSpan w:val="2"/>
          </w:tcPr>
          <w:p>
            <w:pPr>
              <w:jc w:val="right"/>
              <w:ind w:right="13"/>
              <w:spacing w:after="0"/>
              <w:rPr>
                <w:sz w:val="20"/>
                <w:szCs w:val="20"/>
                <w:color w:val="auto"/>
              </w:rPr>
            </w:pPr>
            <w:r>
              <w:rPr>
                <w:rFonts w:ascii="Arial" w:cs="Arial" w:eastAsia="Arial" w:hAnsi="Arial"/>
                <w:sz w:val="18"/>
                <w:szCs w:val="18"/>
                <w:color w:val="auto"/>
              </w:rPr>
              <w:t>$ 312</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503</w:t>
            </w:r>
          </w:p>
        </w:tc>
        <w:tc>
          <w:tcPr>
            <w:tcW w:w="860" w:type="dxa"/>
            <w:vAlign w:val="bottom"/>
            <w:gridSpan w:val="2"/>
          </w:tcPr>
          <w:p>
            <w:pPr>
              <w:jc w:val="right"/>
              <w:ind w:right="2"/>
              <w:spacing w:after="0"/>
              <w:rPr>
                <w:sz w:val="20"/>
                <w:szCs w:val="20"/>
                <w:color w:val="auto"/>
              </w:rPr>
            </w:pPr>
            <w:r>
              <w:rPr>
                <w:rFonts w:ascii="Arial" w:cs="Arial" w:eastAsia="Arial" w:hAnsi="Arial"/>
                <w:sz w:val="18"/>
                <w:szCs w:val="18"/>
                <w:color w:val="auto"/>
              </w:rPr>
              <w:t>$ 201</w:t>
            </w:r>
          </w:p>
        </w:tc>
        <w:tc>
          <w:tcPr>
            <w:tcW w:w="900" w:type="dxa"/>
            <w:vAlign w:val="bottom"/>
            <w:gridSpan w:val="2"/>
          </w:tcPr>
          <w:p>
            <w:pPr>
              <w:jc w:val="right"/>
              <w:ind w:right="13"/>
              <w:spacing w:after="0"/>
              <w:rPr>
                <w:sz w:val="20"/>
                <w:szCs w:val="20"/>
                <w:color w:val="auto"/>
              </w:rPr>
            </w:pPr>
            <w:r>
              <w:rPr>
                <w:rFonts w:ascii="Arial" w:cs="Arial" w:eastAsia="Arial" w:hAnsi="Arial"/>
                <w:sz w:val="18"/>
                <w:szCs w:val="18"/>
                <w:color w:val="auto"/>
              </w:rPr>
              <w:t>$ 319</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520</w:t>
            </w:r>
          </w:p>
        </w:tc>
      </w:tr>
      <w:tr>
        <w:trPr>
          <w:trHeight w:val="20"/>
        </w:trPr>
        <w:tc>
          <w:tcPr>
            <w:tcW w:w="39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NARCO and Bendix asbestos related balances are included in the following balance sheet accounts:</w:t>
      </w: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286"/>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8"/>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rPr>
              <w:t>2017</w:t>
            </w:r>
          </w:p>
        </w:tc>
      </w:tr>
      <w:tr>
        <w:trPr>
          <w:trHeight w:val="237"/>
        </w:trPr>
        <w:tc>
          <w:tcPr>
            <w:tcW w:w="8620" w:type="dxa"/>
            <w:vAlign w:val="bottom"/>
            <w:shd w:val="clear" w:color="auto" w:fill="E5FFFF"/>
          </w:tcPr>
          <w:p>
            <w:pPr>
              <w:spacing w:after="0"/>
              <w:rPr>
                <w:sz w:val="20"/>
                <w:szCs w:val="20"/>
                <w:color w:val="auto"/>
              </w:rPr>
            </w:pPr>
            <w:r>
              <w:rPr>
                <w:rFonts w:ascii="Arial" w:cs="Arial" w:eastAsia="Arial" w:hAnsi="Arial"/>
                <w:sz w:val="19"/>
                <w:szCs w:val="19"/>
                <w:color w:val="auto"/>
              </w:rPr>
              <w:t>Other current assets</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w:t>
            </w:r>
          </w:p>
        </w:tc>
      </w:tr>
      <w:tr>
        <w:trPr>
          <w:trHeight w:val="250"/>
        </w:trPr>
        <w:tc>
          <w:tcPr>
            <w:tcW w:w="8620" w:type="dxa"/>
            <w:vAlign w:val="bottom"/>
          </w:tcPr>
          <w:p>
            <w:pPr>
              <w:spacing w:after="0"/>
              <w:rPr>
                <w:sz w:val="20"/>
                <w:szCs w:val="20"/>
                <w:color w:val="auto"/>
              </w:rPr>
            </w:pPr>
            <w:r>
              <w:rPr>
                <w:rFonts w:ascii="Arial" w:cs="Arial" w:eastAsia="Arial" w:hAnsi="Arial"/>
                <w:sz w:val="19"/>
                <w:szCs w:val="19"/>
                <w:color w:val="auto"/>
              </w:rPr>
              <w:t>Insurance recoveries for asbestos related liabilities</w:t>
            </w: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437</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479</w:t>
            </w:r>
          </w:p>
        </w:tc>
      </w:tr>
      <w:tr>
        <w:trPr>
          <w:trHeight w:val="243"/>
        </w:trPr>
        <w:tc>
          <w:tcPr>
            <w:tcW w:w="86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477</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503</w:t>
            </w:r>
          </w:p>
        </w:tc>
      </w:tr>
      <w:tr>
        <w:trPr>
          <w:trHeight w:val="20"/>
        </w:trPr>
        <w:tc>
          <w:tcPr>
            <w:tcW w:w="8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37"/>
        </w:trPr>
        <w:tc>
          <w:tcPr>
            <w:tcW w:w="8620" w:type="dxa"/>
            <w:vAlign w:val="bottom"/>
          </w:tcPr>
          <w:p>
            <w:pPr>
              <w:spacing w:after="0"/>
              <w:rPr>
                <w:sz w:val="20"/>
                <w:szCs w:val="20"/>
                <w:color w:val="auto"/>
              </w:rPr>
            </w:pPr>
            <w:r>
              <w:rPr>
                <w:rFonts w:ascii="Arial" w:cs="Arial" w:eastAsia="Arial" w:hAnsi="Arial"/>
                <w:sz w:val="19"/>
                <w:szCs w:val="19"/>
                <w:color w:val="auto"/>
              </w:rPr>
              <w:t>Accrued liabilities</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245</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350</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color w:val="auto"/>
              </w:rPr>
              <w:t>Asbestos related liabilities</w:t>
            </w:r>
          </w:p>
        </w:tc>
        <w:tc>
          <w:tcPr>
            <w:tcW w:w="14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2,269</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2,260</w:t>
            </w:r>
          </w:p>
        </w:tc>
      </w:tr>
      <w:tr>
        <w:trPr>
          <w:trHeight w:val="250"/>
        </w:trPr>
        <w:tc>
          <w:tcPr>
            <w:tcW w:w="86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2,514</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2,610</w:t>
            </w:r>
          </w:p>
        </w:tc>
      </w:tr>
      <w:tr>
        <w:trPr>
          <w:trHeight w:val="20"/>
        </w:trPr>
        <w:tc>
          <w:tcPr>
            <w:tcW w:w="8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right="20" w:firstLine="357"/>
        <w:spacing w:after="0" w:line="244" w:lineRule="auto"/>
        <w:rPr>
          <w:sz w:val="20"/>
          <w:szCs w:val="20"/>
          <w:color w:val="auto"/>
        </w:rPr>
      </w:pPr>
      <w:r>
        <w:rPr>
          <w:rFonts w:ascii="Arial" w:cs="Arial" w:eastAsia="Arial" w:hAnsi="Arial"/>
          <w:sz w:val="19"/>
          <w:szCs w:val="19"/>
          <w:b w:val="1"/>
          <w:bCs w:val="1"/>
          <w:i w:val="1"/>
          <w:iCs w:val="1"/>
          <w:color w:val="auto"/>
        </w:rPr>
        <w:t>NARCO Products</w:t>
      </w:r>
      <w:r>
        <w:rPr>
          <w:rFonts w:ascii="Arial" w:cs="Arial" w:eastAsia="Arial" w:hAnsi="Arial"/>
          <w:sz w:val="19"/>
          <w:szCs w:val="19"/>
          <w:color w:val="auto"/>
        </w:rPr>
        <w:t>—Honeywell’s predecessor, Allied Corporation owned NARCO from 1979 to 1986. When the NARCO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business was sold, Honeywell’s predecessor entered into a cross-indemnity agreement with NARCO which included an obligation to indemnify the purchaser for asbestos claims. Such claims arise primarily from alleged occupational exposure to asbestos-containing refractory brick and mortar for high-temperature applications. NARCO ceased manufacturing these products in 1980, and the first asbestos claims were filed in the tort system against NARCO in 1983. Claims filings and related costs increased dramatically in the late 1990s through 2001, which led to NARCO filing for bankruptcy in January 2002. Once NARCO filed for bankruptcy, all then current and future NARCO asbestos claims were stayed against both NARCO and Honeywell pending the reorganization of NARCO.</w:t>
      </w:r>
    </w:p>
    <w:p>
      <w:pPr>
        <w:spacing w:after="0" w:line="90" w:lineRule="exact"/>
        <w:rPr>
          <w:sz w:val="20"/>
          <w:szCs w:val="20"/>
          <w:color w:val="auto"/>
        </w:rPr>
      </w:pPr>
    </w:p>
    <w:p>
      <w:pPr>
        <w:ind w:right="400" w:firstLine="357"/>
        <w:spacing w:after="0" w:line="241" w:lineRule="auto"/>
        <w:rPr>
          <w:sz w:val="20"/>
          <w:szCs w:val="20"/>
          <w:color w:val="auto"/>
        </w:rPr>
      </w:pPr>
      <w:r>
        <w:rPr>
          <w:rFonts w:ascii="Arial" w:cs="Arial" w:eastAsia="Arial" w:hAnsi="Arial"/>
          <w:sz w:val="19"/>
          <w:szCs w:val="19"/>
          <w:color w:val="auto"/>
        </w:rPr>
        <w:t>Following the bankruptcy filing, in December 2002 Honeywell recorded a total NARCO asbestos liability of $3.2 billion, which was comprised of three components: (i) the estimated liability to settle pre-bankruptcy petition NARCO claims and certain post-petition settlements ($2.2 billion, referred to as “Pre-bankruptcy NARCO Liability”), (ii) the estimated liability related to then unasserted NARCO claims for the period 2004 through 2018 ($950 million, referred to as “NARCO Trust Liability”), and (iii) other NARCO bankruptcy-related obligations totaling $73 million.</w:t>
      </w:r>
    </w:p>
    <w:p>
      <w:pPr>
        <w:spacing w:after="0" w:line="78" w:lineRule="exact"/>
        <w:rPr>
          <w:sz w:val="20"/>
          <w:szCs w:val="20"/>
          <w:color w:val="auto"/>
        </w:rPr>
      </w:pPr>
    </w:p>
    <w:p>
      <w:pPr>
        <w:ind w:right="40" w:firstLine="357"/>
        <w:spacing w:after="0" w:line="237" w:lineRule="auto"/>
        <w:rPr>
          <w:sz w:val="20"/>
          <w:szCs w:val="20"/>
          <w:color w:val="auto"/>
        </w:rPr>
      </w:pPr>
      <w:r>
        <w:rPr>
          <w:rFonts w:ascii="Arial" w:cs="Arial" w:eastAsia="Arial" w:hAnsi="Arial"/>
          <w:sz w:val="19"/>
          <w:szCs w:val="19"/>
          <w:color w:val="auto"/>
        </w:rPr>
        <w:t>When the NARCO Trust Liability of $950 million was established in 2002, the methodology for estimating the potential liability was based primarily on: (a) epidemiological projections of the future incidence of disease for the period 2004 through 2018, a fifteen-year period; (b) historical claims rates in the tort system for the five-year period prior to the bankruptcy filing date; and (c) anticipated NARCO Trust payment values set forth in the then current draft of the NARCO Trust Distribution Procedures. The methodology required estimating, by disease, three critical inputs: (i) likely number of claims to be asserted against the NARCO Trust in the future,</w:t>
      </w:r>
    </w:p>
    <w:p>
      <w:pPr>
        <w:spacing w:after="0" w:line="2" w:lineRule="exact"/>
        <w:rPr>
          <w:sz w:val="20"/>
          <w:szCs w:val="20"/>
          <w:color w:val="auto"/>
        </w:rPr>
      </w:pPr>
    </w:p>
    <w:p>
      <w:pPr>
        <w:ind w:right="360" w:firstLine="8"/>
        <w:spacing w:after="0" w:line="253" w:lineRule="auto"/>
        <w:tabs>
          <w:tab w:leader="none" w:pos="269" w:val="left"/>
        </w:tabs>
        <w:numPr>
          <w:ilvl w:val="0"/>
          <w:numId w:val="25"/>
        </w:numPr>
        <w:rPr>
          <w:rFonts w:ascii="Arial" w:cs="Arial" w:eastAsia="Arial" w:hAnsi="Arial"/>
          <w:sz w:val="19"/>
          <w:szCs w:val="19"/>
          <w:color w:val="auto"/>
        </w:rPr>
      </w:pPr>
      <w:r>
        <w:rPr>
          <w:rFonts w:ascii="Arial" w:cs="Arial" w:eastAsia="Arial" w:hAnsi="Arial"/>
          <w:sz w:val="19"/>
          <w:szCs w:val="19"/>
          <w:color w:val="auto"/>
        </w:rPr>
        <w:t>percentage of those claims likely to receive payment, and (iii) payment values. The Company utilized outside asbestos liability valuation specialists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220"/>
        <w:spacing w:after="0" w:line="253" w:lineRule="auto"/>
        <w:rPr>
          <w:sz w:val="20"/>
          <w:szCs w:val="20"/>
          <w:color w:val="auto"/>
        </w:rPr>
      </w:pPr>
      <w:r>
        <w:rPr>
          <w:rFonts w:ascii="Arial" w:cs="Arial" w:eastAsia="Arial" w:hAnsi="Arial"/>
          <w:sz w:val="19"/>
          <w:szCs w:val="19"/>
          <w:color w:val="auto"/>
        </w:rPr>
        <w:t>to support our preparation of the NARCO Trust Liability estimate, which was based on a commonly accepted methodology used by numerous bankruptcy courts addressing 524(g) trusts.</w:t>
      </w:r>
    </w:p>
    <w:p>
      <w:pPr>
        <w:spacing w:after="0" w:line="80"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In 2002, when we first established our initial liability, NARCO asbestos claims resolution shifted from the tort system to an anticipated NARCO Trust framework, where claims would be processed in accordance with established NARCO Trust Distribution Procedures, including strict medical and exposure criteria for a plaintiff to receive compensation. We believed at the time that the NARCO Trust’s claims filing and resolution experience after the NARCO Trust became operational would be significantly different from pre-bankruptcy tort system experience in light of these more rigorous claims processing requirements in the NARCO Trust Distribution Procedures and Honeywell’s active oversight of claims processing and approval. Given these anticipated differences, we believed that a 15-year time period was the appropriate horizon for establishing a probable and reasonably estimable liability for then unasserted NARCO claims as it represented our best estimate of the time period it would take for the NARCO Trust to be approved by the Bankruptcy Court, become fully operational and generate sufficiently reliable claims data (i.e., a data set which is statistically representative) to enable us to update our NARCO Trust Liability.</w:t>
      </w:r>
    </w:p>
    <w:p>
      <w:pPr>
        <w:spacing w:after="0" w:line="93"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The NARCO Trust Distribution Procedures were finalized in 2006, and the Company updated its NARCO Trust Liability to reflect the final terms and payment values. The original 15-year period (from 2004 through 2018) for unasserted claims did not change as asbestos claims filings continued to be stayed against both Honeywell and NARCO. The 2006 update resulted in a range of the estimated liability for unasserted claims of $743 million to $961 million, and we believed that no amount within this range was a better estimate than any other amount. In accordance with ASC 450–Contingencies (“ASC 450”), we recorded the low end of the range of $743 million which resulted in a reduction of $207 million in our NARCO Trust Liability.</w:t>
      </w:r>
    </w:p>
    <w:p>
      <w:pPr>
        <w:spacing w:after="0" w:line="94" w:lineRule="exact"/>
        <w:rPr>
          <w:sz w:val="20"/>
          <w:szCs w:val="20"/>
          <w:color w:val="auto"/>
        </w:rPr>
      </w:pPr>
    </w:p>
    <w:p>
      <w:pPr>
        <w:ind w:right="160" w:firstLine="357"/>
        <w:spacing w:after="0" w:line="242" w:lineRule="auto"/>
        <w:rPr>
          <w:sz w:val="20"/>
          <w:szCs w:val="20"/>
          <w:color w:val="auto"/>
        </w:rPr>
      </w:pPr>
      <w:r>
        <w:rPr>
          <w:rFonts w:ascii="Arial" w:cs="Arial" w:eastAsia="Arial" w:hAnsi="Arial"/>
          <w:sz w:val="19"/>
          <w:szCs w:val="19"/>
          <w:color w:val="auto"/>
        </w:rPr>
        <w:t>NARCO emerged from bankruptcy on April 30, 2013, at which time a federally authorized 524(g)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asbestos-containing products to be made against the NARCO Trust.</w:t>
      </w:r>
    </w:p>
    <w:p>
      <w:pPr>
        <w:spacing w:after="0" w:line="91" w:lineRule="exact"/>
        <w:rPr>
          <w:sz w:val="20"/>
          <w:szCs w:val="20"/>
          <w:color w:val="auto"/>
        </w:rPr>
      </w:pPr>
    </w:p>
    <w:p>
      <w:pPr>
        <w:ind w:right="40" w:firstLine="357"/>
        <w:spacing w:after="0" w:line="238" w:lineRule="auto"/>
        <w:rPr>
          <w:sz w:val="20"/>
          <w:szCs w:val="20"/>
          <w:color w:val="auto"/>
        </w:rPr>
      </w:pPr>
      <w:r>
        <w:rPr>
          <w:rFonts w:ascii="Arial" w:cs="Arial" w:eastAsia="Arial" w:hAnsi="Arial"/>
          <w:sz w:val="19"/>
          <w:szCs w:val="19"/>
          <w:color w:val="auto"/>
        </w:rPr>
        <w:t>The NARCO Trust Agreement and the NARCO Trust Distribution Procedures are the principal documents setting forth the structure of the NARCO Trust. These documents establish Honeywell’s evergreen funding obligations. Honeywell is obligated to fund NARCO asbestos claims submitted to the NARCO Trust which qualify for payment under the Trust Distribution Procedures (Annual Contribution Claims), subject to an annual cap of $145 million. However, the initial $100 million of claims processed through the NARCO Trust (the Initial Claims Amount) will not count against the annual cap and any unused portion of the Initial Claims Amount will roll over to subsequent years until fully utilized. These documents also establish the material operating rules for the NARCO Trust, including Honeywell audit rights and the criteria claimants must meet to have a valid claim paid. These claims payment criteria include providing the NARCO Trust with adequate medical evidence of the claimant’s asbestos-related condition and credible evidence of exposure to a specific NARCO asbestos-containing product. Further, the NARCO Trust is eligible to receive cash dividends from Harbison-Walker International Inc (“HWI”), the reorganized and renamed entity that emerged, fully operational, from the NARCO bankruptcy. The NARCO Trust is required to use any funding received from HWI to pay Annual Contribution Claims until those funds are exhausted. It is only at this point that Honeywell’s funding obligation to the Trust is triggered. Thus, there is an unrelated primary source for funding that affects Honeywell’s funding of the NARCO Trust Liability.</w:t>
      </w:r>
    </w:p>
    <w:p>
      <w:pPr>
        <w:spacing w:after="0" w:line="87" w:lineRule="exact"/>
        <w:rPr>
          <w:sz w:val="20"/>
          <w:szCs w:val="20"/>
          <w:color w:val="auto"/>
        </w:rPr>
      </w:pPr>
    </w:p>
    <w:p>
      <w:pPr>
        <w:ind w:right="160" w:firstLine="357"/>
        <w:spacing w:after="0" w:line="243" w:lineRule="auto"/>
        <w:rPr>
          <w:sz w:val="20"/>
          <w:szCs w:val="20"/>
          <w:color w:val="auto"/>
        </w:rPr>
      </w:pPr>
      <w:r>
        <w:rPr>
          <w:rFonts w:ascii="Arial" w:cs="Arial" w:eastAsia="Arial" w:hAnsi="Arial"/>
          <w:sz w:val="19"/>
          <w:szCs w:val="19"/>
          <w:color w:val="auto"/>
        </w:rPr>
        <w:t>Once operational, the NARCO Trust began to receive, process and pay claims that had been previously stayed pending the Trust becoming operational. As the NARCO Trust began to pay claims in 2014, we began to assert our on-going audit rights to review and monitor the claims processor’s adherence to the established requirements of the NARCO Trust Distribution Procedures. While doing</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120"/>
        <w:spacing w:after="0"/>
        <w:rPr>
          <w:sz w:val="20"/>
          <w:szCs w:val="20"/>
          <w:color w:val="auto"/>
        </w:rPr>
      </w:pPr>
      <w:r>
        <w:rPr>
          <w:rFonts w:ascii="Arial" w:cs="Arial" w:eastAsia="Arial" w:hAnsi="Arial"/>
          <w:sz w:val="19"/>
          <w:szCs w:val="19"/>
          <w:color w:val="auto"/>
        </w:rPr>
        <w:t>so, we identified several issues with the way the Trust was implementing the NARCO Trust Distribution Procedures. In 2015, Honeywell filed suit against the NARCO Trust in Bankruptcy Court alleging breach of certain provisions of the NARCO Trust Agreement and NARCO Trust Distribution Procedures. The parties agreed to dismiss the proceeding without prejudice pursuant to an 18-month Standstill Agreement, which expired in October 2017. Notwithstanding its expiration, claims processing continues, and Honeywell continues to negotiate and attempt to resolve remaining disputed issues (that is, instances where Honeywell believes the NARCO Trust is not processing claims in accordance with established NARCO Trust Distribution Procedures). Honeywell reserves the right to seek judicial intervention should negotiations fail.</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After the NARCO Trust became effective in 2013, the $743 million NARCO Trust Liability was then comprised of:</w:t>
      </w:r>
    </w:p>
    <w:p>
      <w:pPr>
        <w:spacing w:after="0" w:line="106" w:lineRule="exact"/>
        <w:rPr>
          <w:sz w:val="20"/>
          <w:szCs w:val="20"/>
          <w:color w:val="auto"/>
        </w:rPr>
      </w:pPr>
    </w:p>
    <w:p>
      <w:pPr>
        <w:ind w:left="600" w:hanging="235"/>
        <w:spacing w:after="0"/>
        <w:tabs>
          <w:tab w:leader="none" w:pos="6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liability for unasserted claims; and</w:t>
      </w:r>
    </w:p>
    <w:p>
      <w:pPr>
        <w:spacing w:after="0" w:line="105" w:lineRule="exact"/>
        <w:rPr>
          <w:rFonts w:ascii="Arial" w:cs="Arial" w:eastAsia="Arial" w:hAnsi="Arial"/>
          <w:sz w:val="19"/>
          <w:szCs w:val="19"/>
          <w:color w:val="auto"/>
        </w:rPr>
      </w:pPr>
    </w:p>
    <w:p>
      <w:pPr>
        <w:ind w:left="640" w:hanging="275"/>
        <w:spacing w:after="0"/>
        <w:tabs>
          <w:tab w:leader="none" w:pos="6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liability for claims asserted after the NARCO Trust became operational but not yet paid.</w:t>
      </w:r>
    </w:p>
    <w:p>
      <w:pPr>
        <w:spacing w:after="0" w:line="106"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Although we know the number of claims filed with the NARCO Trust each year, we are not able to determine at this time the portion of the NARCO Trust Liability which represents asserted versus unasserted claims due to the lack of sufficiently reliable claims data because of the claims processing issues described previously.</w:t>
      </w:r>
    </w:p>
    <w:p>
      <w:pPr>
        <w:spacing w:after="0" w:line="74" w:lineRule="exact"/>
        <w:rPr>
          <w:sz w:val="20"/>
          <w:szCs w:val="20"/>
          <w:color w:val="auto"/>
        </w:rPr>
      </w:pPr>
    </w:p>
    <w:p>
      <w:pPr>
        <w:ind w:right="200" w:firstLine="357"/>
        <w:spacing w:after="0" w:line="253" w:lineRule="auto"/>
        <w:rPr>
          <w:sz w:val="20"/>
          <w:szCs w:val="20"/>
          <w:color w:val="auto"/>
        </w:rPr>
      </w:pPr>
      <w:r>
        <w:rPr>
          <w:rFonts w:ascii="Arial" w:cs="Arial" w:eastAsia="Arial" w:hAnsi="Arial"/>
          <w:sz w:val="19"/>
          <w:szCs w:val="19"/>
          <w:color w:val="auto"/>
        </w:rPr>
        <w:t>Honeywell maintained the $743 million accrual for NARCO Trust Liability, as there has not been sufficiently reliable claims data history to enable us to update that liability.</w:t>
      </w:r>
    </w:p>
    <w:p>
      <w:pPr>
        <w:spacing w:after="0" w:line="80" w:lineRule="exact"/>
        <w:rPr>
          <w:sz w:val="20"/>
          <w:szCs w:val="20"/>
          <w:color w:val="auto"/>
        </w:rPr>
      </w:pPr>
    </w:p>
    <w:p>
      <w:pPr>
        <w:ind w:right="120" w:firstLine="357"/>
        <w:spacing w:after="0"/>
        <w:rPr>
          <w:sz w:val="20"/>
          <w:szCs w:val="20"/>
          <w:color w:val="auto"/>
        </w:rPr>
      </w:pPr>
      <w:r>
        <w:rPr>
          <w:rFonts w:ascii="Arial" w:cs="Arial" w:eastAsia="Arial" w:hAnsi="Arial"/>
          <w:sz w:val="19"/>
          <w:szCs w:val="19"/>
          <w:color w:val="auto"/>
        </w:rPr>
        <w:t>As of December 31, 2018, our total NARCO asbestos liability of $ 891 million reflects Pre-bankruptcy NARCO liability of $148 million and NARCO Trust Liability of $743 million. Through December 31, 2018, Pre-bankruptcy NARCO Liability has been reduced by approximately $2 billion since first established in 2002, largely related to settlement payments. The remaining Pre-bankruptcy NARCO liability principally represents estimated amounts owed pursuant to settlement agreements reached during the pendency of the NARCO bankruptcy proceedings that provide for the right to submit claims to the NARCO Trust subject to qualification under the terms of the settlement agreements and Trust Distribution Procedures. The other NARCO bankruptcy obligations were paid in 2013 and no further liability is recorded.</w:t>
      </w:r>
    </w:p>
    <w:p>
      <w:pPr>
        <w:spacing w:after="0" w:line="91" w:lineRule="exact"/>
        <w:rPr>
          <w:sz w:val="20"/>
          <w:szCs w:val="20"/>
          <w:color w:val="auto"/>
        </w:rPr>
      </w:pPr>
    </w:p>
    <w:p>
      <w:pPr>
        <w:ind w:right="420" w:firstLine="357"/>
        <w:spacing w:after="0" w:line="245" w:lineRule="auto"/>
        <w:rPr>
          <w:sz w:val="20"/>
          <w:szCs w:val="20"/>
          <w:color w:val="auto"/>
        </w:rPr>
      </w:pPr>
      <w:r>
        <w:rPr>
          <w:rFonts w:ascii="Arial" w:cs="Arial" w:eastAsia="Arial" w:hAnsi="Arial"/>
          <w:sz w:val="19"/>
          <w:szCs w:val="19"/>
          <w:color w:val="auto"/>
        </w:rPr>
        <w:t>As of December 31, 2018, Honeywell has not made any payments to the NARCO Trust for Annual Contribution Claims as Annual Contribution Claims which have been paid since the Trust became operational have been funded by cash dividends from HWI.</w:t>
      </w:r>
    </w:p>
    <w:p>
      <w:pPr>
        <w:spacing w:after="0" w:line="87"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Honeywell continues to evaluate the appropriateness of the $743 million NARCO Trust Liability. Despite becoming effective in 2013, the NARCO Trust has experienced delays in becoming fully operational. Violations of the Trust Distribution Procedures and the resulting disputes and challenges, a standstill pending dispute resolution, and limited claims payments, have all contributed to the lack of sufficient normalized data based on actual claims processing experience in the Trust since it became operational. As a result, we have not been able to further update the NARCO Trust Liability. The $ 743 million NARCO Trust Liability continues to be appropriate because of the unresolved pending claims in the Trust, some portion of which will result in payouts in the future, and because new claims continue to be filed with the NARCO Trust. When sufficiently reliable claims data exists, we will update our estimate of the NARCO Trust Liability and it is possible that a material change may need to be recognized.</w:t>
      </w:r>
    </w:p>
    <w:p>
      <w:pPr>
        <w:spacing w:after="0" w:line="96" w:lineRule="exact"/>
        <w:rPr>
          <w:sz w:val="20"/>
          <w:szCs w:val="20"/>
          <w:color w:val="auto"/>
        </w:rPr>
      </w:pPr>
    </w:p>
    <w:p>
      <w:pPr>
        <w:ind w:right="120" w:firstLine="357"/>
        <w:spacing w:after="0" w:line="241" w:lineRule="auto"/>
        <w:rPr>
          <w:sz w:val="20"/>
          <w:szCs w:val="20"/>
          <w:color w:val="auto"/>
        </w:rPr>
      </w:pPr>
      <w:r>
        <w:rPr>
          <w:rFonts w:ascii="Arial" w:cs="Arial" w:eastAsia="Arial" w:hAnsi="Arial"/>
          <w:sz w:val="19"/>
          <w:szCs w:val="19"/>
          <w:color w:val="auto"/>
        </w:rPr>
        <w:t>Our insurance receivable of $307 million as of December 31, 2018, corresponding to the estimated liability for asserted and unasserted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ind w:right="220"/>
        <w:spacing w:after="0" w:line="245" w:lineRule="auto"/>
        <w:rPr>
          <w:sz w:val="20"/>
          <w:szCs w:val="20"/>
          <w:color w:val="auto"/>
        </w:rPr>
      </w:pPr>
      <w:r>
        <w:rPr>
          <w:rFonts w:ascii="Arial" w:cs="Arial" w:eastAsia="Arial" w:hAnsi="Arial"/>
          <w:sz w:val="19"/>
          <w:szCs w:val="19"/>
          <w:color w:val="auto"/>
        </w:rPr>
        <w:t>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63" w:lineRule="exact"/>
        <w:rPr>
          <w:sz w:val="20"/>
          <w:szCs w:val="20"/>
          <w:color w:val="auto"/>
        </w:rPr>
      </w:pPr>
    </w:p>
    <w:p>
      <w:pPr>
        <w:ind w:right="20" w:firstLine="357"/>
        <w:spacing w:after="0" w:line="248" w:lineRule="auto"/>
        <w:rPr>
          <w:sz w:val="20"/>
          <w:szCs w:val="20"/>
          <w:color w:val="auto"/>
        </w:rPr>
      </w:pPr>
      <w:r>
        <w:rPr>
          <w:rFonts w:ascii="Arial" w:cs="Arial" w:eastAsia="Arial" w:hAnsi="Arial"/>
          <w:sz w:val="19"/>
          <w:szCs w:val="19"/>
          <w:b w:val="1"/>
          <w:bCs w:val="1"/>
          <w:i w:val="1"/>
          <w:iCs w:val="1"/>
          <w:color w:val="auto"/>
        </w:rPr>
        <w:t>Bendix Products</w:t>
      </w:r>
      <w:r>
        <w:rPr>
          <w:rFonts w:ascii="Arial" w:cs="Arial" w:eastAsia="Arial" w:hAnsi="Arial"/>
          <w:sz w:val="19"/>
          <w:szCs w:val="19"/>
          <w:color w:val="auto"/>
        </w:rPr>
        <w:t>—Bendix manufactured automotive brake linings that contained chrysotile asbestos in an encapsulated form.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Claimants consist largely of individuals who allege exposure to asbestos from brakes from either performing or being in the vicinity of individuals who performed brake replacements. The following tables present information regarding Bendix related asbestos claims activity:</w:t>
      </w:r>
    </w:p>
    <w:tbl>
      <w:tblPr>
        <w:tblLayout w:type="fixed"/>
        <w:tblInd w:w="500" w:type="dxa"/>
        <w:tblCellMar>
          <w:top w:w="0" w:type="dxa"/>
          <w:left w:w="0" w:type="dxa"/>
          <w:bottom w:w="0" w:type="dxa"/>
          <w:right w:w="0" w:type="dxa"/>
        </w:tblCellMar>
      </w:tblPr>
      <w:tr>
        <w:trPr>
          <w:trHeight w:val="173"/>
        </w:trPr>
        <w:tc>
          <w:tcPr>
            <w:tcW w:w="8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gridSpan w:val="3"/>
          </w:tcPr>
          <w:p>
            <w:pPr>
              <w:jc w:val="center"/>
              <w:spacing w:after="0" w:line="173" w:lineRule="exact"/>
              <w:rPr>
                <w:sz w:val="20"/>
                <w:szCs w:val="20"/>
                <w:color w:val="auto"/>
              </w:rPr>
            </w:pPr>
            <w:r>
              <w:rPr>
                <w:rFonts w:ascii="Arial" w:cs="Arial" w:eastAsia="Arial" w:hAnsi="Arial"/>
                <w:sz w:val="16"/>
                <w:szCs w:val="16"/>
                <w:b w:val="1"/>
                <w:bCs w:val="1"/>
                <w:color w:val="auto"/>
                <w:w w:val="98"/>
              </w:rPr>
              <w:t>Years Ended December</w:t>
            </w:r>
          </w:p>
        </w:tc>
        <w:tc>
          <w:tcPr>
            <w:tcW w:w="0" w:type="dxa"/>
            <w:vAlign w:val="bottom"/>
          </w:tcPr>
          <w:p>
            <w:pPr>
              <w:spacing w:after="0"/>
              <w:rPr>
                <w:sz w:val="1"/>
                <w:szCs w:val="1"/>
                <w:color w:val="auto"/>
              </w:rPr>
            </w:pPr>
          </w:p>
        </w:tc>
      </w:tr>
      <w:tr>
        <w:trPr>
          <w:trHeight w:val="190"/>
        </w:trPr>
        <w:tc>
          <w:tcPr>
            <w:tcW w:w="8300" w:type="dxa"/>
            <w:vAlign w:val="bottom"/>
            <w:vMerge w:val="restart"/>
          </w:tcPr>
          <w:p>
            <w:pPr>
              <w:spacing w:after="0"/>
              <w:rPr>
                <w:sz w:val="20"/>
                <w:szCs w:val="20"/>
                <w:color w:val="auto"/>
              </w:rPr>
            </w:pPr>
            <w:r>
              <w:rPr>
                <w:rFonts w:ascii="Arial" w:cs="Arial" w:eastAsia="Arial" w:hAnsi="Arial"/>
                <w:sz w:val="16"/>
                <w:szCs w:val="16"/>
                <w:b w:val="1"/>
                <w:bCs w:val="1"/>
                <w:color w:val="auto"/>
              </w:rPr>
              <w:t>Claims Activity</w:t>
            </w:r>
          </w:p>
        </w:tc>
        <w:tc>
          <w:tcPr>
            <w:tcW w:w="2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30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ind w:right="101"/>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78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85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Claims Unresolved at the beginning of year</w:t>
            </w:r>
          </w:p>
        </w:tc>
        <w:tc>
          <w:tcPr>
            <w:tcW w:w="7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6,280</w:t>
            </w:r>
          </w:p>
        </w:tc>
        <w:tc>
          <w:tcPr>
            <w:tcW w:w="1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7,724</w:t>
            </w:r>
          </w:p>
        </w:tc>
        <w:tc>
          <w:tcPr>
            <w:tcW w:w="0" w:type="dxa"/>
            <w:vAlign w:val="bottom"/>
          </w:tcPr>
          <w:p>
            <w:pPr>
              <w:spacing w:after="0"/>
              <w:rPr>
                <w:sz w:val="1"/>
                <w:szCs w:val="1"/>
                <w:color w:val="auto"/>
              </w:rPr>
            </w:pPr>
          </w:p>
        </w:tc>
      </w:tr>
      <w:tr>
        <w:trPr>
          <w:trHeight w:val="243"/>
        </w:trPr>
        <w:tc>
          <w:tcPr>
            <w:tcW w:w="8580" w:type="dxa"/>
            <w:vAlign w:val="bottom"/>
            <w:gridSpan w:val="2"/>
          </w:tcPr>
          <w:p>
            <w:pPr>
              <w:spacing w:after="0"/>
              <w:rPr>
                <w:sz w:val="20"/>
                <w:szCs w:val="20"/>
                <w:color w:val="auto"/>
              </w:rPr>
            </w:pPr>
            <w:r>
              <w:rPr>
                <w:rFonts w:ascii="Arial" w:cs="Arial" w:eastAsia="Arial" w:hAnsi="Arial"/>
                <w:sz w:val="19"/>
                <w:szCs w:val="19"/>
                <w:color w:val="auto"/>
              </w:rPr>
              <w:t>Claims Filed</w:t>
            </w:r>
          </w:p>
        </w:tc>
        <w:tc>
          <w:tcPr>
            <w:tcW w:w="740" w:type="dxa"/>
            <w:vAlign w:val="bottom"/>
            <w:gridSpan w:val="2"/>
          </w:tcPr>
          <w:p>
            <w:pPr>
              <w:jc w:val="right"/>
              <w:spacing w:after="0"/>
              <w:rPr>
                <w:sz w:val="20"/>
                <w:szCs w:val="20"/>
                <w:color w:val="auto"/>
              </w:rPr>
            </w:pPr>
            <w:r>
              <w:rPr>
                <w:rFonts w:ascii="Arial" w:cs="Arial" w:eastAsia="Arial" w:hAnsi="Arial"/>
                <w:sz w:val="19"/>
                <w:szCs w:val="19"/>
                <w:color w:val="auto"/>
              </w:rPr>
              <w:t>2,430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2,645</w:t>
            </w:r>
          </w:p>
        </w:tc>
        <w:tc>
          <w:tcPr>
            <w:tcW w:w="0" w:type="dxa"/>
            <w:vAlign w:val="bottom"/>
          </w:tcPr>
          <w:p>
            <w:pPr>
              <w:spacing w:after="0"/>
              <w:rPr>
                <w:sz w:val="1"/>
                <w:szCs w:val="1"/>
                <w:color w:val="auto"/>
              </w:rPr>
            </w:pPr>
          </w:p>
        </w:tc>
      </w:tr>
      <w:tr>
        <w:trPr>
          <w:trHeight w:val="243"/>
        </w:trPr>
        <w:tc>
          <w:tcPr>
            <w:tcW w:w="85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Claims Resolved</w:t>
            </w:r>
          </w:p>
        </w:tc>
        <w:tc>
          <w:tcPr>
            <w:tcW w:w="7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(2,501)</w:t>
            </w: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(4,089)</w:t>
            </w:r>
          </w:p>
        </w:tc>
        <w:tc>
          <w:tcPr>
            <w:tcW w:w="0" w:type="dxa"/>
            <w:vAlign w:val="bottom"/>
          </w:tcPr>
          <w:p>
            <w:pPr>
              <w:spacing w:after="0"/>
              <w:rPr>
                <w:sz w:val="1"/>
                <w:szCs w:val="1"/>
                <w:color w:val="auto"/>
              </w:rPr>
            </w:pPr>
          </w:p>
        </w:tc>
      </w:tr>
      <w:tr>
        <w:trPr>
          <w:trHeight w:val="250"/>
        </w:trPr>
        <w:tc>
          <w:tcPr>
            <w:tcW w:w="8580" w:type="dxa"/>
            <w:vAlign w:val="bottom"/>
            <w:gridSpan w:val="2"/>
          </w:tcPr>
          <w:p>
            <w:pPr>
              <w:spacing w:after="0"/>
              <w:rPr>
                <w:sz w:val="20"/>
                <w:szCs w:val="20"/>
                <w:color w:val="auto"/>
              </w:rPr>
            </w:pPr>
            <w:r>
              <w:rPr>
                <w:rFonts w:ascii="Arial" w:cs="Arial" w:eastAsia="Arial" w:hAnsi="Arial"/>
                <w:sz w:val="19"/>
                <w:szCs w:val="19"/>
                <w:color w:val="auto"/>
              </w:rPr>
              <w:t>Claims Unresolved at the end of year</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6,209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6,280</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vMerge w:val="restart"/>
          </w:tcPr>
          <w:p>
            <w:pPr>
              <w:spacing w:after="0"/>
              <w:rPr>
                <w:sz w:val="20"/>
                <w:szCs w:val="20"/>
                <w:color w:val="auto"/>
              </w:rPr>
            </w:pPr>
            <w:r>
              <w:rPr>
                <w:rFonts w:ascii="Arial" w:cs="Arial" w:eastAsia="Arial" w:hAnsi="Arial"/>
                <w:sz w:val="16"/>
                <w:szCs w:val="16"/>
                <w:b w:val="1"/>
                <w:bCs w:val="1"/>
                <w:color w:val="auto"/>
              </w:rPr>
              <w:t>Disease Distribution of Unresolved Claims</w:t>
            </w:r>
          </w:p>
        </w:tc>
        <w:tc>
          <w:tcPr>
            <w:tcW w:w="10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Borders>
              <w:bottom w:val="single" w:sz="8" w:color="auto"/>
            </w:tcBorders>
            <w:gridSpan w:val="5"/>
          </w:tcPr>
          <w:p>
            <w:pPr>
              <w:jc w:val="right"/>
              <w:ind w:right="21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9"/>
        </w:trPr>
        <w:tc>
          <w:tcPr>
            <w:tcW w:w="84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72"/>
              <w:spacing w:after="0" w:line="169" w:lineRule="exact"/>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37"/>
        </w:trPr>
        <w:tc>
          <w:tcPr>
            <w:tcW w:w="85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Mesothelioma and Other Cancer Claims</w:t>
            </w:r>
          </w:p>
        </w:tc>
        <w:tc>
          <w:tcPr>
            <w:tcW w:w="840" w:type="dxa"/>
            <w:vAlign w:val="bottom"/>
            <w:gridSpan w:val="3"/>
            <w:shd w:val="clear" w:color="auto" w:fill="E5FFFF"/>
          </w:tcPr>
          <w:p>
            <w:pPr>
              <w:jc w:val="right"/>
              <w:ind w:right="60"/>
              <w:spacing w:after="0"/>
              <w:rPr>
                <w:sz w:val="20"/>
                <w:szCs w:val="20"/>
                <w:color w:val="auto"/>
              </w:rPr>
            </w:pPr>
            <w:r>
              <w:rPr>
                <w:rFonts w:ascii="Arial" w:cs="Arial" w:eastAsia="Arial" w:hAnsi="Arial"/>
                <w:sz w:val="19"/>
                <w:szCs w:val="19"/>
                <w:color w:val="auto"/>
              </w:rPr>
              <w:t>2,949</w:t>
            </w:r>
          </w:p>
        </w:tc>
        <w:tc>
          <w:tcPr>
            <w:tcW w:w="200" w:type="dxa"/>
            <w:vAlign w:val="bottom"/>
            <w:shd w:val="clear" w:color="auto" w:fill="E5FFFF"/>
          </w:tcPr>
          <w:p>
            <w:pPr>
              <w:spacing w:after="0"/>
              <w:rPr>
                <w:sz w:val="20"/>
                <w:szCs w:val="20"/>
                <w:color w:val="auto"/>
              </w:rPr>
            </w:pP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3,062</w:t>
            </w:r>
          </w:p>
        </w:tc>
        <w:tc>
          <w:tcPr>
            <w:tcW w:w="0" w:type="dxa"/>
            <w:vAlign w:val="bottom"/>
          </w:tcPr>
          <w:p>
            <w:pPr>
              <w:spacing w:after="0"/>
              <w:rPr>
                <w:sz w:val="1"/>
                <w:szCs w:val="1"/>
                <w:color w:val="auto"/>
              </w:rPr>
            </w:pPr>
          </w:p>
        </w:tc>
      </w:tr>
      <w:tr>
        <w:trPr>
          <w:trHeight w:val="250"/>
        </w:trPr>
        <w:tc>
          <w:tcPr>
            <w:tcW w:w="8580" w:type="dxa"/>
            <w:vAlign w:val="bottom"/>
            <w:gridSpan w:val="2"/>
          </w:tcPr>
          <w:p>
            <w:pPr>
              <w:spacing w:after="0"/>
              <w:rPr>
                <w:sz w:val="20"/>
                <w:szCs w:val="20"/>
                <w:color w:val="auto"/>
              </w:rPr>
            </w:pPr>
            <w:r>
              <w:rPr>
                <w:rFonts w:ascii="Arial" w:cs="Arial" w:eastAsia="Arial" w:hAnsi="Arial"/>
                <w:sz w:val="19"/>
                <w:szCs w:val="19"/>
                <w:color w:val="auto"/>
              </w:rPr>
              <w:t>Nonmalignant Claims</w:t>
            </w:r>
          </w:p>
        </w:tc>
        <w:tc>
          <w:tcPr>
            <w:tcW w:w="200" w:type="dxa"/>
            <w:vAlign w:val="bottom"/>
          </w:tcPr>
          <w:p>
            <w:pPr>
              <w:spacing w:after="0"/>
              <w:rPr>
                <w:sz w:val="21"/>
                <w:szCs w:val="21"/>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3,260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3,218</w:t>
            </w:r>
          </w:p>
        </w:tc>
        <w:tc>
          <w:tcPr>
            <w:tcW w:w="0" w:type="dxa"/>
            <w:vAlign w:val="bottom"/>
          </w:tcPr>
          <w:p>
            <w:pPr>
              <w:spacing w:after="0"/>
              <w:rPr>
                <w:sz w:val="1"/>
                <w:szCs w:val="1"/>
                <w:color w:val="auto"/>
              </w:rPr>
            </w:pPr>
          </w:p>
        </w:tc>
      </w:tr>
      <w:tr>
        <w:trPr>
          <w:trHeight w:val="243"/>
        </w:trPr>
        <w:tc>
          <w:tcPr>
            <w:tcW w:w="858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Total Claims</w:t>
            </w:r>
          </w:p>
        </w:tc>
        <w:tc>
          <w:tcPr>
            <w:tcW w:w="840" w:type="dxa"/>
            <w:vAlign w:val="bottom"/>
            <w:gridSpan w:val="3"/>
            <w:shd w:val="clear" w:color="auto" w:fill="E5FFFF"/>
          </w:tcPr>
          <w:p>
            <w:pPr>
              <w:jc w:val="right"/>
              <w:ind w:right="60"/>
              <w:spacing w:after="0"/>
              <w:rPr>
                <w:sz w:val="20"/>
                <w:szCs w:val="20"/>
                <w:color w:val="auto"/>
              </w:rPr>
            </w:pPr>
            <w:r>
              <w:rPr>
                <w:rFonts w:ascii="Arial" w:cs="Arial" w:eastAsia="Arial" w:hAnsi="Arial"/>
                <w:sz w:val="19"/>
                <w:szCs w:val="19"/>
                <w:color w:val="auto"/>
              </w:rPr>
              <w:t>6,209</w:t>
            </w:r>
          </w:p>
        </w:tc>
        <w:tc>
          <w:tcPr>
            <w:tcW w:w="20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6,280</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Honeywell has experienced average resolution values per claim excluding legal costs as follows:</w:t>
      </w: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jc w:val="center"/>
              <w:ind w:right="9"/>
              <w:spacing w:after="0"/>
              <w:rPr>
                <w:sz w:val="20"/>
                <w:szCs w:val="20"/>
                <w:color w:val="auto"/>
              </w:rPr>
            </w:pPr>
            <w:r>
              <w:rPr>
                <w:rFonts w:ascii="Arial" w:cs="Arial" w:eastAsia="Arial" w:hAnsi="Arial"/>
                <w:sz w:val="16"/>
                <w:szCs w:val="16"/>
                <w:b w:val="1"/>
                <w:bCs w:val="1"/>
                <w:color w:val="auto"/>
                <w:w w:val="98"/>
              </w:rPr>
              <w:t>Years Ended December 31,</w:t>
            </w: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69"/>
        </w:trPr>
        <w:tc>
          <w:tcPr>
            <w:tcW w:w="4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9"/>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2"/>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9"/>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9"/>
              <w:spacing w:after="0" w:line="169" w:lineRule="exact"/>
              <w:rPr>
                <w:sz w:val="20"/>
                <w:szCs w:val="20"/>
                <w:color w:val="auto"/>
              </w:rPr>
            </w:pPr>
            <w:r>
              <w:rPr>
                <w:rFonts w:ascii="Arial" w:cs="Arial" w:eastAsia="Arial" w:hAnsi="Arial"/>
                <w:sz w:val="16"/>
                <w:szCs w:val="16"/>
                <w:b w:val="1"/>
                <w:bCs w:val="1"/>
                <w:color w:val="auto"/>
              </w:rPr>
              <w:t>2015</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9"/>
              <w:spacing w:after="0" w:line="169" w:lineRule="exact"/>
              <w:rPr>
                <w:sz w:val="20"/>
                <w:szCs w:val="20"/>
                <w:color w:val="auto"/>
              </w:rPr>
            </w:pPr>
            <w:r>
              <w:rPr>
                <w:rFonts w:ascii="Arial" w:cs="Arial" w:eastAsia="Arial" w:hAnsi="Arial"/>
                <w:sz w:val="16"/>
                <w:szCs w:val="16"/>
                <w:b w:val="1"/>
                <w:bCs w:val="1"/>
                <w:color w:val="auto"/>
              </w:rPr>
              <w:t>2014</w:t>
            </w:r>
          </w:p>
        </w:tc>
      </w:tr>
      <w:tr>
        <w:trPr>
          <w:trHeight w:val="237"/>
        </w:trPr>
        <w:tc>
          <w:tcPr>
            <w:tcW w:w="4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gridSpan w:val="4"/>
          </w:tcPr>
          <w:p>
            <w:pPr>
              <w:jc w:val="center"/>
              <w:ind w:left="9"/>
              <w:spacing w:after="0"/>
              <w:rPr>
                <w:sz w:val="20"/>
                <w:szCs w:val="20"/>
                <w:color w:val="auto"/>
              </w:rPr>
            </w:pPr>
            <w:r>
              <w:rPr>
                <w:rFonts w:ascii="Arial" w:cs="Arial" w:eastAsia="Arial" w:hAnsi="Arial"/>
                <w:sz w:val="16"/>
                <w:szCs w:val="16"/>
                <w:b w:val="1"/>
                <w:bCs w:val="1"/>
                <w:color w:val="auto"/>
                <w:w w:val="98"/>
              </w:rPr>
              <w:t>(in whole dollars)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3"/>
        </w:trPr>
        <w:tc>
          <w:tcPr>
            <w:tcW w:w="4720" w:type="dxa"/>
            <w:vAlign w:val="bottom"/>
            <w:shd w:val="clear" w:color="auto" w:fill="E5FFFF"/>
          </w:tcPr>
          <w:p>
            <w:pPr>
              <w:spacing w:after="0"/>
              <w:rPr>
                <w:sz w:val="20"/>
                <w:szCs w:val="20"/>
                <w:color w:val="auto"/>
              </w:rPr>
            </w:pPr>
            <w:r>
              <w:rPr>
                <w:rFonts w:ascii="Arial" w:cs="Arial" w:eastAsia="Arial" w:hAnsi="Arial"/>
                <w:sz w:val="19"/>
                <w:szCs w:val="19"/>
                <w:color w:val="auto"/>
              </w:rPr>
              <w:t>Malignant claims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55,300</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56,000</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44,000</w:t>
            </w: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44,000</w:t>
            </w:r>
          </w:p>
        </w:tc>
        <w:tc>
          <w:tcPr>
            <w:tcW w:w="52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53,500</w:t>
            </w:r>
          </w:p>
        </w:tc>
      </w:tr>
      <w:tr>
        <w:trPr>
          <w:trHeight w:val="261"/>
        </w:trPr>
        <w:tc>
          <w:tcPr>
            <w:tcW w:w="4720" w:type="dxa"/>
            <w:vAlign w:val="bottom"/>
          </w:tcPr>
          <w:p>
            <w:pPr>
              <w:spacing w:after="0"/>
              <w:rPr>
                <w:sz w:val="20"/>
                <w:szCs w:val="20"/>
                <w:color w:val="auto"/>
              </w:rPr>
            </w:pPr>
            <w:r>
              <w:rPr>
                <w:rFonts w:ascii="Arial" w:cs="Arial" w:eastAsia="Arial" w:hAnsi="Arial"/>
                <w:sz w:val="19"/>
                <w:szCs w:val="19"/>
                <w:color w:val="auto"/>
              </w:rPr>
              <w:t>Nonmalignant claims</w:t>
            </w: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4,700</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2,800</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4,485</w:t>
            </w:r>
          </w:p>
        </w:tc>
        <w:tc>
          <w:tcPr>
            <w:tcW w:w="3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100</w:t>
            </w:r>
          </w:p>
        </w:tc>
        <w:tc>
          <w:tcPr>
            <w:tcW w:w="5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120</w:t>
            </w:r>
          </w:p>
        </w:tc>
      </w:tr>
    </w:tbl>
    <w:p>
      <w:pPr>
        <w:spacing w:after="0" w:line="91"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It is not possible to predict whether resolution values for Bendix-related asbestos claims will increase, decrease or stabilize in the future.</w:t>
      </w:r>
    </w:p>
    <w:p>
      <w:pPr>
        <w:spacing w:after="0" w:line="80" w:lineRule="exact"/>
        <w:rPr>
          <w:sz w:val="20"/>
          <w:szCs w:val="20"/>
          <w:color w:val="auto"/>
        </w:rPr>
      </w:pPr>
    </w:p>
    <w:p>
      <w:pPr>
        <w:ind w:right="240" w:firstLine="357"/>
        <w:spacing w:after="0" w:line="241" w:lineRule="auto"/>
        <w:rPr>
          <w:sz w:val="20"/>
          <w:szCs w:val="20"/>
          <w:color w:val="auto"/>
        </w:rPr>
      </w:pPr>
      <w:r>
        <w:rPr>
          <w:rFonts w:ascii="Arial" w:cs="Arial" w:eastAsia="Arial" w:hAnsi="Arial"/>
          <w:sz w:val="19"/>
          <w:szCs w:val="19"/>
          <w:color w:val="auto"/>
        </w:rPr>
        <w:t>Our consolidated financial statements reflect an estimated liability for resolution of asserted (claims filed as of the financial statement date) and unasserted Bendix-related asbestos claims and excludes the Company’s legal fees to defend such asbestos claims which will continue to be expensed by the Company as they are incurred. We have valued Bendix asserted and unasserted claims using average resolution values for the previous five years. We update the resolution values used to estimate the cost of Bendix asserted and unasserted claims during the fourth quarter each year.</w:t>
      </w:r>
    </w:p>
    <w:p>
      <w:pPr>
        <w:spacing w:after="0" w:line="78" w:lineRule="exact"/>
        <w:rPr>
          <w:sz w:val="20"/>
          <w:szCs w:val="20"/>
          <w:color w:val="auto"/>
        </w:rPr>
      </w:pPr>
    </w:p>
    <w:p>
      <w:pPr>
        <w:ind w:right="220" w:firstLine="357"/>
        <w:spacing w:after="0" w:line="242" w:lineRule="auto"/>
        <w:rPr>
          <w:sz w:val="20"/>
          <w:szCs w:val="20"/>
          <w:color w:val="auto"/>
        </w:rPr>
      </w:pPr>
      <w:r>
        <w:rPr>
          <w:rFonts w:ascii="Arial" w:cs="Arial" w:eastAsia="Arial" w:hAnsi="Arial"/>
          <w:sz w:val="19"/>
          <w:szCs w:val="19"/>
          <w:color w:val="auto"/>
        </w:rPr>
        <w:t>Honeywell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w:t>
      </w:r>
    </w:p>
    <w:p>
      <w:pPr>
        <w:spacing w:after="0" w:line="91"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Our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57" w:right="25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440"/>
        <w:spacing w:after="0" w:line="253" w:lineRule="auto"/>
        <w:rPr>
          <w:sz w:val="20"/>
          <w:szCs w:val="20"/>
          <w:color w:val="auto"/>
        </w:rPr>
      </w:pPr>
      <w:r>
        <w:rPr>
          <w:rFonts w:ascii="Arial" w:cs="Arial" w:eastAsia="Arial" w:hAnsi="Arial"/>
          <w:sz w:val="19"/>
          <w:szCs w:val="19"/>
          <w:color w:val="auto"/>
        </w:rPr>
        <w:t>solvency of our insurers, judicial determinations relevant to our insurance programs, and our consideration of the impacts of any settlements reached with our insurers.</w:t>
      </w:r>
    </w:p>
    <w:p>
      <w:pPr>
        <w:spacing w:after="0" w:line="80" w:lineRule="exact"/>
        <w:rPr>
          <w:sz w:val="20"/>
          <w:szCs w:val="20"/>
          <w:color w:val="auto"/>
        </w:rPr>
      </w:pPr>
    </w:p>
    <w:p>
      <w:pPr>
        <w:ind w:firstLine="357"/>
        <w:spacing w:after="0" w:line="238" w:lineRule="auto"/>
        <w:rPr>
          <w:sz w:val="20"/>
          <w:szCs w:val="20"/>
          <w:color w:val="auto"/>
        </w:rPr>
      </w:pPr>
      <w:r>
        <w:rPr>
          <w:rFonts w:ascii="Arial" w:cs="Arial" w:eastAsia="Arial" w:hAnsi="Arial"/>
          <w:sz w:val="19"/>
          <w:szCs w:val="19"/>
          <w:color w:val="auto"/>
        </w:rPr>
        <w:t>In conjunction with the Garrett spin-off, the Company entered into an indemnification and reimbursement agreement with a Garrett subsidiary, pursuant to which Garrett’s subsidiary will have an obligation to make cash payments to Honeywell in amounts equal to (i) 90% of Honeywell’s asbestos-related liability payments primarily related to the Bendix business in the United States, as well as certain environmental-related liability payments and accounts payable and non-United States asbestos-related liability payments, in each case related to legacy elements of the Garrett business, including the legal costs of defending and resolving such liabilities, less (ii) 90% of Honeywell’s net insurance receipts and, as may be applicable, certain other recoveries associated with such liabilities. The amount payable to Honeywell in respect of such liabilities arising in any given year will be subject to a cap of approximately Euro 150 million (equivalent to $175 million at the time the indemnification agreement was entered into). The obligation will continue until the earlier of December 31, 2048, or December 31 of the third consecutive year during which the annual indemnification obligation has been less than the Euro equivalent, at the fixed exchange rate at time of the indemnification agreement, of $25 million. Reimbursements associated with this indemnification agreement were $42 million in 2018. As the Company records the accruals for matters covered by the indemnification agreement, a corresponding receivable from Garrett is recorded for 90 percent of that accrual as determined by the terms of the agreement. In 2018 subsequent to the spin-off, the Company recorded a reversal to the receivable for $17 million in the fourth quarter of 2018. As of December 31, 2018, Other Current Assets and Other Assets includes $171 million and $1,058 million representing the short-term and long-term portion of the receivable amount due from Garrett under the indemnification and reimbursement agreement.</w:t>
      </w: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Matters</w:t>
      </w:r>
    </w:p>
    <w:p>
      <w:pPr>
        <w:spacing w:after="0" w:line="116"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67"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b w:val="1"/>
          <w:bCs w:val="1"/>
          <w:i w:val="1"/>
          <w:iCs w:val="1"/>
          <w:color w:val="auto"/>
        </w:rPr>
        <w:t>Honeywell v. United Auto Workers (UAW) et. al</w:t>
      </w:r>
      <w:r>
        <w:rPr>
          <w:rFonts w:ascii="Arial" w:cs="Arial" w:eastAsia="Arial" w:hAnsi="Arial"/>
          <w:sz w:val="19"/>
          <w:szCs w:val="19"/>
          <w:color w:val="auto"/>
        </w:rPr>
        <w:t>—In September 2011, the UAW and certain Honeywell retirees (Plaintiffs) filed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 suit in the Eastern District of Michigan (the District Court) alleging that a series of Master Collective Bargaining Agreements (MCBAs) between Honeywell and the UAW provided the retirees with rights to lifetime, vested healthcare benefits that could never be changed or reduced. Plaintiffs alleged that Honeywell had violated those vested rights by implementing express limitations (CAPS) on the amount Honeywell contributed toward healthcare coverage for the retirees. Honeywell subsequently answered the UAW’s complaint and asserted counterclaims, including for breach of implied warranty.</w:t>
      </w:r>
    </w:p>
    <w:p>
      <w:pPr>
        <w:spacing w:after="0" w:line="90"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color w:val="auto"/>
        </w:rPr>
        <w:t>Between 2014 and 2015, Honeywell began enforcing the CAPS against former employees. In response, the UAW and certain of the Plaintiffs filed a motion seeking a ruling that the MCBAs do not limit Honeywell’s obligation to contribute to healthcare coverage for those retirees.</w:t>
      </w:r>
    </w:p>
    <w:p>
      <w:pPr>
        <w:spacing w:after="0" w:line="87" w:lineRule="exact"/>
        <w:rPr>
          <w:sz w:val="20"/>
          <w:szCs w:val="20"/>
          <w:color w:val="auto"/>
        </w:rPr>
      </w:pPr>
    </w:p>
    <w:p>
      <w:pPr>
        <w:ind w:right="1060" w:firstLine="357"/>
        <w:spacing w:after="0" w:line="253" w:lineRule="auto"/>
        <w:rPr>
          <w:sz w:val="20"/>
          <w:szCs w:val="20"/>
          <w:color w:val="auto"/>
        </w:rPr>
      </w:pPr>
      <w:r>
        <w:rPr>
          <w:rFonts w:ascii="Arial" w:cs="Arial" w:eastAsia="Arial" w:hAnsi="Arial"/>
          <w:sz w:val="19"/>
          <w:szCs w:val="19"/>
          <w:color w:val="auto"/>
        </w:rPr>
        <w:t>On March 29, 2018, the District Court issued its opinion resolving all pending summary judgment motions, except for Honeywell’s counterclaim for breach of implied warranty, which has since been dismissed without prejudice.</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57" w:right="259" w:bottom="1440" w:gutter="0" w:footer="0" w:header="0"/>
        </w:sectPr>
      </w:pPr>
    </w:p>
    <w:bookmarkStart w:id="82" w:name="page83"/>
    <w:bookmarkEnd w:id="8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200" w:firstLine="357"/>
        <w:spacing w:after="0"/>
        <w:rPr>
          <w:sz w:val="20"/>
          <w:szCs w:val="20"/>
          <w:color w:val="auto"/>
        </w:rPr>
      </w:pPr>
      <w:r>
        <w:rPr>
          <w:rFonts w:ascii="Arial" w:cs="Arial" w:eastAsia="Arial" w:hAnsi="Arial"/>
          <w:sz w:val="19"/>
          <w:szCs w:val="19"/>
          <w:color w:val="auto"/>
        </w:rPr>
        <w:t>In the opinion, the District Court held that the MCBAs do not promise retirees vested, lifetime benefits that survive expiration of the MCBAs. Based on this ruling, Honeywell terminated the retirees healthcare coverage benefits altogether as of July 31, 2018. In response, the UAW filed a motion to enjoin Honeywell from completely terminating coverage as of July 31, 2018, arguing that the CAPS themselves are vested and that Honeywell must continue to provide retiree medical benefits at the capped level. On July 28, 2018, the District Court denied the UAW’s motion and entered a final judgment consistent with its March 2018 ruling. The UAW has appealed this decision to the Sixth Circuit Court of Appeals. Honeywell believes the District Court’s ruling will be upheld.</w:t>
      </w:r>
    </w:p>
    <w:p>
      <w:pPr>
        <w:spacing w:after="0" w:line="94"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In the March 2018 opinion, the District Court also held that Honeywell is obligated under the MCBAs to pay the “full premium” for retiree healthcare rather than the capped amount. Based on this ruling, Honeywell would be required to pay monetary damages to retirees for any past years in which Honeywell paid less than the “full premium” of their healthcare coverage. Such damages would be limited, depending on the retiree group, to a two to three-year period ending when the 2016 MCBA expired, and Honeywell would have no ongoing obligation to continue funding healthcare coverage for subsequent periods. Honeywell has appealed the District Court’s ruling on this “full premium” damages issue, and believes that the Sixth Circuit Court of Appeals will reverse the District Court on that issue. In the event the Sixth Circuit were to sustain the District Court’s ruling on this issue, Honeywell would be liable for damages of at least $12 million.</w:t>
      </w:r>
    </w:p>
    <w:p>
      <w:pPr>
        <w:spacing w:after="0" w:line="96" w:lineRule="exact"/>
        <w:rPr>
          <w:sz w:val="20"/>
          <w:szCs w:val="20"/>
          <w:color w:val="auto"/>
        </w:rPr>
      </w:pPr>
    </w:p>
    <w:p>
      <w:pPr>
        <w:ind w:right="80" w:firstLine="357"/>
        <w:spacing w:after="0" w:line="239" w:lineRule="auto"/>
        <w:rPr>
          <w:sz w:val="20"/>
          <w:szCs w:val="20"/>
          <w:color w:val="auto"/>
        </w:rPr>
      </w:pPr>
      <w:r>
        <w:rPr>
          <w:rFonts w:ascii="Arial" w:cs="Arial" w:eastAsia="Arial" w:hAnsi="Arial"/>
          <w:sz w:val="19"/>
          <w:szCs w:val="19"/>
          <w:color w:val="auto"/>
        </w:rPr>
        <w:t>Given the uncertainty inherent in litigation and investigations (including the specific matter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Warranties and Guarantees</w:t>
      </w:r>
    </w:p>
    <w:p>
      <w:pPr>
        <w:spacing w:after="0" w:line="130"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In the normal course of business we issue product warranties and product performance guarantees. We accrue for the estimated cost of product warranties and performance guarantees based on contract terms and historical experience at the time of sale. Adjustments to initial obligations for warranties and guarantees are made as changes to the obligations become reasonably estimable. The following table summarizes information concerning our recorded obligations for product warranties and product performance guarantees.</w:t>
      </w:r>
    </w:p>
    <w:tbl>
      <w:tblPr>
        <w:tblLayout w:type="fixed"/>
        <w:tblInd w:w="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jc w:val="center"/>
              <w:spacing w:after="0" w:line="171" w:lineRule="exact"/>
              <w:rPr>
                <w:sz w:val="20"/>
                <w:szCs w:val="20"/>
                <w:color w:val="auto"/>
              </w:rPr>
            </w:pPr>
            <w:r>
              <w:rPr>
                <w:rFonts w:ascii="Arial" w:cs="Arial" w:eastAsia="Arial" w:hAnsi="Arial"/>
                <w:sz w:val="16"/>
                <w:szCs w:val="16"/>
                <w:b w:val="1"/>
                <w:bCs w:val="1"/>
                <w:color w:val="auto"/>
                <w:w w:val="98"/>
              </w:rPr>
              <w:t>Years Ended</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6"/>
              <w:spacing w:after="0" w:line="169" w:lineRule="exact"/>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6"/>
              <w:spacing w:after="0" w:line="169" w:lineRule="exact"/>
              <w:rPr>
                <w:sz w:val="20"/>
                <w:szCs w:val="20"/>
                <w:color w:val="auto"/>
              </w:rPr>
            </w:pPr>
            <w:r>
              <w:rPr>
                <w:rFonts w:ascii="Arial" w:cs="Arial" w:eastAsia="Arial" w:hAnsi="Arial"/>
                <w:sz w:val="16"/>
                <w:szCs w:val="16"/>
                <w:b w:val="1"/>
                <w:bCs w:val="1"/>
                <w:color w:val="auto"/>
                <w:w w:val="95"/>
              </w:rPr>
              <w:t>2017</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6"/>
              <w:spacing w:after="0" w:line="169" w:lineRule="exact"/>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5040" w:type="dxa"/>
            <w:vAlign w:val="bottom"/>
            <w:shd w:val="clear" w:color="auto" w:fill="E5FFFF"/>
          </w:tcPr>
          <w:p>
            <w:pPr>
              <w:spacing w:after="0"/>
              <w:rPr>
                <w:sz w:val="20"/>
                <w:szCs w:val="20"/>
                <w:color w:val="auto"/>
              </w:rPr>
            </w:pPr>
            <w:r>
              <w:rPr>
                <w:rFonts w:ascii="Arial" w:cs="Arial" w:eastAsia="Arial" w:hAnsi="Arial"/>
                <w:sz w:val="19"/>
                <w:szCs w:val="19"/>
                <w:color w:val="auto"/>
              </w:rPr>
              <w:t>Beginning of year</w:t>
            </w:r>
          </w:p>
        </w:tc>
        <w:tc>
          <w:tcPr>
            <w:tcW w:w="28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408</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487</w:t>
            </w:r>
          </w:p>
        </w:tc>
        <w:tc>
          <w:tcPr>
            <w:tcW w:w="320" w:type="dxa"/>
            <w:vAlign w:val="bottom"/>
            <w:shd w:val="clear" w:color="auto" w:fill="E5FFFF"/>
          </w:tcPr>
          <w:p>
            <w:pPr>
              <w:spacing w:after="0"/>
              <w:rPr>
                <w:sz w:val="20"/>
                <w:szCs w:val="20"/>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416</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Arial" w:cs="Arial" w:eastAsia="Arial" w:hAnsi="Arial"/>
                <w:sz w:val="19"/>
                <w:szCs w:val="19"/>
                <w:color w:val="auto"/>
              </w:rPr>
              <w:t>Accruals for warranties/guarantees issued during the year</w:t>
            </w:r>
          </w:p>
        </w:tc>
        <w:tc>
          <w:tcPr>
            <w:tcW w:w="2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208</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215</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9"/>
                <w:szCs w:val="19"/>
                <w:color w:val="auto"/>
              </w:rPr>
              <w:t>326</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040" w:type="dxa"/>
            <w:vAlign w:val="bottom"/>
            <w:shd w:val="clear" w:color="auto" w:fill="E5FFFF"/>
          </w:tcPr>
          <w:p>
            <w:pPr>
              <w:spacing w:after="0"/>
              <w:rPr>
                <w:sz w:val="20"/>
                <w:szCs w:val="20"/>
                <w:color w:val="auto"/>
              </w:rPr>
            </w:pPr>
            <w:r>
              <w:rPr>
                <w:rFonts w:ascii="Arial" w:cs="Arial" w:eastAsia="Arial" w:hAnsi="Arial"/>
                <w:sz w:val="19"/>
                <w:szCs w:val="19"/>
                <w:color w:val="auto"/>
              </w:rPr>
              <w:t>Adjustment of pre-existing warranties/guarantees</w:t>
            </w:r>
          </w:p>
        </w:tc>
        <w:tc>
          <w:tcPr>
            <w:tcW w:w="26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(78)</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Arial" w:cs="Arial" w:eastAsia="Arial" w:hAnsi="Arial"/>
                <w:sz w:val="19"/>
                <w:szCs w:val="19"/>
                <w:color w:val="auto"/>
              </w:rPr>
              <w:t>Settlement of warranty/guarantee claims</w:t>
            </w:r>
          </w:p>
        </w:tc>
        <w:tc>
          <w:tcPr>
            <w:tcW w:w="2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(228)</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(267)</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040" w:type="dxa"/>
            <w:vAlign w:val="bottom"/>
            <w:shd w:val="clear" w:color="auto" w:fill="E5FFFF"/>
          </w:tcPr>
          <w:p>
            <w:pPr>
              <w:spacing w:after="0"/>
              <w:rPr>
                <w:sz w:val="20"/>
                <w:szCs w:val="20"/>
                <w:color w:val="auto"/>
              </w:rPr>
            </w:pPr>
            <w:r>
              <w:rPr>
                <w:rFonts w:ascii="Arial" w:cs="Arial" w:eastAsia="Arial" w:hAnsi="Arial"/>
                <w:sz w:val="19"/>
                <w:szCs w:val="19"/>
                <w:color w:val="auto"/>
              </w:rPr>
              <w:t>End of year</w:t>
            </w:r>
          </w:p>
        </w:tc>
        <w:tc>
          <w:tcPr>
            <w:tcW w:w="28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310</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408</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487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60" w:type="dxa"/>
            <w:vAlign w:val="bottom"/>
            <w:vMerge w:val="restart"/>
          </w:tcPr>
          <w:p>
            <w:pPr>
              <w:jc w:val="right"/>
              <w:ind w:right="2283"/>
              <w:spacing w:after="0"/>
              <w:rPr>
                <w:sz w:val="20"/>
                <w:szCs w:val="20"/>
                <w:color w:val="auto"/>
              </w:rPr>
            </w:pPr>
            <w:r>
              <w:rPr>
                <w:rFonts w:ascii="Arial" w:cs="Arial" w:eastAsia="Arial" w:hAnsi="Arial"/>
                <w:sz w:val="19"/>
                <w:szCs w:val="19"/>
                <w:color w:val="auto"/>
              </w:rPr>
              <w:t>80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Product warranties and product performance guarantees are included in the following balance sheet accounts:</w:t>
      </w: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980" w:type="dxa"/>
            <w:vAlign w:val="bottom"/>
          </w:tcPr>
          <w:p>
            <w:pPr>
              <w:spacing w:after="0"/>
              <w:rPr>
                <w:sz w:val="16"/>
                <w:szCs w:val="16"/>
                <w:color w:val="auto"/>
              </w:rPr>
            </w:pPr>
          </w:p>
        </w:tc>
        <w:tc>
          <w:tcPr>
            <w:tcW w:w="14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980" w:type="dxa"/>
            <w:vAlign w:val="bottom"/>
          </w:tcPr>
          <w:p>
            <w:pPr>
              <w:spacing w:after="0"/>
              <w:rPr>
                <w:sz w:val="14"/>
                <w:szCs w:val="14"/>
                <w:color w:val="auto"/>
              </w:rPr>
            </w:pPr>
          </w:p>
        </w:tc>
        <w:tc>
          <w:tcPr>
            <w:tcW w:w="540" w:type="dxa"/>
            <w:vAlign w:val="bottom"/>
            <w:tcBorders>
              <w:bottom w:val="single" w:sz="8" w:color="auto"/>
            </w:tcBorders>
          </w:tcPr>
          <w:p>
            <w:pPr>
              <w:jc w:val="right"/>
              <w:ind w:right="10"/>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32"/>
              <w:spacing w:after="0" w:line="169" w:lineRule="exact"/>
              <w:rPr>
                <w:sz w:val="20"/>
                <w:szCs w:val="20"/>
                <w:color w:val="auto"/>
              </w:rPr>
            </w:pPr>
            <w:r>
              <w:rPr>
                <w:rFonts w:ascii="Arial" w:cs="Arial" w:eastAsia="Arial" w:hAnsi="Arial"/>
                <w:sz w:val="16"/>
                <w:szCs w:val="16"/>
                <w:b w:val="1"/>
                <w:bCs w:val="1"/>
                <w:color w:val="auto"/>
              </w:rPr>
              <w:t>2017</w:t>
            </w:r>
          </w:p>
        </w:tc>
      </w:tr>
      <w:tr>
        <w:trPr>
          <w:trHeight w:val="237"/>
        </w:trPr>
        <w:tc>
          <w:tcPr>
            <w:tcW w:w="8980" w:type="dxa"/>
            <w:vAlign w:val="bottom"/>
            <w:shd w:val="clear" w:color="auto" w:fill="E5FFFF"/>
          </w:tcPr>
          <w:p>
            <w:pPr>
              <w:spacing w:after="0"/>
              <w:rPr>
                <w:sz w:val="20"/>
                <w:szCs w:val="20"/>
                <w:color w:val="auto"/>
              </w:rPr>
            </w:pPr>
            <w:r>
              <w:rPr>
                <w:rFonts w:ascii="Arial" w:cs="Arial" w:eastAsia="Arial" w:hAnsi="Arial"/>
                <w:sz w:val="19"/>
                <w:szCs w:val="19"/>
                <w:color w:val="auto"/>
              </w:rPr>
              <w:t>Accrued liabilities</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$ 243</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$ 307</w:t>
            </w:r>
          </w:p>
        </w:tc>
      </w:tr>
      <w:tr>
        <w:trPr>
          <w:trHeight w:val="250"/>
        </w:trPr>
        <w:tc>
          <w:tcPr>
            <w:tcW w:w="8980" w:type="dxa"/>
            <w:vAlign w:val="bottom"/>
          </w:tcPr>
          <w:p>
            <w:pPr>
              <w:spacing w:after="0"/>
              <w:rPr>
                <w:sz w:val="20"/>
                <w:szCs w:val="20"/>
                <w:color w:val="auto"/>
              </w:rPr>
            </w:pPr>
            <w:r>
              <w:rPr>
                <w:rFonts w:ascii="Arial" w:cs="Arial" w:eastAsia="Arial" w:hAnsi="Arial"/>
                <w:sz w:val="19"/>
                <w:szCs w:val="19"/>
                <w:color w:val="auto"/>
              </w:rPr>
              <w:t>Other liabilities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w:t>
            </w:r>
          </w:p>
        </w:tc>
        <w:tc>
          <w:tcPr>
            <w:tcW w:w="30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w:t>
            </w:r>
          </w:p>
        </w:tc>
      </w:tr>
      <w:tr>
        <w:trPr>
          <w:trHeight w:val="243"/>
        </w:trPr>
        <w:tc>
          <w:tcPr>
            <w:tcW w:w="898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$ 310</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$ 408</w:t>
            </w:r>
          </w:p>
        </w:tc>
      </w:tr>
      <w:tr>
        <w:trPr>
          <w:trHeight w:val="20"/>
        </w:trPr>
        <w:tc>
          <w:tcPr>
            <w:tcW w:w="8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21. Pension and Other Postretirement Benefits</w:t>
      </w:r>
    </w:p>
    <w:p>
      <w:pPr>
        <w:spacing w:after="0" w:line="130" w:lineRule="exact"/>
        <w:rPr>
          <w:sz w:val="20"/>
          <w:szCs w:val="20"/>
          <w:color w:val="auto"/>
        </w:rPr>
      </w:pPr>
    </w:p>
    <w:p>
      <w:pPr>
        <w:ind w:right="60" w:firstLine="357"/>
        <w:spacing w:after="0"/>
        <w:rPr>
          <w:sz w:val="20"/>
          <w:szCs w:val="20"/>
          <w:color w:val="auto"/>
        </w:rPr>
      </w:pPr>
      <w:r>
        <w:rPr>
          <w:rFonts w:ascii="Arial" w:cs="Arial" w:eastAsia="Arial" w:hAnsi="Arial"/>
          <w:sz w:val="19"/>
          <w:szCs w:val="19"/>
          <w:color w:val="auto"/>
        </w:rPr>
        <w:t>We sponsor a number of both funded and unfunded U.S. and non-U.S. defined benefit pension plans. Pension benefits for many of our U.S. employees are provided through non-contributory, qualified and non-qualified defined benefit plans. All non-union hourly and salaried employees joining Honeywell for the first time after December 31, 2012, are not eligible to participate in Honeywell’s U.S. defined benefit pension plans. We also sponsor defined benefit pension plans which cover non-U.S. employees who are not U.S. citizens, in certain jurisdictions, principally the UK, Netherlands, Germany, and Canada. Other pension plans outside of the U.S. are not material to the Company either individually or in the aggregate.</w:t>
      </w:r>
    </w:p>
    <w:p>
      <w:pPr>
        <w:spacing w:after="0" w:line="80"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We also sponsor postretirement benefit plans that provide health care benefits and life insurance coverage mainly to U.S. eligible retirees. None of Honeywell’s U.S. employees are eligible for a retiree medical subsidy from the Company. In addition, the vast majority of Honeywell’s U.S. retirees either have no Company subsidy or have a fixed-dollar subsidy amount. This significantly limits our exposure to the impact of future health care cost increases. The retiree medical and life insurance plans are not funded. Claims and expenses are paid from our operating cash flow.</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60" w:firstLine="357"/>
        <w:spacing w:after="0" w:line="246" w:lineRule="auto"/>
        <w:rPr>
          <w:sz w:val="20"/>
          <w:szCs w:val="20"/>
          <w:color w:val="auto"/>
        </w:rPr>
      </w:pPr>
      <w:r>
        <w:rPr>
          <w:rFonts w:ascii="Arial" w:cs="Arial" w:eastAsia="Arial" w:hAnsi="Arial"/>
          <w:sz w:val="19"/>
          <w:szCs w:val="19"/>
          <w:color w:val="auto"/>
        </w:rPr>
        <w:t>The following tables summarize the balance sheet impact, including the benefit obligations, assets and funded status associated with our significant pension and other postretirement benefit plans.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304"/>
              <w:spacing w:after="0"/>
              <w:rPr>
                <w:sz w:val="20"/>
                <w:szCs w:val="20"/>
                <w:color w:val="auto"/>
              </w:rPr>
            </w:pPr>
            <w:r>
              <w:rPr>
                <w:rFonts w:ascii="Arial" w:cs="Arial" w:eastAsia="Arial" w:hAnsi="Arial"/>
                <w:sz w:val="16"/>
                <w:szCs w:val="16"/>
                <w:b w:val="1"/>
                <w:bCs w:val="1"/>
                <w:color w:val="auto"/>
              </w:rPr>
              <w:t>Pension Benefits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524"/>
              <w:spacing w:after="0" w:line="169" w:lineRule="exact"/>
              <w:rPr>
                <w:sz w:val="20"/>
                <w:szCs w:val="20"/>
                <w:color w:val="auto"/>
              </w:rPr>
            </w:pPr>
            <w:r>
              <w:rPr>
                <w:rFonts w:ascii="Arial" w:cs="Arial" w:eastAsia="Arial" w:hAnsi="Arial"/>
                <w:sz w:val="16"/>
                <w:szCs w:val="16"/>
                <w:b w:val="1"/>
                <w:bCs w:val="1"/>
                <w:color w:val="auto"/>
              </w:rPr>
              <w:t>U.S. Plans</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204"/>
              <w:spacing w:after="0" w:line="169" w:lineRule="exact"/>
              <w:rPr>
                <w:sz w:val="20"/>
                <w:szCs w:val="20"/>
                <w:color w:val="auto"/>
              </w:rPr>
            </w:pPr>
            <w:r>
              <w:rPr>
                <w:rFonts w:ascii="Arial" w:cs="Arial" w:eastAsia="Arial" w:hAnsi="Arial"/>
                <w:sz w:val="16"/>
                <w:szCs w:val="16"/>
                <w:b w:val="1"/>
                <w:bCs w:val="1"/>
                <w:color w:val="auto"/>
              </w:rPr>
              <w:t>Non-U.S. Plans</w:t>
            </w:r>
          </w:p>
        </w:tc>
        <w:tc>
          <w:tcPr>
            <w:tcW w:w="0" w:type="dxa"/>
            <w:vAlign w:val="bottom"/>
          </w:tcPr>
          <w:p>
            <w:pPr>
              <w:spacing w:after="0"/>
              <w:rPr>
                <w:sz w:val="1"/>
                <w:szCs w:val="1"/>
                <w:color w:val="auto"/>
              </w:rPr>
            </w:pPr>
          </w:p>
        </w:tc>
      </w:tr>
      <w:tr>
        <w:trPr>
          <w:trHeight w:val="169"/>
        </w:trPr>
        <w:tc>
          <w:tcPr>
            <w:tcW w:w="7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4"/>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0"/>
        </w:trPr>
        <w:tc>
          <w:tcPr>
            <w:tcW w:w="736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Change in benefit obligation:</w:t>
            </w:r>
          </w:p>
        </w:tc>
        <w:tc>
          <w:tcPr>
            <w:tcW w:w="16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360"/>
              <w:spacing w:after="0"/>
              <w:rPr>
                <w:sz w:val="20"/>
                <w:szCs w:val="20"/>
                <w:color w:val="auto"/>
              </w:rPr>
            </w:pPr>
            <w:r>
              <w:rPr>
                <w:rFonts w:ascii="Arial" w:cs="Arial" w:eastAsia="Arial" w:hAnsi="Arial"/>
                <w:sz w:val="19"/>
                <w:szCs w:val="19"/>
                <w:color w:val="auto"/>
              </w:rPr>
              <w:t>Benefit obligation at beginning of year</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18,151</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17,414</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7,019</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6,483</w:t>
            </w:r>
          </w:p>
        </w:tc>
        <w:tc>
          <w:tcPr>
            <w:tcW w:w="0" w:type="dxa"/>
            <w:vAlign w:val="bottom"/>
          </w:tcPr>
          <w:p>
            <w:pPr>
              <w:spacing w:after="0"/>
              <w:rPr>
                <w:sz w:val="1"/>
                <w:szCs w:val="1"/>
                <w:color w:val="auto"/>
              </w:rPr>
            </w:pPr>
          </w:p>
        </w:tc>
      </w:tr>
      <w:tr>
        <w:trPr>
          <w:trHeight w:val="243"/>
        </w:trPr>
        <w:tc>
          <w:tcPr>
            <w:tcW w:w="73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Service cost</w:t>
            </w: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172</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w:t>
            </w:r>
          </w:p>
        </w:tc>
        <w:tc>
          <w:tcPr>
            <w:tcW w:w="0" w:type="dxa"/>
            <w:vAlign w:val="bottom"/>
          </w:tcPr>
          <w:p>
            <w:pPr>
              <w:spacing w:after="0"/>
              <w:rPr>
                <w:sz w:val="1"/>
                <w:szCs w:val="1"/>
                <w:color w:val="auto"/>
              </w:rPr>
            </w:pPr>
          </w:p>
        </w:tc>
      </w:tr>
      <w:tr>
        <w:trPr>
          <w:trHeight w:val="243"/>
        </w:trPr>
        <w:tc>
          <w:tcPr>
            <w:tcW w:w="7360" w:type="dxa"/>
            <w:vAlign w:val="bottom"/>
          </w:tcPr>
          <w:p>
            <w:pPr>
              <w:ind w:left="360"/>
              <w:spacing w:after="0"/>
              <w:rPr>
                <w:sz w:val="20"/>
                <w:szCs w:val="20"/>
                <w:color w:val="auto"/>
              </w:rPr>
            </w:pPr>
            <w:r>
              <w:rPr>
                <w:rFonts w:ascii="Arial" w:cs="Arial" w:eastAsia="Arial" w:hAnsi="Arial"/>
                <w:sz w:val="19"/>
                <w:szCs w:val="19"/>
                <w:color w:val="auto"/>
              </w:rPr>
              <w:t>Interest cost</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573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586</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143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147</w:t>
            </w:r>
          </w:p>
        </w:tc>
        <w:tc>
          <w:tcPr>
            <w:tcW w:w="0" w:type="dxa"/>
            <w:vAlign w:val="bottom"/>
          </w:tcPr>
          <w:p>
            <w:pPr>
              <w:spacing w:after="0"/>
              <w:rPr>
                <w:sz w:val="1"/>
                <w:szCs w:val="1"/>
                <w:color w:val="auto"/>
              </w:rPr>
            </w:pPr>
          </w:p>
        </w:tc>
      </w:tr>
      <w:tr>
        <w:trPr>
          <w:trHeight w:val="243"/>
        </w:trPr>
        <w:tc>
          <w:tcPr>
            <w:tcW w:w="73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Plan amendments</w:t>
            </w: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43"/>
        </w:trPr>
        <w:tc>
          <w:tcPr>
            <w:tcW w:w="7360" w:type="dxa"/>
            <w:vAlign w:val="bottom"/>
          </w:tcPr>
          <w:p>
            <w:pPr>
              <w:ind w:left="360"/>
              <w:spacing w:after="0"/>
              <w:rPr>
                <w:sz w:val="20"/>
                <w:szCs w:val="20"/>
                <w:color w:val="auto"/>
              </w:rPr>
            </w:pPr>
            <w:r>
              <w:rPr>
                <w:rFonts w:ascii="Arial" w:cs="Arial" w:eastAsia="Arial" w:hAnsi="Arial"/>
                <w:sz w:val="19"/>
                <w:szCs w:val="19"/>
                <w:color w:val="auto"/>
              </w:rPr>
              <w:t>Actuarial (gains) losses</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(1,111)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1,234</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(356)</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(24)</w:t>
            </w:r>
          </w:p>
        </w:tc>
        <w:tc>
          <w:tcPr>
            <w:tcW w:w="0" w:type="dxa"/>
            <w:vAlign w:val="bottom"/>
          </w:tcPr>
          <w:p>
            <w:pPr>
              <w:spacing w:after="0"/>
              <w:rPr>
                <w:sz w:val="1"/>
                <w:szCs w:val="1"/>
                <w:color w:val="auto"/>
              </w:rPr>
            </w:pPr>
          </w:p>
        </w:tc>
      </w:tr>
      <w:tr>
        <w:trPr>
          <w:trHeight w:val="243"/>
        </w:trPr>
        <w:tc>
          <w:tcPr>
            <w:tcW w:w="73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Benefits paid</w:t>
            </w: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(1,137)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(1,146)</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(264)</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(253)</w:t>
            </w:r>
          </w:p>
        </w:tc>
        <w:tc>
          <w:tcPr>
            <w:tcW w:w="0" w:type="dxa"/>
            <w:vAlign w:val="bottom"/>
          </w:tcPr>
          <w:p>
            <w:pPr>
              <w:spacing w:after="0"/>
              <w:rPr>
                <w:sz w:val="1"/>
                <w:szCs w:val="1"/>
                <w:color w:val="auto"/>
              </w:rPr>
            </w:pPr>
          </w:p>
        </w:tc>
      </w:tr>
      <w:tr>
        <w:trPr>
          <w:trHeight w:val="243"/>
        </w:trPr>
        <w:tc>
          <w:tcPr>
            <w:tcW w:w="7360" w:type="dxa"/>
            <w:vAlign w:val="bottom"/>
          </w:tcPr>
          <w:p>
            <w:pPr>
              <w:ind w:left="360"/>
              <w:spacing w:after="0"/>
              <w:rPr>
                <w:sz w:val="20"/>
                <w:szCs w:val="20"/>
                <w:color w:val="auto"/>
              </w:rPr>
            </w:pPr>
            <w:r>
              <w:rPr>
                <w:rFonts w:ascii="Arial" w:cs="Arial" w:eastAsia="Arial" w:hAnsi="Arial"/>
                <w:sz w:val="19"/>
                <w:szCs w:val="19"/>
                <w:color w:val="auto"/>
              </w:rPr>
              <w:t>Settlements and curtailments</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(109)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(9)</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73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Foreign currency translation</w:t>
            </w: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(342)</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614</w:t>
            </w:r>
          </w:p>
        </w:tc>
        <w:tc>
          <w:tcPr>
            <w:tcW w:w="0" w:type="dxa"/>
            <w:vAlign w:val="bottom"/>
          </w:tcPr>
          <w:p>
            <w:pPr>
              <w:spacing w:after="0"/>
              <w:rPr>
                <w:sz w:val="1"/>
                <w:szCs w:val="1"/>
                <w:color w:val="auto"/>
              </w:rPr>
            </w:pPr>
          </w:p>
        </w:tc>
      </w:tr>
      <w:tr>
        <w:trPr>
          <w:trHeight w:val="250"/>
        </w:trPr>
        <w:tc>
          <w:tcPr>
            <w:tcW w:w="7360" w:type="dxa"/>
            <w:vAlign w:val="bottom"/>
          </w:tcPr>
          <w:p>
            <w:pPr>
              <w:ind w:left="360"/>
              <w:spacing w:after="0"/>
              <w:rPr>
                <w:sz w:val="20"/>
                <w:szCs w:val="20"/>
                <w:color w:val="auto"/>
              </w:rPr>
            </w:pPr>
            <w:r>
              <w:rPr>
                <w:rFonts w:ascii="Arial" w:cs="Arial" w:eastAsia="Arial" w:hAnsi="Arial"/>
                <w:sz w:val="19"/>
                <w:szCs w:val="19"/>
                <w:color w:val="auto"/>
              </w:rPr>
              <w:t>Other</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(475)</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43"/>
        </w:trPr>
        <w:tc>
          <w:tcPr>
            <w:tcW w:w="73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Benefit obligation at end of year</w:t>
            </w: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16,141</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18,151</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6,182</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7,019</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9"/>
                <w:szCs w:val="19"/>
                <w:color w:val="auto"/>
              </w:rPr>
              <w:t>Change in plan assets:</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Fair value of plan assets at beginning of year</w:t>
            </w: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18,985</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16,814</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7,151</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6,120</w:t>
            </w:r>
          </w:p>
        </w:tc>
        <w:tc>
          <w:tcPr>
            <w:tcW w:w="0" w:type="dxa"/>
            <w:vAlign w:val="bottom"/>
          </w:tcPr>
          <w:p>
            <w:pPr>
              <w:spacing w:after="0"/>
              <w:rPr>
                <w:sz w:val="1"/>
                <w:szCs w:val="1"/>
                <w:color w:val="auto"/>
              </w:rPr>
            </w:pPr>
          </w:p>
        </w:tc>
      </w:tr>
      <w:tr>
        <w:trPr>
          <w:trHeight w:val="243"/>
        </w:trPr>
        <w:tc>
          <w:tcPr>
            <w:tcW w:w="7360" w:type="dxa"/>
            <w:vAlign w:val="bottom"/>
          </w:tcPr>
          <w:p>
            <w:pPr>
              <w:ind w:left="360"/>
              <w:spacing w:after="0"/>
              <w:rPr>
                <w:sz w:val="20"/>
                <w:szCs w:val="20"/>
                <w:color w:val="auto"/>
              </w:rPr>
            </w:pPr>
            <w:r>
              <w:rPr>
                <w:rFonts w:ascii="Arial" w:cs="Arial" w:eastAsia="Arial" w:hAnsi="Arial"/>
                <w:sz w:val="19"/>
                <w:szCs w:val="19"/>
                <w:color w:val="auto"/>
              </w:rPr>
              <w:t>Actual return on plan assets</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(303)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3,287</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(173)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539</w:t>
            </w:r>
          </w:p>
        </w:tc>
        <w:tc>
          <w:tcPr>
            <w:tcW w:w="0" w:type="dxa"/>
            <w:vAlign w:val="bottom"/>
          </w:tcPr>
          <w:p>
            <w:pPr>
              <w:spacing w:after="0"/>
              <w:rPr>
                <w:sz w:val="1"/>
                <w:szCs w:val="1"/>
                <w:color w:val="auto"/>
              </w:rPr>
            </w:pPr>
          </w:p>
        </w:tc>
      </w:tr>
      <w:tr>
        <w:trPr>
          <w:trHeight w:val="243"/>
        </w:trPr>
        <w:tc>
          <w:tcPr>
            <w:tcW w:w="73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Company contributions</w:t>
            </w: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139</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137</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161</w:t>
            </w:r>
          </w:p>
        </w:tc>
        <w:tc>
          <w:tcPr>
            <w:tcW w:w="0" w:type="dxa"/>
            <w:vAlign w:val="bottom"/>
          </w:tcPr>
          <w:p>
            <w:pPr>
              <w:spacing w:after="0"/>
              <w:rPr>
                <w:sz w:val="1"/>
                <w:szCs w:val="1"/>
                <w:color w:val="auto"/>
              </w:rPr>
            </w:pPr>
          </w:p>
        </w:tc>
      </w:tr>
      <w:tr>
        <w:trPr>
          <w:trHeight w:val="243"/>
        </w:trPr>
        <w:tc>
          <w:tcPr>
            <w:tcW w:w="7360" w:type="dxa"/>
            <w:vAlign w:val="bottom"/>
          </w:tcPr>
          <w:p>
            <w:pPr>
              <w:ind w:left="360"/>
              <w:spacing w:after="0"/>
              <w:rPr>
                <w:sz w:val="20"/>
                <w:szCs w:val="20"/>
                <w:color w:val="auto"/>
              </w:rPr>
            </w:pPr>
            <w:r>
              <w:rPr>
                <w:rFonts w:ascii="Arial" w:cs="Arial" w:eastAsia="Arial" w:hAnsi="Arial"/>
                <w:sz w:val="19"/>
                <w:szCs w:val="19"/>
                <w:color w:val="auto"/>
              </w:rPr>
              <w:t>Benefits paid</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(1,137)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(1,146)</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(264)</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(253)</w:t>
            </w:r>
          </w:p>
        </w:tc>
        <w:tc>
          <w:tcPr>
            <w:tcW w:w="0" w:type="dxa"/>
            <w:vAlign w:val="bottom"/>
          </w:tcPr>
          <w:p>
            <w:pPr>
              <w:spacing w:after="0"/>
              <w:rPr>
                <w:sz w:val="1"/>
                <w:szCs w:val="1"/>
                <w:color w:val="auto"/>
              </w:rPr>
            </w:pPr>
          </w:p>
        </w:tc>
      </w:tr>
      <w:tr>
        <w:trPr>
          <w:trHeight w:val="243"/>
        </w:trPr>
        <w:tc>
          <w:tcPr>
            <w:tcW w:w="73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Settlements and curtailments</w:t>
            </w: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(109)</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7360" w:type="dxa"/>
            <w:vAlign w:val="bottom"/>
          </w:tcPr>
          <w:p>
            <w:pPr>
              <w:ind w:left="360"/>
              <w:spacing w:after="0"/>
              <w:rPr>
                <w:sz w:val="20"/>
                <w:szCs w:val="20"/>
                <w:color w:val="auto"/>
              </w:rPr>
            </w:pPr>
            <w:r>
              <w:rPr>
                <w:rFonts w:ascii="Arial" w:cs="Arial" w:eastAsia="Arial" w:hAnsi="Arial"/>
                <w:sz w:val="19"/>
                <w:szCs w:val="19"/>
                <w:color w:val="auto"/>
              </w:rPr>
              <w:t>Foreign currency translation</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(378)</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569</w:t>
            </w:r>
          </w:p>
        </w:tc>
        <w:tc>
          <w:tcPr>
            <w:tcW w:w="0" w:type="dxa"/>
            <w:vAlign w:val="bottom"/>
          </w:tcPr>
          <w:p>
            <w:pPr>
              <w:spacing w:after="0"/>
              <w:rPr>
                <w:sz w:val="1"/>
                <w:szCs w:val="1"/>
                <w:color w:val="auto"/>
              </w:rPr>
            </w:pPr>
          </w:p>
        </w:tc>
      </w:tr>
      <w:tr>
        <w:trPr>
          <w:trHeight w:val="243"/>
        </w:trPr>
        <w:tc>
          <w:tcPr>
            <w:tcW w:w="73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Other</w:t>
            </w: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(470)</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57"/>
        </w:trPr>
        <w:tc>
          <w:tcPr>
            <w:tcW w:w="7360" w:type="dxa"/>
            <w:vAlign w:val="bottom"/>
          </w:tcPr>
          <w:p>
            <w:pPr>
              <w:ind w:left="360"/>
              <w:spacing w:after="0"/>
              <w:rPr>
                <w:sz w:val="20"/>
                <w:szCs w:val="20"/>
                <w:color w:val="auto"/>
              </w:rPr>
            </w:pPr>
            <w:r>
              <w:rPr>
                <w:rFonts w:ascii="Arial" w:cs="Arial" w:eastAsia="Arial" w:hAnsi="Arial"/>
                <w:sz w:val="19"/>
                <w:szCs w:val="19"/>
                <w:color w:val="auto"/>
              </w:rPr>
              <w:t>Fair value of plan assets at end of year</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17,109</w:t>
            </w: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18,985</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6,481</w:t>
            </w:r>
          </w:p>
        </w:tc>
        <w:tc>
          <w:tcPr>
            <w:tcW w:w="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7,151</w:t>
            </w:r>
          </w:p>
        </w:tc>
        <w:tc>
          <w:tcPr>
            <w:tcW w:w="0" w:type="dxa"/>
            <w:vAlign w:val="bottom"/>
          </w:tcPr>
          <w:p>
            <w:pPr>
              <w:spacing w:after="0"/>
              <w:rPr>
                <w:sz w:val="1"/>
                <w:szCs w:val="1"/>
                <w:color w:val="auto"/>
              </w:rPr>
            </w:pPr>
          </w:p>
        </w:tc>
      </w:tr>
      <w:tr>
        <w:trPr>
          <w:trHeight w:val="243"/>
        </w:trPr>
        <w:tc>
          <w:tcPr>
            <w:tcW w:w="7360" w:type="dxa"/>
            <w:vAlign w:val="bottom"/>
            <w:shd w:val="clear" w:color="auto" w:fill="E5FFFF"/>
          </w:tcPr>
          <w:p>
            <w:pPr>
              <w:spacing w:after="0"/>
              <w:rPr>
                <w:sz w:val="20"/>
                <w:szCs w:val="20"/>
                <w:color w:val="auto"/>
              </w:rPr>
            </w:pPr>
            <w:r>
              <w:rPr>
                <w:rFonts w:ascii="Arial" w:cs="Arial" w:eastAsia="Arial" w:hAnsi="Arial"/>
                <w:sz w:val="19"/>
                <w:szCs w:val="19"/>
                <w:color w:val="auto"/>
              </w:rPr>
              <w:t>Funded status of plans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968</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834</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299</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132</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9"/>
                <w:szCs w:val="19"/>
                <w:color w:val="auto"/>
              </w:rPr>
              <w:t>Amounts recognized in Consolidated Balance Sheet consist of:</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Prepaid pension benefit cost</w:t>
            </w:r>
            <w:r>
              <w:rPr>
                <w:rFonts w:ascii="Arial" w:cs="Arial" w:eastAsia="Arial" w:hAnsi="Arial"/>
                <w:sz w:val="10"/>
                <w:szCs w:val="10"/>
                <w:color w:val="auto"/>
              </w:rPr>
              <w:t>(1)</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1,295</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1,205</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1,094</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944</w:t>
            </w:r>
          </w:p>
        </w:tc>
        <w:tc>
          <w:tcPr>
            <w:tcW w:w="0" w:type="dxa"/>
            <w:vAlign w:val="bottom"/>
          </w:tcPr>
          <w:p>
            <w:pPr>
              <w:spacing w:after="0"/>
              <w:rPr>
                <w:sz w:val="1"/>
                <w:szCs w:val="1"/>
                <w:color w:val="auto"/>
              </w:rPr>
            </w:pPr>
          </w:p>
        </w:tc>
      </w:tr>
      <w:tr>
        <w:trPr>
          <w:trHeight w:val="243"/>
        </w:trPr>
        <w:tc>
          <w:tcPr>
            <w:tcW w:w="7360" w:type="dxa"/>
            <w:vAlign w:val="bottom"/>
          </w:tcPr>
          <w:p>
            <w:pPr>
              <w:ind w:left="360"/>
              <w:spacing w:after="0"/>
              <w:rPr>
                <w:sz w:val="20"/>
                <w:szCs w:val="20"/>
                <w:color w:val="auto"/>
              </w:rPr>
            </w:pPr>
            <w:r>
              <w:rPr>
                <w:rFonts w:ascii="Arial" w:cs="Arial" w:eastAsia="Arial" w:hAnsi="Arial"/>
                <w:sz w:val="19"/>
                <w:szCs w:val="19"/>
                <w:color w:val="auto"/>
              </w:rPr>
              <w:t>Accrued pension liabilities—current</w:t>
            </w:r>
            <w:r>
              <w:rPr>
                <w:rFonts w:ascii="Arial" w:cs="Arial" w:eastAsia="Arial" w:hAnsi="Arial"/>
                <w:sz w:val="10"/>
                <w:szCs w:val="10"/>
                <w:color w:val="auto"/>
              </w:rPr>
              <w:t>(2)</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(27)</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(12)</w:t>
            </w:r>
          </w:p>
        </w:tc>
        <w:tc>
          <w:tcPr>
            <w:tcW w:w="0" w:type="dxa"/>
            <w:vAlign w:val="bottom"/>
          </w:tcPr>
          <w:p>
            <w:pPr>
              <w:spacing w:after="0"/>
              <w:rPr>
                <w:sz w:val="1"/>
                <w:szCs w:val="1"/>
                <w:color w:val="auto"/>
              </w:rPr>
            </w:pPr>
          </w:p>
        </w:tc>
      </w:tr>
      <w:tr>
        <w:trPr>
          <w:trHeight w:val="243"/>
        </w:trPr>
        <w:tc>
          <w:tcPr>
            <w:tcW w:w="73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Accrued pension liabilities—noncurrent</w:t>
            </w:r>
            <w:r>
              <w:rPr>
                <w:rFonts w:ascii="Arial" w:cs="Arial" w:eastAsia="Arial" w:hAnsi="Arial"/>
                <w:sz w:val="10"/>
                <w:szCs w:val="10"/>
                <w:color w:val="auto"/>
              </w:rPr>
              <w:t>(3)</w:t>
            </w: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(300)</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(344)</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(783)</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(800)</w:t>
            </w:r>
          </w:p>
        </w:tc>
        <w:tc>
          <w:tcPr>
            <w:tcW w:w="0" w:type="dxa"/>
            <w:vAlign w:val="bottom"/>
          </w:tcPr>
          <w:p>
            <w:pPr>
              <w:spacing w:after="0"/>
              <w:rPr>
                <w:sz w:val="1"/>
                <w:szCs w:val="1"/>
                <w:color w:val="auto"/>
              </w:rPr>
            </w:pPr>
          </w:p>
        </w:tc>
      </w:tr>
      <w:tr>
        <w:trPr>
          <w:trHeight w:val="250"/>
        </w:trPr>
        <w:tc>
          <w:tcPr>
            <w:tcW w:w="7360" w:type="dxa"/>
            <w:vAlign w:val="bottom"/>
          </w:tcPr>
          <w:p>
            <w:pPr>
              <w:spacing w:after="0"/>
              <w:rPr>
                <w:sz w:val="20"/>
                <w:szCs w:val="20"/>
                <w:color w:val="auto"/>
              </w:rPr>
            </w:pPr>
            <w:r>
              <w:rPr>
                <w:rFonts w:ascii="Arial" w:cs="Arial" w:eastAsia="Arial" w:hAnsi="Arial"/>
                <w:sz w:val="19"/>
                <w:szCs w:val="19"/>
                <w:color w:val="auto"/>
              </w:rPr>
              <w:t>Net amount recognized</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968</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834</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299</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132</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Included in Other assets on Consolidated Balance Sheet</w:t>
      </w:r>
    </w:p>
    <w:p>
      <w:pPr>
        <w:spacing w:after="0" w:line="92" w:lineRule="exact"/>
        <w:rPr>
          <w:sz w:val="20"/>
          <w:szCs w:val="20"/>
          <w:color w:val="auto"/>
        </w:rPr>
      </w:pPr>
    </w:p>
    <w:p>
      <w:pPr>
        <w:ind w:left="80"/>
        <w:spacing w:after="0"/>
        <w:rPr>
          <w:sz w:val="20"/>
          <w:szCs w:val="20"/>
          <w:color w:val="auto"/>
        </w:rPr>
      </w:pPr>
      <w:r>
        <w:rPr>
          <w:rFonts w:ascii="Arial" w:cs="Arial" w:eastAsia="Arial" w:hAnsi="Arial"/>
          <w:sz w:val="19"/>
          <w:szCs w:val="19"/>
          <w:color w:val="auto"/>
        </w:rPr>
        <w:t>(2) Included in Accrued liabilities on Consolidated Balance Sheet</w:t>
      </w:r>
    </w:p>
    <w:p>
      <w:pPr>
        <w:spacing w:after="0" w:line="92" w:lineRule="exact"/>
        <w:rPr>
          <w:sz w:val="20"/>
          <w:szCs w:val="20"/>
          <w:color w:val="auto"/>
        </w:rPr>
      </w:pPr>
    </w:p>
    <w:p>
      <w:pPr>
        <w:ind w:left="80"/>
        <w:spacing w:after="0"/>
        <w:rPr>
          <w:sz w:val="20"/>
          <w:szCs w:val="20"/>
          <w:color w:val="auto"/>
        </w:rPr>
      </w:pPr>
      <w:r>
        <w:rPr>
          <w:rFonts w:ascii="Arial" w:cs="Arial" w:eastAsia="Arial" w:hAnsi="Arial"/>
          <w:sz w:val="19"/>
          <w:szCs w:val="19"/>
          <w:color w:val="auto"/>
        </w:rPr>
        <w:t>(3) Included in Other liabilities on Consolidated Balance Sheet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tbl>
      <w:tblPr>
        <w:tblLayout w:type="fixed"/>
        <w:tblInd w:w="500" w:type="dxa"/>
        <w:tblCellMar>
          <w:top w:w="0" w:type="dxa"/>
          <w:left w:w="0" w:type="dxa"/>
          <w:bottom w:w="0" w:type="dxa"/>
          <w:right w:w="0" w:type="dxa"/>
        </w:tblCellMar>
      </w:tblPr>
      <w:tr>
        <w:trPr>
          <w:trHeight w:val="174"/>
        </w:trPr>
        <w:tc>
          <w:tcPr>
            <w:tcW w:w="8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left="287"/>
              <w:spacing w:after="0" w:line="175" w:lineRule="exact"/>
              <w:rPr>
                <w:sz w:val="20"/>
                <w:szCs w:val="20"/>
                <w:color w:val="auto"/>
              </w:rPr>
            </w:pPr>
            <w:r>
              <w:rPr>
                <w:rFonts w:ascii="Arial" w:cs="Arial" w:eastAsia="Arial" w:hAnsi="Arial"/>
                <w:sz w:val="16"/>
                <w:szCs w:val="16"/>
                <w:b w:val="1"/>
                <w:bCs w:val="1"/>
                <w:color w:val="auto"/>
                <w:w w:val="98"/>
              </w:rPr>
              <w:t>Other</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4"/>
          </w:tcPr>
          <w:p>
            <w:pPr>
              <w:jc w:val="center"/>
              <w:ind w:right="44"/>
              <w:spacing w:after="0" w:line="176" w:lineRule="exact"/>
              <w:rPr>
                <w:sz w:val="20"/>
                <w:szCs w:val="20"/>
                <w:color w:val="auto"/>
              </w:rPr>
            </w:pPr>
            <w:r>
              <w:rPr>
                <w:rFonts w:ascii="Arial" w:cs="Arial" w:eastAsia="Arial" w:hAnsi="Arial"/>
                <w:sz w:val="16"/>
                <w:szCs w:val="16"/>
                <w:b w:val="1"/>
                <w:bCs w:val="1"/>
                <w:color w:val="auto"/>
                <w:w w:val="97"/>
              </w:rPr>
              <w:t>Postretirement</w:t>
            </w:r>
          </w:p>
        </w:tc>
        <w:tc>
          <w:tcPr>
            <w:tcW w:w="0" w:type="dxa"/>
            <w:vAlign w:val="bottom"/>
          </w:tcPr>
          <w:p>
            <w:pPr>
              <w:spacing w:after="0"/>
              <w:rPr>
                <w:sz w:val="1"/>
                <w:szCs w:val="1"/>
                <w:color w:val="auto"/>
              </w:rPr>
            </w:pPr>
          </w:p>
        </w:tc>
      </w:tr>
      <w:tr>
        <w:trPr>
          <w:trHeight w:val="190"/>
        </w:trPr>
        <w:tc>
          <w:tcPr>
            <w:tcW w:w="8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87"/>
              <w:spacing w:after="0"/>
              <w:rPr>
                <w:sz w:val="20"/>
                <w:szCs w:val="20"/>
                <w:color w:val="auto"/>
              </w:rPr>
            </w:pPr>
            <w:r>
              <w:rPr>
                <w:rFonts w:ascii="Arial" w:cs="Arial" w:eastAsia="Arial" w:hAnsi="Arial"/>
                <w:sz w:val="16"/>
                <w:szCs w:val="16"/>
                <w:b w:val="1"/>
                <w:bCs w:val="1"/>
                <w:color w:val="auto"/>
                <w:w w:val="98"/>
              </w:rPr>
              <w:t>Benefits</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6"/>
                <w:szCs w:val="16"/>
                <w:b w:val="1"/>
                <w:bCs w:val="1"/>
                <w:color w:val="auto"/>
                <w:w w:val="95"/>
              </w:rPr>
              <w:t>2018</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4"/>
              <w:spacing w:after="0" w:line="169" w:lineRule="exact"/>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210"/>
        </w:trPr>
        <w:tc>
          <w:tcPr>
            <w:tcW w:w="87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Change in benefit obligation:</w:t>
            </w:r>
          </w:p>
        </w:tc>
        <w:tc>
          <w:tcPr>
            <w:tcW w:w="14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740" w:type="dxa"/>
            <w:vAlign w:val="bottom"/>
          </w:tcPr>
          <w:p>
            <w:pPr>
              <w:ind w:left="360"/>
              <w:spacing w:after="0"/>
              <w:rPr>
                <w:sz w:val="20"/>
                <w:szCs w:val="20"/>
                <w:color w:val="auto"/>
              </w:rPr>
            </w:pPr>
            <w:r>
              <w:rPr>
                <w:rFonts w:ascii="Arial" w:cs="Arial" w:eastAsia="Arial" w:hAnsi="Arial"/>
                <w:sz w:val="19"/>
                <w:szCs w:val="19"/>
                <w:color w:val="auto"/>
              </w:rPr>
              <w:t>Benefit obligation at beginning of year</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530</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520" w:type="dxa"/>
            <w:vAlign w:val="bottom"/>
          </w:tcPr>
          <w:p>
            <w:pPr>
              <w:jc w:val="right"/>
              <w:ind w:right="4"/>
              <w:spacing w:after="0"/>
              <w:rPr>
                <w:sz w:val="20"/>
                <w:szCs w:val="20"/>
                <w:color w:val="auto"/>
              </w:rPr>
            </w:pPr>
            <w:r>
              <w:rPr>
                <w:rFonts w:ascii="Arial" w:cs="Arial" w:eastAsia="Arial" w:hAnsi="Arial"/>
                <w:sz w:val="19"/>
                <w:szCs w:val="19"/>
                <w:color w:val="auto"/>
              </w:rPr>
              <w:t>492</w:t>
            </w:r>
          </w:p>
        </w:tc>
        <w:tc>
          <w:tcPr>
            <w:tcW w:w="0" w:type="dxa"/>
            <w:vAlign w:val="bottom"/>
          </w:tcPr>
          <w:p>
            <w:pPr>
              <w:spacing w:after="0"/>
              <w:rPr>
                <w:sz w:val="1"/>
                <w:szCs w:val="1"/>
                <w:color w:val="auto"/>
              </w:rPr>
            </w:pPr>
          </w:p>
        </w:tc>
      </w:tr>
      <w:tr>
        <w:trPr>
          <w:trHeight w:val="243"/>
        </w:trPr>
        <w:tc>
          <w:tcPr>
            <w:tcW w:w="8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Service cost</w:t>
            </w:r>
          </w:p>
        </w:tc>
        <w:tc>
          <w:tcPr>
            <w:tcW w:w="14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8740" w:type="dxa"/>
            <w:vAlign w:val="bottom"/>
          </w:tcPr>
          <w:p>
            <w:pPr>
              <w:ind w:left="360"/>
              <w:spacing w:after="0"/>
              <w:rPr>
                <w:sz w:val="20"/>
                <w:szCs w:val="20"/>
                <w:color w:val="auto"/>
              </w:rPr>
            </w:pPr>
            <w:r>
              <w:rPr>
                <w:rFonts w:ascii="Arial" w:cs="Arial" w:eastAsia="Arial" w:hAnsi="Arial"/>
                <w:sz w:val="19"/>
                <w:szCs w:val="19"/>
                <w:color w:val="auto"/>
              </w:rPr>
              <w:t>Interest cost</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15</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ind w:right="4"/>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243"/>
        </w:trPr>
        <w:tc>
          <w:tcPr>
            <w:tcW w:w="8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Plan amendments</w:t>
            </w:r>
          </w:p>
        </w:tc>
        <w:tc>
          <w:tcPr>
            <w:tcW w:w="14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91</w:t>
            </w:r>
          </w:p>
        </w:tc>
        <w:tc>
          <w:tcPr>
            <w:tcW w:w="0" w:type="dxa"/>
            <w:vAlign w:val="bottom"/>
          </w:tcPr>
          <w:p>
            <w:pPr>
              <w:spacing w:after="0"/>
              <w:rPr>
                <w:sz w:val="1"/>
                <w:szCs w:val="1"/>
                <w:color w:val="auto"/>
              </w:rPr>
            </w:pPr>
          </w:p>
        </w:tc>
      </w:tr>
      <w:tr>
        <w:trPr>
          <w:trHeight w:val="243"/>
        </w:trPr>
        <w:tc>
          <w:tcPr>
            <w:tcW w:w="8740" w:type="dxa"/>
            <w:vAlign w:val="bottom"/>
          </w:tcPr>
          <w:p>
            <w:pPr>
              <w:ind w:left="360"/>
              <w:spacing w:after="0"/>
              <w:rPr>
                <w:sz w:val="20"/>
                <w:szCs w:val="20"/>
                <w:color w:val="auto"/>
              </w:rPr>
            </w:pPr>
            <w:r>
              <w:rPr>
                <w:rFonts w:ascii="Arial" w:cs="Arial" w:eastAsia="Arial" w:hAnsi="Arial"/>
                <w:sz w:val="19"/>
                <w:szCs w:val="19"/>
                <w:color w:val="auto"/>
              </w:rPr>
              <w:t>Actuarial (gains) losses</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(110)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43"/>
        </w:trPr>
        <w:tc>
          <w:tcPr>
            <w:tcW w:w="8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Benefits paid</w:t>
            </w:r>
          </w:p>
        </w:tc>
        <w:tc>
          <w:tcPr>
            <w:tcW w:w="14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(37)</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(58)</w:t>
            </w:r>
          </w:p>
        </w:tc>
        <w:tc>
          <w:tcPr>
            <w:tcW w:w="0" w:type="dxa"/>
            <w:vAlign w:val="bottom"/>
          </w:tcPr>
          <w:p>
            <w:pPr>
              <w:spacing w:after="0"/>
              <w:rPr>
                <w:sz w:val="1"/>
                <w:szCs w:val="1"/>
                <w:color w:val="auto"/>
              </w:rPr>
            </w:pPr>
          </w:p>
        </w:tc>
      </w:tr>
      <w:tr>
        <w:trPr>
          <w:trHeight w:val="257"/>
        </w:trPr>
        <w:tc>
          <w:tcPr>
            <w:tcW w:w="8740" w:type="dxa"/>
            <w:vAlign w:val="bottom"/>
          </w:tcPr>
          <w:p>
            <w:pPr>
              <w:ind w:left="360"/>
              <w:spacing w:after="0"/>
              <w:rPr>
                <w:sz w:val="20"/>
                <w:szCs w:val="20"/>
                <w:color w:val="auto"/>
              </w:rPr>
            </w:pPr>
            <w:r>
              <w:rPr>
                <w:rFonts w:ascii="Arial" w:cs="Arial" w:eastAsia="Arial" w:hAnsi="Arial"/>
                <w:sz w:val="19"/>
                <w:szCs w:val="19"/>
                <w:color w:val="auto"/>
              </w:rPr>
              <w:t>Benefit obligation at end of year</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364</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530</w:t>
            </w:r>
          </w:p>
        </w:tc>
        <w:tc>
          <w:tcPr>
            <w:tcW w:w="0" w:type="dxa"/>
            <w:vAlign w:val="bottom"/>
          </w:tcPr>
          <w:p>
            <w:pPr>
              <w:spacing w:after="0"/>
              <w:rPr>
                <w:sz w:val="1"/>
                <w:szCs w:val="1"/>
                <w:color w:val="auto"/>
              </w:rPr>
            </w:pPr>
          </w:p>
        </w:tc>
      </w:tr>
      <w:tr>
        <w:trPr>
          <w:trHeight w:val="216"/>
        </w:trPr>
        <w:tc>
          <w:tcPr>
            <w:tcW w:w="874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Change in plan assets:</w:t>
            </w:r>
          </w:p>
        </w:tc>
        <w:tc>
          <w:tcPr>
            <w:tcW w:w="14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740" w:type="dxa"/>
            <w:vAlign w:val="bottom"/>
          </w:tcPr>
          <w:p>
            <w:pPr>
              <w:ind w:left="360"/>
              <w:spacing w:after="0"/>
              <w:rPr>
                <w:sz w:val="20"/>
                <w:szCs w:val="20"/>
                <w:color w:val="auto"/>
              </w:rPr>
            </w:pPr>
            <w:r>
              <w:rPr>
                <w:rFonts w:ascii="Arial" w:cs="Arial" w:eastAsia="Arial" w:hAnsi="Arial"/>
                <w:sz w:val="19"/>
                <w:szCs w:val="19"/>
                <w:color w:val="auto"/>
              </w:rPr>
              <w:t>Fair value of plan assets at beginning of year</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8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Actual return on plan assets</w:t>
            </w:r>
          </w:p>
        </w:tc>
        <w:tc>
          <w:tcPr>
            <w:tcW w:w="14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8740" w:type="dxa"/>
            <w:vAlign w:val="bottom"/>
          </w:tcPr>
          <w:p>
            <w:pPr>
              <w:ind w:left="360"/>
              <w:spacing w:after="0"/>
              <w:rPr>
                <w:sz w:val="20"/>
                <w:szCs w:val="20"/>
                <w:color w:val="auto"/>
              </w:rPr>
            </w:pPr>
            <w:r>
              <w:rPr>
                <w:rFonts w:ascii="Arial" w:cs="Arial" w:eastAsia="Arial" w:hAnsi="Arial"/>
                <w:sz w:val="19"/>
                <w:szCs w:val="19"/>
                <w:color w:val="auto"/>
              </w:rPr>
              <w:t>Company contributions</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8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Benefits paid</w:t>
            </w:r>
          </w:p>
        </w:tc>
        <w:tc>
          <w:tcPr>
            <w:tcW w:w="14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7"/>
        </w:trPr>
        <w:tc>
          <w:tcPr>
            <w:tcW w:w="8740" w:type="dxa"/>
            <w:vAlign w:val="bottom"/>
          </w:tcPr>
          <w:p>
            <w:pPr>
              <w:ind w:left="360"/>
              <w:spacing w:after="0"/>
              <w:rPr>
                <w:sz w:val="20"/>
                <w:szCs w:val="20"/>
                <w:color w:val="auto"/>
              </w:rPr>
            </w:pPr>
            <w:r>
              <w:rPr>
                <w:rFonts w:ascii="Arial" w:cs="Arial" w:eastAsia="Arial" w:hAnsi="Arial"/>
                <w:sz w:val="19"/>
                <w:szCs w:val="19"/>
                <w:color w:val="auto"/>
              </w:rPr>
              <w:t>Fair value of plan assets at end of year</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874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Funded status of plans</w:t>
            </w:r>
          </w:p>
        </w:tc>
        <w:tc>
          <w:tcPr>
            <w:tcW w:w="14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w w:val="94"/>
              </w:rPr>
              <w:t>$</w:t>
            </w:r>
          </w:p>
        </w:tc>
        <w:tc>
          <w:tcPr>
            <w:tcW w:w="5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(364)</w:t>
            </w:r>
          </w:p>
        </w:tc>
        <w:tc>
          <w:tcPr>
            <w:tcW w:w="480" w:type="dxa"/>
            <w:vAlign w:val="bottom"/>
            <w:gridSpan w:val="2"/>
            <w:shd w:val="clear" w:color="auto" w:fill="E5FFFF"/>
          </w:tcPr>
          <w:p>
            <w:pPr>
              <w:jc w:val="right"/>
              <w:ind w:right="60"/>
              <w:spacing w:after="0" w:line="216" w:lineRule="exact"/>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(530)</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9"/>
                <w:szCs w:val="19"/>
                <w:color w:val="auto"/>
              </w:rPr>
              <w:t>Amounts recognized in Consolidated Balance Sheet consist of:</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E5FFFF"/>
          </w:tcPr>
          <w:p>
            <w:pPr>
              <w:ind w:left="360"/>
              <w:spacing w:after="0" w:line="216" w:lineRule="exact"/>
              <w:rPr>
                <w:sz w:val="20"/>
                <w:szCs w:val="20"/>
                <w:color w:val="auto"/>
              </w:rPr>
            </w:pPr>
            <w:r>
              <w:rPr>
                <w:rFonts w:ascii="Arial" w:cs="Arial" w:eastAsia="Arial" w:hAnsi="Arial"/>
                <w:sz w:val="19"/>
                <w:szCs w:val="19"/>
                <w:color w:val="auto"/>
              </w:rPr>
              <w:t>Accrued liabilities</w:t>
            </w:r>
          </w:p>
        </w:tc>
        <w:tc>
          <w:tcPr>
            <w:tcW w:w="14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w w:val="94"/>
              </w:rPr>
              <w:t>$</w:t>
            </w:r>
          </w:p>
        </w:tc>
        <w:tc>
          <w:tcPr>
            <w:tcW w:w="5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(62)</w:t>
            </w:r>
          </w:p>
        </w:tc>
        <w:tc>
          <w:tcPr>
            <w:tcW w:w="480" w:type="dxa"/>
            <w:vAlign w:val="bottom"/>
            <w:gridSpan w:val="2"/>
            <w:shd w:val="clear" w:color="auto" w:fill="E5FFFF"/>
          </w:tcPr>
          <w:p>
            <w:pPr>
              <w:jc w:val="right"/>
              <w:ind w:right="60"/>
              <w:spacing w:after="0" w:line="216" w:lineRule="exact"/>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(62)</w:t>
            </w:r>
          </w:p>
        </w:tc>
        <w:tc>
          <w:tcPr>
            <w:tcW w:w="0" w:type="dxa"/>
            <w:vAlign w:val="bottom"/>
          </w:tcPr>
          <w:p>
            <w:pPr>
              <w:spacing w:after="0"/>
              <w:rPr>
                <w:sz w:val="1"/>
                <w:szCs w:val="1"/>
                <w:color w:val="auto"/>
              </w:rPr>
            </w:pPr>
          </w:p>
        </w:tc>
      </w:tr>
      <w:tr>
        <w:trPr>
          <w:trHeight w:val="250"/>
        </w:trPr>
        <w:tc>
          <w:tcPr>
            <w:tcW w:w="8740" w:type="dxa"/>
            <w:vAlign w:val="bottom"/>
          </w:tcPr>
          <w:p>
            <w:pPr>
              <w:ind w:left="360"/>
              <w:spacing w:after="0"/>
              <w:rPr>
                <w:sz w:val="20"/>
                <w:szCs w:val="20"/>
                <w:color w:val="auto"/>
              </w:rPr>
            </w:pPr>
            <w:r>
              <w:rPr>
                <w:rFonts w:ascii="Arial" w:cs="Arial" w:eastAsia="Arial" w:hAnsi="Arial"/>
                <w:sz w:val="19"/>
                <w:szCs w:val="19"/>
                <w:color w:val="auto"/>
              </w:rPr>
              <w:t>Postretirement benefit obligations other than pensions</w:t>
            </w:r>
            <w:r>
              <w:rPr>
                <w:rFonts w:ascii="Arial" w:cs="Arial" w:eastAsia="Arial" w:hAnsi="Arial"/>
                <w:sz w:val="10"/>
                <w:szCs w:val="10"/>
                <w:color w:val="auto"/>
              </w:rPr>
              <w:t>(1)</w:t>
            </w: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(302)</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(468)</w:t>
            </w:r>
          </w:p>
        </w:tc>
        <w:tc>
          <w:tcPr>
            <w:tcW w:w="0" w:type="dxa"/>
            <w:vAlign w:val="bottom"/>
          </w:tcPr>
          <w:p>
            <w:pPr>
              <w:spacing w:after="0"/>
              <w:rPr>
                <w:sz w:val="1"/>
                <w:szCs w:val="1"/>
                <w:color w:val="auto"/>
              </w:rPr>
            </w:pPr>
          </w:p>
        </w:tc>
      </w:tr>
      <w:tr>
        <w:trPr>
          <w:trHeight w:val="216"/>
        </w:trPr>
        <w:tc>
          <w:tcPr>
            <w:tcW w:w="874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Net amount recognized</w:t>
            </w:r>
          </w:p>
        </w:tc>
        <w:tc>
          <w:tcPr>
            <w:tcW w:w="14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w w:val="94"/>
              </w:rPr>
              <w:t>$</w:t>
            </w:r>
          </w:p>
        </w:tc>
        <w:tc>
          <w:tcPr>
            <w:tcW w:w="5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(364)</w:t>
            </w:r>
          </w:p>
        </w:tc>
        <w:tc>
          <w:tcPr>
            <w:tcW w:w="480" w:type="dxa"/>
            <w:vAlign w:val="bottom"/>
            <w:gridSpan w:val="2"/>
            <w:shd w:val="clear" w:color="auto" w:fill="E5FFFF"/>
          </w:tcPr>
          <w:p>
            <w:pPr>
              <w:jc w:val="right"/>
              <w:ind w:right="60"/>
              <w:spacing w:after="0" w:line="216" w:lineRule="exact"/>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(530)</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Excludes non-U.S. plans of $42 million and $44 million in 2018 and 2017.</w:t>
      </w:r>
    </w:p>
    <w:p>
      <w:pPr>
        <w:spacing w:after="0" w:line="106" w:lineRule="exact"/>
        <w:rPr>
          <w:sz w:val="20"/>
          <w:szCs w:val="20"/>
          <w:color w:val="auto"/>
        </w:rPr>
      </w:pPr>
    </w:p>
    <w:p>
      <w:pPr>
        <w:ind w:right="600" w:firstLine="357"/>
        <w:spacing w:after="0" w:line="246" w:lineRule="auto"/>
        <w:rPr>
          <w:sz w:val="20"/>
          <w:szCs w:val="20"/>
          <w:color w:val="auto"/>
        </w:rPr>
      </w:pPr>
      <w:r>
        <w:rPr>
          <w:rFonts w:ascii="Arial" w:cs="Arial" w:eastAsia="Arial" w:hAnsi="Arial"/>
          <w:sz w:val="19"/>
          <w:szCs w:val="19"/>
          <w:color w:val="auto"/>
        </w:rPr>
        <w:t>Amounts recognized in Accumulated other comprehensive (income) loss associated with our significant pension and other postretirement benefit plans at December 31, 2018 and 2017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6"/>
                <w:szCs w:val="16"/>
                <w:b w:val="1"/>
                <w:bCs w:val="1"/>
                <w:color w:val="auto"/>
                <w:w w:val="98"/>
              </w:rPr>
              <w:t>Pension Benefits</w:t>
            </w: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350"/>
              <w:spacing w:after="0" w:line="169" w:lineRule="exact"/>
              <w:rPr>
                <w:sz w:val="20"/>
                <w:szCs w:val="20"/>
                <w:color w:val="auto"/>
              </w:rPr>
            </w:pPr>
            <w:r>
              <w:rPr>
                <w:rFonts w:ascii="Arial" w:cs="Arial" w:eastAsia="Arial" w:hAnsi="Arial"/>
                <w:sz w:val="16"/>
                <w:szCs w:val="16"/>
                <w:b w:val="1"/>
                <w:bCs w:val="1"/>
                <w:color w:val="auto"/>
              </w:rPr>
              <w:t>U.S. Plans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bottom w:val="single" w:sz="8" w:color="auto"/>
            </w:tcBorders>
            <w:gridSpan w:val="5"/>
          </w:tcPr>
          <w:p>
            <w:pPr>
              <w:jc w:val="right"/>
              <w:ind w:right="128"/>
              <w:spacing w:after="0" w:line="169" w:lineRule="exact"/>
              <w:rPr>
                <w:sz w:val="20"/>
                <w:szCs w:val="20"/>
                <w:color w:val="auto"/>
              </w:rPr>
            </w:pPr>
            <w:r>
              <w:rPr>
                <w:rFonts w:ascii="Arial" w:cs="Arial" w:eastAsia="Arial" w:hAnsi="Arial"/>
                <w:sz w:val="16"/>
                <w:szCs w:val="16"/>
                <w:b w:val="1"/>
                <w:bCs w:val="1"/>
                <w:color w:val="auto"/>
              </w:rPr>
              <w:t>Non-U.S. Plans</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0"/>
              <w:spacing w:after="0" w:line="169" w:lineRule="exact"/>
              <w:rPr>
                <w:sz w:val="20"/>
                <w:szCs w:val="20"/>
                <w:color w:val="auto"/>
              </w:rPr>
            </w:pPr>
            <w:r>
              <w:rPr>
                <w:rFonts w:ascii="Arial" w:cs="Arial" w:eastAsia="Arial" w:hAnsi="Arial"/>
                <w:sz w:val="16"/>
                <w:szCs w:val="16"/>
                <w:b w:val="1"/>
                <w:bCs w:val="1"/>
                <w:color w:val="auto"/>
                <w:w w:val="95"/>
              </w:rPr>
              <w:t>2018</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0"/>
              <w:spacing w:after="0" w:line="169" w:lineRule="exact"/>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16"/>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8"/>
              <w:spacing w:after="0" w:line="169" w:lineRule="exact"/>
              <w:rPr>
                <w:sz w:val="20"/>
                <w:szCs w:val="20"/>
                <w:color w:val="auto"/>
              </w:rPr>
            </w:pPr>
            <w:r>
              <w:rPr>
                <w:rFonts w:ascii="Arial" w:cs="Arial" w:eastAsia="Arial" w:hAnsi="Arial"/>
                <w:sz w:val="16"/>
                <w:szCs w:val="16"/>
                <w:b w:val="1"/>
                <w:bCs w:val="1"/>
                <w:color w:val="auto"/>
                <w:w w:val="95"/>
              </w:rPr>
              <w:t>2017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3620" w:type="dxa"/>
            <w:vAlign w:val="bottom"/>
            <w:shd w:val="clear" w:color="auto" w:fill="E5FFFF"/>
          </w:tcPr>
          <w:p>
            <w:pPr>
              <w:spacing w:after="0"/>
              <w:rPr>
                <w:sz w:val="20"/>
                <w:szCs w:val="20"/>
                <w:color w:val="auto"/>
              </w:rPr>
            </w:pPr>
            <w:r>
              <w:rPr>
                <w:rFonts w:ascii="Arial" w:cs="Arial" w:eastAsia="Arial" w:hAnsi="Arial"/>
                <w:sz w:val="19"/>
                <w:szCs w:val="19"/>
                <w:color w:val="auto"/>
              </w:rPr>
              <w:t>Prior service (credit) cost</w:t>
            </w:r>
          </w:p>
        </w:tc>
        <w:tc>
          <w:tcPr>
            <w:tcW w:w="33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(218)</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(268)</w:t>
            </w:r>
          </w:p>
        </w:tc>
        <w:tc>
          <w:tcPr>
            <w:tcW w:w="8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20</w:t>
            </w:r>
          </w:p>
        </w:tc>
        <w:tc>
          <w:tcPr>
            <w:tcW w:w="4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9"/>
                <w:szCs w:val="19"/>
                <w:color w:val="auto"/>
              </w:rPr>
              <w:t>Net actuarial loss</w:t>
            </w:r>
          </w:p>
        </w:tc>
        <w:tc>
          <w:tcPr>
            <w:tcW w:w="3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860</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248</w:t>
            </w:r>
          </w:p>
        </w:tc>
        <w:tc>
          <w:tcPr>
            <w:tcW w:w="300" w:type="dxa"/>
            <w:vAlign w:val="bottom"/>
            <w:gridSpan w:val="2"/>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600</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color w:val="auto"/>
              </w:rPr>
              <w:t>427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620" w:type="dxa"/>
            <w:vAlign w:val="bottom"/>
            <w:shd w:val="clear" w:color="auto" w:fill="E5FFFF"/>
          </w:tcPr>
          <w:p>
            <w:pPr>
              <w:spacing w:after="0"/>
              <w:rPr>
                <w:sz w:val="20"/>
                <w:szCs w:val="20"/>
                <w:color w:val="auto"/>
              </w:rPr>
            </w:pPr>
            <w:r>
              <w:rPr>
                <w:rFonts w:ascii="Arial" w:cs="Arial" w:eastAsia="Arial" w:hAnsi="Arial"/>
                <w:sz w:val="19"/>
                <w:szCs w:val="19"/>
                <w:color w:val="auto"/>
              </w:rPr>
              <w:t>Net amount recognized</w:t>
            </w:r>
          </w:p>
        </w:tc>
        <w:tc>
          <w:tcPr>
            <w:tcW w:w="324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642</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w:t>
            </w:r>
          </w:p>
        </w:tc>
        <w:tc>
          <w:tcPr>
            <w:tcW w:w="300" w:type="dxa"/>
            <w:vAlign w:val="bottom"/>
            <w:gridSpan w:val="2"/>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$ 620</w:t>
            </w:r>
          </w:p>
        </w:tc>
        <w:tc>
          <w:tcPr>
            <w:tcW w:w="340" w:type="dxa"/>
            <w:vAlign w:val="bottom"/>
            <w:gridSpan w:val="2"/>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414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4"/>
          </w:tcPr>
          <w:p>
            <w:pPr>
              <w:jc w:val="center"/>
              <w:ind w:left="356"/>
              <w:spacing w:after="0" w:line="182" w:lineRule="exact"/>
              <w:rPr>
                <w:sz w:val="20"/>
                <w:szCs w:val="20"/>
                <w:color w:val="auto"/>
              </w:rPr>
            </w:pPr>
            <w:r>
              <w:rPr>
                <w:rFonts w:ascii="Arial" w:cs="Arial" w:eastAsia="Arial" w:hAnsi="Arial"/>
                <w:sz w:val="16"/>
                <w:szCs w:val="16"/>
                <w:b w:val="1"/>
                <w:bCs w:val="1"/>
                <w:color w:val="auto"/>
                <w:w w:val="98"/>
              </w:rPr>
              <w:t>Other</w:t>
            </w: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5"/>
          </w:tcPr>
          <w:p>
            <w:pPr>
              <w:jc w:val="center"/>
              <w:spacing w:after="0" w:line="176" w:lineRule="exact"/>
              <w:rPr>
                <w:sz w:val="20"/>
                <w:szCs w:val="20"/>
                <w:color w:val="auto"/>
              </w:rPr>
            </w:pPr>
            <w:r>
              <w:rPr>
                <w:rFonts w:ascii="Arial" w:cs="Arial" w:eastAsia="Arial" w:hAnsi="Arial"/>
                <w:sz w:val="16"/>
                <w:szCs w:val="16"/>
                <w:b w:val="1"/>
                <w:bCs w:val="1"/>
                <w:color w:val="auto"/>
                <w:w w:val="97"/>
              </w:rPr>
              <w:t>Postretirement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center"/>
              <w:ind w:left="356"/>
              <w:spacing w:after="0"/>
              <w:rPr>
                <w:sz w:val="20"/>
                <w:szCs w:val="20"/>
                <w:color w:val="auto"/>
              </w:rPr>
            </w:pPr>
            <w:r>
              <w:rPr>
                <w:rFonts w:ascii="Arial" w:cs="Arial" w:eastAsia="Arial" w:hAnsi="Arial"/>
                <w:sz w:val="16"/>
                <w:szCs w:val="16"/>
                <w:b w:val="1"/>
                <w:bCs w:val="1"/>
                <w:color w:val="auto"/>
                <w:w w:val="98"/>
              </w:rPr>
              <w:t>Benefits</w:t>
            </w:r>
          </w:p>
        </w:tc>
        <w:tc>
          <w:tcPr>
            <w:tcW w:w="52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76"/>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8"/>
              <w:spacing w:after="0" w:line="169" w:lineRule="exact"/>
              <w:rPr>
                <w:sz w:val="20"/>
                <w:szCs w:val="20"/>
                <w:color w:val="auto"/>
              </w:rPr>
            </w:pPr>
            <w:r>
              <w:rPr>
                <w:rFonts w:ascii="Arial" w:cs="Arial" w:eastAsia="Arial" w:hAnsi="Arial"/>
                <w:sz w:val="16"/>
                <w:szCs w:val="16"/>
                <w:b w:val="1"/>
                <w:bCs w:val="1"/>
                <w:color w:val="auto"/>
                <w:w w:val="95"/>
              </w:rPr>
              <w:t>2017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62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Prior service (credit)</w:t>
            </w:r>
          </w:p>
        </w:tc>
        <w:tc>
          <w:tcPr>
            <w:tcW w:w="3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spacing w:after="0" w:line="210" w:lineRule="exact"/>
              <w:rPr>
                <w:sz w:val="20"/>
                <w:szCs w:val="20"/>
                <w:color w:val="auto"/>
              </w:rPr>
            </w:pPr>
            <w:r>
              <w:rPr>
                <w:rFonts w:ascii="Arial" w:cs="Arial" w:eastAsia="Arial" w:hAnsi="Arial"/>
                <w:sz w:val="19"/>
                <w:szCs w:val="19"/>
                <w:color w:val="auto"/>
              </w:rPr>
              <w:t>$ (226)</w:t>
            </w:r>
          </w:p>
        </w:tc>
        <w:tc>
          <w:tcPr>
            <w:tcW w:w="480" w:type="dxa"/>
            <w:vAlign w:val="bottom"/>
            <w:gridSpan w:val="3"/>
            <w:shd w:val="clear" w:color="auto" w:fill="E5FFFF"/>
          </w:tcPr>
          <w:p>
            <w:pPr>
              <w:jc w:val="right"/>
              <w:spacing w:after="0" w:line="210" w:lineRule="exact"/>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(244)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9"/>
                <w:szCs w:val="19"/>
                <w:color w:val="auto"/>
              </w:rPr>
              <w:t>Net actuarial (gain) loss</w:t>
            </w:r>
          </w:p>
        </w:tc>
        <w:tc>
          <w:tcPr>
            <w:tcW w:w="3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(4)</w:t>
            </w:r>
          </w:p>
        </w:tc>
        <w:tc>
          <w:tcPr>
            <w:tcW w:w="3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color w:val="auto"/>
              </w:rPr>
              <w:t>109</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2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Net amount recognized</w:t>
            </w:r>
          </w:p>
        </w:tc>
        <w:tc>
          <w:tcPr>
            <w:tcW w:w="3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spacing w:after="0" w:line="216" w:lineRule="exact"/>
              <w:rPr>
                <w:sz w:val="20"/>
                <w:szCs w:val="20"/>
                <w:color w:val="auto"/>
              </w:rPr>
            </w:pPr>
            <w:r>
              <w:rPr>
                <w:rFonts w:ascii="Arial" w:cs="Arial" w:eastAsia="Arial" w:hAnsi="Arial"/>
                <w:sz w:val="19"/>
                <w:szCs w:val="19"/>
                <w:color w:val="auto"/>
              </w:rPr>
              <w:t>$ (230)</w:t>
            </w:r>
          </w:p>
        </w:tc>
        <w:tc>
          <w:tcPr>
            <w:tcW w:w="480" w:type="dxa"/>
            <w:vAlign w:val="bottom"/>
            <w:gridSpan w:val="3"/>
            <w:shd w:val="clear" w:color="auto" w:fill="E5FFFF"/>
          </w:tcPr>
          <w:p>
            <w:pPr>
              <w:jc w:val="right"/>
              <w:spacing w:after="0" w:line="216" w:lineRule="exact"/>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(135)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40" w:type="dxa"/>
            <w:vAlign w:val="bottom"/>
            <w:vMerge w:val="restart"/>
          </w:tcPr>
          <w:p>
            <w:pPr>
              <w:jc w:val="right"/>
              <w:ind w:right="1443"/>
              <w:spacing w:after="0"/>
              <w:rPr>
                <w:sz w:val="20"/>
                <w:szCs w:val="20"/>
                <w:color w:val="auto"/>
              </w:rPr>
            </w:pPr>
            <w:r>
              <w:rPr>
                <w:rFonts w:ascii="Arial" w:cs="Arial" w:eastAsia="Arial" w:hAnsi="Arial"/>
                <w:sz w:val="19"/>
                <w:szCs w:val="19"/>
                <w:color w:val="auto"/>
              </w:rPr>
              <w:t>83</w:t>
            </w: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220" w:firstLine="357"/>
        <w:spacing w:after="0" w:line="246" w:lineRule="auto"/>
        <w:rPr>
          <w:sz w:val="20"/>
          <w:szCs w:val="20"/>
          <w:color w:val="auto"/>
        </w:rPr>
      </w:pPr>
      <w:r>
        <w:rPr>
          <w:rFonts w:ascii="Arial" w:cs="Arial" w:eastAsia="Arial" w:hAnsi="Arial"/>
          <w:sz w:val="19"/>
          <w:szCs w:val="19"/>
          <w:color w:val="auto"/>
        </w:rPr>
        <w:t>The components of net periodic benefit (income) cost and other amounts recognized in Other comprehensive (income) loss for our significant pension and other postretirement benefit plans include the following components: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10"/>
          </w:tcPr>
          <w:p>
            <w:pPr>
              <w:jc w:val="right"/>
              <w:ind w:right="460"/>
              <w:spacing w:after="0"/>
              <w:rPr>
                <w:sz w:val="20"/>
                <w:szCs w:val="20"/>
                <w:color w:val="auto"/>
              </w:rPr>
            </w:pPr>
            <w:r>
              <w:rPr>
                <w:rFonts w:ascii="Arial" w:cs="Arial" w:eastAsia="Arial" w:hAnsi="Arial"/>
                <w:sz w:val="16"/>
                <w:szCs w:val="16"/>
                <w:b w:val="1"/>
                <w:bCs w:val="1"/>
                <w:color w:val="auto"/>
              </w:rPr>
              <w:t>Pension Benefits</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40" w:type="dxa"/>
            <w:vAlign w:val="bottom"/>
            <w:vMerge w:val="restart"/>
          </w:tcPr>
          <w:p>
            <w:pPr>
              <w:spacing w:after="0"/>
              <w:rPr>
                <w:sz w:val="20"/>
                <w:szCs w:val="20"/>
                <w:color w:val="auto"/>
              </w:rPr>
            </w:pPr>
            <w:r>
              <w:rPr>
                <w:rFonts w:ascii="Arial" w:cs="Arial" w:eastAsia="Arial" w:hAnsi="Arial"/>
                <w:sz w:val="16"/>
                <w:szCs w:val="16"/>
                <w:b w:val="1"/>
                <w:bCs w:val="1"/>
                <w:color w:val="auto"/>
              </w:rPr>
              <w:t>Net Periodic Benefit Cost</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5"/>
          </w:tcPr>
          <w:p>
            <w:pPr>
              <w:ind w:left="20"/>
              <w:spacing w:after="0" w:line="169" w:lineRule="exact"/>
              <w:rPr>
                <w:sz w:val="20"/>
                <w:szCs w:val="20"/>
                <w:color w:val="auto"/>
              </w:rPr>
            </w:pPr>
            <w:r>
              <w:rPr>
                <w:rFonts w:ascii="Arial" w:cs="Arial" w:eastAsia="Arial" w:hAnsi="Arial"/>
                <w:sz w:val="16"/>
                <w:szCs w:val="16"/>
                <w:b w:val="1"/>
                <w:bCs w:val="1"/>
                <w:color w:val="auto"/>
                <w:w w:val="97"/>
              </w:rPr>
              <w:t>U.S. Plans</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6"/>
          </w:tcPr>
          <w:p>
            <w:pPr>
              <w:spacing w:after="0" w:line="169" w:lineRule="exact"/>
              <w:rPr>
                <w:sz w:val="20"/>
                <w:szCs w:val="20"/>
                <w:color w:val="auto"/>
              </w:rPr>
            </w:pPr>
            <w:r>
              <w:rPr>
                <w:rFonts w:ascii="Arial" w:cs="Arial" w:eastAsia="Arial" w:hAnsi="Arial"/>
                <w:sz w:val="16"/>
                <w:szCs w:val="16"/>
                <w:b w:val="1"/>
                <w:bCs w:val="1"/>
                <w:color w:val="auto"/>
              </w:rPr>
              <w:t>Non-U.S. Plans</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4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46"/>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52"/>
              <w:spacing w:after="0" w:line="169" w:lineRule="exact"/>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620" w:type="dxa"/>
            <w:vAlign w:val="bottom"/>
            <w:tcBorders>
              <w:bottom w:val="single" w:sz="8" w:color="auto"/>
            </w:tcBorders>
            <w:gridSpan w:val="2"/>
          </w:tcPr>
          <w:p>
            <w:pPr>
              <w:jc w:val="right"/>
              <w:ind w:right="49"/>
              <w:spacing w:after="0" w:line="169" w:lineRule="exact"/>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gridSpan w:val="3"/>
          </w:tcPr>
          <w:p>
            <w:pPr>
              <w:jc w:val="right"/>
              <w:ind w:right="64"/>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Service cost</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140</w:t>
            </w:r>
          </w:p>
        </w:tc>
        <w:tc>
          <w:tcPr>
            <w:tcW w:w="3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w:t>
            </w: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172</w:t>
            </w:r>
          </w:p>
        </w:tc>
        <w:tc>
          <w:tcPr>
            <w:tcW w:w="46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191</w:t>
            </w:r>
          </w:p>
        </w:tc>
        <w:tc>
          <w:tcPr>
            <w:tcW w:w="18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26</w:t>
            </w:r>
          </w:p>
        </w:tc>
        <w:tc>
          <w:tcPr>
            <w:tcW w:w="60" w:type="dxa"/>
            <w:vAlign w:val="bottom"/>
            <w:shd w:val="clear" w:color="auto" w:fill="E5FFFF"/>
          </w:tcPr>
          <w:p>
            <w:pPr>
              <w:spacing w:after="0"/>
              <w:rPr>
                <w:sz w:val="20"/>
                <w:szCs w:val="20"/>
                <w:color w:val="auto"/>
              </w:rPr>
            </w:pPr>
          </w:p>
        </w:tc>
        <w:tc>
          <w:tcPr>
            <w:tcW w:w="86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  40</w:t>
            </w:r>
          </w:p>
        </w:tc>
        <w:tc>
          <w:tcPr>
            <w:tcW w:w="8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w w:val="94"/>
              </w:rPr>
              <w:t>$</w:t>
            </w:r>
          </w:p>
        </w:tc>
        <w:tc>
          <w:tcPr>
            <w:tcW w:w="4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47</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9"/>
                <w:szCs w:val="19"/>
                <w:color w:val="auto"/>
              </w:rPr>
              <w:t>Interest cost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3"/>
          </w:tcPr>
          <w:p>
            <w:pPr>
              <w:jc w:val="right"/>
              <w:ind w:right="1"/>
              <w:spacing w:after="0"/>
              <w:rPr>
                <w:sz w:val="20"/>
                <w:szCs w:val="20"/>
                <w:color w:val="auto"/>
              </w:rPr>
            </w:pPr>
            <w:r>
              <w:rPr>
                <w:rFonts w:ascii="Arial" w:cs="Arial" w:eastAsia="Arial" w:hAnsi="Arial"/>
                <w:sz w:val="19"/>
                <w:szCs w:val="19"/>
                <w:color w:val="auto"/>
              </w:rPr>
              <w:t>573</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586</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600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143</w:t>
            </w:r>
          </w:p>
        </w:tc>
        <w:tc>
          <w:tcPr>
            <w:tcW w:w="60" w:type="dxa"/>
            <w:vAlign w:val="bottom"/>
          </w:tcPr>
          <w:p>
            <w:pPr>
              <w:spacing w:after="0"/>
              <w:rPr>
                <w:sz w:val="21"/>
                <w:szCs w:val="21"/>
                <w:color w:val="auto"/>
              </w:rPr>
            </w:pPr>
          </w:p>
        </w:tc>
        <w:tc>
          <w:tcPr>
            <w:tcW w:w="860" w:type="dxa"/>
            <w:vAlign w:val="bottom"/>
            <w:gridSpan w:val="4"/>
          </w:tcPr>
          <w:p>
            <w:pPr>
              <w:jc w:val="right"/>
              <w:spacing w:after="0"/>
              <w:rPr>
                <w:sz w:val="20"/>
                <w:szCs w:val="20"/>
                <w:color w:val="auto"/>
              </w:rPr>
            </w:pPr>
            <w:r>
              <w:rPr>
                <w:rFonts w:ascii="Arial" w:cs="Arial" w:eastAsia="Arial" w:hAnsi="Arial"/>
                <w:sz w:val="19"/>
                <w:szCs w:val="19"/>
                <w:color w:val="auto"/>
              </w:rPr>
              <w:t>147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179</w:t>
            </w:r>
          </w:p>
        </w:tc>
        <w:tc>
          <w:tcPr>
            <w:tcW w:w="0" w:type="dxa"/>
            <w:vAlign w:val="bottom"/>
          </w:tcPr>
          <w:p>
            <w:pPr>
              <w:spacing w:after="0"/>
              <w:rPr>
                <w:sz w:val="1"/>
                <w:szCs w:val="1"/>
                <w:color w:val="auto"/>
              </w:rPr>
            </w:pPr>
          </w:p>
        </w:tc>
      </w:tr>
      <w:tr>
        <w:trPr>
          <w:trHeight w:val="243"/>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Expected return on plan assets</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(1,426)</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(1,262)</w:t>
            </w:r>
          </w:p>
        </w:tc>
        <w:tc>
          <w:tcPr>
            <w:tcW w:w="3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(1,226)</w:t>
            </w: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(443)</w:t>
            </w:r>
          </w:p>
        </w:tc>
        <w:tc>
          <w:tcPr>
            <w:tcW w:w="60" w:type="dxa"/>
            <w:vAlign w:val="bottom"/>
            <w:shd w:val="clear" w:color="auto" w:fill="E5FFFF"/>
          </w:tcPr>
          <w:p>
            <w:pPr>
              <w:spacing w:after="0"/>
              <w:rPr>
                <w:sz w:val="21"/>
                <w:szCs w:val="21"/>
                <w:color w:val="auto"/>
              </w:rPr>
            </w:pPr>
          </w:p>
        </w:tc>
        <w:tc>
          <w:tcPr>
            <w:tcW w:w="86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(411)</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(377)</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9"/>
                <w:szCs w:val="19"/>
                <w:color w:val="auto"/>
              </w:rPr>
              <w:t>Amortization of prior service (credit) cost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(43)</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(43)</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(43)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1"/>
                <w:szCs w:val="21"/>
                <w:color w:val="auto"/>
              </w:rPr>
            </w:pPr>
          </w:p>
        </w:tc>
        <w:tc>
          <w:tcPr>
            <w:tcW w:w="860" w:type="dxa"/>
            <w:vAlign w:val="bottom"/>
            <w:gridSpan w:val="4"/>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43"/>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Recognition of actuarial losses</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60" w:type="dxa"/>
            <w:vAlign w:val="bottom"/>
            <w:gridSpan w:val="4"/>
            <w:shd w:val="clear" w:color="auto" w:fill="E5FFFF"/>
          </w:tcPr>
          <w:p>
            <w:pPr>
              <w:jc w:val="right"/>
              <w:ind w:right="400"/>
              <w:spacing w:after="0"/>
              <w:rPr>
                <w:sz w:val="20"/>
                <w:szCs w:val="20"/>
                <w:color w:val="auto"/>
              </w:rPr>
            </w:pPr>
            <w:r>
              <w:rPr>
                <w:rFonts w:ascii="Arial" w:cs="Arial" w:eastAsia="Arial" w:hAnsi="Arial"/>
                <w:sz w:val="19"/>
                <w:szCs w:val="19"/>
                <w:color w:val="auto"/>
              </w:rPr>
              <w:t>—</w:t>
            </w:r>
          </w:p>
        </w:tc>
        <w:tc>
          <w:tcPr>
            <w:tcW w:w="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41</w:t>
            </w:r>
          </w:p>
        </w:tc>
        <w:tc>
          <w:tcPr>
            <w:tcW w:w="3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27</w:t>
            </w: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37</w:t>
            </w:r>
          </w:p>
        </w:tc>
        <w:tc>
          <w:tcPr>
            <w:tcW w:w="60" w:type="dxa"/>
            <w:vAlign w:val="bottom"/>
            <w:shd w:val="clear" w:color="auto" w:fill="E5FFFF"/>
          </w:tcPr>
          <w:p>
            <w:pPr>
              <w:spacing w:after="0"/>
              <w:rPr>
                <w:sz w:val="21"/>
                <w:szCs w:val="21"/>
                <w:color w:val="auto"/>
              </w:rPr>
            </w:pPr>
          </w:p>
        </w:tc>
        <w:tc>
          <w:tcPr>
            <w:tcW w:w="86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46</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246</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0"/>
                <w:szCs w:val="20"/>
                <w:color w:val="auto"/>
              </w:rPr>
            </w:pPr>
            <w:r>
              <w:rPr>
                <w:rFonts w:ascii="Arial" w:cs="Arial" w:eastAsia="Arial" w:hAnsi="Arial"/>
                <w:sz w:val="19"/>
                <w:szCs w:val="19"/>
                <w:color w:val="auto"/>
              </w:rPr>
              <w:t>Settlements and curtailments</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18</w:t>
            </w:r>
          </w:p>
        </w:tc>
        <w:tc>
          <w:tcPr>
            <w:tcW w:w="3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w:t>
            </w:r>
          </w:p>
        </w:tc>
        <w:tc>
          <w:tcPr>
            <w:tcW w:w="300" w:type="dxa"/>
            <w:vAlign w:val="bottom"/>
            <w:gridSpan w:val="2"/>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20" w:type="dxa"/>
            <w:vAlign w:val="bottom"/>
            <w:gridSpan w:val="2"/>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243"/>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Net periodic benefit (income) cost</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(756)</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w:t>
            </w: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(488)</w:t>
            </w:r>
          </w:p>
        </w:tc>
        <w:tc>
          <w:tcPr>
            <w:tcW w:w="46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(451)</w:t>
            </w: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w w:val="99"/>
              </w:rPr>
              <w:t>$ (241)</w:t>
            </w:r>
          </w:p>
        </w:tc>
        <w:tc>
          <w:tcPr>
            <w:tcW w:w="60" w:type="dxa"/>
            <w:vAlign w:val="bottom"/>
            <w:shd w:val="clear" w:color="auto" w:fill="E5FFFF"/>
          </w:tcPr>
          <w:p>
            <w:pPr>
              <w:spacing w:after="0"/>
              <w:rPr>
                <w:sz w:val="21"/>
                <w:szCs w:val="21"/>
                <w:color w:val="auto"/>
              </w:rPr>
            </w:pPr>
          </w:p>
        </w:tc>
        <w:tc>
          <w:tcPr>
            <w:tcW w:w="86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 (179)</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w w:val="94"/>
              </w:rPr>
              <w:t>$</w:t>
            </w:r>
          </w:p>
        </w:tc>
        <w:tc>
          <w:tcPr>
            <w:tcW w:w="4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85</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6"/>
                <w:szCs w:val="16"/>
                <w:b w:val="1"/>
                <w:bCs w:val="1"/>
                <w:color w:val="auto"/>
              </w:rPr>
              <w:t>Other Changes in Plan Assets and</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5"/>
            <w:vMerge w:val="restart"/>
          </w:tcPr>
          <w:p>
            <w:pPr>
              <w:jc w:val="right"/>
              <w:ind w:right="60"/>
              <w:spacing w:after="0"/>
              <w:rPr>
                <w:sz w:val="20"/>
                <w:szCs w:val="20"/>
                <w:color w:val="auto"/>
              </w:rPr>
            </w:pPr>
            <w:r>
              <w:rPr>
                <w:rFonts w:ascii="Arial" w:cs="Arial" w:eastAsia="Arial" w:hAnsi="Arial"/>
                <w:sz w:val="16"/>
                <w:szCs w:val="16"/>
                <w:b w:val="1"/>
                <w:bCs w:val="1"/>
                <w:color w:val="auto"/>
              </w:rPr>
              <w:t>U.S. Plans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7"/>
            <w:vMerge w:val="restart"/>
          </w:tcPr>
          <w:p>
            <w:pPr>
              <w:jc w:val="right"/>
              <w:ind w:right="140"/>
              <w:spacing w:after="0"/>
              <w:rPr>
                <w:sz w:val="20"/>
                <w:szCs w:val="20"/>
                <w:color w:val="auto"/>
              </w:rPr>
            </w:pPr>
            <w:r>
              <w:rPr>
                <w:rFonts w:ascii="Arial" w:cs="Arial" w:eastAsia="Arial" w:hAnsi="Arial"/>
                <w:sz w:val="16"/>
                <w:szCs w:val="16"/>
                <w:b w:val="1"/>
                <w:bCs w:val="1"/>
                <w:color w:val="auto"/>
              </w:rPr>
              <w:t>Non-U.S. Plans</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5240" w:type="dxa"/>
            <w:vAlign w:val="bottom"/>
            <w:vMerge w:val="restart"/>
          </w:tcPr>
          <w:p>
            <w:pPr>
              <w:spacing w:after="0" w:line="176" w:lineRule="exact"/>
              <w:rPr>
                <w:sz w:val="20"/>
                <w:szCs w:val="20"/>
                <w:color w:val="auto"/>
              </w:rPr>
            </w:pPr>
            <w:r>
              <w:rPr>
                <w:rFonts w:ascii="Arial" w:cs="Arial" w:eastAsia="Arial" w:hAnsi="Arial"/>
                <w:sz w:val="16"/>
                <w:szCs w:val="16"/>
                <w:b w:val="1"/>
                <w:bCs w:val="1"/>
                <w:color w:val="auto"/>
              </w:rPr>
              <w:t>Benefits Obligations Recognized in</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5"/>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7"/>
            <w:vMerge w:val="continue"/>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5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Other Comprehensive (Income) Loss</w:t>
            </w: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gridSpan w:val="2"/>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w w:val="95"/>
              </w:rPr>
              <w:t>2016</w:t>
            </w:r>
          </w:p>
        </w:tc>
        <w:tc>
          <w:tcPr>
            <w:tcW w:w="0" w:type="dxa"/>
            <w:vAlign w:val="bottom"/>
          </w:tcPr>
          <w:p>
            <w:pPr>
              <w:spacing w:after="0"/>
              <w:rPr>
                <w:sz w:val="1"/>
                <w:szCs w:val="1"/>
                <w:color w:val="auto"/>
              </w:rPr>
            </w:pPr>
          </w:p>
        </w:tc>
      </w:tr>
      <w:tr>
        <w:trPr>
          <w:trHeight w:val="237"/>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Actuarial (gains) losses</w:t>
            </w:r>
          </w:p>
        </w:tc>
        <w:tc>
          <w:tcPr>
            <w:tcW w:w="3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980" w:type="dxa"/>
            <w:vAlign w:val="bottom"/>
            <w:gridSpan w:val="5"/>
            <w:shd w:val="clear" w:color="auto" w:fill="E5FFFF"/>
          </w:tcPr>
          <w:p>
            <w:pPr>
              <w:jc w:val="right"/>
              <w:spacing w:after="0"/>
              <w:rPr>
                <w:sz w:val="20"/>
                <w:szCs w:val="20"/>
                <w:color w:val="auto"/>
              </w:rPr>
            </w:pPr>
            <w:r>
              <w:rPr>
                <w:rFonts w:ascii="Arial" w:cs="Arial" w:eastAsia="Arial" w:hAnsi="Arial"/>
                <w:sz w:val="19"/>
                <w:szCs w:val="19"/>
                <w:color w:val="auto"/>
              </w:rPr>
              <w:t>$619</w:t>
            </w:r>
          </w:p>
        </w:tc>
        <w:tc>
          <w:tcPr>
            <w:tcW w:w="8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3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(792)</w:t>
            </w:r>
          </w:p>
        </w:tc>
        <w:tc>
          <w:tcPr>
            <w:tcW w:w="80" w:type="dxa"/>
            <w:vAlign w:val="bottom"/>
            <w:shd w:val="clear" w:color="auto" w:fill="E5FFFF"/>
          </w:tcPr>
          <w:p>
            <w:pPr>
              <w:spacing w:after="0"/>
              <w:rPr>
                <w:sz w:val="20"/>
                <w:szCs w:val="20"/>
                <w:color w:val="auto"/>
              </w:rPr>
            </w:pPr>
          </w:p>
        </w:tc>
        <w:tc>
          <w:tcPr>
            <w:tcW w:w="440" w:type="dxa"/>
            <w:vAlign w:val="bottom"/>
            <w:gridSpan w:val="2"/>
            <w:shd w:val="clear" w:color="auto" w:fill="E5FFFF"/>
          </w:tcPr>
          <w:p>
            <w:pPr>
              <w:jc w:val="right"/>
              <w:ind w:right="12"/>
              <w:spacing w:after="0"/>
              <w:rPr>
                <w:sz w:val="20"/>
                <w:szCs w:val="20"/>
                <w:color w:val="auto"/>
              </w:rPr>
            </w:pPr>
            <w:r>
              <w:rPr>
                <w:rFonts w:ascii="Arial" w:cs="Arial" w:eastAsia="Arial" w:hAnsi="Arial"/>
                <w:sz w:val="19"/>
                <w:szCs w:val="19"/>
                <w:color w:val="auto"/>
              </w:rPr>
              <w:t>$</w:t>
            </w:r>
          </w:p>
        </w:tc>
        <w:tc>
          <w:tcPr>
            <w:tcW w:w="40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w w:val="94"/>
              </w:rPr>
              <w:t>121</w:t>
            </w:r>
          </w:p>
        </w:tc>
        <w:tc>
          <w:tcPr>
            <w:tcW w:w="120" w:type="dxa"/>
            <w:vAlign w:val="bottom"/>
            <w:shd w:val="clear" w:color="auto" w:fill="E5FFFF"/>
          </w:tcPr>
          <w:p>
            <w:pPr>
              <w:spacing w:after="0"/>
              <w:rPr>
                <w:sz w:val="20"/>
                <w:szCs w:val="20"/>
                <w:color w:val="auto"/>
              </w:rPr>
            </w:pPr>
          </w:p>
        </w:tc>
        <w:tc>
          <w:tcPr>
            <w:tcW w:w="700" w:type="dxa"/>
            <w:vAlign w:val="bottom"/>
            <w:gridSpan w:val="3"/>
            <w:shd w:val="clear" w:color="auto" w:fill="E5FFFF"/>
          </w:tcPr>
          <w:p>
            <w:pPr>
              <w:jc w:val="right"/>
              <w:ind w:right="60"/>
              <w:spacing w:after="0"/>
              <w:rPr>
                <w:sz w:val="20"/>
                <w:szCs w:val="20"/>
                <w:color w:val="auto"/>
              </w:rPr>
            </w:pPr>
            <w:r>
              <w:rPr>
                <w:rFonts w:ascii="Arial" w:cs="Arial" w:eastAsia="Arial" w:hAnsi="Arial"/>
                <w:sz w:val="19"/>
                <w:szCs w:val="19"/>
                <w:color w:val="auto"/>
              </w:rPr>
              <w:t>$250</w:t>
            </w:r>
          </w:p>
        </w:tc>
        <w:tc>
          <w:tcPr>
            <w:tcW w:w="940" w:type="dxa"/>
            <w:vAlign w:val="bottom"/>
            <w:gridSpan w:val="5"/>
            <w:shd w:val="clear" w:color="auto" w:fill="E5FFFF"/>
          </w:tcPr>
          <w:p>
            <w:pPr>
              <w:jc w:val="right"/>
              <w:ind w:right="20"/>
              <w:spacing w:after="0"/>
              <w:rPr>
                <w:sz w:val="20"/>
                <w:szCs w:val="20"/>
                <w:color w:val="auto"/>
              </w:rPr>
            </w:pPr>
            <w:r>
              <w:rPr>
                <w:rFonts w:ascii="Arial" w:cs="Arial" w:eastAsia="Arial" w:hAnsi="Arial"/>
                <w:sz w:val="19"/>
                <w:szCs w:val="19"/>
                <w:color w:val="auto"/>
              </w:rPr>
              <w:t>$ (153)</w:t>
            </w:r>
          </w:p>
        </w:tc>
        <w:tc>
          <w:tcPr>
            <w:tcW w:w="240" w:type="dxa"/>
            <w:vAlign w:val="bottom"/>
            <w:shd w:val="clear" w:color="auto" w:fill="E5FFFF"/>
          </w:tcPr>
          <w:p>
            <w:pPr>
              <w:spacing w:after="0"/>
              <w:rPr>
                <w:sz w:val="20"/>
                <w:szCs w:val="20"/>
                <w:color w:val="auto"/>
              </w:rPr>
            </w:pPr>
          </w:p>
        </w:tc>
        <w:tc>
          <w:tcPr>
            <w:tcW w:w="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447</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9"/>
                <w:szCs w:val="19"/>
                <w:color w:val="auto"/>
              </w:rPr>
              <w:t>Prior service cost (credit)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9"/>
                <w:szCs w:val="19"/>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9"/>
                <w:szCs w:val="19"/>
                <w:color w:val="auto"/>
              </w:rPr>
              <w:t>30</w:t>
            </w:r>
          </w:p>
        </w:tc>
        <w:tc>
          <w:tcPr>
            <w:tcW w:w="940" w:type="dxa"/>
            <w:vAlign w:val="bottom"/>
            <w:gridSpan w:val="5"/>
          </w:tcPr>
          <w:p>
            <w:pPr>
              <w:jc w:val="right"/>
              <w:ind w:right="20"/>
              <w:spacing w:after="0"/>
              <w:rPr>
                <w:sz w:val="20"/>
                <w:szCs w:val="20"/>
                <w:color w:val="auto"/>
              </w:rPr>
            </w:pPr>
            <w:r>
              <w:rPr>
                <w:rFonts w:ascii="Arial" w:cs="Arial" w:eastAsia="Arial" w:hAnsi="Arial"/>
                <w:sz w:val="19"/>
                <w:szCs w:val="19"/>
                <w:color w:val="auto"/>
              </w:rPr>
              <w:t>(1)</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Prior service credit recognized during year</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gridSpan w:val="5"/>
            <w:shd w:val="clear" w:color="auto" w:fill="E5FFFF"/>
          </w:tcPr>
          <w:p>
            <w:pPr>
              <w:jc w:val="right"/>
              <w:spacing w:after="0"/>
              <w:rPr>
                <w:sz w:val="20"/>
                <w:szCs w:val="20"/>
                <w:color w:val="auto"/>
              </w:rPr>
            </w:pPr>
            <w:r>
              <w:rPr>
                <w:rFonts w:ascii="Arial" w:cs="Arial" w:eastAsia="Arial" w:hAnsi="Arial"/>
                <w:sz w:val="19"/>
                <w:szCs w:val="19"/>
                <w:color w:val="auto"/>
              </w:rPr>
              <w:t>43</w:t>
            </w:r>
          </w:p>
        </w:tc>
        <w:tc>
          <w:tcPr>
            <w:tcW w:w="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3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w:t>
            </w: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43</w:t>
            </w:r>
          </w:p>
        </w:tc>
        <w:tc>
          <w:tcPr>
            <w:tcW w:w="12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ind w:right="60"/>
              <w:spacing w:after="0"/>
              <w:rPr>
                <w:sz w:val="20"/>
                <w:szCs w:val="20"/>
                <w:color w:val="auto"/>
              </w:rPr>
            </w:pPr>
            <w:r>
              <w:rPr>
                <w:rFonts w:ascii="Arial" w:cs="Arial" w:eastAsia="Arial" w:hAnsi="Arial"/>
                <w:sz w:val="19"/>
                <w:szCs w:val="19"/>
                <w:color w:val="auto"/>
              </w:rPr>
              <w:t>4</w:t>
            </w:r>
          </w:p>
        </w:tc>
        <w:tc>
          <w:tcPr>
            <w:tcW w:w="86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9"/>
                <w:szCs w:val="19"/>
                <w:color w:val="auto"/>
              </w:rPr>
              <w:t>Actuarial losses recognized during year</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(59)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9"/>
                <w:szCs w:val="19"/>
                <w:color w:val="auto"/>
              </w:rPr>
              <w:t>(27)</w:t>
            </w:r>
          </w:p>
        </w:tc>
        <w:tc>
          <w:tcPr>
            <w:tcW w:w="12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9"/>
                <w:szCs w:val="19"/>
                <w:color w:val="auto"/>
              </w:rPr>
              <w:t>(37)</w:t>
            </w:r>
          </w:p>
        </w:tc>
        <w:tc>
          <w:tcPr>
            <w:tcW w:w="940" w:type="dxa"/>
            <w:vAlign w:val="bottom"/>
            <w:gridSpan w:val="5"/>
          </w:tcPr>
          <w:p>
            <w:pPr>
              <w:jc w:val="right"/>
              <w:ind w:right="20"/>
              <w:spacing w:after="0"/>
              <w:rPr>
                <w:sz w:val="20"/>
                <w:szCs w:val="20"/>
                <w:color w:val="auto"/>
              </w:rPr>
            </w:pPr>
            <w:r>
              <w:rPr>
                <w:rFonts w:ascii="Arial" w:cs="Arial" w:eastAsia="Arial" w:hAnsi="Arial"/>
                <w:sz w:val="19"/>
                <w:szCs w:val="19"/>
                <w:color w:val="auto"/>
              </w:rPr>
              <w:t>(46)</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w w:val="99"/>
              </w:rPr>
              <w:t>(246)</w:t>
            </w:r>
          </w:p>
        </w:tc>
        <w:tc>
          <w:tcPr>
            <w:tcW w:w="0" w:type="dxa"/>
            <w:vAlign w:val="bottom"/>
          </w:tcPr>
          <w:p>
            <w:pPr>
              <w:spacing w:after="0"/>
              <w:rPr>
                <w:sz w:val="1"/>
                <w:szCs w:val="1"/>
                <w:color w:val="auto"/>
              </w:rPr>
            </w:pPr>
          </w:p>
        </w:tc>
      </w:tr>
      <w:tr>
        <w:trPr>
          <w:trHeight w:val="243"/>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Foreign currency translation</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3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 w:type="dxa"/>
            <w:vAlign w:val="bottom"/>
            <w:tcBorders>
              <w:bottom w:val="single" w:sz="8" w:color="auto"/>
            </w:tcBorders>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300" w:type="dxa"/>
            <w:vAlign w:val="bottom"/>
            <w:tcBorders>
              <w:bottom w:val="single" w:sz="8" w:color="auto"/>
            </w:tcBorders>
            <w:shd w:val="clear" w:color="auto" w:fill="E5FFFF"/>
          </w:tcPr>
          <w:p>
            <w:pPr>
              <w:spacing w:after="0"/>
              <w:rPr>
                <w:sz w:val="21"/>
                <w:szCs w:val="21"/>
                <w:color w:val="auto"/>
              </w:rPr>
            </w:pPr>
          </w:p>
        </w:tc>
        <w:tc>
          <w:tcPr>
            <w:tcW w:w="380" w:type="dxa"/>
            <w:vAlign w:val="bottom"/>
            <w:tcBorders>
              <w:bottom w:val="single" w:sz="8" w:color="auto"/>
            </w:tcBorders>
            <w:gridSpan w:val="2"/>
            <w:shd w:val="clear" w:color="auto" w:fill="E5FFFF"/>
          </w:tcPr>
          <w:p>
            <w:pPr>
              <w:jc w:val="right"/>
              <w:ind w:right="1"/>
              <w:spacing w:after="0"/>
              <w:rPr>
                <w:sz w:val="20"/>
                <w:szCs w:val="20"/>
                <w:color w:val="auto"/>
              </w:rPr>
            </w:pPr>
            <w:r>
              <w:rPr>
                <w:rFonts w:ascii="Arial" w:cs="Arial" w:eastAsia="Arial" w:hAnsi="Arial"/>
                <w:sz w:val="19"/>
                <w:szCs w:val="19"/>
                <w:color w:val="auto"/>
              </w:rPr>
              <w:t>—</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spacing w:after="0"/>
              <w:rPr>
                <w:sz w:val="21"/>
                <w:szCs w:val="21"/>
                <w:color w:val="auto"/>
              </w:rPr>
            </w:pPr>
          </w:p>
        </w:tc>
        <w:tc>
          <w:tcPr>
            <w:tcW w:w="40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(34)</w:t>
            </w:r>
          </w:p>
        </w:tc>
        <w:tc>
          <w:tcPr>
            <w:tcW w:w="20" w:type="dxa"/>
            <w:vAlign w:val="bottom"/>
            <w:tcBorders>
              <w:bottom w:val="single" w:sz="8" w:color="auto"/>
            </w:tcBorders>
            <w:shd w:val="clear" w:color="auto" w:fill="E5FFFF"/>
          </w:tcPr>
          <w:p>
            <w:pPr>
              <w:spacing w:after="0"/>
              <w:rPr>
                <w:sz w:val="21"/>
                <w:szCs w:val="21"/>
                <w:color w:val="auto"/>
              </w:rPr>
            </w:pPr>
          </w:p>
        </w:tc>
        <w:tc>
          <w:tcPr>
            <w:tcW w:w="300" w:type="dxa"/>
            <w:vAlign w:val="bottom"/>
            <w:gridSpan w:val="2"/>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43</w:t>
            </w:r>
          </w:p>
        </w:tc>
        <w:tc>
          <w:tcPr>
            <w:tcW w:w="80" w:type="dxa"/>
            <w:vAlign w:val="bottom"/>
            <w:tcBorders>
              <w:bottom w:val="single" w:sz="8" w:color="auto"/>
            </w:tcBorders>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(83)</w:t>
            </w:r>
          </w:p>
        </w:tc>
        <w:tc>
          <w:tcPr>
            <w:tcW w:w="0" w:type="dxa"/>
            <w:vAlign w:val="bottom"/>
          </w:tcPr>
          <w:p>
            <w:pPr>
              <w:spacing w:after="0"/>
              <w:rPr>
                <w:sz w:val="1"/>
                <w:szCs w:val="1"/>
                <w:color w:val="auto"/>
              </w:rPr>
            </w:pPr>
          </w:p>
        </w:tc>
      </w:tr>
      <w:tr>
        <w:trPr>
          <w:trHeight w:val="250"/>
        </w:trPr>
        <w:tc>
          <w:tcPr>
            <w:tcW w:w="5240" w:type="dxa"/>
            <w:vAlign w:val="bottom"/>
          </w:tcPr>
          <w:p>
            <w:pPr>
              <w:ind w:left="360"/>
              <w:spacing w:after="0"/>
              <w:rPr>
                <w:sz w:val="20"/>
                <w:szCs w:val="20"/>
                <w:color w:val="auto"/>
              </w:rPr>
            </w:pPr>
            <w:r>
              <w:rPr>
                <w:rFonts w:ascii="Arial" w:cs="Arial" w:eastAsia="Arial" w:hAnsi="Arial"/>
                <w:sz w:val="19"/>
                <w:szCs w:val="19"/>
                <w:color w:val="auto"/>
              </w:rPr>
              <w:t>Total recognized in other comprehensive (income) loss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662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gridSpan w:val="3"/>
          </w:tcPr>
          <w:p>
            <w:pPr>
              <w:jc w:val="right"/>
              <w:spacing w:after="0"/>
              <w:rPr>
                <w:sz w:val="20"/>
                <w:szCs w:val="20"/>
                <w:color w:val="auto"/>
              </w:rPr>
            </w:pPr>
            <w:r>
              <w:rPr>
                <w:rFonts w:ascii="Arial" w:cs="Arial" w:eastAsia="Arial" w:hAnsi="Arial"/>
                <w:sz w:val="19"/>
                <w:szCs w:val="19"/>
                <w:color w:val="auto"/>
              </w:rPr>
              <w:t>(808)</w:t>
            </w:r>
          </w:p>
        </w:tc>
        <w:tc>
          <w:tcPr>
            <w:tcW w:w="80" w:type="dxa"/>
            <w:vAlign w:val="bottom"/>
          </w:tcPr>
          <w:p>
            <w:pPr>
              <w:spacing w:after="0"/>
              <w:rPr>
                <w:sz w:val="21"/>
                <w:szCs w:val="21"/>
                <w:color w:val="auto"/>
              </w:rPr>
            </w:pPr>
          </w:p>
        </w:tc>
        <w:tc>
          <w:tcPr>
            <w:tcW w:w="440" w:type="dxa"/>
            <w:vAlign w:val="bottom"/>
            <w:gridSpan w:val="2"/>
          </w:tcPr>
          <w:p>
            <w:pPr>
              <w:jc w:val="right"/>
              <w:ind w:right="12"/>
              <w:spacing w:after="0"/>
              <w:rPr>
                <w:sz w:val="20"/>
                <w:szCs w:val="20"/>
                <w:color w:val="auto"/>
              </w:rPr>
            </w:pPr>
            <w:r>
              <w:rPr>
                <w:rFonts w:ascii="Arial" w:cs="Arial" w:eastAsia="Arial" w:hAnsi="Arial"/>
                <w:sz w:val="19"/>
                <w:szCs w:val="19"/>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9"/>
                <w:szCs w:val="19"/>
                <w:color w:val="auto"/>
                <w:w w:val="94"/>
              </w:rPr>
              <w:t>137</w:t>
            </w:r>
          </w:p>
        </w:tc>
        <w:tc>
          <w:tcPr>
            <w:tcW w:w="120" w:type="dxa"/>
            <w:vAlign w:val="bottom"/>
          </w:tcPr>
          <w:p>
            <w:pPr>
              <w:spacing w:after="0"/>
              <w:rPr>
                <w:sz w:val="21"/>
                <w:szCs w:val="21"/>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213</w:t>
            </w:r>
          </w:p>
        </w:tc>
        <w:tc>
          <w:tcPr>
            <w:tcW w:w="940" w:type="dxa"/>
            <w:vAlign w:val="bottom"/>
            <w:gridSpan w:val="5"/>
          </w:tcPr>
          <w:p>
            <w:pPr>
              <w:jc w:val="right"/>
              <w:ind w:right="20"/>
              <w:spacing w:after="0"/>
              <w:rPr>
                <w:sz w:val="20"/>
                <w:szCs w:val="20"/>
                <w:color w:val="auto"/>
              </w:rPr>
            </w:pPr>
            <w:r>
              <w:rPr>
                <w:rFonts w:ascii="Arial" w:cs="Arial" w:eastAsia="Arial" w:hAnsi="Arial"/>
                <w:sz w:val="19"/>
                <w:szCs w:val="19"/>
                <w:color w:val="auto"/>
              </w:rPr>
              <w:t>$ (156)</w:t>
            </w:r>
          </w:p>
        </w:tc>
        <w:tc>
          <w:tcPr>
            <w:tcW w:w="2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80" w:type="dxa"/>
            <w:vAlign w:val="bottom"/>
          </w:tcPr>
          <w:p>
            <w:pPr>
              <w:jc w:val="right"/>
              <w:spacing w:after="0"/>
              <w:rPr>
                <w:sz w:val="20"/>
                <w:szCs w:val="20"/>
                <w:color w:val="auto"/>
              </w:rPr>
            </w:pPr>
            <w:r>
              <w:rPr>
                <w:rFonts w:ascii="Arial" w:cs="Arial" w:eastAsia="Arial" w:hAnsi="Arial"/>
                <w:sz w:val="19"/>
                <w:szCs w:val="19"/>
                <w:color w:val="auto"/>
              </w:rPr>
              <w:t>128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8"/>
            <w:shd w:val="clear" w:color="auto" w:fill="E5FFFF"/>
          </w:tcPr>
          <w:p>
            <w:pPr>
              <w:ind w:left="360"/>
              <w:spacing w:after="0" w:line="210" w:lineRule="exact"/>
              <w:rPr>
                <w:sz w:val="20"/>
                <w:szCs w:val="20"/>
                <w:color w:val="auto"/>
              </w:rPr>
            </w:pPr>
            <w:r>
              <w:rPr>
                <w:rFonts w:ascii="Arial" w:cs="Arial" w:eastAsia="Arial" w:hAnsi="Arial"/>
                <w:sz w:val="19"/>
                <w:szCs w:val="19"/>
                <w:color w:val="auto"/>
              </w:rPr>
              <w:t>Total recognized in net periodic benefit (income) cost and other</w:t>
            </w:r>
          </w:p>
        </w:tc>
        <w:tc>
          <w:tcPr>
            <w:tcW w:w="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E5FFFF"/>
          </w:tcPr>
          <w:p>
            <w:pPr>
              <w:ind w:left="540"/>
              <w:spacing w:after="0" w:line="216" w:lineRule="exact"/>
              <w:rPr>
                <w:sz w:val="20"/>
                <w:szCs w:val="20"/>
                <w:color w:val="auto"/>
              </w:rPr>
            </w:pPr>
            <w:r>
              <w:rPr>
                <w:rFonts w:ascii="Arial" w:cs="Arial" w:eastAsia="Arial" w:hAnsi="Arial"/>
                <w:sz w:val="19"/>
                <w:szCs w:val="19"/>
                <w:color w:val="auto"/>
              </w:rPr>
              <w:t>comprehensive (income) loss</w:t>
            </w: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60" w:type="dxa"/>
            <w:vAlign w:val="bottom"/>
            <w:gridSpan w:val="6"/>
            <w:shd w:val="clear" w:color="auto" w:fill="E5FFFF"/>
          </w:tcPr>
          <w:p>
            <w:pPr>
              <w:jc w:val="right"/>
              <w:spacing w:after="0" w:line="216" w:lineRule="exact"/>
              <w:rPr>
                <w:sz w:val="20"/>
                <w:szCs w:val="20"/>
                <w:color w:val="auto"/>
              </w:rPr>
            </w:pPr>
            <w:r>
              <w:rPr>
                <w:rFonts w:ascii="Arial" w:cs="Arial" w:eastAsia="Arial" w:hAnsi="Arial"/>
                <w:sz w:val="19"/>
                <w:szCs w:val="19"/>
                <w:color w:val="auto"/>
              </w:rPr>
              <w:t>$ (94)</w:t>
            </w:r>
          </w:p>
        </w:tc>
        <w:tc>
          <w:tcPr>
            <w:tcW w:w="60" w:type="dxa"/>
            <w:vAlign w:val="bottom"/>
            <w:shd w:val="clear" w:color="auto" w:fill="E5FFFF"/>
          </w:tcPr>
          <w:p>
            <w:pPr>
              <w:spacing w:after="0"/>
              <w:rPr>
                <w:sz w:val="18"/>
                <w:szCs w:val="18"/>
                <w:color w:val="auto"/>
              </w:rPr>
            </w:pPr>
          </w:p>
        </w:tc>
        <w:tc>
          <w:tcPr>
            <w:tcW w:w="360" w:type="dxa"/>
            <w:vAlign w:val="bottom"/>
            <w:gridSpan w:val="2"/>
            <w:shd w:val="clear" w:color="auto" w:fill="E5FFFF"/>
          </w:tcPr>
          <w:p>
            <w:pPr>
              <w:jc w:val="right"/>
              <w:spacing w:after="0" w:line="216" w:lineRule="exact"/>
              <w:rPr>
                <w:sz w:val="20"/>
                <w:szCs w:val="20"/>
                <w:color w:val="auto"/>
              </w:rPr>
            </w:pPr>
            <w:r>
              <w:rPr>
                <w:rFonts w:ascii="Arial" w:cs="Arial" w:eastAsia="Arial" w:hAnsi="Arial"/>
                <w:sz w:val="19"/>
                <w:szCs w:val="19"/>
                <w:color w:val="auto"/>
              </w:rPr>
              <w:t>$</w:t>
            </w:r>
          </w:p>
        </w:tc>
        <w:tc>
          <w:tcPr>
            <w:tcW w:w="680" w:type="dxa"/>
            <w:vAlign w:val="bottom"/>
            <w:gridSpan w:val="3"/>
            <w:shd w:val="clear" w:color="auto" w:fill="E5FFFF"/>
          </w:tcPr>
          <w:p>
            <w:pPr>
              <w:jc w:val="right"/>
              <w:spacing w:after="0" w:line="216" w:lineRule="exact"/>
              <w:rPr>
                <w:sz w:val="20"/>
                <w:szCs w:val="20"/>
                <w:color w:val="auto"/>
              </w:rPr>
            </w:pPr>
            <w:r>
              <w:rPr>
                <w:rFonts w:ascii="Arial" w:cs="Arial" w:eastAsia="Arial" w:hAnsi="Arial"/>
                <w:sz w:val="19"/>
                <w:szCs w:val="19"/>
                <w:color w:val="auto"/>
              </w:rPr>
              <w:t>(1,296)</w:t>
            </w:r>
          </w:p>
        </w:tc>
        <w:tc>
          <w:tcPr>
            <w:tcW w:w="80" w:type="dxa"/>
            <w:vAlign w:val="bottom"/>
            <w:shd w:val="clear" w:color="auto" w:fill="E5FFFF"/>
          </w:tcPr>
          <w:p>
            <w:pPr>
              <w:spacing w:after="0"/>
              <w:rPr>
                <w:sz w:val="18"/>
                <w:szCs w:val="18"/>
                <w:color w:val="auto"/>
              </w:rPr>
            </w:pPr>
          </w:p>
        </w:tc>
        <w:tc>
          <w:tcPr>
            <w:tcW w:w="840" w:type="dxa"/>
            <w:vAlign w:val="bottom"/>
            <w:gridSpan w:val="4"/>
            <w:shd w:val="clear" w:color="auto" w:fill="E5FFFF"/>
          </w:tcPr>
          <w:p>
            <w:pPr>
              <w:jc w:val="right"/>
              <w:ind w:right="20"/>
              <w:spacing w:after="0" w:line="216" w:lineRule="exact"/>
              <w:rPr>
                <w:sz w:val="20"/>
                <w:szCs w:val="20"/>
                <w:color w:val="auto"/>
              </w:rPr>
            </w:pPr>
            <w:r>
              <w:rPr>
                <w:rFonts w:ascii="Arial" w:cs="Arial" w:eastAsia="Arial" w:hAnsi="Arial"/>
                <w:sz w:val="19"/>
                <w:szCs w:val="19"/>
                <w:color w:val="auto"/>
              </w:rPr>
              <w:t>$ (314)</w:t>
            </w:r>
          </w:p>
        </w:tc>
        <w:tc>
          <w:tcPr>
            <w:tcW w:w="12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spacing w:after="0" w:line="216" w:lineRule="exact"/>
              <w:rPr>
                <w:sz w:val="20"/>
                <w:szCs w:val="20"/>
                <w:color w:val="auto"/>
              </w:rPr>
            </w:pPr>
            <w:r>
              <w:rPr>
                <w:rFonts w:ascii="Arial" w:cs="Arial" w:eastAsia="Arial" w:hAnsi="Arial"/>
                <w:sz w:val="19"/>
                <w:szCs w:val="19"/>
                <w:color w:val="auto"/>
              </w:rPr>
              <w:t>$ (28)</w:t>
            </w:r>
          </w:p>
        </w:tc>
        <w:tc>
          <w:tcPr>
            <w:tcW w:w="940" w:type="dxa"/>
            <w:vAlign w:val="bottom"/>
            <w:gridSpan w:val="5"/>
            <w:shd w:val="clear" w:color="auto" w:fill="E5FFFF"/>
          </w:tcPr>
          <w:p>
            <w:pPr>
              <w:jc w:val="right"/>
              <w:ind w:right="20"/>
              <w:spacing w:after="0" w:line="216" w:lineRule="exact"/>
              <w:rPr>
                <w:sz w:val="20"/>
                <w:szCs w:val="20"/>
                <w:color w:val="auto"/>
              </w:rPr>
            </w:pPr>
            <w:r>
              <w:rPr>
                <w:rFonts w:ascii="Arial" w:cs="Arial" w:eastAsia="Arial" w:hAnsi="Arial"/>
                <w:sz w:val="19"/>
                <w:szCs w:val="19"/>
                <w:color w:val="auto"/>
              </w:rPr>
              <w:t>$ (335)</w:t>
            </w:r>
          </w:p>
        </w:tc>
        <w:tc>
          <w:tcPr>
            <w:tcW w:w="240" w:type="dxa"/>
            <w:vAlign w:val="bottom"/>
            <w:shd w:val="clear" w:color="auto" w:fill="E5FFFF"/>
          </w:tcPr>
          <w:p>
            <w:pPr>
              <w:spacing w:after="0"/>
              <w:rPr>
                <w:sz w:val="18"/>
                <w:szCs w:val="18"/>
                <w:color w:val="auto"/>
              </w:rPr>
            </w:pPr>
          </w:p>
        </w:tc>
        <w:tc>
          <w:tcPr>
            <w:tcW w:w="180" w:type="dxa"/>
            <w:vAlign w:val="bottom"/>
            <w:gridSpan w:val="2"/>
            <w:shd w:val="clear" w:color="auto" w:fill="E5FFFF"/>
          </w:tcPr>
          <w:p>
            <w:pPr>
              <w:jc w:val="right"/>
              <w:spacing w:after="0" w:line="216" w:lineRule="exact"/>
              <w:rPr>
                <w:sz w:val="20"/>
                <w:szCs w:val="20"/>
                <w:color w:val="auto"/>
              </w:rPr>
            </w:pPr>
            <w:r>
              <w:rPr>
                <w:rFonts w:ascii="Arial" w:cs="Arial" w:eastAsia="Arial" w:hAnsi="Arial"/>
                <w:sz w:val="19"/>
                <w:szCs w:val="19"/>
                <w:color w:val="auto"/>
              </w:rPr>
              <w:t>$</w:t>
            </w:r>
          </w:p>
        </w:tc>
        <w:tc>
          <w:tcPr>
            <w:tcW w:w="48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213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right="140" w:firstLine="357"/>
        <w:spacing w:after="0" w:line="243" w:lineRule="auto"/>
        <w:rPr>
          <w:sz w:val="20"/>
          <w:szCs w:val="20"/>
          <w:color w:val="auto"/>
        </w:rPr>
      </w:pPr>
      <w:r>
        <w:rPr>
          <w:rFonts w:ascii="Arial" w:cs="Arial" w:eastAsia="Arial" w:hAnsi="Arial"/>
          <w:sz w:val="19"/>
          <w:szCs w:val="19"/>
          <w:color w:val="auto"/>
        </w:rPr>
        <w:t>The estimated prior service (credit) for pension benefits that will be amortized from Accumulated other comprehensive (income) loss into net periodic benefit (income) cost in 2019 are expected to be ($42) million and $0 million for U.S. and non-U.S. pension plans.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20" w:type="dxa"/>
            <w:vAlign w:val="bottom"/>
            <w:tcBorders>
              <w:bottom w:val="single" w:sz="8" w:color="auto"/>
            </w:tcBorders>
            <w:gridSpan w:val="12"/>
          </w:tcPr>
          <w:p>
            <w:pPr>
              <w:jc w:val="center"/>
              <w:spacing w:after="0"/>
              <w:rPr>
                <w:sz w:val="20"/>
                <w:szCs w:val="20"/>
                <w:color w:val="auto"/>
              </w:rPr>
            </w:pPr>
            <w:r>
              <w:rPr>
                <w:rFonts w:ascii="Arial" w:cs="Arial" w:eastAsia="Arial" w:hAnsi="Arial"/>
                <w:sz w:val="16"/>
                <w:szCs w:val="16"/>
                <w:b w:val="1"/>
                <w:bCs w:val="1"/>
                <w:color w:val="auto"/>
                <w:w w:val="98"/>
              </w:rPr>
              <w:t>Other Postretirement Benefits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8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Periodic Benefit Cost</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11"/>
          </w:tcPr>
          <w:p>
            <w:pPr>
              <w:jc w:val="center"/>
              <w:ind w:right="43"/>
              <w:spacing w:after="0" w:line="169" w:lineRule="exact"/>
              <w:rPr>
                <w:sz w:val="20"/>
                <w:szCs w:val="20"/>
                <w:color w:val="auto"/>
              </w:rPr>
            </w:pPr>
            <w:r>
              <w:rPr>
                <w:rFonts w:ascii="Arial" w:cs="Arial" w:eastAsia="Arial" w:hAnsi="Arial"/>
                <w:sz w:val="16"/>
                <w:szCs w:val="16"/>
                <w:b w:val="1"/>
                <w:bCs w:val="1"/>
                <w:color w:val="auto"/>
                <w:w w:val="98"/>
              </w:rPr>
              <w:t>Years Ended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8160" w:type="dxa"/>
            <w:vAlign w:val="bottom"/>
            <w:tcBorders>
              <w:bottom w:val="single" w:sz="8" w:color="auto"/>
            </w:tcBorders>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bottom w:val="single" w:sz="8" w:color="auto"/>
            </w:tcBorders>
            <w:gridSpan w:val="2"/>
          </w:tcPr>
          <w:p>
            <w:pPr>
              <w:jc w:val="right"/>
              <w:ind w:right="6"/>
              <w:spacing w:after="0" w:line="169" w:lineRule="exact"/>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gridSpan w:val="3"/>
          </w:tcPr>
          <w:p>
            <w:pPr>
              <w:jc w:val="right"/>
              <w:ind w:right="5"/>
              <w:spacing w:after="0" w:line="169" w:lineRule="exact"/>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Borders>
              <w:bottom w:val="single" w:sz="8" w:color="auto"/>
            </w:tcBorders>
            <w:gridSpan w:val="3"/>
          </w:tcPr>
          <w:p>
            <w:pPr>
              <w:jc w:val="right"/>
              <w:ind w:right="23"/>
              <w:spacing w:after="0" w:line="169" w:lineRule="exact"/>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81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Service cost</w:t>
            </w:r>
          </w:p>
        </w:tc>
        <w:tc>
          <w:tcPr>
            <w:tcW w:w="4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gridSpan w:val="3"/>
            <w:shd w:val="clear" w:color="auto" w:fill="E5FFFF"/>
          </w:tcPr>
          <w:p>
            <w:pPr>
              <w:jc w:val="right"/>
              <w:ind w:right="420"/>
              <w:spacing w:after="0"/>
              <w:rPr>
                <w:sz w:val="20"/>
                <w:szCs w:val="20"/>
                <w:color w:val="auto"/>
              </w:rPr>
            </w:pPr>
            <w:r>
              <w:rPr>
                <w:rFonts w:ascii="Arial" w:cs="Arial" w:eastAsia="Arial" w:hAnsi="Arial"/>
                <w:sz w:val="19"/>
                <w:szCs w:val="19"/>
                <w:color w:val="auto"/>
              </w:rPr>
              <w:t>—</w:t>
            </w:r>
          </w:p>
        </w:tc>
        <w:tc>
          <w:tcPr>
            <w:tcW w:w="1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w w:val="94"/>
              </w:rPr>
              <w:t>$</w:t>
            </w:r>
          </w:p>
        </w:tc>
        <w:tc>
          <w:tcPr>
            <w:tcW w:w="740" w:type="dxa"/>
            <w:vAlign w:val="bottom"/>
            <w:gridSpan w:val="3"/>
            <w:shd w:val="clear" w:color="auto" w:fill="E5FFFF"/>
          </w:tcPr>
          <w:p>
            <w:pPr>
              <w:jc w:val="right"/>
              <w:ind w:right="420"/>
              <w:spacing w:after="0"/>
              <w:rPr>
                <w:sz w:val="20"/>
                <w:szCs w:val="20"/>
                <w:color w:val="auto"/>
              </w:rPr>
            </w:pPr>
            <w:r>
              <w:rPr>
                <w:rFonts w:ascii="Arial" w:cs="Arial" w:eastAsia="Arial" w:hAnsi="Arial"/>
                <w:sz w:val="19"/>
                <w:szCs w:val="19"/>
                <w:color w:val="auto"/>
              </w:rPr>
              <w:t>—</w:t>
            </w:r>
          </w:p>
        </w:tc>
        <w:tc>
          <w:tcPr>
            <w:tcW w:w="20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w w:val="94"/>
              </w:rPr>
              <w:t>$</w:t>
            </w:r>
          </w:p>
        </w:tc>
        <w:tc>
          <w:tcPr>
            <w:tcW w:w="4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9"/>
                <w:szCs w:val="19"/>
                <w:color w:val="auto"/>
              </w:rPr>
              <w:t>Interest cost</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19</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
              <w:spacing w:after="0"/>
              <w:rPr>
                <w:sz w:val="20"/>
                <w:szCs w:val="20"/>
                <w:color w:val="auto"/>
              </w:rPr>
            </w:pPr>
            <w:r>
              <w:rPr>
                <w:rFonts w:ascii="Arial" w:cs="Arial" w:eastAsia="Arial" w:hAnsi="Arial"/>
                <w:sz w:val="19"/>
                <w:szCs w:val="19"/>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1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Amortization of prior service (credit)</w:t>
            </w:r>
          </w:p>
        </w:tc>
        <w:tc>
          <w:tcPr>
            <w:tcW w:w="2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(52)</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(58)</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9"/>
                <w:szCs w:val="19"/>
                <w:color w:val="auto"/>
              </w:rPr>
              <w:t>Recognition of actuarial losses</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60" w:type="dxa"/>
            <w:vAlign w:val="bottom"/>
            <w:gridSpan w:val="2"/>
            <w:shd w:val="clear" w:color="auto" w:fill="E5FFFF"/>
          </w:tcPr>
          <w:p>
            <w:pPr>
              <w:spacing w:after="0" w:line="216" w:lineRule="exact"/>
              <w:rPr>
                <w:sz w:val="20"/>
                <w:szCs w:val="20"/>
                <w:color w:val="auto"/>
              </w:rPr>
            </w:pPr>
            <w:r>
              <w:rPr>
                <w:rFonts w:ascii="Arial" w:cs="Arial" w:eastAsia="Arial" w:hAnsi="Arial"/>
                <w:sz w:val="19"/>
                <w:szCs w:val="19"/>
                <w:color w:val="auto"/>
              </w:rPr>
              <w:t>Net periodic benefit (income) cost</w:t>
            </w:r>
          </w:p>
        </w:tc>
        <w:tc>
          <w:tcPr>
            <w:tcW w:w="320" w:type="dxa"/>
            <w:vAlign w:val="bottom"/>
            <w:gridSpan w:val="2"/>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jc w:val="right"/>
              <w:spacing w:after="0" w:line="216" w:lineRule="exact"/>
              <w:rPr>
                <w:sz w:val="20"/>
                <w:szCs w:val="20"/>
                <w:color w:val="auto"/>
              </w:rPr>
            </w:pPr>
            <w:r>
              <w:rPr>
                <w:rFonts w:ascii="Arial" w:cs="Arial" w:eastAsia="Arial" w:hAnsi="Arial"/>
                <w:sz w:val="19"/>
                <w:szCs w:val="19"/>
                <w:color w:val="auto"/>
              </w:rPr>
              <w:t>$</w:t>
            </w:r>
          </w:p>
        </w:tc>
        <w:tc>
          <w:tcPr>
            <w:tcW w:w="420" w:type="dxa"/>
            <w:vAlign w:val="bottom"/>
            <w:tcBorders>
              <w:bottom w:val="single" w:sz="8" w:color="auto"/>
            </w:tcBorders>
            <w:shd w:val="clear" w:color="auto" w:fill="E5FFFF"/>
          </w:tcPr>
          <w:p>
            <w:pPr>
              <w:jc w:val="right"/>
              <w:spacing w:after="0" w:line="216" w:lineRule="exact"/>
              <w:rPr>
                <w:sz w:val="20"/>
                <w:szCs w:val="20"/>
                <w:color w:val="auto"/>
              </w:rPr>
            </w:pPr>
            <w:r>
              <w:rPr>
                <w:rFonts w:ascii="Arial" w:cs="Arial" w:eastAsia="Arial" w:hAnsi="Arial"/>
                <w:sz w:val="19"/>
                <w:szCs w:val="19"/>
                <w:color w:val="auto"/>
              </w:rPr>
              <w:t>(34)</w:t>
            </w:r>
          </w:p>
        </w:tc>
        <w:tc>
          <w:tcPr>
            <w:tcW w:w="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60" w:type="dxa"/>
            <w:vAlign w:val="bottom"/>
            <w:tcBorders>
              <w:bottom w:val="single" w:sz="8" w:color="auto"/>
            </w:tcBorders>
            <w:gridSpan w:val="2"/>
            <w:shd w:val="clear" w:color="auto" w:fill="E5FFFF"/>
          </w:tcPr>
          <w:p>
            <w:pPr>
              <w:jc w:val="right"/>
              <w:ind w:right="40"/>
              <w:spacing w:after="0" w:line="216" w:lineRule="exact"/>
              <w:rPr>
                <w:sz w:val="20"/>
                <w:szCs w:val="20"/>
                <w:color w:val="auto"/>
              </w:rPr>
            </w:pPr>
            <w:r>
              <w:rPr>
                <w:rFonts w:ascii="Arial" w:cs="Arial" w:eastAsia="Arial" w:hAnsi="Arial"/>
                <w:sz w:val="19"/>
                <w:szCs w:val="19"/>
                <w:color w:val="auto"/>
                <w:w w:val="94"/>
              </w:rPr>
              <w:t>$</w:t>
            </w:r>
          </w:p>
        </w:tc>
        <w:tc>
          <w:tcPr>
            <w:tcW w:w="400" w:type="dxa"/>
            <w:vAlign w:val="bottom"/>
            <w:tcBorders>
              <w:bottom w:val="single" w:sz="8" w:color="auto"/>
            </w:tcBorders>
            <w:shd w:val="clear" w:color="auto" w:fill="E5FFFF"/>
          </w:tcPr>
          <w:p>
            <w:pPr>
              <w:jc w:val="right"/>
              <w:spacing w:after="0" w:line="216" w:lineRule="exact"/>
              <w:rPr>
                <w:sz w:val="20"/>
                <w:szCs w:val="20"/>
                <w:color w:val="auto"/>
              </w:rPr>
            </w:pPr>
            <w:r>
              <w:rPr>
                <w:rFonts w:ascii="Arial" w:cs="Arial" w:eastAsia="Arial" w:hAnsi="Arial"/>
                <w:sz w:val="19"/>
                <w:szCs w:val="19"/>
                <w:color w:val="auto"/>
              </w:rPr>
              <w:t>(26)</w:t>
            </w:r>
          </w:p>
        </w:tc>
        <w:tc>
          <w:tcPr>
            <w:tcW w:w="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0" w:type="dxa"/>
            <w:vAlign w:val="bottom"/>
            <w:tcBorders>
              <w:bottom w:val="single" w:sz="8" w:color="auto"/>
            </w:tcBorders>
            <w:gridSpan w:val="2"/>
            <w:shd w:val="clear" w:color="auto" w:fill="E5FFFF"/>
          </w:tcPr>
          <w:p>
            <w:pPr>
              <w:jc w:val="right"/>
              <w:ind w:right="1"/>
              <w:spacing w:after="0" w:line="216" w:lineRule="exact"/>
              <w:rPr>
                <w:sz w:val="20"/>
                <w:szCs w:val="20"/>
                <w:color w:val="auto"/>
              </w:rPr>
            </w:pPr>
            <w:r>
              <w:rPr>
                <w:rFonts w:ascii="Arial" w:cs="Arial" w:eastAsia="Arial" w:hAnsi="Arial"/>
                <w:sz w:val="19"/>
                <w:szCs w:val="19"/>
                <w:color w:val="auto"/>
                <w:w w:val="94"/>
              </w:rPr>
              <w:t>$</w:t>
            </w:r>
          </w:p>
        </w:tc>
        <w:tc>
          <w:tcPr>
            <w:tcW w:w="420" w:type="dxa"/>
            <w:vAlign w:val="bottom"/>
            <w:tcBorders>
              <w:bottom w:val="single" w:sz="8" w:color="auto"/>
            </w:tcBorders>
            <w:shd w:val="clear" w:color="auto" w:fill="E5FFFF"/>
          </w:tcPr>
          <w:p>
            <w:pPr>
              <w:jc w:val="right"/>
              <w:spacing w:after="0" w:line="216" w:lineRule="exact"/>
              <w:rPr>
                <w:sz w:val="20"/>
                <w:szCs w:val="20"/>
                <w:color w:val="auto"/>
              </w:rPr>
            </w:pPr>
            <w:r>
              <w:rPr>
                <w:rFonts w:ascii="Arial" w:cs="Arial" w:eastAsia="Arial" w:hAnsi="Arial"/>
                <w:sz w:val="19"/>
                <w:szCs w:val="19"/>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6"/>
                <w:szCs w:val="16"/>
                <w:b w:val="1"/>
                <w:bCs w:val="1"/>
                <w:color w:val="auto"/>
              </w:rPr>
              <w:t>Other Changes in Plan Assets and Benefits Obligations</w:t>
            </w:r>
          </w:p>
        </w:tc>
        <w:tc>
          <w:tcPr>
            <w:tcW w:w="2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11"/>
          </w:tcPr>
          <w:p>
            <w:pPr>
              <w:jc w:val="center"/>
              <w:ind w:right="83"/>
              <w:spacing w:after="0"/>
              <w:rPr>
                <w:sz w:val="20"/>
                <w:szCs w:val="20"/>
                <w:color w:val="auto"/>
              </w:rPr>
            </w:pPr>
            <w:r>
              <w:rPr>
                <w:rFonts w:ascii="Arial" w:cs="Arial" w:eastAsia="Arial" w:hAnsi="Arial"/>
                <w:sz w:val="16"/>
                <w:szCs w:val="16"/>
                <w:b w:val="1"/>
                <w:bCs w:val="1"/>
                <w:color w:val="auto"/>
                <w:w w:val="98"/>
              </w:rPr>
              <w:t>Years Ended December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814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b w:val="1"/>
                <w:bCs w:val="1"/>
                <w:color w:val="auto"/>
              </w:rPr>
              <w:t>Recognized in Other Comprehensive (Income) Loss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bottom w:val="single" w:sz="8" w:color="auto"/>
            </w:tcBorders>
            <w:gridSpan w:val="3"/>
          </w:tcPr>
          <w:p>
            <w:pPr>
              <w:jc w:val="right"/>
              <w:ind w:right="6"/>
              <w:spacing w:after="0" w:line="169" w:lineRule="exact"/>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w w:val="95"/>
              </w:rPr>
              <w:t>2017</w:t>
            </w:r>
          </w:p>
        </w:tc>
        <w:tc>
          <w:tcPr>
            <w:tcW w:w="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3"/>
              <w:spacing w:after="0" w:line="169" w:lineRule="exact"/>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160" w:type="dxa"/>
            <w:vAlign w:val="bottom"/>
            <w:gridSpan w:val="2"/>
            <w:shd w:val="clear" w:color="auto" w:fill="E5FFFF"/>
          </w:tcPr>
          <w:p>
            <w:pPr>
              <w:spacing w:after="0" w:line="210" w:lineRule="exact"/>
              <w:rPr>
                <w:sz w:val="20"/>
                <w:szCs w:val="20"/>
                <w:color w:val="auto"/>
              </w:rPr>
            </w:pPr>
            <w:r>
              <w:rPr>
                <w:rFonts w:ascii="Arial" w:cs="Arial" w:eastAsia="Arial" w:hAnsi="Arial"/>
                <w:sz w:val="19"/>
                <w:szCs w:val="19"/>
                <w:color w:val="auto"/>
              </w:rPr>
              <w:t>Actuarial (gains) losses</w:t>
            </w:r>
          </w:p>
        </w:tc>
        <w:tc>
          <w:tcPr>
            <w:tcW w:w="460" w:type="dxa"/>
            <w:vAlign w:val="bottom"/>
            <w:gridSpan w:val="3"/>
            <w:shd w:val="clear" w:color="auto" w:fill="E5FFFF"/>
          </w:tcPr>
          <w:p>
            <w:pPr>
              <w:jc w:val="right"/>
              <w:spacing w:after="0" w:line="210" w:lineRule="exact"/>
              <w:rPr>
                <w:sz w:val="20"/>
                <w:szCs w:val="20"/>
                <w:color w:val="auto"/>
              </w:rPr>
            </w:pPr>
            <w:r>
              <w:rPr>
                <w:rFonts w:ascii="Arial" w:cs="Arial" w:eastAsia="Arial" w:hAnsi="Arial"/>
                <w:sz w:val="19"/>
                <w:szCs w:val="19"/>
                <w:color w:val="auto"/>
              </w:rPr>
              <w:t>$</w:t>
            </w:r>
          </w:p>
        </w:tc>
        <w:tc>
          <w:tcPr>
            <w:tcW w:w="480" w:type="dxa"/>
            <w:vAlign w:val="bottom"/>
            <w:gridSpan w:val="2"/>
            <w:shd w:val="clear" w:color="auto" w:fill="E5FFFF"/>
          </w:tcPr>
          <w:p>
            <w:pPr>
              <w:jc w:val="right"/>
              <w:ind w:right="20"/>
              <w:spacing w:after="0" w:line="210" w:lineRule="exact"/>
              <w:rPr>
                <w:sz w:val="20"/>
                <w:szCs w:val="20"/>
                <w:color w:val="auto"/>
              </w:rPr>
            </w:pPr>
            <w:r>
              <w:rPr>
                <w:rFonts w:ascii="Arial" w:cs="Arial" w:eastAsia="Arial" w:hAnsi="Arial"/>
                <w:sz w:val="19"/>
                <w:szCs w:val="19"/>
                <w:color w:val="auto"/>
                <w:w w:val="99"/>
              </w:rPr>
              <w:t>(110)</w:t>
            </w:r>
          </w:p>
        </w:tc>
        <w:tc>
          <w:tcPr>
            <w:tcW w:w="280" w:type="dxa"/>
            <w:vAlign w:val="bottom"/>
            <w:shd w:val="clear" w:color="auto" w:fill="E5FFFF"/>
          </w:tcPr>
          <w:p>
            <w:pPr>
              <w:spacing w:after="0"/>
              <w:rPr>
                <w:sz w:val="18"/>
                <w:szCs w:val="18"/>
                <w:color w:val="auto"/>
              </w:rPr>
            </w:pPr>
          </w:p>
        </w:tc>
        <w:tc>
          <w:tcPr>
            <w:tcW w:w="160" w:type="dxa"/>
            <w:vAlign w:val="bottom"/>
            <w:gridSpan w:val="2"/>
            <w:shd w:val="clear" w:color="auto" w:fill="E5FFFF"/>
          </w:tcPr>
          <w:p>
            <w:pPr>
              <w:jc w:val="right"/>
              <w:spacing w:after="0" w:line="210" w:lineRule="exact"/>
              <w:rPr>
                <w:sz w:val="20"/>
                <w:szCs w:val="20"/>
                <w:color w:val="auto"/>
              </w:rPr>
            </w:pPr>
            <w:r>
              <w:rPr>
                <w:rFonts w:ascii="Arial" w:cs="Arial" w:eastAsia="Arial" w:hAnsi="Arial"/>
                <w:sz w:val="19"/>
                <w:szCs w:val="19"/>
                <w:color w:val="auto"/>
              </w:rPr>
              <w:t>$</w:t>
            </w:r>
          </w:p>
        </w:tc>
        <w:tc>
          <w:tcPr>
            <w:tcW w:w="460" w:type="dxa"/>
            <w:vAlign w:val="bottom"/>
            <w:gridSpan w:val="2"/>
            <w:shd w:val="clear" w:color="auto" w:fill="E5FFFF"/>
          </w:tcPr>
          <w:p>
            <w:pPr>
              <w:jc w:val="right"/>
              <w:ind w:right="20"/>
              <w:spacing w:after="0" w:line="210" w:lineRule="exact"/>
              <w:rPr>
                <w:sz w:val="20"/>
                <w:szCs w:val="20"/>
                <w:color w:val="auto"/>
              </w:rPr>
            </w:pPr>
            <w:r>
              <w:rPr>
                <w:rFonts w:ascii="Arial" w:cs="Arial" w:eastAsia="Arial" w:hAnsi="Arial"/>
                <w:sz w:val="19"/>
                <w:szCs w:val="19"/>
                <w:color w:val="auto"/>
              </w:rPr>
              <w:t>(14)</w:t>
            </w:r>
          </w:p>
        </w:tc>
        <w:tc>
          <w:tcPr>
            <w:tcW w:w="280" w:type="dxa"/>
            <w:vAlign w:val="bottom"/>
            <w:shd w:val="clear" w:color="auto" w:fill="E5FFFF"/>
          </w:tcPr>
          <w:p>
            <w:pPr>
              <w:spacing w:after="0"/>
              <w:rPr>
                <w:sz w:val="18"/>
                <w:szCs w:val="18"/>
                <w:color w:val="auto"/>
              </w:rPr>
            </w:pPr>
          </w:p>
        </w:tc>
        <w:tc>
          <w:tcPr>
            <w:tcW w:w="200" w:type="dxa"/>
            <w:vAlign w:val="bottom"/>
            <w:gridSpan w:val="2"/>
            <w:shd w:val="clear" w:color="auto" w:fill="E5FFFF"/>
          </w:tcPr>
          <w:p>
            <w:pPr>
              <w:jc w:val="right"/>
              <w:spacing w:after="0" w:line="210" w:lineRule="exact"/>
              <w:rPr>
                <w:sz w:val="20"/>
                <w:szCs w:val="20"/>
                <w:color w:val="auto"/>
              </w:rPr>
            </w:pPr>
            <w:r>
              <w:rPr>
                <w:rFonts w:ascii="Arial" w:cs="Arial" w:eastAsia="Arial" w:hAnsi="Arial"/>
                <w:sz w:val="19"/>
                <w:szCs w:val="19"/>
                <w:color w:val="auto"/>
              </w:rPr>
              <w:t>$</w:t>
            </w:r>
          </w:p>
        </w:tc>
        <w:tc>
          <w:tcPr>
            <w:tcW w:w="42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9"/>
                <w:szCs w:val="19"/>
                <w:color w:val="auto"/>
              </w:rPr>
              <w:t>Prior service cost (credit)</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9"/>
                <w:szCs w:val="19"/>
                <w:color w:val="auto"/>
              </w:rPr>
              <w:t>(34)</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91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
              <w:spacing w:after="0"/>
              <w:rPr>
                <w:sz w:val="20"/>
                <w:szCs w:val="20"/>
                <w:color w:val="auto"/>
              </w:rPr>
            </w:pPr>
            <w:r>
              <w:rPr>
                <w:rFonts w:ascii="Arial" w:cs="Arial" w:eastAsia="Arial" w:hAnsi="Arial"/>
                <w:sz w:val="19"/>
                <w:szCs w:val="19"/>
                <w:color w:val="auto"/>
              </w:rPr>
              <w:t>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1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Prior service credit recognized during year</w:t>
            </w:r>
          </w:p>
        </w:tc>
        <w:tc>
          <w:tcPr>
            <w:tcW w:w="2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52</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58</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9"/>
                <w:szCs w:val="19"/>
                <w:color w:val="auto"/>
              </w:rPr>
              <w:t>Actuarial losses recognized during year</w:t>
            </w:r>
          </w:p>
        </w:tc>
        <w:tc>
          <w:tcPr>
            <w:tcW w:w="2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(3)</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(13)</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16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Total recognized in other comprehensive (income) loss</w:t>
            </w:r>
          </w:p>
        </w:tc>
        <w:tc>
          <w:tcPr>
            <w:tcW w:w="4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(95)</w:t>
            </w:r>
          </w:p>
        </w:tc>
        <w:tc>
          <w:tcPr>
            <w:tcW w:w="280" w:type="dxa"/>
            <w:vAlign w:val="bottom"/>
            <w:shd w:val="clear" w:color="auto" w:fill="E5FFFF"/>
          </w:tcPr>
          <w:p>
            <w:pPr>
              <w:spacing w:after="0"/>
              <w:rPr>
                <w:sz w:val="21"/>
                <w:szCs w:val="21"/>
                <w:color w:val="auto"/>
              </w:rPr>
            </w:pPr>
          </w:p>
        </w:tc>
        <w:tc>
          <w:tcPr>
            <w:tcW w:w="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122</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160" w:type="dxa"/>
            <w:vAlign w:val="bottom"/>
            <w:gridSpan w:val="2"/>
            <w:vMerge w:val="restart"/>
          </w:tcPr>
          <w:p>
            <w:pPr>
              <w:ind w:left="360"/>
              <w:spacing w:after="0"/>
              <w:rPr>
                <w:sz w:val="20"/>
                <w:szCs w:val="20"/>
                <w:color w:val="auto"/>
              </w:rPr>
            </w:pPr>
            <w:r>
              <w:rPr>
                <w:rFonts w:ascii="Arial" w:cs="Arial" w:eastAsia="Arial" w:hAnsi="Arial"/>
                <w:sz w:val="19"/>
                <w:szCs w:val="19"/>
                <w:color w:val="auto"/>
              </w:rPr>
              <w:t>Total recognized in net periodic benefit (income) cost and other comprehensive (income)</w:t>
            </w: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81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60" w:type="dxa"/>
            <w:vAlign w:val="bottom"/>
            <w:gridSpan w:val="2"/>
          </w:tcPr>
          <w:p>
            <w:pPr>
              <w:ind w:left="540"/>
              <w:spacing w:after="0" w:line="216" w:lineRule="exact"/>
              <w:rPr>
                <w:sz w:val="20"/>
                <w:szCs w:val="20"/>
                <w:color w:val="auto"/>
              </w:rPr>
            </w:pPr>
            <w:r>
              <w:rPr>
                <w:rFonts w:ascii="Arial" w:cs="Arial" w:eastAsia="Arial" w:hAnsi="Arial"/>
                <w:sz w:val="19"/>
                <w:szCs w:val="19"/>
                <w:color w:val="auto"/>
              </w:rPr>
              <w:t>loss</w:t>
            </w:r>
          </w:p>
        </w:tc>
        <w:tc>
          <w:tcPr>
            <w:tcW w:w="460" w:type="dxa"/>
            <w:vAlign w:val="bottom"/>
            <w:gridSpan w:val="3"/>
          </w:tcPr>
          <w:p>
            <w:pPr>
              <w:jc w:val="right"/>
              <w:spacing w:after="0" w:line="216" w:lineRule="exact"/>
              <w:rPr>
                <w:sz w:val="20"/>
                <w:szCs w:val="20"/>
                <w:color w:val="auto"/>
              </w:rPr>
            </w:pPr>
            <w:r>
              <w:rPr>
                <w:rFonts w:ascii="Arial" w:cs="Arial" w:eastAsia="Arial" w:hAnsi="Arial"/>
                <w:sz w:val="19"/>
                <w:szCs w:val="19"/>
                <w:color w:val="auto"/>
              </w:rPr>
              <w:t>$</w:t>
            </w:r>
          </w:p>
        </w:tc>
        <w:tc>
          <w:tcPr>
            <w:tcW w:w="480" w:type="dxa"/>
            <w:vAlign w:val="bottom"/>
            <w:gridSpan w:val="2"/>
          </w:tcPr>
          <w:p>
            <w:pPr>
              <w:jc w:val="right"/>
              <w:ind w:right="20"/>
              <w:spacing w:after="0" w:line="216" w:lineRule="exact"/>
              <w:rPr>
                <w:sz w:val="20"/>
                <w:szCs w:val="20"/>
                <w:color w:val="auto"/>
              </w:rPr>
            </w:pPr>
            <w:r>
              <w:rPr>
                <w:rFonts w:ascii="Arial" w:cs="Arial" w:eastAsia="Arial" w:hAnsi="Arial"/>
                <w:sz w:val="19"/>
                <w:szCs w:val="19"/>
                <w:color w:val="auto"/>
                <w:w w:val="99"/>
              </w:rPr>
              <w:t>(129)</w:t>
            </w:r>
          </w:p>
        </w:tc>
        <w:tc>
          <w:tcPr>
            <w:tcW w:w="280" w:type="dxa"/>
            <w:vAlign w:val="bottom"/>
          </w:tcPr>
          <w:p>
            <w:pPr>
              <w:spacing w:after="0"/>
              <w:rPr>
                <w:sz w:val="18"/>
                <w:szCs w:val="18"/>
                <w:color w:val="auto"/>
              </w:rPr>
            </w:pPr>
          </w:p>
        </w:tc>
        <w:tc>
          <w:tcPr>
            <w:tcW w:w="16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w:t>
            </w:r>
          </w:p>
        </w:tc>
        <w:tc>
          <w:tcPr>
            <w:tcW w:w="400" w:type="dxa"/>
            <w:vAlign w:val="bottom"/>
          </w:tcPr>
          <w:p>
            <w:pPr>
              <w:jc w:val="right"/>
              <w:spacing w:after="0" w:line="216" w:lineRule="exact"/>
              <w:rPr>
                <w:sz w:val="20"/>
                <w:szCs w:val="20"/>
                <w:color w:val="auto"/>
              </w:rPr>
            </w:pPr>
            <w:r>
              <w:rPr>
                <w:rFonts w:ascii="Arial" w:cs="Arial" w:eastAsia="Arial" w:hAnsi="Arial"/>
                <w:sz w:val="19"/>
                <w:szCs w:val="19"/>
                <w:color w:val="auto"/>
              </w:rPr>
              <w:t>96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w:t>
            </w:r>
          </w:p>
        </w:tc>
        <w:tc>
          <w:tcPr>
            <w:tcW w:w="420" w:type="dxa"/>
            <w:vAlign w:val="bottom"/>
          </w:tcPr>
          <w:p>
            <w:pPr>
              <w:jc w:val="right"/>
              <w:ind w:right="3"/>
              <w:spacing w:after="0" w:line="216" w:lineRule="exact"/>
              <w:rPr>
                <w:sz w:val="20"/>
                <w:szCs w:val="20"/>
                <w:color w:val="auto"/>
              </w:rPr>
            </w:pPr>
            <w:r>
              <w:rPr>
                <w:rFonts w:ascii="Arial" w:cs="Arial" w:eastAsia="Arial" w:hAnsi="Arial"/>
                <w:sz w:val="19"/>
                <w:szCs w:val="19"/>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140" w:type="dxa"/>
            <w:vAlign w:val="bottom"/>
            <w:vMerge w:val="restart"/>
          </w:tcPr>
          <w:p>
            <w:pPr>
              <w:ind w:left="5100"/>
              <w:spacing w:after="0"/>
              <w:rPr>
                <w:sz w:val="20"/>
                <w:szCs w:val="20"/>
                <w:color w:val="auto"/>
              </w:rPr>
            </w:pPr>
            <w:r>
              <w:rPr>
                <w:rFonts w:ascii="Arial" w:cs="Arial" w:eastAsia="Arial" w:hAnsi="Arial"/>
                <w:sz w:val="19"/>
                <w:szCs w:val="19"/>
                <w:color w:val="auto"/>
              </w:rPr>
              <w:t>84</w:t>
            </w: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81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160" w:firstLine="357"/>
        <w:spacing w:after="0" w:line="253" w:lineRule="auto"/>
        <w:rPr>
          <w:sz w:val="20"/>
          <w:szCs w:val="20"/>
          <w:color w:val="auto"/>
        </w:rPr>
      </w:pPr>
      <w:r>
        <w:rPr>
          <w:rFonts w:ascii="Arial" w:cs="Arial" w:eastAsia="Arial" w:hAnsi="Arial"/>
          <w:sz w:val="19"/>
          <w:szCs w:val="19"/>
          <w:color w:val="auto"/>
        </w:rPr>
        <w:t>The estimated net loss and prior service (credit) for other postretirement benefits that will be amortized from Accumulated other comprehensive (income) loss into net periodic benefit (income) cost in 2019 are expected to be $0 and ($62) million.</w:t>
      </w:r>
    </w:p>
    <w:p>
      <w:pPr>
        <w:spacing w:after="0" w:line="80" w:lineRule="exact"/>
        <w:rPr>
          <w:sz w:val="20"/>
          <w:szCs w:val="20"/>
          <w:color w:val="auto"/>
        </w:rPr>
      </w:pPr>
    </w:p>
    <w:p>
      <w:pPr>
        <w:ind w:right="140" w:firstLine="357"/>
        <w:spacing w:after="0" w:line="246" w:lineRule="auto"/>
        <w:rPr>
          <w:sz w:val="20"/>
          <w:szCs w:val="20"/>
          <w:color w:val="auto"/>
        </w:rPr>
      </w:pPr>
      <w:r>
        <w:rPr>
          <w:rFonts w:ascii="Arial" w:cs="Arial" w:eastAsia="Arial" w:hAnsi="Arial"/>
          <w:sz w:val="19"/>
          <w:szCs w:val="19"/>
          <w:color w:val="auto"/>
        </w:rPr>
        <w:t>Major actuarial assumptions used in determining the benefit obligations and net periodic benefit (income) cost for our significant benefit plans are presented in the following table as weighted averages.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Pension Benefits</w:t>
            </w: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69"/>
        </w:trPr>
        <w:tc>
          <w:tcPr>
            <w:tcW w:w="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spacing w:after="0" w:line="169" w:lineRule="exact"/>
              <w:rPr>
                <w:sz w:val="20"/>
                <w:szCs w:val="20"/>
                <w:color w:val="auto"/>
              </w:rPr>
            </w:pPr>
            <w:r>
              <w:rPr>
                <w:rFonts w:ascii="Arial" w:cs="Arial" w:eastAsia="Arial" w:hAnsi="Arial"/>
                <w:sz w:val="16"/>
                <w:szCs w:val="16"/>
                <w:b w:val="1"/>
                <w:bCs w:val="1"/>
                <w:color w:val="auto"/>
                <w:w w:val="97"/>
              </w:rPr>
              <w:t>U.S. Plans</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ind w:left="60"/>
              <w:spacing w:after="0" w:line="169" w:lineRule="exact"/>
              <w:rPr>
                <w:sz w:val="20"/>
                <w:szCs w:val="20"/>
                <w:color w:val="auto"/>
              </w:rPr>
            </w:pPr>
            <w:r>
              <w:rPr>
                <w:rFonts w:ascii="Arial" w:cs="Arial" w:eastAsia="Arial" w:hAnsi="Arial"/>
                <w:sz w:val="16"/>
                <w:szCs w:val="16"/>
                <w:b w:val="1"/>
                <w:bCs w:val="1"/>
                <w:color w:val="auto"/>
              </w:rPr>
              <w:t>Non-U.S. Plans</w:t>
            </w: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69"/>
        </w:trPr>
        <w:tc>
          <w:tcPr>
            <w:tcW w:w="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2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5"/>
              </w:rPr>
              <w:t>2018</w:t>
            </w:r>
          </w:p>
        </w:tc>
        <w:tc>
          <w:tcPr>
            <w:tcW w:w="940" w:type="dxa"/>
            <w:vAlign w:val="bottom"/>
            <w:gridSpan w:val="2"/>
          </w:tcPr>
          <w:p>
            <w:pPr>
              <w:jc w:val="center"/>
              <w:ind w:left="207"/>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64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5"/>
              </w:rPr>
              <w:t>2016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4"/>
                <w:szCs w:val="14"/>
                <w:color w:val="auto"/>
              </w:rPr>
            </w:pPr>
          </w:p>
        </w:tc>
        <w:tc>
          <w:tcPr>
            <w:tcW w:w="900" w:type="dxa"/>
            <w:vAlign w:val="bottom"/>
            <w:gridSpan w:val="3"/>
          </w:tcPr>
          <w:p>
            <w:pPr>
              <w:jc w:val="right"/>
              <w:ind w:right="21"/>
              <w:spacing w:after="0" w:line="169" w:lineRule="exact"/>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4"/>
                <w:szCs w:val="14"/>
                <w:color w:val="auto"/>
              </w:rPr>
            </w:pPr>
          </w:p>
        </w:tc>
      </w:tr>
      <w:tr>
        <w:trPr>
          <w:trHeight w:val="210"/>
        </w:trPr>
        <w:tc>
          <w:tcPr>
            <w:tcW w:w="6120" w:type="dxa"/>
            <w:vAlign w:val="bottom"/>
            <w:gridSpan w:val="2"/>
            <w:shd w:val="clear" w:color="auto" w:fill="E5FFFF"/>
          </w:tcPr>
          <w:p>
            <w:pPr>
              <w:spacing w:after="0" w:line="210" w:lineRule="exact"/>
              <w:rPr>
                <w:sz w:val="20"/>
                <w:szCs w:val="20"/>
                <w:color w:val="auto"/>
              </w:rPr>
            </w:pPr>
            <w:r>
              <w:rPr>
                <w:rFonts w:ascii="Arial" w:cs="Arial" w:eastAsia="Arial" w:hAnsi="Arial"/>
                <w:sz w:val="19"/>
                <w:szCs w:val="19"/>
                <w:color w:val="auto"/>
              </w:rPr>
              <w:t>Actuarial assumptions used to determine benefit obligations as of</w:t>
            </w:r>
          </w:p>
        </w:tc>
        <w:tc>
          <w:tcPr>
            <w:tcW w:w="62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tcBorders>
              <w:top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60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2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r>
      <w:tr>
        <w:trPr>
          <w:trHeight w:val="216"/>
        </w:trPr>
        <w:tc>
          <w:tcPr>
            <w:tcW w:w="6120" w:type="dxa"/>
            <w:vAlign w:val="bottom"/>
            <w:gridSpan w:val="2"/>
            <w:shd w:val="clear" w:color="auto" w:fill="E5FFFF"/>
          </w:tcPr>
          <w:p>
            <w:pPr>
              <w:ind w:left="180"/>
              <w:spacing w:after="0" w:line="216" w:lineRule="exact"/>
              <w:rPr>
                <w:sz w:val="20"/>
                <w:szCs w:val="20"/>
                <w:color w:val="auto"/>
              </w:rPr>
            </w:pPr>
            <w:r>
              <w:rPr>
                <w:rFonts w:ascii="Arial" w:cs="Arial" w:eastAsia="Arial" w:hAnsi="Arial"/>
                <w:sz w:val="19"/>
                <w:szCs w:val="19"/>
                <w:color w:val="auto"/>
              </w:rPr>
              <w:t>December 31:</w:t>
            </w:r>
          </w:p>
        </w:tc>
        <w:tc>
          <w:tcPr>
            <w:tcW w:w="6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r>
      <w:tr>
        <w:trPr>
          <w:trHeight w:val="243"/>
        </w:trPr>
        <w:tc>
          <w:tcPr>
            <w:tcW w:w="6120" w:type="dxa"/>
            <w:vAlign w:val="bottom"/>
            <w:gridSpan w:val="2"/>
          </w:tcPr>
          <w:p>
            <w:pPr>
              <w:ind w:left="360"/>
              <w:spacing w:after="0"/>
              <w:rPr>
                <w:sz w:val="20"/>
                <w:szCs w:val="20"/>
                <w:color w:val="auto"/>
              </w:rPr>
            </w:pPr>
            <w:r>
              <w:rPr>
                <w:rFonts w:ascii="Arial" w:cs="Arial" w:eastAsia="Arial" w:hAnsi="Arial"/>
                <w:sz w:val="19"/>
                <w:szCs w:val="19"/>
                <w:color w:val="auto"/>
              </w:rPr>
              <w:t>Discount rate</w:t>
            </w:r>
          </w:p>
        </w:tc>
        <w:tc>
          <w:tcPr>
            <w:tcW w:w="620" w:type="dxa"/>
            <w:vAlign w:val="bottom"/>
          </w:tcPr>
          <w:p>
            <w:pPr>
              <w:jc w:val="center"/>
              <w:spacing w:after="0"/>
              <w:rPr>
                <w:sz w:val="20"/>
                <w:szCs w:val="20"/>
                <w:color w:val="auto"/>
              </w:rPr>
            </w:pPr>
            <w:r>
              <w:rPr>
                <w:rFonts w:ascii="Arial" w:cs="Arial" w:eastAsia="Arial" w:hAnsi="Arial"/>
                <w:sz w:val="19"/>
                <w:szCs w:val="19"/>
                <w:color w:val="auto"/>
              </w:rPr>
              <w:t>4.35%</w:t>
            </w:r>
          </w:p>
        </w:tc>
        <w:tc>
          <w:tcPr>
            <w:tcW w:w="940" w:type="dxa"/>
            <w:vAlign w:val="bottom"/>
            <w:gridSpan w:val="2"/>
          </w:tcPr>
          <w:p>
            <w:pPr>
              <w:jc w:val="center"/>
              <w:ind w:left="267"/>
              <w:spacing w:after="0"/>
              <w:rPr>
                <w:sz w:val="20"/>
                <w:szCs w:val="20"/>
                <w:color w:val="auto"/>
              </w:rPr>
            </w:pPr>
            <w:r>
              <w:rPr>
                <w:rFonts w:ascii="Arial" w:cs="Arial" w:eastAsia="Arial" w:hAnsi="Arial"/>
                <w:sz w:val="19"/>
                <w:szCs w:val="19"/>
                <w:color w:val="auto"/>
              </w:rPr>
              <w:t>3.68%</w:t>
            </w:r>
          </w:p>
        </w:tc>
        <w:tc>
          <w:tcPr>
            <w:tcW w:w="30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9"/>
                <w:szCs w:val="19"/>
                <w:color w:val="auto"/>
              </w:rPr>
              <w:t>4.20%</w:t>
            </w:r>
          </w:p>
        </w:tc>
        <w:tc>
          <w:tcPr>
            <w:tcW w:w="920" w:type="dxa"/>
            <w:vAlign w:val="bottom"/>
            <w:gridSpan w:val="4"/>
          </w:tcPr>
          <w:p>
            <w:pPr>
              <w:ind w:left="360"/>
              <w:spacing w:after="0"/>
              <w:rPr>
                <w:sz w:val="20"/>
                <w:szCs w:val="20"/>
                <w:color w:val="auto"/>
              </w:rPr>
            </w:pPr>
            <w:r>
              <w:rPr>
                <w:rFonts w:ascii="Arial" w:cs="Arial" w:eastAsia="Arial" w:hAnsi="Arial"/>
                <w:sz w:val="19"/>
                <w:szCs w:val="19"/>
                <w:color w:val="auto"/>
              </w:rPr>
              <w:t>2.63%</w:t>
            </w:r>
          </w:p>
        </w:tc>
        <w:tc>
          <w:tcPr>
            <w:tcW w:w="940" w:type="dxa"/>
            <w:vAlign w:val="bottom"/>
            <w:gridSpan w:val="4"/>
          </w:tcPr>
          <w:p>
            <w:pPr>
              <w:jc w:val="right"/>
              <w:ind w:right="20"/>
              <w:spacing w:after="0"/>
              <w:rPr>
                <w:sz w:val="20"/>
                <w:szCs w:val="20"/>
                <w:color w:val="auto"/>
              </w:rPr>
            </w:pPr>
            <w:r>
              <w:rPr>
                <w:rFonts w:ascii="Arial" w:cs="Arial" w:eastAsia="Arial" w:hAnsi="Arial"/>
                <w:sz w:val="19"/>
                <w:szCs w:val="19"/>
                <w:color w:val="auto"/>
              </w:rPr>
              <w:t>2.36%</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9"/>
                <w:szCs w:val="19"/>
                <w:color w:val="auto"/>
              </w:rPr>
              <w:t>2.51%</w:t>
            </w:r>
          </w:p>
        </w:tc>
        <w:tc>
          <w:tcPr>
            <w:tcW w:w="20" w:type="dxa"/>
            <w:vAlign w:val="bottom"/>
          </w:tcPr>
          <w:p>
            <w:pPr>
              <w:spacing w:after="0"/>
              <w:rPr>
                <w:sz w:val="21"/>
                <w:szCs w:val="21"/>
                <w:color w:val="auto"/>
              </w:rPr>
            </w:pPr>
          </w:p>
        </w:tc>
      </w:tr>
      <w:tr>
        <w:trPr>
          <w:trHeight w:val="243"/>
        </w:trPr>
        <w:tc>
          <w:tcPr>
            <w:tcW w:w="612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Expected annual rate of compensation increase</w:t>
            </w: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3.25%</w:t>
            </w:r>
          </w:p>
        </w:tc>
        <w:tc>
          <w:tcPr>
            <w:tcW w:w="940" w:type="dxa"/>
            <w:vAlign w:val="bottom"/>
            <w:gridSpan w:val="2"/>
            <w:shd w:val="clear" w:color="auto" w:fill="E5FFFF"/>
          </w:tcPr>
          <w:p>
            <w:pPr>
              <w:jc w:val="center"/>
              <w:ind w:left="267"/>
              <w:spacing w:after="0"/>
              <w:rPr>
                <w:sz w:val="20"/>
                <w:szCs w:val="20"/>
                <w:color w:val="auto"/>
              </w:rPr>
            </w:pPr>
            <w:r>
              <w:rPr>
                <w:rFonts w:ascii="Arial" w:cs="Arial" w:eastAsia="Arial" w:hAnsi="Arial"/>
                <w:sz w:val="19"/>
                <w:szCs w:val="19"/>
                <w:color w:val="auto"/>
              </w:rPr>
              <w:t>4.50%</w:t>
            </w:r>
          </w:p>
        </w:tc>
        <w:tc>
          <w:tcPr>
            <w:tcW w:w="300" w:type="dxa"/>
            <w:vAlign w:val="bottom"/>
            <w:shd w:val="clear" w:color="auto" w:fill="E5FFFF"/>
          </w:tcPr>
          <w:p>
            <w:pPr>
              <w:spacing w:after="0"/>
              <w:rPr>
                <w:sz w:val="21"/>
                <w:szCs w:val="21"/>
                <w:color w:val="auto"/>
              </w:rPr>
            </w:pPr>
          </w:p>
        </w:tc>
        <w:tc>
          <w:tcPr>
            <w:tcW w:w="6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4.50%</w:t>
            </w:r>
          </w:p>
        </w:tc>
        <w:tc>
          <w:tcPr>
            <w:tcW w:w="920" w:type="dxa"/>
            <w:vAlign w:val="bottom"/>
            <w:gridSpan w:val="4"/>
            <w:shd w:val="clear" w:color="auto" w:fill="E5FFFF"/>
          </w:tcPr>
          <w:p>
            <w:pPr>
              <w:ind w:left="360"/>
              <w:spacing w:after="0"/>
              <w:rPr>
                <w:sz w:val="20"/>
                <w:szCs w:val="20"/>
                <w:color w:val="auto"/>
              </w:rPr>
            </w:pPr>
            <w:r>
              <w:rPr>
                <w:rFonts w:ascii="Arial" w:cs="Arial" w:eastAsia="Arial" w:hAnsi="Arial"/>
                <w:sz w:val="19"/>
                <w:szCs w:val="19"/>
                <w:color w:val="auto"/>
              </w:rPr>
              <w:t>2.46%</w:t>
            </w:r>
          </w:p>
        </w:tc>
        <w:tc>
          <w:tcPr>
            <w:tcW w:w="940" w:type="dxa"/>
            <w:vAlign w:val="bottom"/>
            <w:gridSpan w:val="4"/>
            <w:shd w:val="clear" w:color="auto" w:fill="E5FFFF"/>
          </w:tcPr>
          <w:p>
            <w:pPr>
              <w:jc w:val="right"/>
              <w:ind w:right="20"/>
              <w:spacing w:after="0"/>
              <w:rPr>
                <w:sz w:val="20"/>
                <w:szCs w:val="20"/>
                <w:color w:val="auto"/>
              </w:rPr>
            </w:pPr>
            <w:r>
              <w:rPr>
                <w:rFonts w:ascii="Arial" w:cs="Arial" w:eastAsia="Arial" w:hAnsi="Arial"/>
                <w:sz w:val="19"/>
                <w:szCs w:val="19"/>
                <w:color w:val="auto"/>
              </w:rPr>
              <w:t>0.73%</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2.17%</w:t>
            </w:r>
          </w:p>
        </w:tc>
        <w:tc>
          <w:tcPr>
            <w:tcW w:w="20" w:type="dxa"/>
            <w:vAlign w:val="bottom"/>
            <w:shd w:val="clear" w:color="auto" w:fill="E5FFFF"/>
          </w:tcPr>
          <w:p>
            <w:pPr>
              <w:spacing w:after="0"/>
              <w:rPr>
                <w:sz w:val="21"/>
                <w:szCs w:val="21"/>
                <w:color w:val="auto"/>
              </w:rPr>
            </w:pPr>
          </w:p>
        </w:tc>
      </w:tr>
      <w:tr>
        <w:trPr>
          <w:trHeight w:val="216"/>
        </w:trPr>
        <w:tc>
          <w:tcPr>
            <w:tcW w:w="6120" w:type="dxa"/>
            <w:vAlign w:val="bottom"/>
            <w:gridSpan w:val="2"/>
          </w:tcPr>
          <w:p>
            <w:pPr>
              <w:spacing w:after="0" w:line="216" w:lineRule="exact"/>
              <w:rPr>
                <w:sz w:val="20"/>
                <w:szCs w:val="20"/>
                <w:color w:val="auto"/>
              </w:rPr>
            </w:pPr>
            <w:r>
              <w:rPr>
                <w:rFonts w:ascii="Arial" w:cs="Arial" w:eastAsia="Arial" w:hAnsi="Arial"/>
                <w:sz w:val="19"/>
                <w:szCs w:val="19"/>
                <w:color w:val="auto"/>
              </w:rPr>
              <w:t>Actuarial assumptions used to determine net periodic benefit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2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(income) cost for years ended December 31:</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612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Discount rate—benefit obligation</w:t>
            </w: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3.68%</w:t>
            </w:r>
          </w:p>
        </w:tc>
        <w:tc>
          <w:tcPr>
            <w:tcW w:w="940" w:type="dxa"/>
            <w:vAlign w:val="bottom"/>
            <w:gridSpan w:val="2"/>
            <w:shd w:val="clear" w:color="auto" w:fill="E5FFFF"/>
          </w:tcPr>
          <w:p>
            <w:pPr>
              <w:jc w:val="center"/>
              <w:ind w:left="267"/>
              <w:spacing w:after="0"/>
              <w:rPr>
                <w:sz w:val="20"/>
                <w:szCs w:val="20"/>
                <w:color w:val="auto"/>
              </w:rPr>
            </w:pPr>
            <w:r>
              <w:rPr>
                <w:rFonts w:ascii="Arial" w:cs="Arial" w:eastAsia="Arial" w:hAnsi="Arial"/>
                <w:sz w:val="19"/>
                <w:szCs w:val="19"/>
                <w:color w:val="auto"/>
              </w:rPr>
              <w:t>4.20%</w:t>
            </w:r>
          </w:p>
        </w:tc>
        <w:tc>
          <w:tcPr>
            <w:tcW w:w="300" w:type="dxa"/>
            <w:vAlign w:val="bottom"/>
            <w:shd w:val="clear" w:color="auto" w:fill="E5FFFF"/>
          </w:tcPr>
          <w:p>
            <w:pPr>
              <w:spacing w:after="0"/>
              <w:rPr>
                <w:sz w:val="21"/>
                <w:szCs w:val="21"/>
                <w:color w:val="auto"/>
              </w:rPr>
            </w:pPr>
          </w:p>
        </w:tc>
        <w:tc>
          <w:tcPr>
            <w:tcW w:w="6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4.46%</w:t>
            </w:r>
          </w:p>
        </w:tc>
        <w:tc>
          <w:tcPr>
            <w:tcW w:w="920" w:type="dxa"/>
            <w:vAlign w:val="bottom"/>
            <w:gridSpan w:val="4"/>
            <w:shd w:val="clear" w:color="auto" w:fill="E5FFFF"/>
          </w:tcPr>
          <w:p>
            <w:pPr>
              <w:ind w:left="360"/>
              <w:spacing w:after="0"/>
              <w:rPr>
                <w:sz w:val="20"/>
                <w:szCs w:val="20"/>
                <w:color w:val="auto"/>
              </w:rPr>
            </w:pPr>
            <w:r>
              <w:rPr>
                <w:rFonts w:ascii="Arial" w:cs="Arial" w:eastAsia="Arial" w:hAnsi="Arial"/>
                <w:sz w:val="19"/>
                <w:szCs w:val="19"/>
                <w:color w:val="auto"/>
              </w:rPr>
              <w:t>2.36%</w:t>
            </w:r>
          </w:p>
        </w:tc>
        <w:tc>
          <w:tcPr>
            <w:tcW w:w="940" w:type="dxa"/>
            <w:vAlign w:val="bottom"/>
            <w:gridSpan w:val="4"/>
            <w:shd w:val="clear" w:color="auto" w:fill="E5FFFF"/>
          </w:tcPr>
          <w:p>
            <w:pPr>
              <w:jc w:val="right"/>
              <w:ind w:right="20"/>
              <w:spacing w:after="0"/>
              <w:rPr>
                <w:sz w:val="20"/>
                <w:szCs w:val="20"/>
                <w:color w:val="auto"/>
              </w:rPr>
            </w:pPr>
            <w:r>
              <w:rPr>
                <w:rFonts w:ascii="Arial" w:cs="Arial" w:eastAsia="Arial" w:hAnsi="Arial"/>
                <w:sz w:val="19"/>
                <w:szCs w:val="19"/>
                <w:color w:val="auto"/>
              </w:rPr>
              <w:t>2.51%</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3.49%</w:t>
            </w:r>
          </w:p>
        </w:tc>
        <w:tc>
          <w:tcPr>
            <w:tcW w:w="20" w:type="dxa"/>
            <w:vAlign w:val="bottom"/>
            <w:shd w:val="clear" w:color="auto" w:fill="E5FFFF"/>
          </w:tcPr>
          <w:p>
            <w:pPr>
              <w:spacing w:after="0"/>
              <w:rPr>
                <w:sz w:val="21"/>
                <w:szCs w:val="21"/>
                <w:color w:val="auto"/>
              </w:rPr>
            </w:pPr>
          </w:p>
        </w:tc>
      </w:tr>
      <w:tr>
        <w:trPr>
          <w:trHeight w:val="243"/>
        </w:trPr>
        <w:tc>
          <w:tcPr>
            <w:tcW w:w="6120" w:type="dxa"/>
            <w:vAlign w:val="bottom"/>
            <w:gridSpan w:val="2"/>
          </w:tcPr>
          <w:p>
            <w:pPr>
              <w:ind w:left="360"/>
              <w:spacing w:after="0"/>
              <w:rPr>
                <w:sz w:val="20"/>
                <w:szCs w:val="20"/>
                <w:color w:val="auto"/>
              </w:rPr>
            </w:pPr>
            <w:r>
              <w:rPr>
                <w:rFonts w:ascii="Arial" w:cs="Arial" w:eastAsia="Arial" w:hAnsi="Arial"/>
                <w:sz w:val="19"/>
                <w:szCs w:val="19"/>
                <w:color w:val="auto"/>
              </w:rPr>
              <w:t>Discount rate—service cost</w:t>
            </w:r>
          </w:p>
        </w:tc>
        <w:tc>
          <w:tcPr>
            <w:tcW w:w="620" w:type="dxa"/>
            <w:vAlign w:val="bottom"/>
          </w:tcPr>
          <w:p>
            <w:pPr>
              <w:jc w:val="center"/>
              <w:spacing w:after="0"/>
              <w:rPr>
                <w:sz w:val="20"/>
                <w:szCs w:val="20"/>
                <w:color w:val="auto"/>
              </w:rPr>
            </w:pPr>
            <w:r>
              <w:rPr>
                <w:rFonts w:ascii="Arial" w:cs="Arial" w:eastAsia="Arial" w:hAnsi="Arial"/>
                <w:sz w:val="19"/>
                <w:szCs w:val="19"/>
                <w:color w:val="auto"/>
              </w:rPr>
              <w:t>3.77%</w:t>
            </w:r>
          </w:p>
        </w:tc>
        <w:tc>
          <w:tcPr>
            <w:tcW w:w="940" w:type="dxa"/>
            <w:vAlign w:val="bottom"/>
            <w:gridSpan w:val="2"/>
          </w:tcPr>
          <w:p>
            <w:pPr>
              <w:jc w:val="center"/>
              <w:ind w:left="267"/>
              <w:spacing w:after="0"/>
              <w:rPr>
                <w:sz w:val="20"/>
                <w:szCs w:val="20"/>
                <w:color w:val="auto"/>
              </w:rPr>
            </w:pPr>
            <w:r>
              <w:rPr>
                <w:rFonts w:ascii="Arial" w:cs="Arial" w:eastAsia="Arial" w:hAnsi="Arial"/>
                <w:sz w:val="19"/>
                <w:szCs w:val="19"/>
                <w:color w:val="auto"/>
              </w:rPr>
              <w:t>4.42%</w:t>
            </w:r>
          </w:p>
        </w:tc>
        <w:tc>
          <w:tcPr>
            <w:tcW w:w="30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9"/>
                <w:szCs w:val="19"/>
                <w:color w:val="auto"/>
              </w:rPr>
              <w:t>4.69%</w:t>
            </w:r>
          </w:p>
        </w:tc>
        <w:tc>
          <w:tcPr>
            <w:tcW w:w="920" w:type="dxa"/>
            <w:vAlign w:val="bottom"/>
            <w:gridSpan w:val="4"/>
          </w:tcPr>
          <w:p>
            <w:pPr>
              <w:ind w:left="360"/>
              <w:spacing w:after="0"/>
              <w:rPr>
                <w:sz w:val="20"/>
                <w:szCs w:val="20"/>
                <w:color w:val="auto"/>
              </w:rPr>
            </w:pPr>
            <w:r>
              <w:rPr>
                <w:rFonts w:ascii="Arial" w:cs="Arial" w:eastAsia="Arial" w:hAnsi="Arial"/>
                <w:sz w:val="19"/>
                <w:szCs w:val="19"/>
                <w:color w:val="auto"/>
              </w:rPr>
              <w:t>2.20%</w:t>
            </w:r>
          </w:p>
        </w:tc>
        <w:tc>
          <w:tcPr>
            <w:tcW w:w="940" w:type="dxa"/>
            <w:vAlign w:val="bottom"/>
            <w:gridSpan w:val="4"/>
          </w:tcPr>
          <w:p>
            <w:pPr>
              <w:jc w:val="right"/>
              <w:ind w:right="20"/>
              <w:spacing w:after="0"/>
              <w:rPr>
                <w:sz w:val="20"/>
                <w:szCs w:val="20"/>
                <w:color w:val="auto"/>
              </w:rPr>
            </w:pPr>
            <w:r>
              <w:rPr>
                <w:rFonts w:ascii="Arial" w:cs="Arial" w:eastAsia="Arial" w:hAnsi="Arial"/>
                <w:sz w:val="19"/>
                <w:szCs w:val="19"/>
                <w:color w:val="auto"/>
              </w:rPr>
              <w:t>2.14%</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9"/>
                <w:szCs w:val="19"/>
                <w:color w:val="auto"/>
              </w:rPr>
              <w:t>2.92%</w:t>
            </w:r>
          </w:p>
        </w:tc>
        <w:tc>
          <w:tcPr>
            <w:tcW w:w="20" w:type="dxa"/>
            <w:vAlign w:val="bottom"/>
          </w:tcPr>
          <w:p>
            <w:pPr>
              <w:spacing w:after="0"/>
              <w:rPr>
                <w:sz w:val="21"/>
                <w:szCs w:val="21"/>
                <w:color w:val="auto"/>
              </w:rPr>
            </w:pPr>
          </w:p>
        </w:tc>
      </w:tr>
      <w:tr>
        <w:trPr>
          <w:trHeight w:val="243"/>
        </w:trPr>
        <w:tc>
          <w:tcPr>
            <w:tcW w:w="612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Discount rate—interest cost</w:t>
            </w: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3.27%</w:t>
            </w:r>
          </w:p>
        </w:tc>
        <w:tc>
          <w:tcPr>
            <w:tcW w:w="940" w:type="dxa"/>
            <w:vAlign w:val="bottom"/>
            <w:gridSpan w:val="2"/>
            <w:shd w:val="clear" w:color="auto" w:fill="E5FFFF"/>
          </w:tcPr>
          <w:p>
            <w:pPr>
              <w:jc w:val="center"/>
              <w:ind w:left="267"/>
              <w:spacing w:after="0"/>
              <w:rPr>
                <w:sz w:val="20"/>
                <w:szCs w:val="20"/>
                <w:color w:val="auto"/>
              </w:rPr>
            </w:pPr>
            <w:r>
              <w:rPr>
                <w:rFonts w:ascii="Arial" w:cs="Arial" w:eastAsia="Arial" w:hAnsi="Arial"/>
                <w:sz w:val="19"/>
                <w:szCs w:val="19"/>
                <w:color w:val="auto"/>
              </w:rPr>
              <w:t>3.49%</w:t>
            </w:r>
          </w:p>
        </w:tc>
        <w:tc>
          <w:tcPr>
            <w:tcW w:w="300" w:type="dxa"/>
            <w:vAlign w:val="bottom"/>
            <w:shd w:val="clear" w:color="auto" w:fill="E5FFFF"/>
          </w:tcPr>
          <w:p>
            <w:pPr>
              <w:spacing w:after="0"/>
              <w:rPr>
                <w:sz w:val="21"/>
                <w:szCs w:val="21"/>
                <w:color w:val="auto"/>
              </w:rPr>
            </w:pPr>
          </w:p>
        </w:tc>
        <w:tc>
          <w:tcPr>
            <w:tcW w:w="6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3.59%</w:t>
            </w:r>
          </w:p>
        </w:tc>
        <w:tc>
          <w:tcPr>
            <w:tcW w:w="920" w:type="dxa"/>
            <w:vAlign w:val="bottom"/>
            <w:gridSpan w:val="4"/>
            <w:shd w:val="clear" w:color="auto" w:fill="E5FFFF"/>
          </w:tcPr>
          <w:p>
            <w:pPr>
              <w:ind w:left="360"/>
              <w:spacing w:after="0"/>
              <w:rPr>
                <w:sz w:val="20"/>
                <w:szCs w:val="20"/>
                <w:color w:val="auto"/>
              </w:rPr>
            </w:pPr>
            <w:r>
              <w:rPr>
                <w:rFonts w:ascii="Arial" w:cs="Arial" w:eastAsia="Arial" w:hAnsi="Arial"/>
                <w:sz w:val="19"/>
                <w:szCs w:val="19"/>
                <w:color w:val="auto"/>
              </w:rPr>
              <w:t>2.08%</w:t>
            </w:r>
          </w:p>
        </w:tc>
        <w:tc>
          <w:tcPr>
            <w:tcW w:w="940" w:type="dxa"/>
            <w:vAlign w:val="bottom"/>
            <w:gridSpan w:val="4"/>
            <w:shd w:val="clear" w:color="auto" w:fill="E5FFFF"/>
          </w:tcPr>
          <w:p>
            <w:pPr>
              <w:jc w:val="right"/>
              <w:ind w:right="20"/>
              <w:spacing w:after="0"/>
              <w:rPr>
                <w:sz w:val="20"/>
                <w:szCs w:val="20"/>
                <w:color w:val="auto"/>
              </w:rPr>
            </w:pPr>
            <w:r>
              <w:rPr>
                <w:rFonts w:ascii="Arial" w:cs="Arial" w:eastAsia="Arial" w:hAnsi="Arial"/>
                <w:sz w:val="19"/>
                <w:szCs w:val="19"/>
                <w:color w:val="auto"/>
              </w:rPr>
              <w:t>2.19%</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3.07%</w:t>
            </w:r>
          </w:p>
        </w:tc>
        <w:tc>
          <w:tcPr>
            <w:tcW w:w="20" w:type="dxa"/>
            <w:vAlign w:val="bottom"/>
            <w:shd w:val="clear" w:color="auto" w:fill="E5FFFF"/>
          </w:tcPr>
          <w:p>
            <w:pPr>
              <w:spacing w:after="0"/>
              <w:rPr>
                <w:sz w:val="21"/>
                <w:szCs w:val="21"/>
                <w:color w:val="auto"/>
              </w:rPr>
            </w:pPr>
          </w:p>
        </w:tc>
      </w:tr>
      <w:tr>
        <w:trPr>
          <w:trHeight w:val="243"/>
        </w:trPr>
        <w:tc>
          <w:tcPr>
            <w:tcW w:w="6120" w:type="dxa"/>
            <w:vAlign w:val="bottom"/>
            <w:gridSpan w:val="2"/>
          </w:tcPr>
          <w:p>
            <w:pPr>
              <w:ind w:left="360"/>
              <w:spacing w:after="0"/>
              <w:rPr>
                <w:sz w:val="20"/>
                <w:szCs w:val="20"/>
                <w:color w:val="auto"/>
              </w:rPr>
            </w:pPr>
            <w:r>
              <w:rPr>
                <w:rFonts w:ascii="Arial" w:cs="Arial" w:eastAsia="Arial" w:hAnsi="Arial"/>
                <w:sz w:val="19"/>
                <w:szCs w:val="19"/>
                <w:color w:val="auto"/>
              </w:rPr>
              <w:t>Expected rate of return on plan assets</w:t>
            </w:r>
          </w:p>
        </w:tc>
        <w:tc>
          <w:tcPr>
            <w:tcW w:w="620" w:type="dxa"/>
            <w:vAlign w:val="bottom"/>
          </w:tcPr>
          <w:p>
            <w:pPr>
              <w:jc w:val="center"/>
              <w:spacing w:after="0"/>
              <w:rPr>
                <w:sz w:val="20"/>
                <w:szCs w:val="20"/>
                <w:color w:val="auto"/>
              </w:rPr>
            </w:pPr>
            <w:r>
              <w:rPr>
                <w:rFonts w:ascii="Arial" w:cs="Arial" w:eastAsia="Arial" w:hAnsi="Arial"/>
                <w:sz w:val="19"/>
                <w:szCs w:val="19"/>
                <w:color w:val="auto"/>
              </w:rPr>
              <w:t>7.75%</w:t>
            </w:r>
          </w:p>
        </w:tc>
        <w:tc>
          <w:tcPr>
            <w:tcW w:w="940" w:type="dxa"/>
            <w:vAlign w:val="bottom"/>
            <w:gridSpan w:val="2"/>
          </w:tcPr>
          <w:p>
            <w:pPr>
              <w:jc w:val="center"/>
              <w:ind w:left="267"/>
              <w:spacing w:after="0"/>
              <w:rPr>
                <w:sz w:val="20"/>
                <w:szCs w:val="20"/>
                <w:color w:val="auto"/>
              </w:rPr>
            </w:pPr>
            <w:r>
              <w:rPr>
                <w:rFonts w:ascii="Arial" w:cs="Arial" w:eastAsia="Arial" w:hAnsi="Arial"/>
                <w:sz w:val="19"/>
                <w:szCs w:val="19"/>
                <w:color w:val="auto"/>
              </w:rPr>
              <w:t>7.75%</w:t>
            </w:r>
          </w:p>
        </w:tc>
        <w:tc>
          <w:tcPr>
            <w:tcW w:w="30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9"/>
                <w:szCs w:val="19"/>
                <w:color w:val="auto"/>
              </w:rPr>
              <w:t>7.75%</w:t>
            </w:r>
          </w:p>
        </w:tc>
        <w:tc>
          <w:tcPr>
            <w:tcW w:w="920" w:type="dxa"/>
            <w:vAlign w:val="bottom"/>
            <w:gridSpan w:val="4"/>
          </w:tcPr>
          <w:p>
            <w:pPr>
              <w:ind w:left="360"/>
              <w:spacing w:after="0"/>
              <w:rPr>
                <w:sz w:val="20"/>
                <w:szCs w:val="20"/>
                <w:color w:val="auto"/>
              </w:rPr>
            </w:pPr>
            <w:r>
              <w:rPr>
                <w:rFonts w:ascii="Arial" w:cs="Arial" w:eastAsia="Arial" w:hAnsi="Arial"/>
                <w:sz w:val="19"/>
                <w:szCs w:val="19"/>
                <w:color w:val="auto"/>
              </w:rPr>
              <w:t>6.23%</w:t>
            </w:r>
          </w:p>
        </w:tc>
        <w:tc>
          <w:tcPr>
            <w:tcW w:w="940" w:type="dxa"/>
            <w:vAlign w:val="bottom"/>
            <w:gridSpan w:val="4"/>
          </w:tcPr>
          <w:p>
            <w:pPr>
              <w:jc w:val="right"/>
              <w:ind w:right="20"/>
              <w:spacing w:after="0"/>
              <w:rPr>
                <w:sz w:val="20"/>
                <w:szCs w:val="20"/>
                <w:color w:val="auto"/>
              </w:rPr>
            </w:pPr>
            <w:r>
              <w:rPr>
                <w:rFonts w:ascii="Arial" w:cs="Arial" w:eastAsia="Arial" w:hAnsi="Arial"/>
                <w:sz w:val="19"/>
                <w:szCs w:val="19"/>
                <w:color w:val="auto"/>
              </w:rPr>
              <w:t>6.43%</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9"/>
                <w:szCs w:val="19"/>
                <w:color w:val="auto"/>
              </w:rPr>
              <w:t>6.65%</w:t>
            </w:r>
          </w:p>
        </w:tc>
        <w:tc>
          <w:tcPr>
            <w:tcW w:w="20" w:type="dxa"/>
            <w:vAlign w:val="bottom"/>
          </w:tcPr>
          <w:p>
            <w:pPr>
              <w:spacing w:after="0"/>
              <w:rPr>
                <w:sz w:val="21"/>
                <w:szCs w:val="21"/>
                <w:color w:val="auto"/>
              </w:rPr>
            </w:pPr>
          </w:p>
        </w:tc>
      </w:tr>
      <w:tr>
        <w:trPr>
          <w:trHeight w:val="243"/>
        </w:trPr>
        <w:tc>
          <w:tcPr>
            <w:tcW w:w="612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Expected annual rate of compensation increase</w:t>
            </w: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4.50%</w:t>
            </w:r>
          </w:p>
        </w:tc>
        <w:tc>
          <w:tcPr>
            <w:tcW w:w="940" w:type="dxa"/>
            <w:vAlign w:val="bottom"/>
            <w:gridSpan w:val="2"/>
            <w:shd w:val="clear" w:color="auto" w:fill="E5FFFF"/>
          </w:tcPr>
          <w:p>
            <w:pPr>
              <w:jc w:val="center"/>
              <w:ind w:left="267"/>
              <w:spacing w:after="0"/>
              <w:rPr>
                <w:sz w:val="20"/>
                <w:szCs w:val="20"/>
                <w:color w:val="auto"/>
              </w:rPr>
            </w:pPr>
            <w:r>
              <w:rPr>
                <w:rFonts w:ascii="Arial" w:cs="Arial" w:eastAsia="Arial" w:hAnsi="Arial"/>
                <w:sz w:val="19"/>
                <w:szCs w:val="19"/>
                <w:color w:val="auto"/>
              </w:rPr>
              <w:t>4.50%</w:t>
            </w:r>
          </w:p>
        </w:tc>
        <w:tc>
          <w:tcPr>
            <w:tcW w:w="300" w:type="dxa"/>
            <w:vAlign w:val="bottom"/>
            <w:shd w:val="clear" w:color="auto" w:fill="E5FFFF"/>
          </w:tcPr>
          <w:p>
            <w:pPr>
              <w:spacing w:after="0"/>
              <w:rPr>
                <w:sz w:val="21"/>
                <w:szCs w:val="21"/>
                <w:color w:val="auto"/>
              </w:rPr>
            </w:pPr>
          </w:p>
        </w:tc>
        <w:tc>
          <w:tcPr>
            <w:tcW w:w="6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4.48%</w:t>
            </w:r>
          </w:p>
        </w:tc>
        <w:tc>
          <w:tcPr>
            <w:tcW w:w="920" w:type="dxa"/>
            <w:vAlign w:val="bottom"/>
            <w:gridSpan w:val="4"/>
            <w:shd w:val="clear" w:color="auto" w:fill="E5FFFF"/>
          </w:tcPr>
          <w:p>
            <w:pPr>
              <w:ind w:left="360"/>
              <w:spacing w:after="0"/>
              <w:rPr>
                <w:sz w:val="20"/>
                <w:szCs w:val="20"/>
                <w:color w:val="auto"/>
              </w:rPr>
            </w:pPr>
            <w:r>
              <w:rPr>
                <w:rFonts w:ascii="Arial" w:cs="Arial" w:eastAsia="Arial" w:hAnsi="Arial"/>
                <w:sz w:val="19"/>
                <w:szCs w:val="19"/>
                <w:color w:val="auto"/>
              </w:rPr>
              <w:t>2.49%</w:t>
            </w:r>
          </w:p>
        </w:tc>
        <w:tc>
          <w:tcPr>
            <w:tcW w:w="940" w:type="dxa"/>
            <w:vAlign w:val="bottom"/>
            <w:gridSpan w:val="4"/>
            <w:shd w:val="clear" w:color="auto" w:fill="E5FFFF"/>
          </w:tcPr>
          <w:p>
            <w:pPr>
              <w:jc w:val="right"/>
              <w:ind w:right="20"/>
              <w:spacing w:after="0"/>
              <w:rPr>
                <w:sz w:val="20"/>
                <w:szCs w:val="20"/>
                <w:color w:val="auto"/>
              </w:rPr>
            </w:pPr>
            <w:r>
              <w:rPr>
                <w:rFonts w:ascii="Arial" w:cs="Arial" w:eastAsia="Arial" w:hAnsi="Arial"/>
                <w:sz w:val="19"/>
                <w:szCs w:val="19"/>
                <w:color w:val="auto"/>
              </w:rPr>
              <w:t>2.17%</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2.11%</w:t>
            </w:r>
          </w:p>
        </w:tc>
        <w:tc>
          <w:tcPr>
            <w:tcW w:w="20" w:type="dxa"/>
            <w:vAlign w:val="bottom"/>
            <w:shd w:val="clear" w:color="auto" w:fill="E5FFFF"/>
          </w:tcPr>
          <w:p>
            <w:pPr>
              <w:spacing w:after="0"/>
              <w:rPr>
                <w:sz w:val="21"/>
                <w:szCs w:val="21"/>
                <w:color w:val="auto"/>
              </w:rPr>
            </w:pPr>
          </w:p>
        </w:tc>
      </w:tr>
      <w:tr>
        <w:trPr>
          <w:trHeight w:val="188"/>
        </w:trPr>
        <w:tc>
          <w:tcPr>
            <w:tcW w:w="5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5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6"/>
          </w:tcPr>
          <w:p>
            <w:pPr>
              <w:jc w:val="center"/>
              <w:ind w:right="80"/>
              <w:spacing w:after="0" w:line="176" w:lineRule="exact"/>
              <w:rPr>
                <w:sz w:val="20"/>
                <w:szCs w:val="20"/>
                <w:color w:val="auto"/>
              </w:rPr>
            </w:pPr>
            <w:r>
              <w:rPr>
                <w:rFonts w:ascii="Arial" w:cs="Arial" w:eastAsia="Arial" w:hAnsi="Arial"/>
                <w:sz w:val="16"/>
                <w:szCs w:val="16"/>
                <w:b w:val="1"/>
                <w:bCs w:val="1"/>
                <w:color w:val="auto"/>
                <w:w w:val="99"/>
              </w:rPr>
              <w:t>Postretirement</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5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98"/>
              </w:rPr>
              <w:t>Benefits</w:t>
            </w: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ind w:left="160"/>
              <w:spacing w:after="0" w:line="169" w:lineRule="exact"/>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4"/>
                <w:szCs w:val="14"/>
                <w:color w:val="auto"/>
              </w:rPr>
            </w:pPr>
          </w:p>
        </w:tc>
        <w:tc>
          <w:tcPr>
            <w:tcW w:w="900" w:type="dxa"/>
            <w:vAlign w:val="bottom"/>
            <w:gridSpan w:val="3"/>
          </w:tcPr>
          <w:p>
            <w:pPr>
              <w:jc w:val="right"/>
              <w:ind w:right="81"/>
              <w:spacing w:after="0" w:line="169" w:lineRule="exact"/>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5"/>
              </w:rPr>
              <w:t>2016</w:t>
            </w:r>
          </w:p>
        </w:tc>
        <w:tc>
          <w:tcPr>
            <w:tcW w:w="20" w:type="dxa"/>
            <w:vAlign w:val="bottom"/>
          </w:tcPr>
          <w:p>
            <w:pPr>
              <w:spacing w:after="0"/>
              <w:rPr>
                <w:sz w:val="14"/>
                <w:szCs w:val="14"/>
                <w:color w:val="auto"/>
              </w:rPr>
            </w:pPr>
          </w:p>
        </w:tc>
      </w:tr>
      <w:tr>
        <w:trPr>
          <w:trHeight w:val="210"/>
        </w:trPr>
        <w:tc>
          <w:tcPr>
            <w:tcW w:w="500" w:type="dxa"/>
            <w:vAlign w:val="bottom"/>
          </w:tcPr>
          <w:p>
            <w:pPr>
              <w:spacing w:after="0"/>
              <w:rPr>
                <w:sz w:val="18"/>
                <w:szCs w:val="18"/>
                <w:color w:val="auto"/>
              </w:rPr>
            </w:pPr>
          </w:p>
        </w:tc>
        <w:tc>
          <w:tcPr>
            <w:tcW w:w="7480" w:type="dxa"/>
            <w:vAlign w:val="bottom"/>
            <w:gridSpan w:val="5"/>
            <w:shd w:val="clear" w:color="auto" w:fill="E5FFFF"/>
          </w:tcPr>
          <w:p>
            <w:pPr>
              <w:spacing w:after="0" w:line="210" w:lineRule="exact"/>
              <w:rPr>
                <w:sz w:val="20"/>
                <w:szCs w:val="20"/>
                <w:color w:val="auto"/>
              </w:rPr>
            </w:pPr>
            <w:r>
              <w:rPr>
                <w:rFonts w:ascii="Arial" w:cs="Arial" w:eastAsia="Arial" w:hAnsi="Arial"/>
                <w:sz w:val="19"/>
                <w:szCs w:val="19"/>
                <w:color w:val="auto"/>
              </w:rPr>
              <w:t>Actuarial assumptions used to determine benefit obligations as of December 31:</w:t>
            </w:r>
          </w:p>
        </w:tc>
        <w:tc>
          <w:tcPr>
            <w:tcW w:w="6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600" w:type="dxa"/>
            <w:vAlign w:val="bottom"/>
            <w:tcBorders>
              <w:top w:val="single" w:sz="8" w:color="auto"/>
            </w:tcBorders>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620" w:type="dxa"/>
            <w:vAlign w:val="bottom"/>
            <w:tcBorders>
              <w:top w:val="single" w:sz="8" w:color="auto"/>
            </w:tcBorders>
            <w:shd w:val="clear" w:color="auto" w:fill="E5FFFF"/>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500" w:type="dxa"/>
            <w:vAlign w:val="bottom"/>
          </w:tcPr>
          <w:p>
            <w:pPr>
              <w:spacing w:after="0"/>
              <w:rPr>
                <w:sz w:val="21"/>
                <w:szCs w:val="21"/>
                <w:color w:val="auto"/>
              </w:rPr>
            </w:pPr>
          </w:p>
        </w:tc>
        <w:tc>
          <w:tcPr>
            <w:tcW w:w="5620" w:type="dxa"/>
            <w:vAlign w:val="bottom"/>
          </w:tcPr>
          <w:p>
            <w:pPr>
              <w:ind w:left="360"/>
              <w:spacing w:after="0"/>
              <w:rPr>
                <w:sz w:val="20"/>
                <w:szCs w:val="20"/>
                <w:color w:val="auto"/>
              </w:rPr>
            </w:pPr>
            <w:r>
              <w:rPr>
                <w:rFonts w:ascii="Arial" w:cs="Arial" w:eastAsia="Arial" w:hAnsi="Arial"/>
                <w:sz w:val="19"/>
                <w:szCs w:val="19"/>
                <w:color w:val="auto"/>
              </w:rPr>
              <w:t>Discount rate</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jc w:val="center"/>
              <w:ind w:left="203"/>
              <w:spacing w:after="0"/>
              <w:rPr>
                <w:sz w:val="20"/>
                <w:szCs w:val="20"/>
                <w:color w:val="auto"/>
              </w:rPr>
            </w:pPr>
            <w:r>
              <w:rPr>
                <w:rFonts w:ascii="Arial" w:cs="Arial" w:eastAsia="Arial" w:hAnsi="Arial"/>
                <w:sz w:val="19"/>
                <w:szCs w:val="19"/>
                <w:color w:val="auto"/>
              </w:rPr>
              <w:t>4.07%</w:t>
            </w:r>
          </w:p>
        </w:tc>
        <w:tc>
          <w:tcPr>
            <w:tcW w:w="60" w:type="dxa"/>
            <w:vAlign w:val="bottom"/>
          </w:tcPr>
          <w:p>
            <w:pPr>
              <w:spacing w:after="0"/>
              <w:rPr>
                <w:sz w:val="21"/>
                <w:szCs w:val="21"/>
                <w:color w:val="auto"/>
              </w:rPr>
            </w:pPr>
          </w:p>
        </w:tc>
        <w:tc>
          <w:tcPr>
            <w:tcW w:w="900" w:type="dxa"/>
            <w:vAlign w:val="bottom"/>
            <w:gridSpan w:val="3"/>
          </w:tcPr>
          <w:p>
            <w:pPr>
              <w:jc w:val="center"/>
              <w:ind w:left="209"/>
              <w:spacing w:after="0"/>
              <w:rPr>
                <w:sz w:val="20"/>
                <w:szCs w:val="20"/>
                <w:color w:val="auto"/>
              </w:rPr>
            </w:pPr>
            <w:r>
              <w:rPr>
                <w:rFonts w:ascii="Arial" w:cs="Arial" w:eastAsia="Arial" w:hAnsi="Arial"/>
                <w:sz w:val="19"/>
                <w:szCs w:val="19"/>
                <w:color w:val="auto"/>
              </w:rPr>
              <w:t>3.39%</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9"/>
                <w:szCs w:val="19"/>
                <w:color w:val="auto"/>
              </w:rPr>
              <w:t>3.65%</w:t>
            </w:r>
          </w:p>
        </w:tc>
        <w:tc>
          <w:tcPr>
            <w:tcW w:w="20" w:type="dxa"/>
            <w:vAlign w:val="bottom"/>
          </w:tcPr>
          <w:p>
            <w:pPr>
              <w:spacing w:after="0"/>
              <w:rPr>
                <w:sz w:val="21"/>
                <w:szCs w:val="21"/>
                <w:color w:val="auto"/>
              </w:rPr>
            </w:pPr>
          </w:p>
        </w:tc>
      </w:tr>
      <w:tr>
        <w:trPr>
          <w:trHeight w:val="216"/>
        </w:trPr>
        <w:tc>
          <w:tcPr>
            <w:tcW w:w="500" w:type="dxa"/>
            <w:vAlign w:val="bottom"/>
          </w:tcPr>
          <w:p>
            <w:pPr>
              <w:spacing w:after="0"/>
              <w:rPr>
                <w:sz w:val="18"/>
                <w:szCs w:val="18"/>
                <w:color w:val="auto"/>
              </w:rPr>
            </w:pPr>
          </w:p>
        </w:tc>
        <w:tc>
          <w:tcPr>
            <w:tcW w:w="8120" w:type="dxa"/>
            <w:vAlign w:val="bottom"/>
            <w:gridSpan w:val="6"/>
            <w:shd w:val="clear" w:color="auto" w:fill="E5FFFF"/>
          </w:tcPr>
          <w:p>
            <w:pPr>
              <w:spacing w:after="0" w:line="216" w:lineRule="exact"/>
              <w:rPr>
                <w:sz w:val="20"/>
                <w:szCs w:val="20"/>
                <w:color w:val="auto"/>
              </w:rPr>
            </w:pPr>
            <w:r>
              <w:rPr>
                <w:rFonts w:ascii="Arial" w:cs="Arial" w:eastAsia="Arial" w:hAnsi="Arial"/>
                <w:sz w:val="19"/>
                <w:szCs w:val="19"/>
                <w:color w:val="auto"/>
              </w:rPr>
              <w:t>Actuarial assumptions used to determine net periodic benefit cost for years ended December</w:t>
            </w:r>
          </w:p>
        </w:tc>
        <w:tc>
          <w:tcPr>
            <w:tcW w:w="2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62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31:</w:t>
            </w:r>
          </w:p>
        </w:tc>
        <w:tc>
          <w:tcPr>
            <w:tcW w:w="6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r>
      <w:tr>
        <w:trPr>
          <w:trHeight w:val="261"/>
        </w:trPr>
        <w:tc>
          <w:tcPr>
            <w:tcW w:w="500" w:type="dxa"/>
            <w:vAlign w:val="bottom"/>
          </w:tcPr>
          <w:p>
            <w:pPr>
              <w:spacing w:after="0"/>
              <w:rPr>
                <w:sz w:val="22"/>
                <w:szCs w:val="22"/>
                <w:color w:val="auto"/>
              </w:rPr>
            </w:pPr>
          </w:p>
        </w:tc>
        <w:tc>
          <w:tcPr>
            <w:tcW w:w="5620" w:type="dxa"/>
            <w:vAlign w:val="bottom"/>
          </w:tcPr>
          <w:p>
            <w:pPr>
              <w:ind w:left="360"/>
              <w:spacing w:after="0"/>
              <w:rPr>
                <w:sz w:val="20"/>
                <w:szCs w:val="20"/>
                <w:color w:val="auto"/>
              </w:rPr>
            </w:pPr>
            <w:r>
              <w:rPr>
                <w:rFonts w:ascii="Arial" w:cs="Arial" w:eastAsia="Arial" w:hAnsi="Arial"/>
                <w:sz w:val="19"/>
                <w:szCs w:val="19"/>
                <w:color w:val="auto"/>
              </w:rPr>
              <w:t>Discount rate</w:t>
            </w:r>
            <w:r>
              <w:rPr>
                <w:rFonts w:ascii="Arial" w:cs="Arial" w:eastAsia="Arial" w:hAnsi="Arial"/>
                <w:sz w:val="10"/>
                <w:szCs w:val="10"/>
                <w:color w:val="auto"/>
              </w:rPr>
              <w:t>(1)</w:t>
            </w: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gridSpan w:val="3"/>
          </w:tcPr>
          <w:p>
            <w:pPr>
              <w:jc w:val="center"/>
              <w:ind w:left="203"/>
              <w:spacing w:after="0"/>
              <w:rPr>
                <w:sz w:val="20"/>
                <w:szCs w:val="20"/>
                <w:color w:val="auto"/>
              </w:rPr>
            </w:pPr>
            <w:r>
              <w:rPr>
                <w:rFonts w:ascii="Arial" w:cs="Arial" w:eastAsia="Arial" w:hAnsi="Arial"/>
                <w:sz w:val="19"/>
                <w:szCs w:val="19"/>
                <w:color w:val="auto"/>
              </w:rPr>
              <w:t>3.39%</w:t>
            </w:r>
          </w:p>
        </w:tc>
        <w:tc>
          <w:tcPr>
            <w:tcW w:w="60" w:type="dxa"/>
            <w:vAlign w:val="bottom"/>
          </w:tcPr>
          <w:p>
            <w:pPr>
              <w:spacing w:after="0"/>
              <w:rPr>
                <w:sz w:val="22"/>
                <w:szCs w:val="22"/>
                <w:color w:val="auto"/>
              </w:rPr>
            </w:pPr>
          </w:p>
        </w:tc>
        <w:tc>
          <w:tcPr>
            <w:tcW w:w="900" w:type="dxa"/>
            <w:vAlign w:val="bottom"/>
            <w:gridSpan w:val="3"/>
          </w:tcPr>
          <w:p>
            <w:pPr>
              <w:jc w:val="center"/>
              <w:ind w:left="209"/>
              <w:spacing w:after="0"/>
              <w:rPr>
                <w:sz w:val="20"/>
                <w:szCs w:val="20"/>
                <w:color w:val="auto"/>
              </w:rPr>
            </w:pPr>
            <w:r>
              <w:rPr>
                <w:rFonts w:ascii="Arial" w:cs="Arial" w:eastAsia="Arial" w:hAnsi="Arial"/>
                <w:sz w:val="19"/>
                <w:szCs w:val="19"/>
                <w:color w:val="auto"/>
              </w:rPr>
              <w:t>3.60%</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9"/>
                <w:szCs w:val="19"/>
                <w:color w:val="auto"/>
              </w:rPr>
              <w:t>3.80%</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975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7" w:lineRule="exact"/>
        <w:rPr>
          <w:sz w:val="20"/>
          <w:szCs w:val="20"/>
          <w:color w:val="auto"/>
        </w:rPr>
      </w:pPr>
    </w:p>
    <w:p>
      <w:pPr>
        <w:ind w:left="420" w:right="780" w:hanging="338"/>
        <w:spacing w:after="0" w:line="253" w:lineRule="auto"/>
        <w:tabs>
          <w:tab w:leader="none" w:pos="4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Discount rate was 3.65% for 1/1/17 through 2/28/17. Rate was changed to 3.60% for the remainder of 2017 due to Plan remeasurement as of 3/1/17.</w:t>
      </w:r>
    </w:p>
    <w:p>
      <w:pPr>
        <w:spacing w:after="0" w:line="80" w:lineRule="exact"/>
        <w:rPr>
          <w:sz w:val="20"/>
          <w:szCs w:val="20"/>
          <w:color w:val="auto"/>
        </w:rPr>
      </w:pPr>
    </w:p>
    <w:p>
      <w:pPr>
        <w:ind w:right="100" w:firstLine="357"/>
        <w:spacing w:after="0"/>
        <w:rPr>
          <w:sz w:val="20"/>
          <w:szCs w:val="20"/>
          <w:color w:val="auto"/>
        </w:rPr>
      </w:pPr>
      <w:r>
        <w:rPr>
          <w:rFonts w:ascii="Arial" w:cs="Arial" w:eastAsia="Arial" w:hAnsi="Arial"/>
          <w:sz w:val="19"/>
          <w:szCs w:val="19"/>
          <w:color w:val="auto"/>
        </w:rPr>
        <w:t>The discount rate for our U.S. pension and other postretirement benefits plans reflects the current rate at which the associated liabilities could be settled at the measurement date of December 31. To determine discount rates for our U.S. pension and other postretirement benefit plans, we use a modeling process that involves matching the expected cash outflows of our benefit plans to a yield curve constructed from a portfolio of high quality, fixed-income debt instruments. We use the single weighted-average yield of this hypothetical portfolio as a discount rate benchmark. We utilize a full yield curve approach in the estimation of the service and interest cost components of net periodic pension benefit (income) for our significant pension plans. This approach applies the specific spot rates along the yield curve used in the determination of the pension benefit obligation to their underlying projected cash flows and provides a more precise measurement of service and interest costs by improving the correlation between projected cash flows and their corresponding spot rates. For our U.S. pension plans, the single weighted average spot rates used to determine service and interest costs for 2019 are 4.47% and 3.94%. The discount rate used to determine the other postretirement benefit obligation is lower principally due to a shorter expected duration of other postretirement plan obligations as compared to pension plan obligations.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88" w:name="page89"/>
    <w:bookmarkEnd w:id="88"/>
    <w:p>
      <w:pPr>
        <w:jc w:val="center"/>
        <w:ind w:right="-9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ind w:right="20" w:firstLine="357"/>
        <w:spacing w:after="0" w:line="241" w:lineRule="auto"/>
        <w:rPr>
          <w:sz w:val="20"/>
          <w:szCs w:val="20"/>
          <w:color w:val="auto"/>
        </w:rPr>
      </w:pPr>
      <w:r>
        <w:rPr>
          <w:rFonts w:ascii="Arial" w:cs="Arial" w:eastAsia="Arial" w:hAnsi="Arial"/>
          <w:sz w:val="19"/>
          <w:szCs w:val="19"/>
          <w:color w:val="auto"/>
        </w:rPr>
        <w:t>Our expected rate of return on U.S. plan assets of 6.75% at December 31, 2018 was down from 7.75% at December 31, 2017 reflecting a re-balancing of assets to more fixed income during 2018. Our asset return assumption is based on historical plan asset returns over varying long-term periods combined with current market conditions and broad asset mix considerations with a focus on long-term trends rather than short-term market conditions. We review the expected rate of return on an annual basis and revise it as appropriate.</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non-U.S. benefit plans actuarial assumptions reflect economic and market factors relevant to each country.</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Pension Benefits</w:t>
      </w:r>
    </w:p>
    <w:p>
      <w:pPr>
        <w:spacing w:after="0" w:line="116" w:lineRule="exact"/>
        <w:rPr>
          <w:sz w:val="20"/>
          <w:szCs w:val="20"/>
          <w:color w:val="auto"/>
        </w:rPr>
      </w:pPr>
    </w:p>
    <w:p>
      <w:pPr>
        <w:ind w:right="280" w:firstLine="357"/>
        <w:spacing w:after="0" w:line="246" w:lineRule="auto"/>
        <w:rPr>
          <w:sz w:val="20"/>
          <w:szCs w:val="20"/>
          <w:color w:val="auto"/>
        </w:rPr>
      </w:pPr>
      <w:r>
        <w:rPr>
          <w:rFonts w:ascii="Arial" w:cs="Arial" w:eastAsia="Arial" w:hAnsi="Arial"/>
          <w:sz w:val="19"/>
          <w:szCs w:val="19"/>
          <w:color w:val="auto"/>
        </w:rPr>
        <w:t>The following amounts relate to our significant pension plans with accumulated benefit obligations exceeding the fair value of plan assets.</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left="195"/>
              <w:spacing w:after="0"/>
              <w:rPr>
                <w:sz w:val="20"/>
                <w:szCs w:val="20"/>
                <w:color w:val="auto"/>
              </w:rPr>
            </w:pPr>
            <w:r>
              <w:rPr>
                <w:rFonts w:ascii="Arial" w:cs="Arial" w:eastAsia="Arial" w:hAnsi="Arial"/>
                <w:sz w:val="16"/>
                <w:szCs w:val="16"/>
                <w:b w:val="1"/>
                <w:bCs w:val="1"/>
                <w:color w:val="auto"/>
                <w:w w:val="99"/>
              </w:rPr>
              <w:t>December 31,</w:t>
            </w: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275"/>
              <w:spacing w:after="0" w:line="169" w:lineRule="exact"/>
              <w:rPr>
                <w:sz w:val="20"/>
                <w:szCs w:val="20"/>
                <w:color w:val="auto"/>
              </w:rPr>
            </w:pPr>
            <w:r>
              <w:rPr>
                <w:rFonts w:ascii="Arial" w:cs="Arial" w:eastAsia="Arial" w:hAnsi="Arial"/>
                <w:sz w:val="16"/>
                <w:szCs w:val="16"/>
                <w:b w:val="1"/>
                <w:bCs w:val="1"/>
                <w:color w:val="auto"/>
              </w:rPr>
              <w:t>U.S. Plans</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308"/>
              <w:spacing w:after="0" w:line="169" w:lineRule="exact"/>
              <w:rPr>
                <w:sz w:val="20"/>
                <w:szCs w:val="20"/>
                <w:color w:val="auto"/>
              </w:rPr>
            </w:pPr>
            <w:r>
              <w:rPr>
                <w:rFonts w:ascii="Arial" w:cs="Arial" w:eastAsia="Arial" w:hAnsi="Arial"/>
                <w:sz w:val="16"/>
                <w:szCs w:val="16"/>
                <w:b w:val="1"/>
                <w:bCs w:val="1"/>
                <w:color w:val="auto"/>
              </w:rPr>
              <w:t>Non-U.S. Plans</w:t>
            </w:r>
          </w:p>
        </w:tc>
      </w:tr>
      <w:tr>
        <w:trPr>
          <w:trHeight w:val="169"/>
        </w:trPr>
        <w:tc>
          <w:tcPr>
            <w:tcW w:w="6660" w:type="dxa"/>
            <w:vAlign w:val="bottom"/>
          </w:tcPr>
          <w:p>
            <w:pPr>
              <w:spacing w:after="0"/>
              <w:rPr>
                <w:sz w:val="14"/>
                <w:szCs w:val="14"/>
                <w:color w:val="auto"/>
              </w:rPr>
            </w:pPr>
          </w:p>
        </w:tc>
        <w:tc>
          <w:tcPr>
            <w:tcW w:w="580" w:type="dxa"/>
            <w:vAlign w:val="bottom"/>
            <w:tcBorders>
              <w:bottom w:val="single" w:sz="8" w:color="auto"/>
            </w:tcBorders>
          </w:tcPr>
          <w:p>
            <w:pPr>
              <w:jc w:val="right"/>
              <w:ind w:right="10"/>
              <w:spacing w:after="0" w:line="169" w:lineRule="exact"/>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0"/>
              <w:spacing w:after="0" w:line="169" w:lineRule="exact"/>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line="169" w:lineRule="exact"/>
              <w:rPr>
                <w:sz w:val="20"/>
                <w:szCs w:val="20"/>
                <w:color w:val="auto"/>
              </w:rPr>
            </w:pPr>
            <w:r>
              <w:rPr>
                <w:rFonts w:ascii="Arial" w:cs="Arial" w:eastAsia="Arial" w:hAnsi="Arial"/>
                <w:sz w:val="16"/>
                <w:szCs w:val="16"/>
                <w:b w:val="1"/>
                <w:bCs w:val="1"/>
                <w:color w:val="auto"/>
              </w:rPr>
              <w:t>2017</w:t>
            </w:r>
          </w:p>
        </w:tc>
      </w:tr>
      <w:tr>
        <w:trPr>
          <w:trHeight w:val="237"/>
        </w:trPr>
        <w:tc>
          <w:tcPr>
            <w:tcW w:w="6660" w:type="dxa"/>
            <w:vAlign w:val="bottom"/>
            <w:shd w:val="clear" w:color="auto" w:fill="E5FFFF"/>
          </w:tcPr>
          <w:p>
            <w:pPr>
              <w:spacing w:after="0"/>
              <w:rPr>
                <w:sz w:val="20"/>
                <w:szCs w:val="20"/>
                <w:color w:val="auto"/>
              </w:rPr>
            </w:pPr>
            <w:r>
              <w:rPr>
                <w:rFonts w:ascii="Arial" w:cs="Arial" w:eastAsia="Arial" w:hAnsi="Arial"/>
                <w:sz w:val="19"/>
                <w:szCs w:val="19"/>
                <w:color w:val="auto"/>
              </w:rPr>
              <w:t>Projected benefit obligation</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$ 327</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$ 371</w:t>
            </w:r>
          </w:p>
        </w:tc>
        <w:tc>
          <w:tcPr>
            <w:tcW w:w="480" w:type="dxa"/>
            <w:vAlign w:val="bottom"/>
            <w:gridSpan w:val="2"/>
            <w:shd w:val="clear" w:color="auto" w:fill="E5FFFF"/>
          </w:tcPr>
          <w:p>
            <w:pPr>
              <w:jc w:val="center"/>
              <w:ind w:left="183"/>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1,668</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1,082</w:t>
            </w:r>
          </w:p>
        </w:tc>
      </w:tr>
      <w:tr>
        <w:trPr>
          <w:trHeight w:val="243"/>
        </w:trPr>
        <w:tc>
          <w:tcPr>
            <w:tcW w:w="6660" w:type="dxa"/>
            <w:vAlign w:val="bottom"/>
          </w:tcPr>
          <w:p>
            <w:pPr>
              <w:spacing w:after="0"/>
              <w:rPr>
                <w:sz w:val="20"/>
                <w:szCs w:val="20"/>
                <w:color w:val="auto"/>
              </w:rPr>
            </w:pPr>
            <w:r>
              <w:rPr>
                <w:rFonts w:ascii="Arial" w:cs="Arial" w:eastAsia="Arial" w:hAnsi="Arial"/>
                <w:sz w:val="19"/>
                <w:szCs w:val="19"/>
                <w:color w:val="auto"/>
              </w:rPr>
              <w:t>Accumulated benefit obligation</w:t>
            </w:r>
          </w:p>
        </w:tc>
        <w:tc>
          <w:tcPr>
            <w:tcW w:w="580" w:type="dxa"/>
            <w:vAlign w:val="bottom"/>
          </w:tcPr>
          <w:p>
            <w:pPr>
              <w:jc w:val="right"/>
              <w:spacing w:after="0"/>
              <w:rPr>
                <w:sz w:val="20"/>
                <w:szCs w:val="20"/>
                <w:color w:val="auto"/>
              </w:rPr>
            </w:pPr>
            <w:r>
              <w:rPr>
                <w:rFonts w:ascii="Arial" w:cs="Arial" w:eastAsia="Arial" w:hAnsi="Arial"/>
                <w:sz w:val="19"/>
                <w:szCs w:val="19"/>
                <w:color w:val="auto"/>
              </w:rPr>
              <w:t>$ 321</w:t>
            </w: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$ 360</w:t>
            </w:r>
          </w:p>
        </w:tc>
        <w:tc>
          <w:tcPr>
            <w:tcW w:w="480" w:type="dxa"/>
            <w:vAlign w:val="bottom"/>
            <w:gridSpan w:val="2"/>
          </w:tcPr>
          <w:p>
            <w:pPr>
              <w:jc w:val="center"/>
              <w:ind w:left="183"/>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1,604</w:t>
            </w: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1,018</w:t>
            </w:r>
          </w:p>
        </w:tc>
      </w:tr>
      <w:tr>
        <w:trPr>
          <w:trHeight w:val="243"/>
        </w:trPr>
        <w:tc>
          <w:tcPr>
            <w:tcW w:w="6660" w:type="dxa"/>
            <w:vAlign w:val="bottom"/>
            <w:shd w:val="clear" w:color="auto" w:fill="E5FFFF"/>
          </w:tcPr>
          <w:p>
            <w:pPr>
              <w:spacing w:after="0"/>
              <w:rPr>
                <w:sz w:val="20"/>
                <w:szCs w:val="20"/>
                <w:color w:val="auto"/>
              </w:rPr>
            </w:pPr>
            <w:r>
              <w:rPr>
                <w:rFonts w:ascii="Arial" w:cs="Arial" w:eastAsia="Arial" w:hAnsi="Arial"/>
                <w:sz w:val="19"/>
                <w:szCs w:val="19"/>
                <w:color w:val="auto"/>
              </w:rPr>
              <w:t>Fair value of plan assets</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80" w:type="dxa"/>
            <w:vAlign w:val="bottom"/>
            <w:gridSpan w:val="2"/>
            <w:shd w:val="clear" w:color="auto" w:fill="E5FFFF"/>
          </w:tcPr>
          <w:p>
            <w:pPr>
              <w:jc w:val="center"/>
              <w:ind w:left="183"/>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873</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269</w:t>
            </w:r>
          </w:p>
        </w:tc>
      </w:tr>
    </w:tbl>
    <w:p>
      <w:pPr>
        <w:spacing w:after="0" w:line="108" w:lineRule="exact"/>
        <w:rPr>
          <w:sz w:val="20"/>
          <w:szCs w:val="20"/>
          <w:color w:val="auto"/>
        </w:rPr>
      </w:pPr>
    </w:p>
    <w:p>
      <w:pPr>
        <w:ind w:right="200" w:firstLine="357"/>
        <w:spacing w:after="0" w:line="253" w:lineRule="auto"/>
        <w:rPr>
          <w:sz w:val="20"/>
          <w:szCs w:val="20"/>
          <w:color w:val="auto"/>
        </w:rPr>
      </w:pPr>
      <w:r>
        <w:rPr>
          <w:rFonts w:ascii="Arial" w:cs="Arial" w:eastAsia="Arial" w:hAnsi="Arial"/>
          <w:sz w:val="19"/>
          <w:szCs w:val="19"/>
          <w:color w:val="auto"/>
        </w:rPr>
        <w:t>Accumulated benefit obligation for our U.S. defined benefit pension plans were $ 16.1 billion and $18.1 billion and for our Non-U.S. defined benefit pension plans were $6.1 billion and $6.9 billion at December 31, 2018 and 2017.</w:t>
      </w:r>
    </w:p>
    <w:p>
      <w:pPr>
        <w:spacing w:after="0" w:line="80" w:lineRule="exact"/>
        <w:rPr>
          <w:sz w:val="20"/>
          <w:szCs w:val="20"/>
          <w:color w:val="auto"/>
        </w:rPr>
      </w:pPr>
    </w:p>
    <w:p>
      <w:pPr>
        <w:ind w:right="20" w:firstLine="357"/>
        <w:spacing w:after="0" w:line="237" w:lineRule="auto"/>
        <w:rPr>
          <w:sz w:val="20"/>
          <w:szCs w:val="20"/>
          <w:color w:val="auto"/>
        </w:rPr>
      </w:pPr>
      <w:r>
        <w:rPr>
          <w:rFonts w:ascii="Arial" w:cs="Arial" w:eastAsia="Arial" w:hAnsi="Arial"/>
          <w:sz w:val="19"/>
          <w:szCs w:val="19"/>
          <w:color w:val="auto"/>
        </w:rPr>
        <w:t>Our asset investment strategy for our U.S. pension plans focuses on maintaining a diversified portfolio using various asset classes in order to achieve our long-term investment objectives on a risk adjusted basis. During 2018, we began to employ a de-risking strategy which increases the matching characteristics of our assets relative to our obligation. Our long-term target allocations are as follows: 45%-70% fixed income securities and cash, 35%-50% equity securities, 5%-10% real estate investments, and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10%-20% other types of investments. Equity securities include publicly-traded stock of companies located both inside and outside the United States. Fixed income securities include corporate bonds of companies from diversified industries, mortgage-backed securities, and U.S. Treasuries. Real estate investments include direct investments in commercial properties and investments in real estate funds. Other types of investments include investments in private equity and hedge funds that follow several different strategies. We review our assets on a regular basis to ensure that we are within the targeted asset allocation ranges and, if necessary, asset balances are adjusted back within target allocations.</w:t>
      </w:r>
    </w:p>
    <w:p>
      <w:pPr>
        <w:spacing w:after="0" w:line="94" w:lineRule="exact"/>
        <w:rPr>
          <w:sz w:val="20"/>
          <w:szCs w:val="20"/>
          <w:color w:val="auto"/>
        </w:rPr>
      </w:pPr>
    </w:p>
    <w:p>
      <w:pPr>
        <w:ind w:right="240" w:firstLine="357"/>
        <w:spacing w:after="0" w:line="242" w:lineRule="auto"/>
        <w:rPr>
          <w:sz w:val="20"/>
          <w:szCs w:val="20"/>
          <w:color w:val="auto"/>
        </w:rPr>
      </w:pPr>
      <w:r>
        <w:rPr>
          <w:rFonts w:ascii="Arial" w:cs="Arial" w:eastAsia="Arial" w:hAnsi="Arial"/>
          <w:sz w:val="19"/>
          <w:szCs w:val="19"/>
          <w:color w:val="auto"/>
        </w:rPr>
        <w:t>Our non-U.S. pension assets are typically managed by decentralized fiduciary committees with the Honeywell Corporate Investments group providing funding and investment guidance. Our non-U.S. investment policies are different for each country as local regulations, funding requirements, and financial and tax considerations are part of the funding and investment allocation process in each country.</w:t>
      </w:r>
    </w:p>
    <w:p>
      <w:pPr>
        <w:spacing w:after="0" w:line="91" w:lineRule="exact"/>
        <w:rPr>
          <w:sz w:val="20"/>
          <w:szCs w:val="20"/>
          <w:color w:val="auto"/>
        </w:rPr>
      </w:pPr>
    </w:p>
    <w:p>
      <w:pPr>
        <w:ind w:right="120" w:firstLine="357"/>
        <w:spacing w:after="0" w:line="242" w:lineRule="auto"/>
        <w:rPr>
          <w:sz w:val="20"/>
          <w:szCs w:val="20"/>
          <w:color w:val="auto"/>
        </w:rPr>
      </w:pPr>
      <w:r>
        <w:rPr>
          <w:rFonts w:ascii="Arial" w:cs="Arial" w:eastAsia="Arial" w:hAnsi="Arial"/>
          <w:sz w:val="19"/>
          <w:szCs w:val="19"/>
          <w:color w:val="auto"/>
        </w:rPr>
        <w:t>In accordance with ASU 2015-07, “Fair Value Measurement (Topic 820)”, certain investments that are measured at fair value using the net asset value (NAV) per share (or its equivalent) practical expedient have not been classified in the fair value hierarchy. The fair value amounts presented in the following tables are intended to permit reconciliation of the fair value hierarchy to the amounts presented for the total pension benefits plan assets.</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57"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fair values of both our U.S. and non-U.S. pension plans assets by asset category are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504"/>
              <w:spacing w:after="0"/>
              <w:rPr>
                <w:sz w:val="20"/>
                <w:szCs w:val="20"/>
                <w:color w:val="auto"/>
              </w:rPr>
            </w:pPr>
            <w:r>
              <w:rPr>
                <w:rFonts w:ascii="Arial" w:cs="Arial" w:eastAsia="Arial" w:hAnsi="Arial"/>
                <w:sz w:val="16"/>
                <w:szCs w:val="16"/>
                <w:b w:val="1"/>
                <w:bCs w:val="1"/>
                <w:color w:val="auto"/>
              </w:rPr>
              <w:t>U.S. Plans</w:t>
            </w: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164"/>
              <w:spacing w:after="0" w:line="169" w:lineRule="exact"/>
              <w:rPr>
                <w:sz w:val="20"/>
                <w:szCs w:val="20"/>
                <w:color w:val="auto"/>
              </w:rPr>
            </w:pPr>
            <w:r>
              <w:rPr>
                <w:rFonts w:ascii="Arial" w:cs="Arial" w:eastAsia="Arial" w:hAnsi="Arial"/>
                <w:sz w:val="16"/>
                <w:szCs w:val="16"/>
                <w:b w:val="1"/>
                <w:bCs w:val="1"/>
                <w:color w:val="auto"/>
              </w:rPr>
              <w:t>December 31, 2018</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80"/>
              <w:spacing w:after="0" w:line="169" w:lineRule="exact"/>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44"/>
              <w:spacing w:after="0" w:line="169" w:lineRule="exact"/>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4"/>
              <w:spacing w:after="0" w:line="169" w:lineRule="exact"/>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10"/>
        </w:trPr>
        <w:tc>
          <w:tcPr>
            <w:tcW w:w="44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Equities:</w:t>
            </w:r>
          </w:p>
        </w:tc>
        <w:tc>
          <w:tcPr>
            <w:tcW w:w="25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Honeywell common stock</w:t>
            </w:r>
          </w:p>
        </w:tc>
        <w:tc>
          <w:tcPr>
            <w:tcW w:w="282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2,438</w:t>
            </w:r>
          </w:p>
        </w:tc>
        <w:tc>
          <w:tcPr>
            <w:tcW w:w="4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2,438</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U.S. equities</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1,365</w:t>
            </w: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1,365</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Non-U.S. equities</w:t>
            </w: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753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753</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Real estate investment trusts</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244</w:t>
            </w: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244</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Fixed income:</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Short term investments</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877</w:t>
            </w: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877</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Government securities</w:t>
            </w: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993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993</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 bonds</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6,824</w:t>
            </w: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6,824</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Mortgage/Asset-backed securities</w:t>
            </w: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1,032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1,032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Insurance contracts</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8</w:t>
            </w: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Direct investments:</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Direct private investments</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829</w:t>
            </w: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829</w:t>
            </w:r>
          </w:p>
        </w:tc>
        <w:tc>
          <w:tcPr>
            <w:tcW w:w="0" w:type="dxa"/>
            <w:vAlign w:val="bottom"/>
          </w:tcPr>
          <w:p>
            <w:pPr>
              <w:spacing w:after="0"/>
              <w:rPr>
                <w:sz w:val="1"/>
                <w:szCs w:val="1"/>
                <w:color w:val="auto"/>
              </w:rPr>
            </w:pPr>
          </w:p>
        </w:tc>
      </w:tr>
      <w:tr>
        <w:trPr>
          <w:trHeight w:val="250"/>
        </w:trPr>
        <w:tc>
          <w:tcPr>
            <w:tcW w:w="4440" w:type="dxa"/>
            <w:vAlign w:val="bottom"/>
          </w:tcPr>
          <w:p>
            <w:pPr>
              <w:ind w:left="360"/>
              <w:spacing w:after="0"/>
              <w:rPr>
                <w:sz w:val="20"/>
                <w:szCs w:val="20"/>
                <w:color w:val="auto"/>
              </w:rPr>
            </w:pPr>
            <w:r>
              <w:rPr>
                <w:rFonts w:ascii="Arial" w:cs="Arial" w:eastAsia="Arial" w:hAnsi="Arial"/>
                <w:sz w:val="19"/>
                <w:szCs w:val="19"/>
                <w:color w:val="auto"/>
              </w:rPr>
              <w:t>Real estate properties</w:t>
            </w: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657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657</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rPr>
                <w:sz w:val="20"/>
                <w:szCs w:val="20"/>
                <w:color w:val="auto"/>
              </w:rPr>
            </w:pPr>
            <w:r>
              <w:rPr>
                <w:rFonts w:ascii="Arial" w:cs="Arial" w:eastAsia="Arial" w:hAnsi="Arial"/>
                <w:sz w:val="19"/>
                <w:szCs w:val="19"/>
                <w:color w:val="auto"/>
              </w:rPr>
              <w:t>Total</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16,020</w:t>
            </w: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5,677</w:t>
            </w: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8,857</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1,486</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9"/>
                <w:szCs w:val="19"/>
                <w:color w:val="auto"/>
              </w:rPr>
              <w:t>Investments measured at NAV:</w:t>
            </w: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Private funds</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931</w:t>
            </w: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Real estate funds</w:t>
            </w: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56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Hedge funds</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w:t>
            </w: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Pr>
          <w:p>
            <w:pPr>
              <w:ind w:left="360"/>
              <w:spacing w:after="0"/>
              <w:rPr>
                <w:sz w:val="20"/>
                <w:szCs w:val="20"/>
                <w:color w:val="auto"/>
              </w:rPr>
            </w:pPr>
            <w:r>
              <w:rPr>
                <w:rFonts w:ascii="Arial" w:cs="Arial" w:eastAsia="Arial" w:hAnsi="Arial"/>
                <w:sz w:val="19"/>
                <w:szCs w:val="19"/>
                <w:color w:val="auto"/>
              </w:rPr>
              <w:t>Commingled Funds</w:t>
            </w: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101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rPr>
                <w:sz w:val="20"/>
                <w:szCs w:val="20"/>
                <w:color w:val="auto"/>
              </w:rPr>
            </w:pPr>
            <w:r>
              <w:rPr>
                <w:rFonts w:ascii="Arial" w:cs="Arial" w:eastAsia="Arial" w:hAnsi="Arial"/>
                <w:sz w:val="19"/>
                <w:szCs w:val="19"/>
                <w:color w:val="auto"/>
              </w:rPr>
              <w:t>Total assets at fair value</w:t>
            </w:r>
          </w:p>
        </w:tc>
        <w:tc>
          <w:tcPr>
            <w:tcW w:w="28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17,109</w:t>
            </w: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U.S. Plans</w:t>
            </w: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spacing w:after="0" w:line="169" w:lineRule="exact"/>
              <w:rPr>
                <w:sz w:val="20"/>
                <w:szCs w:val="20"/>
                <w:color w:val="auto"/>
              </w:rPr>
            </w:pPr>
            <w:r>
              <w:rPr>
                <w:rFonts w:ascii="Arial" w:cs="Arial" w:eastAsia="Arial" w:hAnsi="Arial"/>
                <w:sz w:val="16"/>
                <w:szCs w:val="16"/>
                <w:b w:val="1"/>
                <w:bCs w:val="1"/>
                <w:color w:val="auto"/>
              </w:rPr>
              <w:t>December 31, 2017</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20"/>
              <w:spacing w:after="0" w:line="169" w:lineRule="exact"/>
              <w:rPr>
                <w:sz w:val="20"/>
                <w:szCs w:val="20"/>
                <w:color w:val="auto"/>
              </w:rPr>
            </w:pPr>
            <w:r>
              <w:rPr>
                <w:rFonts w:ascii="Arial" w:cs="Arial" w:eastAsia="Arial" w:hAnsi="Arial"/>
                <w:sz w:val="16"/>
                <w:szCs w:val="16"/>
                <w:b w:val="1"/>
                <w:bCs w:val="1"/>
                <w:color w:val="auto"/>
                <w:w w:val="94"/>
              </w:rPr>
              <w:t>Total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6"/>
              <w:spacing w:after="0" w:line="169" w:lineRule="exact"/>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4"/>
              <w:spacing w:after="0" w:line="169" w:lineRule="exact"/>
              <w:rPr>
                <w:sz w:val="20"/>
                <w:szCs w:val="20"/>
                <w:color w:val="auto"/>
              </w:rPr>
            </w:pPr>
            <w:r>
              <w:rPr>
                <w:rFonts w:ascii="Arial" w:cs="Arial" w:eastAsia="Arial" w:hAnsi="Arial"/>
                <w:sz w:val="16"/>
                <w:szCs w:val="16"/>
                <w:b w:val="1"/>
                <w:bCs w:val="1"/>
                <w:color w:val="auto"/>
                <w:w w:val="95"/>
              </w:rPr>
              <w:t>Level 2</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64"/>
              <w:spacing w:after="0" w:line="169" w:lineRule="exact"/>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10"/>
        </w:trPr>
        <w:tc>
          <w:tcPr>
            <w:tcW w:w="44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Equities:</w:t>
            </w:r>
          </w:p>
        </w:tc>
        <w:tc>
          <w:tcPr>
            <w:tcW w:w="2560" w:type="dxa"/>
            <w:vAlign w:val="bottom"/>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70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Honeywell common stock</w:t>
            </w:r>
          </w:p>
        </w:tc>
        <w:tc>
          <w:tcPr>
            <w:tcW w:w="27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2,832</w:t>
            </w:r>
          </w:p>
        </w:tc>
        <w:tc>
          <w:tcPr>
            <w:tcW w:w="14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2,832</w:t>
            </w:r>
          </w:p>
        </w:tc>
        <w:tc>
          <w:tcPr>
            <w:tcW w:w="4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U.S. equities</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3,573</w:t>
            </w:r>
          </w:p>
        </w:tc>
        <w:tc>
          <w:tcPr>
            <w:tcW w:w="1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3,573</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Non-U.S. equities</w:t>
            </w: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2,631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2,618</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13</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Real estate investment trusts</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265</w:t>
            </w:r>
          </w:p>
        </w:tc>
        <w:tc>
          <w:tcPr>
            <w:tcW w:w="1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265</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Fixed income:</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Short term investments</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919</w:t>
            </w:r>
          </w:p>
        </w:tc>
        <w:tc>
          <w:tcPr>
            <w:tcW w:w="1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919</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Government securities</w:t>
            </w: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428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428</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 bonds</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5,052</w:t>
            </w:r>
          </w:p>
        </w:tc>
        <w:tc>
          <w:tcPr>
            <w:tcW w:w="1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5,052</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Mortgage/Asset-backed securities</w:t>
            </w: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742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742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Insurance contracts</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w:t>
            </w:r>
          </w:p>
        </w:tc>
        <w:tc>
          <w:tcPr>
            <w:tcW w:w="1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Direct investments:</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Direct private investments</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752</w:t>
            </w:r>
          </w:p>
        </w:tc>
        <w:tc>
          <w:tcPr>
            <w:tcW w:w="1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752</w:t>
            </w:r>
          </w:p>
        </w:tc>
        <w:tc>
          <w:tcPr>
            <w:tcW w:w="0" w:type="dxa"/>
            <w:vAlign w:val="bottom"/>
          </w:tcPr>
          <w:p>
            <w:pPr>
              <w:spacing w:after="0"/>
              <w:rPr>
                <w:sz w:val="1"/>
                <w:szCs w:val="1"/>
                <w:color w:val="auto"/>
              </w:rPr>
            </w:pPr>
          </w:p>
        </w:tc>
      </w:tr>
      <w:tr>
        <w:trPr>
          <w:trHeight w:val="250"/>
        </w:trPr>
        <w:tc>
          <w:tcPr>
            <w:tcW w:w="4440" w:type="dxa"/>
            <w:vAlign w:val="bottom"/>
          </w:tcPr>
          <w:p>
            <w:pPr>
              <w:ind w:left="360"/>
              <w:spacing w:after="0"/>
              <w:rPr>
                <w:sz w:val="20"/>
                <w:szCs w:val="20"/>
                <w:color w:val="auto"/>
              </w:rPr>
            </w:pPr>
            <w:r>
              <w:rPr>
                <w:rFonts w:ascii="Arial" w:cs="Arial" w:eastAsia="Arial" w:hAnsi="Arial"/>
                <w:sz w:val="19"/>
                <w:szCs w:val="19"/>
                <w:color w:val="auto"/>
              </w:rPr>
              <w:t>Real estate properties</w:t>
            </w:r>
          </w:p>
        </w:tc>
        <w:tc>
          <w:tcPr>
            <w:tcW w:w="25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597</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rPr>
                <w:sz w:val="20"/>
                <w:szCs w:val="20"/>
                <w:color w:val="auto"/>
              </w:rPr>
            </w:pPr>
            <w:r>
              <w:rPr>
                <w:rFonts w:ascii="Arial" w:cs="Arial" w:eastAsia="Arial" w:hAnsi="Arial"/>
                <w:sz w:val="19"/>
                <w:szCs w:val="19"/>
                <w:color w:val="auto"/>
              </w:rPr>
              <w:t>Total</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17,799</w:t>
            </w:r>
          </w:p>
        </w:tc>
        <w:tc>
          <w:tcPr>
            <w:tcW w:w="140" w:type="dxa"/>
            <w:vAlign w:val="bottom"/>
            <w:shd w:val="clear" w:color="auto" w:fill="E5FFFF"/>
          </w:tcPr>
          <w:p>
            <w:pPr>
              <w:spacing w:after="0"/>
              <w:rPr>
                <w:sz w:val="21"/>
                <w:szCs w:val="21"/>
                <w:color w:val="auto"/>
              </w:rPr>
            </w:pPr>
          </w:p>
        </w:tc>
        <w:tc>
          <w:tcPr>
            <w:tcW w:w="3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10,207</w:t>
            </w: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6,243</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1,349</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9"/>
                <w:szCs w:val="19"/>
                <w:color w:val="auto"/>
              </w:rPr>
              <w:t>Investments measured at NAV:</w:t>
            </w:r>
          </w:p>
        </w:tc>
        <w:tc>
          <w:tcPr>
            <w:tcW w:w="2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Private funds</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901</w:t>
            </w:r>
          </w:p>
        </w:tc>
        <w:tc>
          <w:tcPr>
            <w:tcW w:w="1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Real estate funds</w:t>
            </w: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84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Hedge funds</w:t>
            </w:r>
          </w:p>
        </w:tc>
        <w:tc>
          <w:tcPr>
            <w:tcW w:w="25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w:t>
            </w:r>
          </w:p>
        </w:tc>
        <w:tc>
          <w:tcPr>
            <w:tcW w:w="1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Pr>
          <w:p>
            <w:pPr>
              <w:ind w:left="360"/>
              <w:spacing w:after="0"/>
              <w:rPr>
                <w:sz w:val="20"/>
                <w:szCs w:val="20"/>
                <w:color w:val="auto"/>
              </w:rPr>
            </w:pPr>
            <w:r>
              <w:rPr>
                <w:rFonts w:ascii="Arial" w:cs="Arial" w:eastAsia="Arial" w:hAnsi="Arial"/>
                <w:sz w:val="19"/>
                <w:szCs w:val="19"/>
                <w:color w:val="auto"/>
              </w:rPr>
              <w:t>Commingled funds</w:t>
            </w:r>
          </w:p>
        </w:tc>
        <w:tc>
          <w:tcPr>
            <w:tcW w:w="25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rPr>
                <w:sz w:val="20"/>
                <w:szCs w:val="20"/>
                <w:color w:val="auto"/>
              </w:rPr>
            </w:pPr>
            <w:r>
              <w:rPr>
                <w:rFonts w:ascii="Arial" w:cs="Arial" w:eastAsia="Arial" w:hAnsi="Arial"/>
                <w:sz w:val="19"/>
                <w:szCs w:val="19"/>
                <w:color w:val="auto"/>
              </w:rPr>
              <w:t>Total assets at fair value</w:t>
            </w:r>
          </w:p>
        </w:tc>
        <w:tc>
          <w:tcPr>
            <w:tcW w:w="27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18,985</w:t>
            </w:r>
          </w:p>
        </w:tc>
        <w:tc>
          <w:tcPr>
            <w:tcW w:w="1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560" w:type="dxa"/>
            <w:vAlign w:val="bottom"/>
            <w:vMerge w:val="restart"/>
          </w:tcPr>
          <w:p>
            <w:pPr>
              <w:jc w:val="right"/>
              <w:ind w:right="1083"/>
              <w:spacing w:after="0"/>
              <w:rPr>
                <w:sz w:val="20"/>
                <w:szCs w:val="20"/>
                <w:color w:val="auto"/>
              </w:rPr>
            </w:pPr>
            <w:r>
              <w:rPr>
                <w:rFonts w:ascii="Arial" w:cs="Arial" w:eastAsia="Arial" w:hAnsi="Arial"/>
                <w:sz w:val="19"/>
                <w:szCs w:val="19"/>
                <w:color w:val="auto"/>
              </w:rPr>
              <w:t>87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85"/>
              <w:spacing w:after="0"/>
              <w:rPr>
                <w:sz w:val="20"/>
                <w:szCs w:val="20"/>
                <w:color w:val="auto"/>
              </w:rPr>
            </w:pPr>
            <w:r>
              <w:rPr>
                <w:rFonts w:ascii="Arial" w:cs="Arial" w:eastAsia="Arial" w:hAnsi="Arial"/>
                <w:sz w:val="16"/>
                <w:szCs w:val="16"/>
                <w:b w:val="1"/>
                <w:bCs w:val="1"/>
                <w:color w:val="auto"/>
                <w:w w:val="99"/>
              </w:rPr>
              <w:t>Non-U.S. Plans</w:t>
            </w: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85"/>
              <w:spacing w:after="0" w:line="169" w:lineRule="exact"/>
              <w:rPr>
                <w:sz w:val="20"/>
                <w:szCs w:val="20"/>
                <w:color w:val="auto"/>
              </w:rPr>
            </w:pPr>
            <w:r>
              <w:rPr>
                <w:rFonts w:ascii="Arial" w:cs="Arial" w:eastAsia="Arial" w:hAnsi="Arial"/>
                <w:sz w:val="16"/>
                <w:szCs w:val="16"/>
                <w:b w:val="1"/>
                <w:bCs w:val="1"/>
                <w:color w:val="auto"/>
                <w:w w:val="98"/>
              </w:rPr>
              <w:t>December 31, 2018</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4"/>
              <w:spacing w:after="0" w:line="169" w:lineRule="exact"/>
              <w:rPr>
                <w:sz w:val="20"/>
                <w:szCs w:val="20"/>
                <w:color w:val="auto"/>
              </w:rPr>
            </w:pPr>
            <w:r>
              <w:rPr>
                <w:rFonts w:ascii="Arial" w:cs="Arial" w:eastAsia="Arial" w:hAnsi="Arial"/>
                <w:sz w:val="16"/>
                <w:szCs w:val="16"/>
                <w:b w:val="1"/>
                <w:bCs w:val="1"/>
                <w:color w:val="auto"/>
                <w:w w:val="99"/>
              </w:rPr>
              <w:t>Total</w:t>
            </w:r>
          </w:p>
        </w:tc>
        <w:tc>
          <w:tcPr>
            <w:tcW w:w="30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6"/>
              <w:spacing w:after="0" w:line="169" w:lineRule="exact"/>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6"/>
                <w:szCs w:val="16"/>
                <w:b w:val="1"/>
                <w:bCs w:val="1"/>
                <w:color w:val="auto"/>
                <w:w w:val="95"/>
              </w:rPr>
              <w:t>Level 2</w:t>
            </w:r>
          </w:p>
        </w:tc>
        <w:tc>
          <w:tcPr>
            <w:tcW w:w="32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3"/>
              <w:spacing w:after="0" w:line="169" w:lineRule="exact"/>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0"/>
        </w:trPr>
        <w:tc>
          <w:tcPr>
            <w:tcW w:w="44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Equities:</w:t>
            </w:r>
          </w:p>
        </w:tc>
        <w:tc>
          <w:tcPr>
            <w:tcW w:w="30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U.S. equities</w:t>
            </w:r>
          </w:p>
        </w:tc>
        <w:tc>
          <w:tcPr>
            <w:tcW w:w="31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429</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60" w:type="dxa"/>
            <w:vAlign w:val="bottom"/>
          </w:tcPr>
          <w:p>
            <w:pPr>
              <w:jc w:val="right"/>
              <w:spacing w:after="0"/>
              <w:rPr>
                <w:sz w:val="20"/>
                <w:szCs w:val="20"/>
                <w:color w:val="auto"/>
              </w:rPr>
            </w:pPr>
            <w:r>
              <w:rPr>
                <w:rFonts w:ascii="Arial" w:cs="Arial" w:eastAsia="Arial" w:hAnsi="Arial"/>
                <w:sz w:val="19"/>
                <w:szCs w:val="19"/>
                <w:color w:val="auto"/>
              </w:rPr>
              <w:t>297</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132</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Non-U.S. equities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1,356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1,312</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Fixed income:</w:t>
            </w: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Short-term investments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189</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Government securities</w:t>
            </w:r>
          </w:p>
        </w:tc>
        <w:tc>
          <w:tcPr>
            <w:tcW w:w="3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2,572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2,572</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 bonds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1,468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1,468</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Mortgage/Asset-backed securities</w:t>
            </w:r>
          </w:p>
        </w:tc>
        <w:tc>
          <w:tcPr>
            <w:tcW w:w="3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60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60</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Insurance contracts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137</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Investments in private funds:</w:t>
            </w: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Private funds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w:t>
            </w:r>
          </w:p>
        </w:tc>
        <w:tc>
          <w:tcPr>
            <w:tcW w:w="0" w:type="dxa"/>
            <w:vAlign w:val="bottom"/>
          </w:tcPr>
          <w:p>
            <w:pPr>
              <w:spacing w:after="0"/>
              <w:rPr>
                <w:sz w:val="1"/>
                <w:szCs w:val="1"/>
                <w:color w:val="auto"/>
              </w:rPr>
            </w:pPr>
          </w:p>
        </w:tc>
      </w:tr>
      <w:tr>
        <w:trPr>
          <w:trHeight w:val="250"/>
        </w:trPr>
        <w:tc>
          <w:tcPr>
            <w:tcW w:w="4440" w:type="dxa"/>
            <w:vAlign w:val="bottom"/>
          </w:tcPr>
          <w:p>
            <w:pPr>
              <w:ind w:left="360"/>
              <w:spacing w:after="0"/>
              <w:rPr>
                <w:sz w:val="20"/>
                <w:szCs w:val="20"/>
                <w:color w:val="auto"/>
              </w:rPr>
            </w:pPr>
            <w:r>
              <w:rPr>
                <w:rFonts w:ascii="Arial" w:cs="Arial" w:eastAsia="Arial" w:hAnsi="Arial"/>
                <w:sz w:val="19"/>
                <w:szCs w:val="19"/>
                <w:color w:val="auto"/>
              </w:rPr>
              <w:t>Real estate funds</w:t>
            </w:r>
          </w:p>
        </w:tc>
        <w:tc>
          <w:tcPr>
            <w:tcW w:w="30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144</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144</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rPr>
                <w:sz w:val="20"/>
                <w:szCs w:val="20"/>
                <w:color w:val="auto"/>
              </w:rPr>
            </w:pPr>
            <w:r>
              <w:rPr>
                <w:rFonts w:ascii="Arial" w:cs="Arial" w:eastAsia="Arial" w:hAnsi="Arial"/>
                <w:sz w:val="19"/>
                <w:szCs w:val="19"/>
                <w:color w:val="auto"/>
              </w:rPr>
              <w:t>Total</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6,401</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530</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5,693</w:t>
            </w:r>
          </w:p>
        </w:tc>
        <w:tc>
          <w:tcPr>
            <w:tcW w:w="54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178</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9"/>
                <w:szCs w:val="19"/>
                <w:color w:val="auto"/>
              </w:rPr>
              <w:t>Investments measured at NAV:</w:t>
            </w:r>
          </w:p>
        </w:tc>
        <w:tc>
          <w:tcPr>
            <w:tcW w:w="3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Private funds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Pr>
          <w:p>
            <w:pPr>
              <w:ind w:left="360"/>
              <w:spacing w:after="0"/>
              <w:rPr>
                <w:sz w:val="20"/>
                <w:szCs w:val="20"/>
                <w:color w:val="auto"/>
              </w:rPr>
            </w:pPr>
            <w:r>
              <w:rPr>
                <w:rFonts w:ascii="Arial" w:cs="Arial" w:eastAsia="Arial" w:hAnsi="Arial"/>
                <w:sz w:val="19"/>
                <w:szCs w:val="19"/>
                <w:color w:val="auto"/>
              </w:rPr>
              <w:t>Real estate funds</w:t>
            </w:r>
          </w:p>
        </w:tc>
        <w:tc>
          <w:tcPr>
            <w:tcW w:w="30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rPr>
                <w:sz w:val="20"/>
                <w:szCs w:val="20"/>
                <w:color w:val="auto"/>
              </w:rPr>
            </w:pPr>
            <w:r>
              <w:rPr>
                <w:rFonts w:ascii="Arial" w:cs="Arial" w:eastAsia="Arial" w:hAnsi="Arial"/>
                <w:sz w:val="19"/>
                <w:szCs w:val="19"/>
                <w:color w:val="auto"/>
              </w:rPr>
              <w:t>Total assets at fair value</w:t>
            </w:r>
          </w:p>
        </w:tc>
        <w:tc>
          <w:tcPr>
            <w:tcW w:w="31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6,481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4"/>
            <w:vMerge w:val="restart"/>
          </w:tcPr>
          <w:p>
            <w:pPr>
              <w:jc w:val="center"/>
              <w:ind w:right="85"/>
              <w:spacing w:after="0"/>
              <w:rPr>
                <w:sz w:val="20"/>
                <w:szCs w:val="20"/>
                <w:color w:val="auto"/>
              </w:rPr>
            </w:pPr>
            <w:r>
              <w:rPr>
                <w:rFonts w:ascii="Arial" w:cs="Arial" w:eastAsia="Arial" w:hAnsi="Arial"/>
                <w:sz w:val="16"/>
                <w:szCs w:val="16"/>
                <w:b w:val="1"/>
                <w:bCs w:val="1"/>
                <w:color w:val="auto"/>
                <w:w w:val="99"/>
              </w:rPr>
              <w:t>Non-U.S. Plans</w:t>
            </w: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85"/>
              <w:spacing w:after="0" w:line="169" w:lineRule="exact"/>
              <w:rPr>
                <w:sz w:val="20"/>
                <w:szCs w:val="20"/>
                <w:color w:val="auto"/>
              </w:rPr>
            </w:pPr>
            <w:r>
              <w:rPr>
                <w:rFonts w:ascii="Arial" w:cs="Arial" w:eastAsia="Arial" w:hAnsi="Arial"/>
                <w:sz w:val="16"/>
                <w:szCs w:val="16"/>
                <w:b w:val="1"/>
                <w:bCs w:val="1"/>
                <w:color w:val="auto"/>
                <w:w w:val="98"/>
              </w:rPr>
              <w:t>December 31, 2017</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4"/>
              <w:spacing w:after="0" w:line="169" w:lineRule="exact"/>
              <w:rPr>
                <w:sz w:val="20"/>
                <w:szCs w:val="20"/>
                <w:color w:val="auto"/>
              </w:rPr>
            </w:pPr>
            <w:r>
              <w:rPr>
                <w:rFonts w:ascii="Arial" w:cs="Arial" w:eastAsia="Arial" w:hAnsi="Arial"/>
                <w:sz w:val="16"/>
                <w:szCs w:val="16"/>
                <w:b w:val="1"/>
                <w:bCs w:val="1"/>
                <w:color w:val="auto"/>
                <w:w w:val="99"/>
              </w:rPr>
              <w:t>Total</w:t>
            </w:r>
          </w:p>
        </w:tc>
        <w:tc>
          <w:tcPr>
            <w:tcW w:w="30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6"/>
              <w:spacing w:after="0" w:line="169" w:lineRule="exact"/>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6"/>
                <w:szCs w:val="16"/>
                <w:b w:val="1"/>
                <w:bCs w:val="1"/>
                <w:color w:val="auto"/>
                <w:w w:val="95"/>
              </w:rPr>
              <w:t>Level 2</w:t>
            </w:r>
          </w:p>
        </w:tc>
        <w:tc>
          <w:tcPr>
            <w:tcW w:w="32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3"/>
              <w:spacing w:after="0" w:line="169" w:lineRule="exact"/>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0"/>
        </w:trPr>
        <w:tc>
          <w:tcPr>
            <w:tcW w:w="44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Equities:</w:t>
            </w:r>
          </w:p>
        </w:tc>
        <w:tc>
          <w:tcPr>
            <w:tcW w:w="30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U.S. equities</w:t>
            </w:r>
          </w:p>
        </w:tc>
        <w:tc>
          <w:tcPr>
            <w:tcW w:w="31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573</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60" w:type="dxa"/>
            <w:vAlign w:val="bottom"/>
          </w:tcPr>
          <w:p>
            <w:pPr>
              <w:jc w:val="right"/>
              <w:spacing w:after="0"/>
              <w:rPr>
                <w:sz w:val="20"/>
                <w:szCs w:val="20"/>
                <w:color w:val="auto"/>
              </w:rPr>
            </w:pPr>
            <w:r>
              <w:rPr>
                <w:rFonts w:ascii="Arial" w:cs="Arial" w:eastAsia="Arial" w:hAnsi="Arial"/>
                <w:sz w:val="19"/>
                <w:szCs w:val="19"/>
                <w:color w:val="auto"/>
              </w:rPr>
              <w:t>420</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153</w:t>
            </w:r>
          </w:p>
        </w:tc>
        <w:tc>
          <w:tcPr>
            <w:tcW w:w="540" w:type="dxa"/>
            <w:vAlign w:val="bottom"/>
            <w:gridSpan w:val="2"/>
          </w:tcPr>
          <w:p>
            <w:pPr>
              <w:jc w:val="right"/>
              <w:ind w:right="21"/>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Non-U.S. equities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2,801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99</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2,702</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Fixed income:</w:t>
            </w: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Short-term investments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238</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Government securities</w:t>
            </w:r>
          </w:p>
        </w:tc>
        <w:tc>
          <w:tcPr>
            <w:tcW w:w="3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1,685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1,685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 bonds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1,364</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1,364</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Mortgage/Asset-backed securities</w:t>
            </w:r>
          </w:p>
        </w:tc>
        <w:tc>
          <w:tcPr>
            <w:tcW w:w="3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47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47</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Insurance contracts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157</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Investments in private funds:</w:t>
            </w: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Private funds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52</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w:t>
            </w:r>
          </w:p>
        </w:tc>
        <w:tc>
          <w:tcPr>
            <w:tcW w:w="0" w:type="dxa"/>
            <w:vAlign w:val="bottom"/>
          </w:tcPr>
          <w:p>
            <w:pPr>
              <w:spacing w:after="0"/>
              <w:rPr>
                <w:sz w:val="1"/>
                <w:szCs w:val="1"/>
                <w:color w:val="auto"/>
              </w:rPr>
            </w:pPr>
          </w:p>
        </w:tc>
      </w:tr>
      <w:tr>
        <w:trPr>
          <w:trHeight w:val="250"/>
        </w:trPr>
        <w:tc>
          <w:tcPr>
            <w:tcW w:w="4440" w:type="dxa"/>
            <w:vAlign w:val="bottom"/>
          </w:tcPr>
          <w:p>
            <w:pPr>
              <w:ind w:left="360"/>
              <w:spacing w:after="0"/>
              <w:rPr>
                <w:sz w:val="20"/>
                <w:szCs w:val="20"/>
                <w:color w:val="auto"/>
              </w:rPr>
            </w:pPr>
            <w:r>
              <w:rPr>
                <w:rFonts w:ascii="Arial" w:cs="Arial" w:eastAsia="Arial" w:hAnsi="Arial"/>
                <w:sz w:val="19"/>
                <w:szCs w:val="19"/>
                <w:color w:val="auto"/>
              </w:rPr>
              <w:t>Real estate funds</w:t>
            </w:r>
          </w:p>
        </w:tc>
        <w:tc>
          <w:tcPr>
            <w:tcW w:w="30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149</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149</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rPr>
                <w:sz w:val="20"/>
                <w:szCs w:val="20"/>
                <w:color w:val="auto"/>
              </w:rPr>
            </w:pPr>
            <w:r>
              <w:rPr>
                <w:rFonts w:ascii="Arial" w:cs="Arial" w:eastAsia="Arial" w:hAnsi="Arial"/>
                <w:sz w:val="19"/>
                <w:szCs w:val="19"/>
                <w:color w:val="auto"/>
              </w:rPr>
              <w:t>Total</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7,066</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757</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6,129</w:t>
            </w:r>
          </w:p>
        </w:tc>
        <w:tc>
          <w:tcPr>
            <w:tcW w:w="54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9"/>
                <w:szCs w:val="19"/>
                <w:color w:val="auto"/>
              </w:rPr>
              <w:t>Investments measured at NAV:</w:t>
            </w:r>
          </w:p>
        </w:tc>
        <w:tc>
          <w:tcPr>
            <w:tcW w:w="3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Private funds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Pr>
          <w:p>
            <w:pPr>
              <w:ind w:left="360"/>
              <w:spacing w:after="0"/>
              <w:rPr>
                <w:sz w:val="20"/>
                <w:szCs w:val="20"/>
                <w:color w:val="auto"/>
              </w:rPr>
            </w:pPr>
            <w:r>
              <w:rPr>
                <w:rFonts w:ascii="Arial" w:cs="Arial" w:eastAsia="Arial" w:hAnsi="Arial"/>
                <w:sz w:val="19"/>
                <w:szCs w:val="19"/>
                <w:color w:val="auto"/>
              </w:rPr>
              <w:t>Real estate funds</w:t>
            </w:r>
          </w:p>
        </w:tc>
        <w:tc>
          <w:tcPr>
            <w:tcW w:w="30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rPr>
                <w:sz w:val="20"/>
                <w:szCs w:val="20"/>
                <w:color w:val="auto"/>
              </w:rPr>
            </w:pPr>
            <w:r>
              <w:rPr>
                <w:rFonts w:ascii="Arial" w:cs="Arial" w:eastAsia="Arial" w:hAnsi="Arial"/>
                <w:sz w:val="19"/>
                <w:szCs w:val="19"/>
                <w:color w:val="auto"/>
              </w:rPr>
              <w:t>Total assets at fair value</w:t>
            </w:r>
          </w:p>
        </w:tc>
        <w:tc>
          <w:tcPr>
            <w:tcW w:w="31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7,151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000" w:type="dxa"/>
            <w:vAlign w:val="bottom"/>
            <w:vMerge w:val="restart"/>
          </w:tcPr>
          <w:p>
            <w:pPr>
              <w:jc w:val="right"/>
              <w:ind w:right="1523"/>
              <w:spacing w:after="0"/>
              <w:rPr>
                <w:sz w:val="20"/>
                <w:szCs w:val="20"/>
                <w:color w:val="auto"/>
              </w:rPr>
            </w:pPr>
            <w:r>
              <w:rPr>
                <w:rFonts w:ascii="Arial" w:cs="Arial" w:eastAsia="Arial" w:hAnsi="Arial"/>
                <w:sz w:val="19"/>
                <w:szCs w:val="19"/>
                <w:color w:val="auto"/>
              </w:rPr>
              <w:t>88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changes in the fair value of Level 3 assets for both U.S. and Non-U.S. plans: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785"/>
              <w:spacing w:after="0"/>
              <w:rPr>
                <w:sz w:val="20"/>
                <w:szCs w:val="20"/>
                <w:color w:val="auto"/>
              </w:rPr>
            </w:pPr>
            <w:r>
              <w:rPr>
                <w:rFonts w:ascii="Arial" w:cs="Arial" w:eastAsia="Arial" w:hAnsi="Arial"/>
                <w:sz w:val="16"/>
                <w:szCs w:val="16"/>
                <w:b w:val="1"/>
                <w:bCs w:val="1"/>
                <w:color w:val="auto"/>
              </w:rPr>
              <w:t>U.S. Plans</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right="106"/>
              <w:spacing w:after="0"/>
              <w:rPr>
                <w:sz w:val="20"/>
                <w:szCs w:val="20"/>
                <w:color w:val="auto"/>
              </w:rPr>
            </w:pPr>
            <w:r>
              <w:rPr>
                <w:rFonts w:ascii="Arial" w:cs="Arial" w:eastAsia="Arial" w:hAnsi="Arial"/>
                <w:sz w:val="16"/>
                <w:szCs w:val="16"/>
                <w:b w:val="1"/>
                <w:bCs w:val="1"/>
                <w:color w:val="auto"/>
                <w:w w:val="99"/>
              </w:rPr>
              <w:t>Non-U.S. Plans</w:t>
            </w:r>
          </w:p>
        </w:tc>
      </w:tr>
      <w:tr>
        <w:trPr>
          <w:trHeight w:val="155"/>
        </w:trPr>
        <w:tc>
          <w:tcPr>
            <w:tcW w:w="6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127"/>
              <w:spacing w:after="0" w:line="155" w:lineRule="exact"/>
              <w:rPr>
                <w:sz w:val="20"/>
                <w:szCs w:val="20"/>
                <w:color w:val="auto"/>
              </w:rPr>
            </w:pPr>
            <w:r>
              <w:rPr>
                <w:rFonts w:ascii="Arial" w:cs="Arial" w:eastAsia="Arial" w:hAnsi="Arial"/>
                <w:sz w:val="16"/>
                <w:szCs w:val="16"/>
                <w:b w:val="1"/>
                <w:bCs w:val="1"/>
                <w:color w:val="auto"/>
                <w:w w:val="96"/>
              </w:rPr>
              <w:t>Direct</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6"/>
        </w:trPr>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right="127"/>
              <w:spacing w:after="0" w:line="176" w:lineRule="exact"/>
              <w:rPr>
                <w:sz w:val="20"/>
                <w:szCs w:val="20"/>
                <w:color w:val="auto"/>
              </w:rPr>
            </w:pPr>
            <w:r>
              <w:rPr>
                <w:rFonts w:ascii="Arial" w:cs="Arial" w:eastAsia="Arial" w:hAnsi="Arial"/>
                <w:sz w:val="16"/>
                <w:szCs w:val="16"/>
                <w:b w:val="1"/>
                <w:bCs w:val="1"/>
                <w:color w:val="auto"/>
                <w:w w:val="97"/>
              </w:rPr>
              <w:t>Private</w:t>
            </w:r>
          </w:p>
        </w:tc>
        <w:tc>
          <w:tcPr>
            <w:tcW w:w="280" w:type="dxa"/>
            <w:vAlign w:val="bottom"/>
          </w:tcPr>
          <w:p>
            <w:pPr>
              <w:spacing w:after="0"/>
              <w:rPr>
                <w:sz w:val="15"/>
                <w:szCs w:val="15"/>
                <w:color w:val="auto"/>
              </w:rPr>
            </w:pPr>
          </w:p>
        </w:tc>
        <w:tc>
          <w:tcPr>
            <w:tcW w:w="1080" w:type="dxa"/>
            <w:vAlign w:val="bottom"/>
            <w:gridSpan w:val="2"/>
          </w:tcPr>
          <w:p>
            <w:pPr>
              <w:jc w:val="right"/>
              <w:ind w:right="25"/>
              <w:spacing w:after="0" w:line="176" w:lineRule="exact"/>
              <w:rPr>
                <w:sz w:val="20"/>
                <w:szCs w:val="20"/>
                <w:color w:val="auto"/>
              </w:rPr>
            </w:pPr>
            <w:r>
              <w:rPr>
                <w:rFonts w:ascii="Arial" w:cs="Arial" w:eastAsia="Arial" w:hAnsi="Arial"/>
                <w:sz w:val="16"/>
                <w:szCs w:val="16"/>
                <w:b w:val="1"/>
                <w:bCs w:val="1"/>
                <w:color w:val="auto"/>
              </w:rPr>
              <w:t>Real Estate</w:t>
            </w:r>
          </w:p>
        </w:tc>
        <w:tc>
          <w:tcPr>
            <w:tcW w:w="30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b w:val="1"/>
                <w:bCs w:val="1"/>
                <w:color w:val="auto"/>
              </w:rPr>
              <w:t>Private</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46"/>
              <w:spacing w:after="0" w:line="176" w:lineRule="exact"/>
              <w:rPr>
                <w:sz w:val="20"/>
                <w:szCs w:val="20"/>
                <w:color w:val="auto"/>
              </w:rPr>
            </w:pPr>
            <w:r>
              <w:rPr>
                <w:rFonts w:ascii="Arial" w:cs="Arial" w:eastAsia="Arial" w:hAnsi="Arial"/>
                <w:sz w:val="16"/>
                <w:szCs w:val="16"/>
                <w:b w:val="1"/>
                <w:bCs w:val="1"/>
                <w:color w:val="auto"/>
                <w:w w:val="97"/>
              </w:rPr>
              <w:t>Real Estate</w:t>
            </w:r>
          </w:p>
        </w:tc>
      </w:tr>
      <w:tr>
        <w:trPr>
          <w:trHeight w:val="190"/>
        </w:trPr>
        <w:tc>
          <w:tcPr>
            <w:tcW w:w="654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8"/>
              </w:rPr>
              <w:t>Investments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w w:val="98"/>
              </w:rPr>
              <w:t>Properties</w:t>
            </w:r>
          </w:p>
        </w:tc>
        <w:tc>
          <w:tcPr>
            <w:tcW w:w="30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Funds</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b w:val="1"/>
                <w:bCs w:val="1"/>
                <w:color w:val="auto"/>
              </w:rPr>
              <w:t>Funds</w:t>
            </w:r>
          </w:p>
        </w:tc>
      </w:tr>
      <w:tr>
        <w:trPr>
          <w:trHeight w:val="237"/>
        </w:trPr>
        <w:tc>
          <w:tcPr>
            <w:tcW w:w="654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2016</w:t>
            </w:r>
          </w:p>
        </w:tc>
        <w:tc>
          <w:tcPr>
            <w:tcW w:w="22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w w:val="94"/>
              </w:rPr>
              <w:t>$</w:t>
            </w:r>
          </w:p>
        </w:tc>
        <w:tc>
          <w:tcPr>
            <w:tcW w:w="940" w:type="dxa"/>
            <w:vAlign w:val="bottom"/>
            <w:shd w:val="clear" w:color="auto" w:fill="E5FFFF"/>
          </w:tcPr>
          <w:p>
            <w:pPr>
              <w:jc w:val="right"/>
              <w:ind w:right="67"/>
              <w:spacing w:after="0"/>
              <w:rPr>
                <w:sz w:val="20"/>
                <w:szCs w:val="20"/>
                <w:color w:val="auto"/>
              </w:rPr>
            </w:pPr>
            <w:r>
              <w:rPr>
                <w:rFonts w:ascii="Arial" w:cs="Arial" w:eastAsia="Arial" w:hAnsi="Arial"/>
                <w:sz w:val="19"/>
                <w:szCs w:val="19"/>
                <w:color w:val="auto"/>
              </w:rPr>
              <w:t>609</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664</w:t>
            </w:r>
          </w:p>
        </w:tc>
        <w:tc>
          <w:tcPr>
            <w:tcW w:w="50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w:t>
            </w:r>
          </w:p>
        </w:tc>
        <w:tc>
          <w:tcPr>
            <w:tcW w:w="42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23</w:t>
            </w:r>
          </w:p>
        </w:tc>
        <w:tc>
          <w:tcPr>
            <w:tcW w:w="440" w:type="dxa"/>
            <w:vAlign w:val="bottom"/>
            <w:gridSpan w:val="2"/>
            <w:shd w:val="clear" w:color="auto" w:fill="E5FFFF"/>
          </w:tcPr>
          <w:p>
            <w:pPr>
              <w:jc w:val="center"/>
              <w:ind w:left="243"/>
              <w:spacing w:after="0"/>
              <w:rPr>
                <w:sz w:val="20"/>
                <w:szCs w:val="20"/>
                <w:color w:val="auto"/>
              </w:rPr>
            </w:pPr>
            <w:r>
              <w:rPr>
                <w:rFonts w:ascii="Arial" w:cs="Arial" w:eastAsia="Arial" w:hAnsi="Arial"/>
                <w:sz w:val="19"/>
                <w:szCs w:val="19"/>
                <w:color w:val="auto"/>
                <w:w w:val="94"/>
              </w:rPr>
              <w:t>$</w:t>
            </w:r>
          </w:p>
        </w:tc>
        <w:tc>
          <w:tcPr>
            <w:tcW w:w="1000" w:type="dxa"/>
            <w:vAlign w:val="bottom"/>
            <w:shd w:val="clear" w:color="auto" w:fill="E5FFFF"/>
          </w:tcPr>
          <w:p>
            <w:pPr>
              <w:jc w:val="right"/>
              <w:ind w:right="86"/>
              <w:spacing w:after="0"/>
              <w:rPr>
                <w:sz w:val="20"/>
                <w:szCs w:val="20"/>
                <w:color w:val="auto"/>
              </w:rPr>
            </w:pPr>
            <w:r>
              <w:rPr>
                <w:rFonts w:ascii="Arial" w:cs="Arial" w:eastAsia="Arial" w:hAnsi="Arial"/>
                <w:sz w:val="19"/>
                <w:szCs w:val="19"/>
                <w:color w:val="auto"/>
              </w:rPr>
              <w:t>124</w:t>
            </w:r>
          </w:p>
        </w:tc>
      </w:tr>
      <w:tr>
        <w:trPr>
          <w:trHeight w:val="216"/>
        </w:trPr>
        <w:tc>
          <w:tcPr>
            <w:tcW w:w="6540" w:type="dxa"/>
            <w:vAlign w:val="bottom"/>
          </w:tcPr>
          <w:p>
            <w:pPr>
              <w:spacing w:after="0" w:line="216" w:lineRule="exact"/>
              <w:rPr>
                <w:sz w:val="20"/>
                <w:szCs w:val="20"/>
                <w:color w:val="auto"/>
              </w:rPr>
            </w:pPr>
            <w:r>
              <w:rPr>
                <w:rFonts w:ascii="Arial" w:cs="Arial" w:eastAsia="Arial" w:hAnsi="Arial"/>
                <w:sz w:val="19"/>
                <w:szCs w:val="19"/>
                <w:color w:val="auto"/>
              </w:rPr>
              <w:t>Actual return on plan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3"/>
        </w:trPr>
        <w:tc>
          <w:tcPr>
            <w:tcW w:w="65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Relating to assets still held at year-end</w:t>
            </w:r>
          </w:p>
        </w:tc>
        <w:tc>
          <w:tcPr>
            <w:tcW w:w="22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67"/>
              <w:spacing w:after="0"/>
              <w:rPr>
                <w:sz w:val="20"/>
                <w:szCs w:val="20"/>
                <w:color w:val="auto"/>
              </w:rPr>
            </w:pPr>
            <w:r>
              <w:rPr>
                <w:rFonts w:ascii="Arial" w:cs="Arial" w:eastAsia="Arial" w:hAnsi="Arial"/>
                <w:sz w:val="19"/>
                <w:szCs w:val="19"/>
                <w:color w:val="auto"/>
              </w:rPr>
              <w:t>33</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2</w:t>
            </w: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2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5</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0" w:type="dxa"/>
            <w:vAlign w:val="bottom"/>
            <w:shd w:val="clear" w:color="auto" w:fill="E5FFFF"/>
          </w:tcPr>
          <w:p>
            <w:pPr>
              <w:jc w:val="right"/>
              <w:ind w:right="86"/>
              <w:spacing w:after="0"/>
              <w:rPr>
                <w:sz w:val="20"/>
                <w:szCs w:val="20"/>
                <w:color w:val="auto"/>
              </w:rPr>
            </w:pPr>
            <w:r>
              <w:rPr>
                <w:rFonts w:ascii="Arial" w:cs="Arial" w:eastAsia="Arial" w:hAnsi="Arial"/>
                <w:sz w:val="19"/>
                <w:szCs w:val="19"/>
                <w:color w:val="auto"/>
              </w:rPr>
              <w:t>26</w:t>
            </w:r>
          </w:p>
        </w:tc>
      </w:tr>
      <w:tr>
        <w:trPr>
          <w:trHeight w:val="243"/>
        </w:trPr>
        <w:tc>
          <w:tcPr>
            <w:tcW w:w="6540" w:type="dxa"/>
            <w:vAlign w:val="bottom"/>
          </w:tcPr>
          <w:p>
            <w:pPr>
              <w:ind w:left="360"/>
              <w:spacing w:after="0"/>
              <w:rPr>
                <w:sz w:val="20"/>
                <w:szCs w:val="20"/>
                <w:color w:val="auto"/>
              </w:rPr>
            </w:pPr>
            <w:r>
              <w:rPr>
                <w:rFonts w:ascii="Arial" w:cs="Arial" w:eastAsia="Arial" w:hAnsi="Arial"/>
                <w:sz w:val="19"/>
                <w:szCs w:val="19"/>
                <w:color w:val="auto"/>
              </w:rPr>
              <w:t>Relating to assets sold during the year</w:t>
            </w:r>
          </w:p>
        </w:tc>
        <w:tc>
          <w:tcPr>
            <w:tcW w:w="220" w:type="dxa"/>
            <w:vAlign w:val="bottom"/>
          </w:tcPr>
          <w:p>
            <w:pPr>
              <w:spacing w:after="0"/>
              <w:rPr>
                <w:sz w:val="21"/>
                <w:szCs w:val="21"/>
                <w:color w:val="auto"/>
              </w:rPr>
            </w:pPr>
          </w:p>
        </w:tc>
        <w:tc>
          <w:tcPr>
            <w:tcW w:w="940" w:type="dxa"/>
            <w:vAlign w:val="bottom"/>
          </w:tcPr>
          <w:p>
            <w:pPr>
              <w:jc w:val="right"/>
              <w:ind w:right="67"/>
              <w:spacing w:after="0"/>
              <w:rPr>
                <w:sz w:val="20"/>
                <w:szCs w:val="20"/>
                <w:color w:val="auto"/>
              </w:rPr>
            </w:pPr>
            <w:r>
              <w:rPr>
                <w:rFonts w:ascii="Arial" w:cs="Arial" w:eastAsia="Arial" w:hAnsi="Arial"/>
                <w:sz w:val="19"/>
                <w:szCs w:val="19"/>
                <w:color w:val="auto"/>
              </w:rPr>
              <w:t>51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45"/>
              <w:spacing w:after="0"/>
              <w:rPr>
                <w:sz w:val="20"/>
                <w:szCs w:val="20"/>
                <w:color w:val="auto"/>
              </w:rPr>
            </w:pPr>
            <w:r>
              <w:rPr>
                <w:rFonts w:ascii="Arial" w:cs="Arial" w:eastAsia="Arial" w:hAnsi="Arial"/>
                <w:sz w:val="19"/>
                <w:szCs w:val="19"/>
                <w:color w:val="auto"/>
              </w:rPr>
              <w:t>31</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86"/>
              <w:spacing w:after="0"/>
              <w:rPr>
                <w:sz w:val="20"/>
                <w:szCs w:val="20"/>
                <w:color w:val="auto"/>
              </w:rPr>
            </w:pPr>
            <w:r>
              <w:rPr>
                <w:rFonts w:ascii="Arial" w:cs="Arial" w:eastAsia="Arial" w:hAnsi="Arial"/>
                <w:sz w:val="19"/>
                <w:szCs w:val="19"/>
                <w:color w:val="auto"/>
              </w:rPr>
              <w:t>—</w:t>
            </w:r>
          </w:p>
        </w:tc>
      </w:tr>
      <w:tr>
        <w:trPr>
          <w:trHeight w:val="243"/>
        </w:trPr>
        <w:tc>
          <w:tcPr>
            <w:tcW w:w="6540" w:type="dxa"/>
            <w:vAlign w:val="bottom"/>
            <w:shd w:val="clear" w:color="auto" w:fill="E5FFFF"/>
          </w:tcPr>
          <w:p>
            <w:pPr>
              <w:spacing w:after="0"/>
              <w:rPr>
                <w:sz w:val="20"/>
                <w:szCs w:val="20"/>
                <w:color w:val="auto"/>
              </w:rPr>
            </w:pPr>
            <w:r>
              <w:rPr>
                <w:rFonts w:ascii="Arial" w:cs="Arial" w:eastAsia="Arial" w:hAnsi="Arial"/>
                <w:sz w:val="19"/>
                <w:szCs w:val="19"/>
                <w:color w:val="auto"/>
              </w:rPr>
              <w:t>Purchases</w:t>
            </w:r>
          </w:p>
        </w:tc>
        <w:tc>
          <w:tcPr>
            <w:tcW w:w="22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67"/>
              <w:spacing w:after="0"/>
              <w:rPr>
                <w:sz w:val="20"/>
                <w:szCs w:val="20"/>
                <w:color w:val="auto"/>
              </w:rPr>
            </w:pPr>
            <w:r>
              <w:rPr>
                <w:rFonts w:ascii="Arial" w:cs="Arial" w:eastAsia="Arial" w:hAnsi="Arial"/>
                <w:sz w:val="19"/>
                <w:szCs w:val="19"/>
                <w:color w:val="auto"/>
              </w:rPr>
              <w:t>148</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18</w:t>
            </w: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2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6</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0" w:type="dxa"/>
            <w:vAlign w:val="bottom"/>
            <w:shd w:val="clear" w:color="auto" w:fill="E5FFFF"/>
          </w:tcPr>
          <w:p>
            <w:pPr>
              <w:jc w:val="right"/>
              <w:ind w:right="86"/>
              <w:spacing w:after="0"/>
              <w:rPr>
                <w:sz w:val="20"/>
                <w:szCs w:val="20"/>
                <w:color w:val="auto"/>
              </w:rPr>
            </w:pPr>
            <w:r>
              <w:rPr>
                <w:rFonts w:ascii="Arial" w:cs="Arial" w:eastAsia="Arial" w:hAnsi="Arial"/>
                <w:sz w:val="19"/>
                <w:szCs w:val="19"/>
                <w:color w:val="auto"/>
              </w:rPr>
              <w:t>—</w:t>
            </w:r>
          </w:p>
        </w:tc>
      </w:tr>
      <w:tr>
        <w:trPr>
          <w:trHeight w:val="250"/>
        </w:trPr>
        <w:tc>
          <w:tcPr>
            <w:tcW w:w="6540" w:type="dxa"/>
            <w:vAlign w:val="bottom"/>
          </w:tcPr>
          <w:p>
            <w:pPr>
              <w:spacing w:after="0"/>
              <w:rPr>
                <w:sz w:val="20"/>
                <w:szCs w:val="20"/>
                <w:color w:val="auto"/>
              </w:rPr>
            </w:pPr>
            <w:r>
              <w:rPr>
                <w:rFonts w:ascii="Arial" w:cs="Arial" w:eastAsia="Arial" w:hAnsi="Arial"/>
                <w:sz w:val="19"/>
                <w:szCs w:val="19"/>
                <w:color w:val="auto"/>
              </w:rPr>
              <w:t>Sales and settlements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(89)</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(118)</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w:t>
            </w:r>
          </w:p>
        </w:tc>
      </w:tr>
      <w:tr>
        <w:trPr>
          <w:trHeight w:val="243"/>
        </w:trPr>
        <w:tc>
          <w:tcPr>
            <w:tcW w:w="654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2017</w:t>
            </w:r>
          </w:p>
        </w:tc>
        <w:tc>
          <w:tcPr>
            <w:tcW w:w="22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67"/>
              <w:spacing w:after="0"/>
              <w:rPr>
                <w:sz w:val="20"/>
                <w:szCs w:val="20"/>
                <w:color w:val="auto"/>
              </w:rPr>
            </w:pPr>
            <w:r>
              <w:rPr>
                <w:rFonts w:ascii="Arial" w:cs="Arial" w:eastAsia="Arial" w:hAnsi="Arial"/>
                <w:sz w:val="19"/>
                <w:szCs w:val="19"/>
                <w:color w:val="auto"/>
              </w:rPr>
              <w:t>752</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597</w:t>
            </w: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2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31</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0" w:type="dxa"/>
            <w:vAlign w:val="bottom"/>
            <w:shd w:val="clear" w:color="auto" w:fill="E5FFFF"/>
          </w:tcPr>
          <w:p>
            <w:pPr>
              <w:jc w:val="right"/>
              <w:ind w:right="86"/>
              <w:spacing w:after="0"/>
              <w:rPr>
                <w:sz w:val="20"/>
                <w:szCs w:val="20"/>
                <w:color w:val="auto"/>
              </w:rPr>
            </w:pPr>
            <w:r>
              <w:rPr>
                <w:rFonts w:ascii="Arial" w:cs="Arial" w:eastAsia="Arial" w:hAnsi="Arial"/>
                <w:sz w:val="19"/>
                <w:szCs w:val="19"/>
                <w:color w:val="auto"/>
              </w:rPr>
              <w:t>149</w:t>
            </w:r>
          </w:p>
        </w:tc>
      </w:tr>
      <w:tr>
        <w:trPr>
          <w:trHeight w:val="216"/>
        </w:trPr>
        <w:tc>
          <w:tcPr>
            <w:tcW w:w="6540" w:type="dxa"/>
            <w:vAlign w:val="bottom"/>
          </w:tcPr>
          <w:p>
            <w:pPr>
              <w:spacing w:after="0" w:line="216" w:lineRule="exact"/>
              <w:rPr>
                <w:sz w:val="20"/>
                <w:szCs w:val="20"/>
                <w:color w:val="auto"/>
              </w:rPr>
            </w:pPr>
            <w:r>
              <w:rPr>
                <w:rFonts w:ascii="Arial" w:cs="Arial" w:eastAsia="Arial" w:hAnsi="Arial"/>
                <w:sz w:val="19"/>
                <w:szCs w:val="19"/>
                <w:color w:val="auto"/>
              </w:rPr>
              <w:t>Actual return on plan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3"/>
        </w:trPr>
        <w:tc>
          <w:tcPr>
            <w:tcW w:w="65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Relating to assets still held at year-end</w:t>
            </w:r>
          </w:p>
        </w:tc>
        <w:tc>
          <w:tcPr>
            <w:tcW w:w="22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67"/>
              <w:spacing w:after="0"/>
              <w:rPr>
                <w:sz w:val="20"/>
                <w:szCs w:val="20"/>
                <w:color w:val="auto"/>
              </w:rPr>
            </w:pPr>
            <w:r>
              <w:rPr>
                <w:rFonts w:ascii="Arial" w:cs="Arial" w:eastAsia="Arial" w:hAnsi="Arial"/>
                <w:sz w:val="19"/>
                <w:szCs w:val="19"/>
                <w:color w:val="auto"/>
              </w:rPr>
              <w:t>36</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33</w:t>
            </w: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2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1</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(4)</w:t>
            </w:r>
          </w:p>
        </w:tc>
      </w:tr>
      <w:tr>
        <w:trPr>
          <w:trHeight w:val="243"/>
        </w:trPr>
        <w:tc>
          <w:tcPr>
            <w:tcW w:w="6540" w:type="dxa"/>
            <w:vAlign w:val="bottom"/>
          </w:tcPr>
          <w:p>
            <w:pPr>
              <w:ind w:left="360"/>
              <w:spacing w:after="0"/>
              <w:rPr>
                <w:sz w:val="20"/>
                <w:szCs w:val="20"/>
                <w:color w:val="auto"/>
              </w:rPr>
            </w:pPr>
            <w:r>
              <w:rPr>
                <w:rFonts w:ascii="Arial" w:cs="Arial" w:eastAsia="Arial" w:hAnsi="Arial"/>
                <w:sz w:val="19"/>
                <w:szCs w:val="19"/>
                <w:color w:val="auto"/>
              </w:rPr>
              <w:t>Relating to assets sold during the year</w:t>
            </w:r>
          </w:p>
        </w:tc>
        <w:tc>
          <w:tcPr>
            <w:tcW w:w="220" w:type="dxa"/>
            <w:vAlign w:val="bottom"/>
          </w:tcPr>
          <w:p>
            <w:pPr>
              <w:spacing w:after="0"/>
              <w:rPr>
                <w:sz w:val="21"/>
                <w:szCs w:val="21"/>
                <w:color w:val="auto"/>
              </w:rPr>
            </w:pPr>
          </w:p>
        </w:tc>
        <w:tc>
          <w:tcPr>
            <w:tcW w:w="940" w:type="dxa"/>
            <w:vAlign w:val="bottom"/>
          </w:tcPr>
          <w:p>
            <w:pPr>
              <w:jc w:val="right"/>
              <w:ind w:right="67"/>
              <w:spacing w:after="0"/>
              <w:rPr>
                <w:sz w:val="20"/>
                <w:szCs w:val="20"/>
                <w:color w:val="auto"/>
              </w:rPr>
            </w:pPr>
            <w:r>
              <w:rPr>
                <w:rFonts w:ascii="Arial" w:cs="Arial" w:eastAsia="Arial" w:hAnsi="Arial"/>
                <w:sz w:val="19"/>
                <w:szCs w:val="19"/>
                <w:color w:val="auto"/>
              </w:rPr>
              <w:t>65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45"/>
              <w:spacing w:after="0"/>
              <w:rPr>
                <w:sz w:val="20"/>
                <w:szCs w:val="20"/>
                <w:color w:val="auto"/>
              </w:rPr>
            </w:pPr>
            <w:r>
              <w:rPr>
                <w:rFonts w:ascii="Arial" w:cs="Arial" w:eastAsia="Arial" w:hAnsi="Arial"/>
                <w:sz w:val="19"/>
                <w:szCs w:val="19"/>
                <w:color w:val="auto"/>
              </w:rPr>
              <w:t>2</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86"/>
              <w:spacing w:after="0"/>
              <w:rPr>
                <w:sz w:val="20"/>
                <w:szCs w:val="20"/>
                <w:color w:val="auto"/>
              </w:rPr>
            </w:pPr>
            <w:r>
              <w:rPr>
                <w:rFonts w:ascii="Arial" w:cs="Arial" w:eastAsia="Arial" w:hAnsi="Arial"/>
                <w:sz w:val="19"/>
                <w:szCs w:val="19"/>
                <w:color w:val="auto"/>
              </w:rPr>
              <w:t>—</w:t>
            </w:r>
          </w:p>
        </w:tc>
      </w:tr>
      <w:tr>
        <w:trPr>
          <w:trHeight w:val="243"/>
        </w:trPr>
        <w:tc>
          <w:tcPr>
            <w:tcW w:w="6540" w:type="dxa"/>
            <w:vAlign w:val="bottom"/>
            <w:shd w:val="clear" w:color="auto" w:fill="E5FFFF"/>
          </w:tcPr>
          <w:p>
            <w:pPr>
              <w:spacing w:after="0"/>
              <w:rPr>
                <w:sz w:val="20"/>
                <w:szCs w:val="20"/>
                <w:color w:val="auto"/>
              </w:rPr>
            </w:pPr>
            <w:r>
              <w:rPr>
                <w:rFonts w:ascii="Arial" w:cs="Arial" w:eastAsia="Arial" w:hAnsi="Arial"/>
                <w:sz w:val="19"/>
                <w:szCs w:val="19"/>
                <w:color w:val="auto"/>
              </w:rPr>
              <w:t>Purchases</w:t>
            </w:r>
          </w:p>
        </w:tc>
        <w:tc>
          <w:tcPr>
            <w:tcW w:w="22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67"/>
              <w:spacing w:after="0"/>
              <w:rPr>
                <w:sz w:val="20"/>
                <w:szCs w:val="20"/>
                <w:color w:val="auto"/>
              </w:rPr>
            </w:pPr>
            <w:r>
              <w:rPr>
                <w:rFonts w:ascii="Arial" w:cs="Arial" w:eastAsia="Arial" w:hAnsi="Arial"/>
                <w:sz w:val="19"/>
                <w:szCs w:val="19"/>
                <w:color w:val="auto"/>
              </w:rPr>
              <w:t>95</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47</w:t>
            </w: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2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2</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0" w:type="dxa"/>
            <w:vAlign w:val="bottom"/>
            <w:shd w:val="clear" w:color="auto" w:fill="E5FFFF"/>
          </w:tcPr>
          <w:p>
            <w:pPr>
              <w:jc w:val="right"/>
              <w:ind w:right="86"/>
              <w:spacing w:after="0"/>
              <w:rPr>
                <w:sz w:val="20"/>
                <w:szCs w:val="20"/>
                <w:color w:val="auto"/>
              </w:rPr>
            </w:pPr>
            <w:r>
              <w:rPr>
                <w:rFonts w:ascii="Arial" w:cs="Arial" w:eastAsia="Arial" w:hAnsi="Arial"/>
                <w:sz w:val="19"/>
                <w:szCs w:val="19"/>
                <w:color w:val="auto"/>
              </w:rPr>
              <w:t>—</w:t>
            </w:r>
          </w:p>
        </w:tc>
      </w:tr>
      <w:tr>
        <w:trPr>
          <w:trHeight w:val="250"/>
        </w:trPr>
        <w:tc>
          <w:tcPr>
            <w:tcW w:w="6540" w:type="dxa"/>
            <w:vAlign w:val="bottom"/>
          </w:tcPr>
          <w:p>
            <w:pPr>
              <w:spacing w:after="0"/>
              <w:rPr>
                <w:sz w:val="20"/>
                <w:szCs w:val="20"/>
                <w:color w:val="auto"/>
              </w:rPr>
            </w:pPr>
            <w:r>
              <w:rPr>
                <w:rFonts w:ascii="Arial" w:cs="Arial" w:eastAsia="Arial" w:hAnsi="Arial"/>
                <w:sz w:val="19"/>
                <w:szCs w:val="19"/>
                <w:color w:val="auto"/>
              </w:rPr>
              <w:t>Sales and settlements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(119)</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w:t>
            </w:r>
          </w:p>
        </w:tc>
      </w:tr>
      <w:tr>
        <w:trPr>
          <w:trHeight w:val="243"/>
        </w:trPr>
        <w:tc>
          <w:tcPr>
            <w:tcW w:w="654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2018</w:t>
            </w:r>
          </w:p>
        </w:tc>
        <w:tc>
          <w:tcPr>
            <w:tcW w:w="22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w w:val="94"/>
              </w:rPr>
              <w:t>$</w:t>
            </w:r>
          </w:p>
        </w:tc>
        <w:tc>
          <w:tcPr>
            <w:tcW w:w="940" w:type="dxa"/>
            <w:vAlign w:val="bottom"/>
            <w:shd w:val="clear" w:color="auto" w:fill="E5FFFF"/>
          </w:tcPr>
          <w:p>
            <w:pPr>
              <w:jc w:val="right"/>
              <w:ind w:right="67"/>
              <w:spacing w:after="0"/>
              <w:rPr>
                <w:sz w:val="20"/>
                <w:szCs w:val="20"/>
                <w:color w:val="auto"/>
              </w:rPr>
            </w:pPr>
            <w:r>
              <w:rPr>
                <w:rFonts w:ascii="Arial" w:cs="Arial" w:eastAsia="Arial" w:hAnsi="Arial"/>
                <w:sz w:val="19"/>
                <w:szCs w:val="19"/>
                <w:color w:val="auto"/>
              </w:rPr>
              <w:t>829</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657</w:t>
            </w:r>
          </w:p>
        </w:tc>
        <w:tc>
          <w:tcPr>
            <w:tcW w:w="50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w:t>
            </w:r>
          </w:p>
        </w:tc>
        <w:tc>
          <w:tcPr>
            <w:tcW w:w="42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34</w:t>
            </w:r>
          </w:p>
        </w:tc>
        <w:tc>
          <w:tcPr>
            <w:tcW w:w="440" w:type="dxa"/>
            <w:vAlign w:val="bottom"/>
            <w:gridSpan w:val="2"/>
            <w:shd w:val="clear" w:color="auto" w:fill="E5FFFF"/>
          </w:tcPr>
          <w:p>
            <w:pPr>
              <w:jc w:val="center"/>
              <w:ind w:left="243"/>
              <w:spacing w:after="0"/>
              <w:rPr>
                <w:sz w:val="20"/>
                <w:szCs w:val="20"/>
                <w:color w:val="auto"/>
              </w:rPr>
            </w:pPr>
            <w:r>
              <w:rPr>
                <w:rFonts w:ascii="Arial" w:cs="Arial" w:eastAsia="Arial" w:hAnsi="Arial"/>
                <w:sz w:val="19"/>
                <w:szCs w:val="19"/>
                <w:color w:val="auto"/>
                <w:w w:val="94"/>
              </w:rPr>
              <w:t>$</w:t>
            </w:r>
          </w:p>
        </w:tc>
        <w:tc>
          <w:tcPr>
            <w:tcW w:w="1000" w:type="dxa"/>
            <w:vAlign w:val="bottom"/>
            <w:shd w:val="clear" w:color="auto" w:fill="E5FFFF"/>
          </w:tcPr>
          <w:p>
            <w:pPr>
              <w:jc w:val="right"/>
              <w:ind w:right="86"/>
              <w:spacing w:after="0"/>
              <w:rPr>
                <w:sz w:val="20"/>
                <w:szCs w:val="20"/>
                <w:color w:val="auto"/>
              </w:rPr>
            </w:pPr>
            <w:r>
              <w:rPr>
                <w:rFonts w:ascii="Arial" w:cs="Arial" w:eastAsia="Arial" w:hAnsi="Arial"/>
                <w:sz w:val="19"/>
                <w:szCs w:val="19"/>
                <w:color w:val="auto"/>
              </w:rPr>
              <w:t>144</w:t>
            </w:r>
          </w:p>
        </w:tc>
      </w:tr>
      <w:tr>
        <w:trPr>
          <w:trHeight w:val="20"/>
        </w:trPr>
        <w:tc>
          <w:tcPr>
            <w:tcW w:w="6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The Company enters into futures contracts to gain exposure to certain markets. Sufficient cash or cash equivalents are held by our pension plans to cover the notional value of the futures contracts. At December 31, 2018 and 2017, our U.S. plans had contracts with notional amounts of $2,808 million and $4,188 million. At December 31, 2018 and 2017, our non-U.S. plans had contracts with notional amounts of $111 million and $ 133 million. In both our U.S. and non-U.S. pension plans, the notional derivative exposure is related to outstanding equity and fixed income futures contracts.</w:t>
      </w:r>
    </w:p>
    <w:p>
      <w:pPr>
        <w:spacing w:after="0" w:line="91"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Common stocks, preferred stocks, real estate investment trusts, and short-term investments are valued at the closing price reported in the active market in which the individual securities are traded. Corporate bonds, mortgages, asset-backed securities, and government securities are valued either by using pricing models, bids provided by brokers or dealers, quoted prices of securities with similar characteristics or discounted cash flows and as such include adjustments for certain risks that may not be observable such as credit and liquidity risks. Certain securities are held in collective trust funds which are valued using net asset values provided by the administrators of the funds. Investments in private equity, debt, real estate and hedge funds and direct private investments are valued at estimated fair value based on quarterly financial information received from the investment advisor and/or general partner. Investments in real estate properties are valued on a quarterly basis using the income approach. Valuation estimates are periodically supplemented by third party appraisals.</w:t>
      </w:r>
    </w:p>
    <w:p>
      <w:pPr>
        <w:spacing w:after="0" w:line="95" w:lineRule="exact"/>
        <w:rPr>
          <w:sz w:val="20"/>
          <w:szCs w:val="20"/>
          <w:color w:val="auto"/>
        </w:rPr>
      </w:pPr>
    </w:p>
    <w:p>
      <w:pPr>
        <w:ind w:right="120" w:firstLine="357"/>
        <w:spacing w:after="0"/>
        <w:rPr>
          <w:sz w:val="20"/>
          <w:szCs w:val="20"/>
          <w:color w:val="auto"/>
        </w:rPr>
      </w:pPr>
      <w:r>
        <w:rPr>
          <w:rFonts w:ascii="Arial" w:cs="Arial" w:eastAsia="Arial" w:hAnsi="Arial"/>
          <w:sz w:val="19"/>
          <w:szCs w:val="19"/>
          <w:color w:val="auto"/>
        </w:rPr>
        <w:t>Our funding policy for qualified defined benefit pension plans is to contribute amounts at least sufficient to satisfy regulatory funding standards. In 2018, 2017, and 2016, we were not required to make contributions to our U.S. pension plans and no contributions were made. We are not required to make any contributions to our U.S. pension plans in 2019. In 2018, contributions of $115 million were made to our non-U.S. pension plans to satisfy regulatory funding requirements. In 2019, we expect to make contributions of cash and/or marketable securities of approximately $42 million to our non-U.S. pension plans to satisfy regulatory funding standards. Contributions for both our U.S. and non-U.S. pension plans do not reflect benefits paid directly from Company assets.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260" w:firstLine="357"/>
        <w:spacing w:after="0" w:line="246" w:lineRule="auto"/>
        <w:rPr>
          <w:sz w:val="20"/>
          <w:szCs w:val="20"/>
          <w:color w:val="auto"/>
        </w:rPr>
      </w:pPr>
      <w:r>
        <w:rPr>
          <w:rFonts w:ascii="Arial" w:cs="Arial" w:eastAsia="Arial" w:hAnsi="Arial"/>
          <w:sz w:val="19"/>
          <w:szCs w:val="19"/>
          <w:color w:val="auto"/>
        </w:rPr>
        <w:t>Benefit payments, including amounts to be paid from Company assets, and reflecting expected future service, as appropriate, are expected to be paid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rPr>
              <w:t>U.S. Plans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Non-U.S. Plans</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9"/>
                <w:szCs w:val="19"/>
                <w:color w:val="auto"/>
              </w:rPr>
              <w:t>2019</w:t>
            </w: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1,177</w:t>
            </w:r>
          </w:p>
        </w:tc>
        <w:tc>
          <w:tcPr>
            <w:tcW w:w="740" w:type="dxa"/>
            <w:vAlign w:val="bottom"/>
            <w:gridSpan w:val="3"/>
            <w:shd w:val="clear" w:color="auto" w:fill="E5FFFF"/>
          </w:tcPr>
          <w:p>
            <w:pPr>
              <w:jc w:val="right"/>
              <w:ind w:right="241"/>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254</w:t>
            </w:r>
          </w:p>
        </w:tc>
        <w:tc>
          <w:tcPr>
            <w:tcW w:w="0" w:type="dxa"/>
            <w:vAlign w:val="bottom"/>
          </w:tcPr>
          <w:p>
            <w:pPr>
              <w:spacing w:after="0"/>
              <w:rPr>
                <w:sz w:val="1"/>
                <w:szCs w:val="1"/>
                <w:color w:val="auto"/>
              </w:rPr>
            </w:pPr>
          </w:p>
        </w:tc>
      </w:tr>
      <w:tr>
        <w:trPr>
          <w:trHeight w:val="243"/>
        </w:trPr>
        <w:tc>
          <w:tcPr>
            <w:tcW w:w="8200" w:type="dxa"/>
            <w:vAlign w:val="bottom"/>
            <w:gridSpan w:val="2"/>
          </w:tcPr>
          <w:p>
            <w:pPr>
              <w:ind w:left="500"/>
              <w:spacing w:after="0"/>
              <w:rPr>
                <w:sz w:val="20"/>
                <w:szCs w:val="20"/>
                <w:color w:val="auto"/>
              </w:rPr>
            </w:pPr>
            <w:r>
              <w:rPr>
                <w:rFonts w:ascii="Arial" w:cs="Arial" w:eastAsia="Arial" w:hAnsi="Arial"/>
                <w:sz w:val="19"/>
                <w:szCs w:val="19"/>
                <w:color w:val="auto"/>
              </w:rPr>
              <w:t>2020</w:t>
            </w:r>
          </w:p>
        </w:tc>
        <w:tc>
          <w:tcPr>
            <w:tcW w:w="960" w:type="dxa"/>
            <w:vAlign w:val="bottom"/>
          </w:tcPr>
          <w:p>
            <w:pPr>
              <w:jc w:val="right"/>
              <w:spacing w:after="0"/>
              <w:rPr>
                <w:sz w:val="20"/>
                <w:szCs w:val="20"/>
                <w:color w:val="auto"/>
              </w:rPr>
            </w:pPr>
            <w:r>
              <w:rPr>
                <w:rFonts w:ascii="Arial" w:cs="Arial" w:eastAsia="Arial" w:hAnsi="Arial"/>
                <w:sz w:val="19"/>
                <w:szCs w:val="19"/>
                <w:color w:val="auto"/>
              </w:rPr>
              <w:t>1,171</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9"/>
                <w:szCs w:val="19"/>
                <w:color w:val="auto"/>
              </w:rPr>
              <w:t>259</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9"/>
                <w:szCs w:val="19"/>
                <w:color w:val="auto"/>
              </w:rPr>
              <w:t>2021</w:t>
            </w: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1,167</w:t>
            </w: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00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266</w:t>
            </w:r>
          </w:p>
        </w:tc>
        <w:tc>
          <w:tcPr>
            <w:tcW w:w="0" w:type="dxa"/>
            <w:vAlign w:val="bottom"/>
          </w:tcPr>
          <w:p>
            <w:pPr>
              <w:spacing w:after="0"/>
              <w:rPr>
                <w:sz w:val="1"/>
                <w:szCs w:val="1"/>
                <w:color w:val="auto"/>
              </w:rPr>
            </w:pPr>
          </w:p>
        </w:tc>
      </w:tr>
      <w:tr>
        <w:trPr>
          <w:trHeight w:val="243"/>
        </w:trPr>
        <w:tc>
          <w:tcPr>
            <w:tcW w:w="8200" w:type="dxa"/>
            <w:vAlign w:val="bottom"/>
            <w:gridSpan w:val="2"/>
          </w:tcPr>
          <w:p>
            <w:pPr>
              <w:ind w:left="500"/>
              <w:spacing w:after="0"/>
              <w:rPr>
                <w:sz w:val="20"/>
                <w:szCs w:val="20"/>
                <w:color w:val="auto"/>
              </w:rPr>
            </w:pPr>
            <w:r>
              <w:rPr>
                <w:rFonts w:ascii="Arial" w:cs="Arial" w:eastAsia="Arial" w:hAnsi="Arial"/>
                <w:sz w:val="19"/>
                <w:szCs w:val="19"/>
                <w:color w:val="auto"/>
              </w:rPr>
              <w:t>2022</w:t>
            </w:r>
          </w:p>
        </w:tc>
        <w:tc>
          <w:tcPr>
            <w:tcW w:w="960" w:type="dxa"/>
            <w:vAlign w:val="bottom"/>
          </w:tcPr>
          <w:p>
            <w:pPr>
              <w:jc w:val="right"/>
              <w:spacing w:after="0"/>
              <w:rPr>
                <w:sz w:val="20"/>
                <w:szCs w:val="20"/>
                <w:color w:val="auto"/>
              </w:rPr>
            </w:pPr>
            <w:r>
              <w:rPr>
                <w:rFonts w:ascii="Arial" w:cs="Arial" w:eastAsia="Arial" w:hAnsi="Arial"/>
                <w:sz w:val="19"/>
                <w:szCs w:val="19"/>
                <w:color w:val="auto"/>
              </w:rPr>
              <w:t>1,163</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9"/>
                <w:szCs w:val="19"/>
                <w:color w:val="auto"/>
              </w:rPr>
              <w:t>273</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9"/>
                <w:szCs w:val="19"/>
                <w:color w:val="auto"/>
              </w:rPr>
              <w:t>2023</w:t>
            </w: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1,160</w:t>
            </w: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00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280</w:t>
            </w:r>
          </w:p>
        </w:tc>
        <w:tc>
          <w:tcPr>
            <w:tcW w:w="0" w:type="dxa"/>
            <w:vAlign w:val="bottom"/>
          </w:tcPr>
          <w:p>
            <w:pPr>
              <w:spacing w:after="0"/>
              <w:rPr>
                <w:sz w:val="1"/>
                <w:szCs w:val="1"/>
                <w:color w:val="auto"/>
              </w:rPr>
            </w:pPr>
          </w:p>
        </w:tc>
      </w:tr>
      <w:tr>
        <w:trPr>
          <w:trHeight w:val="261"/>
        </w:trPr>
        <w:tc>
          <w:tcPr>
            <w:tcW w:w="8200" w:type="dxa"/>
            <w:vAlign w:val="bottom"/>
            <w:gridSpan w:val="2"/>
          </w:tcPr>
          <w:p>
            <w:pPr>
              <w:ind w:left="500"/>
              <w:spacing w:after="0"/>
              <w:rPr>
                <w:sz w:val="20"/>
                <w:szCs w:val="20"/>
                <w:color w:val="auto"/>
              </w:rPr>
            </w:pPr>
            <w:r>
              <w:rPr>
                <w:rFonts w:ascii="Arial" w:cs="Arial" w:eastAsia="Arial" w:hAnsi="Arial"/>
                <w:sz w:val="19"/>
                <w:szCs w:val="19"/>
                <w:color w:val="auto"/>
              </w:rPr>
              <w:t>2024-2028</w:t>
            </w:r>
          </w:p>
        </w:tc>
        <w:tc>
          <w:tcPr>
            <w:tcW w:w="960" w:type="dxa"/>
            <w:vAlign w:val="bottom"/>
          </w:tcPr>
          <w:p>
            <w:pPr>
              <w:jc w:val="right"/>
              <w:spacing w:after="0"/>
              <w:rPr>
                <w:sz w:val="20"/>
                <w:szCs w:val="20"/>
                <w:color w:val="auto"/>
              </w:rPr>
            </w:pPr>
            <w:r>
              <w:rPr>
                <w:rFonts w:ascii="Arial" w:cs="Arial" w:eastAsia="Arial" w:hAnsi="Arial"/>
                <w:sz w:val="19"/>
                <w:szCs w:val="19"/>
                <w:color w:val="auto"/>
              </w:rPr>
              <w:t>5,564</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9"/>
                <w:szCs w:val="19"/>
                <w:color w:val="auto"/>
              </w:rPr>
              <w:t>1,519</w:t>
            </w:r>
          </w:p>
        </w:tc>
        <w:tc>
          <w:tcPr>
            <w:tcW w:w="0" w:type="dxa"/>
            <w:vAlign w:val="bottom"/>
          </w:tcPr>
          <w:p>
            <w:pPr>
              <w:spacing w:after="0"/>
              <w:rPr>
                <w:sz w:val="1"/>
                <w:szCs w:val="1"/>
                <w:color w:val="auto"/>
              </w:rPr>
            </w:pPr>
          </w:p>
        </w:tc>
      </w:tr>
      <w:tr>
        <w:trPr>
          <w:trHeight w:val="540"/>
        </w:trPr>
        <w:tc>
          <w:tcPr>
            <w:tcW w:w="8200" w:type="dxa"/>
            <w:vAlign w:val="bottom"/>
            <w:gridSpan w:val="2"/>
          </w:tcPr>
          <w:p>
            <w:pPr>
              <w:spacing w:after="0"/>
              <w:rPr>
                <w:sz w:val="20"/>
                <w:szCs w:val="20"/>
                <w:color w:val="auto"/>
              </w:rPr>
            </w:pPr>
            <w:r>
              <w:rPr>
                <w:rFonts w:ascii="Arial" w:cs="Arial" w:eastAsia="Arial" w:hAnsi="Arial"/>
                <w:sz w:val="19"/>
                <w:szCs w:val="19"/>
                <w:b w:val="1"/>
                <w:bCs w:val="1"/>
                <w:color w:val="auto"/>
              </w:rPr>
              <w:t>Other Postretirement Benefits</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vMerge w:val="restart"/>
          </w:tcPr>
          <w:p>
            <w:pPr>
              <w:jc w:val="right"/>
              <w:ind w:right="3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right"/>
              <w:ind w:right="101"/>
              <w:spacing w:after="0" w:line="169" w:lineRule="exact"/>
              <w:rPr>
                <w:sz w:val="20"/>
                <w:szCs w:val="20"/>
                <w:color w:val="auto"/>
              </w:rPr>
            </w:pPr>
            <w:r>
              <w:rPr>
                <w:rFonts w:ascii="Arial" w:cs="Arial" w:eastAsia="Arial" w:hAnsi="Arial"/>
                <w:sz w:val="16"/>
                <w:szCs w:val="16"/>
                <w:b w:val="1"/>
                <w:bCs w:val="1"/>
                <w:color w:val="auto"/>
              </w:rPr>
              <w:t>2018</w:t>
            </w:r>
          </w:p>
        </w:tc>
        <w:tc>
          <w:tcPr>
            <w:tcW w:w="1000" w:type="dxa"/>
            <w:vAlign w:val="bottom"/>
            <w:gridSpan w:val="2"/>
          </w:tcPr>
          <w:p>
            <w:pPr>
              <w:jc w:val="right"/>
              <w:ind w:right="180"/>
              <w:spacing w:after="0" w:line="169" w:lineRule="exact"/>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770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Assumed health care cost trend rate:</w:t>
            </w:r>
          </w:p>
        </w:tc>
        <w:tc>
          <w:tcPr>
            <w:tcW w:w="9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auto"/>
            </w:tcBorders>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700" w:type="dxa"/>
            <w:vAlign w:val="bottom"/>
          </w:tcPr>
          <w:p>
            <w:pPr>
              <w:ind w:left="360"/>
              <w:spacing w:after="0"/>
              <w:rPr>
                <w:sz w:val="20"/>
                <w:szCs w:val="20"/>
                <w:color w:val="auto"/>
              </w:rPr>
            </w:pPr>
            <w:r>
              <w:rPr>
                <w:rFonts w:ascii="Arial" w:cs="Arial" w:eastAsia="Arial" w:hAnsi="Arial"/>
                <w:sz w:val="19"/>
                <w:szCs w:val="19"/>
                <w:color w:val="auto"/>
              </w:rPr>
              <w:t>Health care cost trend rate assumed for next year</w:t>
            </w:r>
          </w:p>
        </w:tc>
        <w:tc>
          <w:tcPr>
            <w:tcW w:w="9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7.00%</w:t>
            </w:r>
          </w:p>
        </w:tc>
        <w:tc>
          <w:tcPr>
            <w:tcW w:w="1000" w:type="dxa"/>
            <w:vAlign w:val="bottom"/>
            <w:gridSpan w:val="2"/>
          </w:tcPr>
          <w:p>
            <w:pPr>
              <w:jc w:val="right"/>
              <w:ind w:right="20"/>
              <w:spacing w:after="0"/>
              <w:rPr>
                <w:sz w:val="20"/>
                <w:szCs w:val="20"/>
                <w:color w:val="auto"/>
              </w:rPr>
            </w:pPr>
            <w:r>
              <w:rPr>
                <w:rFonts w:ascii="Arial" w:cs="Arial" w:eastAsia="Arial" w:hAnsi="Arial"/>
                <w:sz w:val="19"/>
                <w:szCs w:val="19"/>
                <w:color w:val="auto"/>
              </w:rPr>
              <w:t>6.50%</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7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Rate that the cost trend rate gradually declines to</w:t>
            </w:r>
          </w:p>
        </w:tc>
        <w:tc>
          <w:tcPr>
            <w:tcW w:w="96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5.00%</w:t>
            </w:r>
          </w:p>
        </w:tc>
        <w:tc>
          <w:tcPr>
            <w:tcW w:w="10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5.00%</w:t>
            </w:r>
          </w:p>
        </w:tc>
        <w:tc>
          <w:tcPr>
            <w:tcW w:w="0" w:type="dxa"/>
            <w:vAlign w:val="bottom"/>
          </w:tcPr>
          <w:p>
            <w:pPr>
              <w:spacing w:after="0"/>
              <w:rPr>
                <w:sz w:val="1"/>
                <w:szCs w:val="1"/>
                <w:color w:val="auto"/>
              </w:rPr>
            </w:pPr>
          </w:p>
        </w:tc>
      </w:tr>
      <w:tr>
        <w:trPr>
          <w:trHeight w:val="261"/>
        </w:trPr>
        <w:tc>
          <w:tcPr>
            <w:tcW w:w="500" w:type="dxa"/>
            <w:vAlign w:val="bottom"/>
          </w:tcPr>
          <w:p>
            <w:pPr>
              <w:spacing w:after="0"/>
              <w:rPr>
                <w:sz w:val="22"/>
                <w:szCs w:val="22"/>
                <w:color w:val="auto"/>
              </w:rPr>
            </w:pPr>
          </w:p>
        </w:tc>
        <w:tc>
          <w:tcPr>
            <w:tcW w:w="7700" w:type="dxa"/>
            <w:vAlign w:val="bottom"/>
          </w:tcPr>
          <w:p>
            <w:pPr>
              <w:ind w:left="360"/>
              <w:spacing w:after="0"/>
              <w:rPr>
                <w:sz w:val="20"/>
                <w:szCs w:val="20"/>
                <w:color w:val="auto"/>
              </w:rPr>
            </w:pPr>
            <w:r>
              <w:rPr>
                <w:rFonts w:ascii="Arial" w:cs="Arial" w:eastAsia="Arial" w:hAnsi="Arial"/>
                <w:sz w:val="19"/>
                <w:szCs w:val="19"/>
                <w:color w:val="auto"/>
              </w:rPr>
              <w:t>Year that the rate reaches the rate it is assumed to remain at</w:t>
            </w:r>
          </w:p>
        </w:tc>
        <w:tc>
          <w:tcPr>
            <w:tcW w:w="960" w:type="dxa"/>
            <w:vAlign w:val="bottom"/>
          </w:tcPr>
          <w:p>
            <w:pPr>
              <w:spacing w:after="0"/>
              <w:rPr>
                <w:sz w:val="22"/>
                <w:szCs w:val="22"/>
                <w:color w:val="auto"/>
              </w:rPr>
            </w:pPr>
          </w:p>
        </w:tc>
        <w:tc>
          <w:tcPr>
            <w:tcW w:w="740" w:type="dxa"/>
            <w:vAlign w:val="bottom"/>
            <w:gridSpan w:val="3"/>
          </w:tcPr>
          <w:p>
            <w:pPr>
              <w:jc w:val="right"/>
              <w:ind w:right="121"/>
              <w:spacing w:after="0"/>
              <w:rPr>
                <w:sz w:val="20"/>
                <w:szCs w:val="20"/>
                <w:color w:val="auto"/>
              </w:rPr>
            </w:pPr>
            <w:r>
              <w:rPr>
                <w:rFonts w:ascii="Arial" w:cs="Arial" w:eastAsia="Arial" w:hAnsi="Arial"/>
                <w:sz w:val="19"/>
                <w:szCs w:val="19"/>
                <w:color w:val="auto"/>
              </w:rPr>
              <w:t>2029</w:t>
            </w:r>
          </w:p>
        </w:tc>
        <w:tc>
          <w:tcPr>
            <w:tcW w:w="1000" w:type="dxa"/>
            <w:vAlign w:val="bottom"/>
            <w:gridSpan w:val="2"/>
          </w:tcPr>
          <w:p>
            <w:pPr>
              <w:jc w:val="right"/>
              <w:ind w:right="200"/>
              <w:spacing w:after="0"/>
              <w:rPr>
                <w:sz w:val="20"/>
                <w:szCs w:val="20"/>
                <w:color w:val="auto"/>
              </w:rPr>
            </w:pPr>
            <w:r>
              <w:rPr>
                <w:rFonts w:ascii="Arial" w:cs="Arial" w:eastAsia="Arial" w:hAnsi="Arial"/>
                <w:sz w:val="19"/>
                <w:szCs w:val="19"/>
                <w:color w:val="auto"/>
              </w:rPr>
              <w:t>2023</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40" w:firstLine="357"/>
        <w:spacing w:after="0" w:line="246" w:lineRule="auto"/>
        <w:rPr>
          <w:sz w:val="20"/>
          <w:szCs w:val="20"/>
          <w:color w:val="auto"/>
        </w:rPr>
      </w:pPr>
      <w:r>
        <w:rPr>
          <w:rFonts w:ascii="Arial" w:cs="Arial" w:eastAsia="Arial" w:hAnsi="Arial"/>
          <w:sz w:val="19"/>
          <w:szCs w:val="19"/>
          <w:color w:val="auto"/>
        </w:rPr>
        <w:t>The assumed health care cost trend rate has a significant effect on the amounts reported. A one-percentage-point change in the assumed health care cost trend rate would have the following effects:</w:t>
      </w:r>
    </w:p>
    <w:p>
      <w:pPr>
        <w:spacing w:after="0" w:line="2"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auto"/>
        </w:rPr>
        <w:t>1 percentage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635</wp:posOffset>
            </wp:positionV>
            <wp:extent cx="12350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9020"/>
        <w:spacing w:after="0"/>
        <w:tabs>
          <w:tab w:leader="none" w:pos="10100" w:val="left"/>
        </w:tabs>
        <w:rPr>
          <w:sz w:val="20"/>
          <w:szCs w:val="20"/>
          <w:color w:val="auto"/>
        </w:rPr>
      </w:pPr>
      <w:r>
        <w:rPr>
          <w:rFonts w:ascii="Arial" w:cs="Arial" w:eastAsia="Arial" w:hAnsi="Arial"/>
          <w:sz w:val="16"/>
          <w:szCs w:val="16"/>
          <w:b w:val="1"/>
          <w:bCs w:val="1"/>
          <w:color w:val="auto"/>
        </w:rPr>
        <w:t>Increase</w:t>
      </w:r>
      <w:r>
        <w:rPr>
          <w:sz w:val="20"/>
          <w:szCs w:val="20"/>
          <w:color w:val="auto"/>
        </w:rPr>
        <w:tab/>
      </w:r>
      <w:r>
        <w:rPr>
          <w:rFonts w:ascii="Arial" w:cs="Arial" w:eastAsia="Arial" w:hAnsi="Arial"/>
          <w:sz w:val="16"/>
          <w:szCs w:val="16"/>
          <w:b w:val="1"/>
          <w:bCs w:val="1"/>
          <w:color w:val="auto"/>
        </w:rPr>
        <w:t>Decrease</w:t>
      </w:r>
    </w:p>
    <w:tbl>
      <w:tblPr>
        <w:tblLayout w:type="fixed"/>
        <w:tblInd w:w="500" w:type="dxa"/>
        <w:tblCellMar>
          <w:top w:w="0" w:type="dxa"/>
          <w:left w:w="0" w:type="dxa"/>
          <w:bottom w:w="0" w:type="dxa"/>
          <w:right w:w="0" w:type="dxa"/>
        </w:tblCellMar>
      </w:tblPr>
      <w:tr>
        <w:trPr>
          <w:trHeight w:val="237"/>
        </w:trPr>
        <w:tc>
          <w:tcPr>
            <w:tcW w:w="8460" w:type="dxa"/>
            <w:vAlign w:val="bottom"/>
            <w:shd w:val="clear" w:color="auto" w:fill="E5FFFF"/>
          </w:tcPr>
          <w:p>
            <w:pPr>
              <w:spacing w:after="0"/>
              <w:rPr>
                <w:sz w:val="20"/>
                <w:szCs w:val="20"/>
                <w:color w:val="auto"/>
              </w:rPr>
            </w:pPr>
            <w:r>
              <w:rPr>
                <w:rFonts w:ascii="Arial" w:cs="Arial" w:eastAsia="Arial" w:hAnsi="Arial"/>
                <w:sz w:val="19"/>
                <w:szCs w:val="19"/>
                <w:color w:val="auto"/>
              </w:rPr>
              <w:t>Effect on total of service and interest cost components</w:t>
            </w:r>
          </w:p>
        </w:tc>
        <w:tc>
          <w:tcPr>
            <w:tcW w:w="280" w:type="dxa"/>
            <w:vAlign w:val="bottom"/>
            <w:tcBorders>
              <w:top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w w:val="94"/>
              </w:rPr>
              <w:t>$</w:t>
            </w:r>
          </w:p>
        </w:tc>
        <w:tc>
          <w:tcPr>
            <w:tcW w:w="480" w:type="dxa"/>
            <w:vAlign w:val="bottom"/>
            <w:tcBorders>
              <w:top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1</w:t>
            </w:r>
          </w:p>
        </w:tc>
        <w:tc>
          <w:tcPr>
            <w:tcW w:w="300" w:type="dxa"/>
            <w:vAlign w:val="bottom"/>
            <w:shd w:val="clear" w:color="auto" w:fill="E5FFFF"/>
          </w:tcPr>
          <w:p>
            <w:pPr>
              <w:spacing w:after="0"/>
              <w:rPr>
                <w:sz w:val="20"/>
                <w:szCs w:val="20"/>
                <w:color w:val="auto"/>
              </w:rPr>
            </w:pPr>
          </w:p>
        </w:tc>
        <w:tc>
          <w:tcPr>
            <w:tcW w:w="280" w:type="dxa"/>
            <w:vAlign w:val="bottom"/>
            <w:tcBorders>
              <w:top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w w:val="94"/>
              </w:rPr>
              <w:t>$</w:t>
            </w:r>
          </w:p>
        </w:tc>
        <w:tc>
          <w:tcPr>
            <w:tcW w:w="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w:t>
            </w:r>
          </w:p>
        </w:tc>
      </w:tr>
      <w:tr>
        <w:trPr>
          <w:trHeight w:val="261"/>
        </w:trPr>
        <w:tc>
          <w:tcPr>
            <w:tcW w:w="8460" w:type="dxa"/>
            <w:vAlign w:val="bottom"/>
          </w:tcPr>
          <w:p>
            <w:pPr>
              <w:spacing w:after="0"/>
              <w:rPr>
                <w:sz w:val="20"/>
                <w:szCs w:val="20"/>
                <w:color w:val="auto"/>
              </w:rPr>
            </w:pPr>
            <w:r>
              <w:rPr>
                <w:rFonts w:ascii="Arial" w:cs="Arial" w:eastAsia="Arial" w:hAnsi="Arial"/>
                <w:sz w:val="19"/>
                <w:szCs w:val="19"/>
                <w:color w:val="auto"/>
              </w:rPr>
              <w:t>Effect on postretirement benefit obligation</w:t>
            </w:r>
          </w:p>
        </w:tc>
        <w:tc>
          <w:tcPr>
            <w:tcW w:w="280" w:type="dxa"/>
            <w:vAlign w:val="bottom"/>
          </w:tcPr>
          <w:p>
            <w:pPr>
              <w:jc w:val="right"/>
              <w:ind w:right="63"/>
              <w:spacing w:after="0"/>
              <w:rPr>
                <w:sz w:val="20"/>
                <w:szCs w:val="20"/>
                <w:color w:val="auto"/>
              </w:rPr>
            </w:pPr>
            <w:r>
              <w:rPr>
                <w:rFonts w:ascii="Arial" w:cs="Arial" w:eastAsia="Arial" w:hAnsi="Arial"/>
                <w:sz w:val="19"/>
                <w:szCs w:val="19"/>
                <w:color w:val="auto"/>
                <w:w w:val="94"/>
              </w:rPr>
              <w:t>$</w:t>
            </w:r>
          </w:p>
        </w:tc>
        <w:tc>
          <w:tcPr>
            <w:tcW w:w="480" w:type="dxa"/>
            <w:vAlign w:val="bottom"/>
          </w:tcPr>
          <w:p>
            <w:pPr>
              <w:jc w:val="right"/>
              <w:ind w:right="3"/>
              <w:spacing w:after="0"/>
              <w:rPr>
                <w:sz w:val="20"/>
                <w:szCs w:val="20"/>
                <w:color w:val="auto"/>
              </w:rPr>
            </w:pPr>
            <w:r>
              <w:rPr>
                <w:rFonts w:ascii="Arial" w:cs="Arial" w:eastAsia="Arial" w:hAnsi="Arial"/>
                <w:sz w:val="19"/>
                <w:szCs w:val="19"/>
                <w:color w:val="auto"/>
              </w:rPr>
              <w:t>18</w:t>
            </w:r>
          </w:p>
        </w:tc>
        <w:tc>
          <w:tcPr>
            <w:tcW w:w="5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(14)</w:t>
            </w:r>
          </w:p>
        </w:tc>
      </w:tr>
    </w:tbl>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Benefit payments reflecting expected future service, as appropriate, are expected to be paid as follows:</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6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88"/>
              <w:spacing w:after="0"/>
              <w:rPr>
                <w:sz w:val="20"/>
                <w:szCs w:val="20"/>
                <w:color w:val="auto"/>
              </w:rPr>
            </w:pPr>
            <w:r>
              <w:rPr>
                <w:rFonts w:ascii="Arial" w:cs="Arial" w:eastAsia="Arial" w:hAnsi="Arial"/>
                <w:sz w:val="16"/>
                <w:szCs w:val="16"/>
                <w:b w:val="1"/>
                <w:bCs w:val="1"/>
                <w:color w:val="auto"/>
                <w:w w:val="99"/>
              </w:rPr>
              <w:t>Without Impact of</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548"/>
              <w:spacing w:after="0"/>
              <w:rPr>
                <w:sz w:val="20"/>
                <w:szCs w:val="20"/>
                <w:color w:val="auto"/>
              </w:rPr>
            </w:pPr>
            <w:r>
              <w:rPr>
                <w:rFonts w:ascii="Arial" w:cs="Arial" w:eastAsia="Arial" w:hAnsi="Arial"/>
                <w:sz w:val="16"/>
                <w:szCs w:val="16"/>
                <w:b w:val="1"/>
                <w:bCs w:val="1"/>
                <w:color w:val="auto"/>
              </w:rPr>
              <w:t>Net of</w:t>
            </w:r>
          </w:p>
        </w:tc>
      </w:tr>
      <w:tr>
        <w:trPr>
          <w:trHeight w:val="190"/>
        </w:trPr>
        <w:tc>
          <w:tcPr>
            <w:tcW w:w="6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w w:val="98"/>
              </w:rPr>
              <w:t>Medicare Subsidy</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w w:val="99"/>
              </w:rPr>
              <w:t>Medicare Subsidy</w:t>
            </w:r>
          </w:p>
        </w:tc>
      </w:tr>
      <w:tr>
        <w:trPr>
          <w:trHeight w:val="237"/>
        </w:trPr>
        <w:tc>
          <w:tcPr>
            <w:tcW w:w="6680" w:type="dxa"/>
            <w:vAlign w:val="bottom"/>
            <w:shd w:val="clear" w:color="auto" w:fill="E5FFFF"/>
          </w:tcPr>
          <w:p>
            <w:pPr>
              <w:spacing w:after="0"/>
              <w:rPr>
                <w:sz w:val="20"/>
                <w:szCs w:val="20"/>
                <w:color w:val="auto"/>
              </w:rPr>
            </w:pPr>
            <w:r>
              <w:rPr>
                <w:rFonts w:ascii="Arial" w:cs="Arial" w:eastAsia="Arial" w:hAnsi="Arial"/>
                <w:sz w:val="19"/>
                <w:szCs w:val="19"/>
                <w:color w:val="auto"/>
              </w:rPr>
              <w:t>2019</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54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52</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560" w:type="dxa"/>
            <w:vAlign w:val="bottom"/>
            <w:shd w:val="clear" w:color="auto" w:fill="E5FFFF"/>
          </w:tcPr>
          <w:p>
            <w:pPr>
              <w:jc w:val="right"/>
              <w:ind w:right="148"/>
              <w:spacing w:after="0"/>
              <w:rPr>
                <w:sz w:val="20"/>
                <w:szCs w:val="20"/>
                <w:color w:val="auto"/>
              </w:rPr>
            </w:pPr>
            <w:r>
              <w:rPr>
                <w:rFonts w:ascii="Arial" w:cs="Arial" w:eastAsia="Arial" w:hAnsi="Arial"/>
                <w:sz w:val="19"/>
                <w:szCs w:val="19"/>
                <w:color w:val="auto"/>
              </w:rPr>
              <w:t>48</w:t>
            </w:r>
          </w:p>
        </w:tc>
      </w:tr>
      <w:tr>
        <w:trPr>
          <w:trHeight w:val="243"/>
        </w:trPr>
        <w:tc>
          <w:tcPr>
            <w:tcW w:w="6680" w:type="dxa"/>
            <w:vAlign w:val="bottom"/>
          </w:tcPr>
          <w:p>
            <w:pPr>
              <w:spacing w:after="0"/>
              <w:rPr>
                <w:sz w:val="20"/>
                <w:szCs w:val="20"/>
                <w:color w:val="auto"/>
              </w:rPr>
            </w:pPr>
            <w:r>
              <w:rPr>
                <w:rFonts w:ascii="Arial" w:cs="Arial" w:eastAsia="Arial" w:hAnsi="Arial"/>
                <w:sz w:val="19"/>
                <w:szCs w:val="19"/>
                <w:color w:val="auto"/>
              </w:rPr>
              <w:t>2020</w:t>
            </w:r>
          </w:p>
        </w:tc>
        <w:tc>
          <w:tcPr>
            <w:tcW w:w="160" w:type="dxa"/>
            <w:vAlign w:val="bottom"/>
          </w:tcPr>
          <w:p>
            <w:pPr>
              <w:spacing w:after="0"/>
              <w:rPr>
                <w:sz w:val="21"/>
                <w:szCs w:val="21"/>
                <w:color w:val="auto"/>
              </w:rPr>
            </w:pPr>
          </w:p>
        </w:tc>
        <w:tc>
          <w:tcPr>
            <w:tcW w:w="1540" w:type="dxa"/>
            <w:vAlign w:val="bottom"/>
          </w:tcPr>
          <w:p>
            <w:pPr>
              <w:jc w:val="right"/>
              <w:ind w:right="88"/>
              <w:spacing w:after="0"/>
              <w:rPr>
                <w:sz w:val="20"/>
                <w:szCs w:val="20"/>
                <w:color w:val="auto"/>
              </w:rPr>
            </w:pPr>
            <w:r>
              <w:rPr>
                <w:rFonts w:ascii="Arial" w:cs="Arial" w:eastAsia="Arial" w:hAnsi="Arial"/>
                <w:sz w:val="19"/>
                <w:szCs w:val="19"/>
                <w:color w:val="auto"/>
              </w:rPr>
              <w:t>48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148"/>
              <w:spacing w:after="0"/>
              <w:rPr>
                <w:sz w:val="20"/>
                <w:szCs w:val="20"/>
                <w:color w:val="auto"/>
              </w:rPr>
            </w:pPr>
            <w:r>
              <w:rPr>
                <w:rFonts w:ascii="Arial" w:cs="Arial" w:eastAsia="Arial" w:hAnsi="Arial"/>
                <w:sz w:val="19"/>
                <w:szCs w:val="19"/>
                <w:color w:val="auto"/>
              </w:rPr>
              <w:t>44</w:t>
            </w:r>
          </w:p>
        </w:tc>
      </w:tr>
      <w:tr>
        <w:trPr>
          <w:trHeight w:val="243"/>
        </w:trPr>
        <w:tc>
          <w:tcPr>
            <w:tcW w:w="6680" w:type="dxa"/>
            <w:vAlign w:val="bottom"/>
            <w:shd w:val="clear" w:color="auto" w:fill="E5FFFF"/>
          </w:tcPr>
          <w:p>
            <w:pPr>
              <w:spacing w:after="0"/>
              <w:rPr>
                <w:sz w:val="20"/>
                <w:szCs w:val="20"/>
                <w:color w:val="auto"/>
              </w:rPr>
            </w:pPr>
            <w:r>
              <w:rPr>
                <w:rFonts w:ascii="Arial" w:cs="Arial" w:eastAsia="Arial" w:hAnsi="Arial"/>
                <w:sz w:val="19"/>
                <w:szCs w:val="19"/>
                <w:color w:val="auto"/>
              </w:rPr>
              <w:t>2021</w:t>
            </w:r>
          </w:p>
        </w:tc>
        <w:tc>
          <w:tcPr>
            <w:tcW w:w="160" w:type="dxa"/>
            <w:vAlign w:val="bottom"/>
            <w:shd w:val="clear" w:color="auto" w:fill="E5FFFF"/>
          </w:tcPr>
          <w:p>
            <w:pPr>
              <w:spacing w:after="0"/>
              <w:rPr>
                <w:sz w:val="21"/>
                <w:szCs w:val="21"/>
                <w:color w:val="auto"/>
              </w:rPr>
            </w:pPr>
          </w:p>
        </w:tc>
        <w:tc>
          <w:tcPr>
            <w:tcW w:w="154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44</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560" w:type="dxa"/>
            <w:vAlign w:val="bottom"/>
            <w:shd w:val="clear" w:color="auto" w:fill="E5FFFF"/>
          </w:tcPr>
          <w:p>
            <w:pPr>
              <w:jc w:val="right"/>
              <w:ind w:right="148"/>
              <w:spacing w:after="0"/>
              <w:rPr>
                <w:sz w:val="20"/>
                <w:szCs w:val="20"/>
                <w:color w:val="auto"/>
              </w:rPr>
            </w:pPr>
            <w:r>
              <w:rPr>
                <w:rFonts w:ascii="Arial" w:cs="Arial" w:eastAsia="Arial" w:hAnsi="Arial"/>
                <w:sz w:val="19"/>
                <w:szCs w:val="19"/>
                <w:color w:val="auto"/>
              </w:rPr>
              <w:t>40</w:t>
            </w:r>
          </w:p>
        </w:tc>
      </w:tr>
      <w:tr>
        <w:trPr>
          <w:trHeight w:val="243"/>
        </w:trPr>
        <w:tc>
          <w:tcPr>
            <w:tcW w:w="6680" w:type="dxa"/>
            <w:vAlign w:val="bottom"/>
          </w:tcPr>
          <w:p>
            <w:pPr>
              <w:spacing w:after="0"/>
              <w:rPr>
                <w:sz w:val="20"/>
                <w:szCs w:val="20"/>
                <w:color w:val="auto"/>
              </w:rPr>
            </w:pPr>
            <w:r>
              <w:rPr>
                <w:rFonts w:ascii="Arial" w:cs="Arial" w:eastAsia="Arial" w:hAnsi="Arial"/>
                <w:sz w:val="19"/>
                <w:szCs w:val="19"/>
                <w:color w:val="auto"/>
              </w:rPr>
              <w:t>2022</w:t>
            </w:r>
          </w:p>
        </w:tc>
        <w:tc>
          <w:tcPr>
            <w:tcW w:w="160" w:type="dxa"/>
            <w:vAlign w:val="bottom"/>
          </w:tcPr>
          <w:p>
            <w:pPr>
              <w:spacing w:after="0"/>
              <w:rPr>
                <w:sz w:val="21"/>
                <w:szCs w:val="21"/>
                <w:color w:val="auto"/>
              </w:rPr>
            </w:pPr>
          </w:p>
        </w:tc>
        <w:tc>
          <w:tcPr>
            <w:tcW w:w="1540" w:type="dxa"/>
            <w:vAlign w:val="bottom"/>
          </w:tcPr>
          <w:p>
            <w:pPr>
              <w:jc w:val="right"/>
              <w:ind w:right="88"/>
              <w:spacing w:after="0"/>
              <w:rPr>
                <w:sz w:val="20"/>
                <w:szCs w:val="20"/>
                <w:color w:val="auto"/>
              </w:rPr>
            </w:pPr>
            <w:r>
              <w:rPr>
                <w:rFonts w:ascii="Arial" w:cs="Arial" w:eastAsia="Arial" w:hAnsi="Arial"/>
                <w:sz w:val="19"/>
                <w:szCs w:val="19"/>
                <w:color w:val="auto"/>
              </w:rPr>
              <w:t>40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148"/>
              <w:spacing w:after="0"/>
              <w:rPr>
                <w:sz w:val="20"/>
                <w:szCs w:val="20"/>
                <w:color w:val="auto"/>
              </w:rPr>
            </w:pPr>
            <w:r>
              <w:rPr>
                <w:rFonts w:ascii="Arial" w:cs="Arial" w:eastAsia="Arial" w:hAnsi="Arial"/>
                <w:sz w:val="19"/>
                <w:szCs w:val="19"/>
                <w:color w:val="auto"/>
              </w:rPr>
              <w:t>37</w:t>
            </w:r>
          </w:p>
        </w:tc>
      </w:tr>
      <w:tr>
        <w:trPr>
          <w:trHeight w:val="243"/>
        </w:trPr>
        <w:tc>
          <w:tcPr>
            <w:tcW w:w="6680" w:type="dxa"/>
            <w:vAlign w:val="bottom"/>
            <w:shd w:val="clear" w:color="auto" w:fill="E5FFFF"/>
          </w:tcPr>
          <w:p>
            <w:pPr>
              <w:spacing w:after="0"/>
              <w:rPr>
                <w:sz w:val="20"/>
                <w:szCs w:val="20"/>
                <w:color w:val="auto"/>
              </w:rPr>
            </w:pPr>
            <w:r>
              <w:rPr>
                <w:rFonts w:ascii="Arial" w:cs="Arial" w:eastAsia="Arial" w:hAnsi="Arial"/>
                <w:sz w:val="19"/>
                <w:szCs w:val="19"/>
                <w:color w:val="auto"/>
              </w:rPr>
              <w:t>2023</w:t>
            </w:r>
          </w:p>
        </w:tc>
        <w:tc>
          <w:tcPr>
            <w:tcW w:w="160" w:type="dxa"/>
            <w:vAlign w:val="bottom"/>
            <w:shd w:val="clear" w:color="auto" w:fill="E5FFFF"/>
          </w:tcPr>
          <w:p>
            <w:pPr>
              <w:spacing w:after="0"/>
              <w:rPr>
                <w:sz w:val="21"/>
                <w:szCs w:val="21"/>
                <w:color w:val="auto"/>
              </w:rPr>
            </w:pPr>
          </w:p>
        </w:tc>
        <w:tc>
          <w:tcPr>
            <w:tcW w:w="154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38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560" w:type="dxa"/>
            <w:vAlign w:val="bottom"/>
            <w:shd w:val="clear" w:color="auto" w:fill="E5FFFF"/>
          </w:tcPr>
          <w:p>
            <w:pPr>
              <w:jc w:val="right"/>
              <w:ind w:right="148"/>
              <w:spacing w:after="0"/>
              <w:rPr>
                <w:sz w:val="20"/>
                <w:szCs w:val="20"/>
                <w:color w:val="auto"/>
              </w:rPr>
            </w:pPr>
            <w:r>
              <w:rPr>
                <w:rFonts w:ascii="Arial" w:cs="Arial" w:eastAsia="Arial" w:hAnsi="Arial"/>
                <w:sz w:val="19"/>
                <w:szCs w:val="19"/>
                <w:color w:val="auto"/>
              </w:rPr>
              <w:t>34</w:t>
            </w:r>
          </w:p>
        </w:tc>
      </w:tr>
      <w:tr>
        <w:trPr>
          <w:trHeight w:val="261"/>
        </w:trPr>
        <w:tc>
          <w:tcPr>
            <w:tcW w:w="6680" w:type="dxa"/>
            <w:vAlign w:val="bottom"/>
          </w:tcPr>
          <w:p>
            <w:pPr>
              <w:spacing w:after="0"/>
              <w:rPr>
                <w:sz w:val="20"/>
                <w:szCs w:val="20"/>
                <w:color w:val="auto"/>
              </w:rPr>
            </w:pPr>
            <w:r>
              <w:rPr>
                <w:rFonts w:ascii="Arial" w:cs="Arial" w:eastAsia="Arial" w:hAnsi="Arial"/>
                <w:sz w:val="19"/>
                <w:szCs w:val="19"/>
                <w:color w:val="auto"/>
              </w:rPr>
              <w:t>2024-2028</w:t>
            </w:r>
          </w:p>
        </w:tc>
        <w:tc>
          <w:tcPr>
            <w:tcW w:w="160" w:type="dxa"/>
            <w:vAlign w:val="bottom"/>
          </w:tcPr>
          <w:p>
            <w:pPr>
              <w:spacing w:after="0"/>
              <w:rPr>
                <w:sz w:val="22"/>
                <w:szCs w:val="22"/>
                <w:color w:val="auto"/>
              </w:rPr>
            </w:pPr>
          </w:p>
        </w:tc>
        <w:tc>
          <w:tcPr>
            <w:tcW w:w="1540" w:type="dxa"/>
            <w:vAlign w:val="bottom"/>
          </w:tcPr>
          <w:p>
            <w:pPr>
              <w:jc w:val="right"/>
              <w:ind w:right="88"/>
              <w:spacing w:after="0"/>
              <w:rPr>
                <w:sz w:val="20"/>
                <w:szCs w:val="20"/>
                <w:color w:val="auto"/>
              </w:rPr>
            </w:pPr>
            <w:r>
              <w:rPr>
                <w:rFonts w:ascii="Arial" w:cs="Arial" w:eastAsia="Arial" w:hAnsi="Arial"/>
                <w:sz w:val="19"/>
                <w:szCs w:val="19"/>
                <w:color w:val="auto"/>
              </w:rPr>
              <w:t>109</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148"/>
              <w:spacing w:after="0"/>
              <w:rPr>
                <w:sz w:val="20"/>
                <w:szCs w:val="20"/>
                <w:color w:val="auto"/>
              </w:rPr>
            </w:pPr>
            <w:r>
              <w:rPr>
                <w:rFonts w:ascii="Arial" w:cs="Arial" w:eastAsia="Arial" w:hAnsi="Arial"/>
                <w:sz w:val="19"/>
                <w:szCs w:val="19"/>
                <w:color w:val="auto"/>
              </w:rPr>
              <w:t>98</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22. Segment Financial Data</w:t>
      </w:r>
    </w:p>
    <w:p>
      <w:pPr>
        <w:spacing w:after="0" w:line="130" w:lineRule="exact"/>
        <w:rPr>
          <w:sz w:val="20"/>
          <w:szCs w:val="20"/>
          <w:color w:val="auto"/>
        </w:rPr>
      </w:pPr>
    </w:p>
    <w:p>
      <w:pPr>
        <w:ind w:right="340" w:firstLine="357"/>
        <w:spacing w:after="0" w:line="245" w:lineRule="auto"/>
        <w:rPr>
          <w:sz w:val="20"/>
          <w:szCs w:val="20"/>
          <w:color w:val="auto"/>
        </w:rPr>
      </w:pPr>
      <w:r>
        <w:rPr>
          <w:rFonts w:ascii="Arial" w:cs="Arial" w:eastAsia="Arial" w:hAnsi="Arial"/>
          <w:sz w:val="19"/>
          <w:szCs w:val="19"/>
          <w:color w:val="auto"/>
        </w:rPr>
        <w:t>We globally manage our business operations through four reportable operating segments. Segment information is consistent with how management reviews the businesses, makes investing and resource allocation decisions and assesses operating performance.</w:t>
      </w:r>
    </w:p>
    <w:p>
      <w:pPr>
        <w:spacing w:after="0" w:line="87"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Honeywell’s senior management evaluates segment performance based on segment profit. Segment profit is measured as segment income (loss) before taxes excluding general corporate unallocated expense, other income (expense), interest and other financial charges, stock compensation expenses, pension and other postretirement benefits (expense), stock compensation expense and repositioning and other charges.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57" w:right="279" w:bottom="1440" w:gutter="0" w:footer="0" w:header="0"/>
        </w:sectPr>
      </w:pPr>
    </w:p>
    <w:bookmarkStart w:id="93" w:name="page94"/>
    <w:bookmarkEnd w:id="9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jc w:val="center"/>
              <w:ind w:right="44"/>
              <w:spacing w:after="0"/>
              <w:rPr>
                <w:sz w:val="20"/>
                <w:szCs w:val="20"/>
                <w:color w:val="auto"/>
              </w:rPr>
            </w:pPr>
            <w:r>
              <w:rPr>
                <w:rFonts w:ascii="Arial" w:cs="Arial" w:eastAsia="Arial" w:hAnsi="Arial"/>
                <w:sz w:val="16"/>
                <w:szCs w:val="16"/>
                <w:b w:val="1"/>
                <w:bCs w:val="1"/>
                <w:color w:val="auto"/>
                <w:w w:val="98"/>
              </w:rPr>
              <w:t>Years Ended December 31,</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4"/>
              <w:spacing w:after="0" w:line="169" w:lineRule="exact"/>
              <w:rPr>
                <w:sz w:val="20"/>
                <w:szCs w:val="20"/>
                <w:color w:val="auto"/>
              </w:rPr>
            </w:pPr>
            <w:r>
              <w:rPr>
                <w:rFonts w:ascii="Arial" w:cs="Arial" w:eastAsia="Arial" w:hAnsi="Arial"/>
                <w:sz w:val="16"/>
                <w:szCs w:val="16"/>
                <w:b w:val="1"/>
                <w:bCs w:val="1"/>
                <w:color w:val="auto"/>
                <w:w w:val="95"/>
              </w:rPr>
              <w:t>2017</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10"/>
        </w:trPr>
        <w:tc>
          <w:tcPr>
            <w:tcW w:w="47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Net Sales</w:t>
            </w:r>
          </w:p>
        </w:tc>
        <w:tc>
          <w:tcPr>
            <w:tcW w:w="34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line="216" w:lineRule="exact"/>
              <w:rPr>
                <w:sz w:val="20"/>
                <w:szCs w:val="20"/>
                <w:color w:val="auto"/>
              </w:rPr>
            </w:pPr>
            <w:r>
              <w:rPr>
                <w:rFonts w:ascii="Arial" w:cs="Arial" w:eastAsia="Arial" w:hAnsi="Arial"/>
                <w:sz w:val="19"/>
                <w:szCs w:val="19"/>
                <w:color w:val="auto"/>
              </w:rPr>
              <w:t>Aerospace</w:t>
            </w: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Product</w:t>
            </w:r>
          </w:p>
        </w:tc>
        <w:tc>
          <w:tcPr>
            <w:tcW w:w="36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10,415</w:t>
            </w:r>
          </w:p>
        </w:tc>
        <w:tc>
          <w:tcPr>
            <w:tcW w:w="11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$ 10,067</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9,926</w:t>
            </w:r>
          </w:p>
        </w:tc>
        <w:tc>
          <w:tcPr>
            <w:tcW w:w="0" w:type="dxa"/>
            <w:vAlign w:val="bottom"/>
          </w:tcPr>
          <w:p>
            <w:pPr>
              <w:spacing w:after="0"/>
              <w:rPr>
                <w:sz w:val="1"/>
                <w:szCs w:val="1"/>
                <w:color w:val="auto"/>
              </w:rPr>
            </w:pPr>
          </w:p>
        </w:tc>
      </w:tr>
      <w:tr>
        <w:trPr>
          <w:trHeight w:val="250"/>
        </w:trPr>
        <w:tc>
          <w:tcPr>
            <w:tcW w:w="4740" w:type="dxa"/>
            <w:vAlign w:val="bottom"/>
          </w:tcPr>
          <w:p>
            <w:pPr>
              <w:ind w:left="360"/>
              <w:spacing w:after="0"/>
              <w:rPr>
                <w:sz w:val="20"/>
                <w:szCs w:val="20"/>
                <w:color w:val="auto"/>
              </w:rPr>
            </w:pPr>
            <w:r>
              <w:rPr>
                <w:rFonts w:ascii="Arial" w:cs="Arial" w:eastAsia="Arial" w:hAnsi="Arial"/>
                <w:sz w:val="19"/>
                <w:szCs w:val="19"/>
                <w:color w:val="auto"/>
              </w:rPr>
              <w:t>Service</w:t>
            </w:r>
          </w:p>
        </w:tc>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5,078</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4,712</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4,825</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w:t>
            </w:r>
          </w:p>
        </w:tc>
        <w:tc>
          <w:tcPr>
            <w:tcW w:w="3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15,493</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14,779</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14,751</w:t>
            </w:r>
          </w:p>
        </w:tc>
        <w:tc>
          <w:tcPr>
            <w:tcW w:w="0" w:type="dxa"/>
            <w:vAlign w:val="bottom"/>
          </w:tcPr>
          <w:p>
            <w:pPr>
              <w:spacing w:after="0"/>
              <w:rPr>
                <w:sz w:val="1"/>
                <w:szCs w:val="1"/>
                <w:color w:val="auto"/>
              </w:rPr>
            </w:pPr>
          </w:p>
        </w:tc>
      </w:tr>
      <w:tr>
        <w:trPr>
          <w:trHeight w:val="216"/>
        </w:trPr>
        <w:tc>
          <w:tcPr>
            <w:tcW w:w="4740" w:type="dxa"/>
            <w:vAlign w:val="bottom"/>
          </w:tcPr>
          <w:p>
            <w:pPr>
              <w:spacing w:after="0" w:line="216" w:lineRule="exact"/>
              <w:rPr>
                <w:sz w:val="20"/>
                <w:szCs w:val="20"/>
                <w:color w:val="auto"/>
              </w:rPr>
            </w:pPr>
            <w:r>
              <w:rPr>
                <w:rFonts w:ascii="Arial" w:cs="Arial" w:eastAsia="Arial" w:hAnsi="Arial"/>
                <w:sz w:val="19"/>
                <w:szCs w:val="19"/>
                <w:color w:val="auto"/>
              </w:rPr>
              <w:t>Honeywell Building Technologies</w:t>
            </w: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Product</w:t>
            </w:r>
          </w:p>
        </w:tc>
        <w:tc>
          <w:tcPr>
            <w:tcW w:w="3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7,868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8,396</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8,250</w:t>
            </w:r>
          </w:p>
        </w:tc>
        <w:tc>
          <w:tcPr>
            <w:tcW w:w="0" w:type="dxa"/>
            <w:vAlign w:val="bottom"/>
          </w:tcPr>
          <w:p>
            <w:pPr>
              <w:spacing w:after="0"/>
              <w:rPr>
                <w:sz w:val="1"/>
                <w:szCs w:val="1"/>
                <w:color w:val="auto"/>
              </w:rPr>
            </w:pPr>
          </w:p>
        </w:tc>
      </w:tr>
      <w:tr>
        <w:trPr>
          <w:trHeight w:val="250"/>
        </w:trPr>
        <w:tc>
          <w:tcPr>
            <w:tcW w:w="4740" w:type="dxa"/>
            <w:vAlign w:val="bottom"/>
          </w:tcPr>
          <w:p>
            <w:pPr>
              <w:ind w:left="360"/>
              <w:spacing w:after="0"/>
              <w:rPr>
                <w:sz w:val="20"/>
                <w:szCs w:val="20"/>
                <w:color w:val="auto"/>
              </w:rPr>
            </w:pPr>
            <w:r>
              <w:rPr>
                <w:rFonts w:ascii="Arial" w:cs="Arial" w:eastAsia="Arial" w:hAnsi="Arial"/>
                <w:sz w:val="19"/>
                <w:szCs w:val="19"/>
                <w:color w:val="auto"/>
              </w:rPr>
              <w:t>Service</w:t>
            </w:r>
          </w:p>
        </w:tc>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1,430</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1,381</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1,240</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w:t>
            </w:r>
          </w:p>
        </w:tc>
        <w:tc>
          <w:tcPr>
            <w:tcW w:w="3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9,298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9,777</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9,490</w:t>
            </w:r>
          </w:p>
        </w:tc>
        <w:tc>
          <w:tcPr>
            <w:tcW w:w="0" w:type="dxa"/>
            <w:vAlign w:val="bottom"/>
          </w:tcPr>
          <w:p>
            <w:pPr>
              <w:spacing w:after="0"/>
              <w:rPr>
                <w:sz w:val="1"/>
                <w:szCs w:val="1"/>
                <w:color w:val="auto"/>
              </w:rPr>
            </w:pPr>
          </w:p>
        </w:tc>
      </w:tr>
      <w:tr>
        <w:trPr>
          <w:trHeight w:val="216"/>
        </w:trPr>
        <w:tc>
          <w:tcPr>
            <w:tcW w:w="4740" w:type="dxa"/>
            <w:vAlign w:val="bottom"/>
          </w:tcPr>
          <w:p>
            <w:pPr>
              <w:spacing w:after="0" w:line="216" w:lineRule="exact"/>
              <w:rPr>
                <w:sz w:val="20"/>
                <w:szCs w:val="20"/>
                <w:color w:val="auto"/>
              </w:rPr>
            </w:pPr>
            <w:r>
              <w:rPr>
                <w:rFonts w:ascii="Arial" w:cs="Arial" w:eastAsia="Arial" w:hAnsi="Arial"/>
                <w:sz w:val="19"/>
                <w:szCs w:val="19"/>
                <w:color w:val="auto"/>
              </w:rPr>
              <w:t>Performance Materials and Technologies</w:t>
            </w: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Product</w:t>
            </w:r>
          </w:p>
        </w:tc>
        <w:tc>
          <w:tcPr>
            <w:tcW w:w="3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8,589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8,521</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8,725</w:t>
            </w:r>
          </w:p>
        </w:tc>
        <w:tc>
          <w:tcPr>
            <w:tcW w:w="0" w:type="dxa"/>
            <w:vAlign w:val="bottom"/>
          </w:tcPr>
          <w:p>
            <w:pPr>
              <w:spacing w:after="0"/>
              <w:rPr>
                <w:sz w:val="1"/>
                <w:szCs w:val="1"/>
                <w:color w:val="auto"/>
              </w:rPr>
            </w:pPr>
          </w:p>
        </w:tc>
      </w:tr>
      <w:tr>
        <w:trPr>
          <w:trHeight w:val="250"/>
        </w:trPr>
        <w:tc>
          <w:tcPr>
            <w:tcW w:w="4740" w:type="dxa"/>
            <w:vAlign w:val="bottom"/>
          </w:tcPr>
          <w:p>
            <w:pPr>
              <w:ind w:left="360"/>
              <w:spacing w:after="0"/>
              <w:rPr>
                <w:sz w:val="20"/>
                <w:szCs w:val="20"/>
                <w:color w:val="auto"/>
              </w:rPr>
            </w:pPr>
            <w:r>
              <w:rPr>
                <w:rFonts w:ascii="Arial" w:cs="Arial" w:eastAsia="Arial" w:hAnsi="Arial"/>
                <w:sz w:val="19"/>
                <w:szCs w:val="19"/>
                <w:color w:val="auto"/>
              </w:rPr>
              <w:t>Service</w:t>
            </w:r>
          </w:p>
        </w:tc>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2,085</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1,818</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1,711</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w:t>
            </w:r>
          </w:p>
        </w:tc>
        <w:tc>
          <w:tcPr>
            <w:tcW w:w="3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10,674</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10,339</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10,436</w:t>
            </w:r>
          </w:p>
        </w:tc>
        <w:tc>
          <w:tcPr>
            <w:tcW w:w="0" w:type="dxa"/>
            <w:vAlign w:val="bottom"/>
          </w:tcPr>
          <w:p>
            <w:pPr>
              <w:spacing w:after="0"/>
              <w:rPr>
                <w:sz w:val="1"/>
                <w:szCs w:val="1"/>
                <w:color w:val="auto"/>
              </w:rPr>
            </w:pPr>
          </w:p>
        </w:tc>
      </w:tr>
      <w:tr>
        <w:trPr>
          <w:trHeight w:val="216"/>
        </w:trPr>
        <w:tc>
          <w:tcPr>
            <w:tcW w:w="4740" w:type="dxa"/>
            <w:vAlign w:val="bottom"/>
          </w:tcPr>
          <w:p>
            <w:pPr>
              <w:spacing w:after="0" w:line="216" w:lineRule="exact"/>
              <w:rPr>
                <w:sz w:val="20"/>
                <w:szCs w:val="20"/>
                <w:color w:val="auto"/>
              </w:rPr>
            </w:pPr>
            <w:r>
              <w:rPr>
                <w:rFonts w:ascii="Arial" w:cs="Arial" w:eastAsia="Arial" w:hAnsi="Arial"/>
                <w:sz w:val="19"/>
                <w:szCs w:val="19"/>
                <w:color w:val="auto"/>
              </w:rPr>
              <w:t>Safety and Productivity Solutions</w:t>
            </w: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Product</w:t>
            </w:r>
          </w:p>
        </w:tc>
        <w:tc>
          <w:tcPr>
            <w:tcW w:w="3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5,976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5,333</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4,461</w:t>
            </w:r>
          </w:p>
        </w:tc>
        <w:tc>
          <w:tcPr>
            <w:tcW w:w="0" w:type="dxa"/>
            <w:vAlign w:val="bottom"/>
          </w:tcPr>
          <w:p>
            <w:pPr>
              <w:spacing w:after="0"/>
              <w:rPr>
                <w:sz w:val="1"/>
                <w:szCs w:val="1"/>
                <w:color w:val="auto"/>
              </w:rPr>
            </w:pPr>
          </w:p>
        </w:tc>
      </w:tr>
      <w:tr>
        <w:trPr>
          <w:trHeight w:val="250"/>
        </w:trPr>
        <w:tc>
          <w:tcPr>
            <w:tcW w:w="4740" w:type="dxa"/>
            <w:vAlign w:val="bottom"/>
          </w:tcPr>
          <w:p>
            <w:pPr>
              <w:ind w:left="360"/>
              <w:spacing w:after="0"/>
              <w:rPr>
                <w:sz w:val="20"/>
                <w:szCs w:val="20"/>
                <w:color w:val="auto"/>
              </w:rPr>
            </w:pPr>
            <w:r>
              <w:rPr>
                <w:rFonts w:ascii="Arial" w:cs="Arial" w:eastAsia="Arial" w:hAnsi="Arial"/>
                <w:sz w:val="19"/>
                <w:szCs w:val="19"/>
                <w:color w:val="auto"/>
              </w:rPr>
              <w:t>Service</w:t>
            </w:r>
          </w:p>
        </w:tc>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361</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306</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164</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w:t>
            </w:r>
          </w:p>
        </w:tc>
        <w:tc>
          <w:tcPr>
            <w:tcW w:w="3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6,337</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5,639</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4,625</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36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41,802</w:t>
            </w:r>
          </w:p>
        </w:tc>
        <w:tc>
          <w:tcPr>
            <w:tcW w:w="1180" w:type="dxa"/>
            <w:vAlign w:val="bottom"/>
            <w:gridSpan w:val="3"/>
          </w:tcPr>
          <w:p>
            <w:pPr>
              <w:jc w:val="right"/>
              <w:spacing w:after="0"/>
              <w:rPr>
                <w:sz w:val="20"/>
                <w:szCs w:val="20"/>
                <w:color w:val="auto"/>
              </w:rPr>
            </w:pPr>
            <w:r>
              <w:rPr>
                <w:rFonts w:ascii="Arial" w:cs="Arial" w:eastAsia="Arial" w:hAnsi="Arial"/>
                <w:sz w:val="19"/>
                <w:szCs w:val="19"/>
                <w:color w:val="auto"/>
              </w:rPr>
              <w:t>$ 40,534</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39,302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Depreciation and amortization</w:t>
            </w:r>
          </w:p>
        </w:tc>
        <w:tc>
          <w:tcPr>
            <w:tcW w:w="34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9"/>
                <w:szCs w:val="19"/>
                <w:color w:val="auto"/>
              </w:rPr>
              <w:t>Aerospace</w:t>
            </w:r>
          </w:p>
        </w:tc>
        <w:tc>
          <w:tcPr>
            <w:tcW w:w="36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281</w:t>
            </w:r>
          </w:p>
        </w:tc>
        <w:tc>
          <w:tcPr>
            <w:tcW w:w="460" w:type="dxa"/>
            <w:vAlign w:val="bottom"/>
            <w:gridSpan w:val="2"/>
          </w:tcPr>
          <w:p>
            <w:pPr>
              <w:ind w:left="30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279</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275</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Honeywell Building Technologies</w:t>
            </w:r>
          </w:p>
        </w:tc>
        <w:tc>
          <w:tcPr>
            <w:tcW w:w="3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112</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118</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107</w:t>
            </w:r>
          </w:p>
        </w:tc>
        <w:tc>
          <w:tcPr>
            <w:tcW w:w="0" w:type="dxa"/>
            <w:vAlign w:val="bottom"/>
          </w:tcPr>
          <w:p>
            <w:pPr>
              <w:spacing w:after="0"/>
              <w:rPr>
                <w:sz w:val="1"/>
                <w:szCs w:val="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9"/>
                <w:szCs w:val="19"/>
                <w:color w:val="auto"/>
              </w:rPr>
              <w:t>Performance Materials and Technologies</w:t>
            </w:r>
          </w:p>
        </w:tc>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452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441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399</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Safety and Productivity Solutions</w:t>
            </w:r>
          </w:p>
        </w:tc>
        <w:tc>
          <w:tcPr>
            <w:tcW w:w="3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219</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188</w:t>
            </w:r>
          </w:p>
        </w:tc>
        <w:tc>
          <w:tcPr>
            <w:tcW w:w="0" w:type="dxa"/>
            <w:vAlign w:val="bottom"/>
          </w:tcPr>
          <w:p>
            <w:pPr>
              <w:spacing w:after="0"/>
              <w:rPr>
                <w:sz w:val="1"/>
                <w:szCs w:val="1"/>
                <w:color w:val="auto"/>
              </w:rPr>
            </w:pPr>
          </w:p>
        </w:tc>
      </w:tr>
      <w:tr>
        <w:trPr>
          <w:trHeight w:val="250"/>
        </w:trPr>
        <w:tc>
          <w:tcPr>
            <w:tcW w:w="4740" w:type="dxa"/>
            <w:vAlign w:val="bottom"/>
          </w:tcPr>
          <w:p>
            <w:pPr>
              <w:ind w:left="360"/>
              <w:spacing w:after="0"/>
              <w:rPr>
                <w:sz w:val="20"/>
                <w:szCs w:val="20"/>
                <w:color w:val="auto"/>
              </w:rPr>
            </w:pPr>
            <w:r>
              <w:rPr>
                <w:rFonts w:ascii="Arial" w:cs="Arial" w:eastAsia="Arial" w:hAnsi="Arial"/>
                <w:sz w:val="19"/>
                <w:szCs w:val="19"/>
                <w:color w:val="auto"/>
              </w:rPr>
              <w:t>Corporate</w:t>
            </w:r>
          </w:p>
        </w:tc>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58</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61</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spacing w:after="0"/>
              <w:rPr>
                <w:sz w:val="21"/>
                <w:szCs w:val="21"/>
                <w:color w:val="auto"/>
              </w:rPr>
            </w:pPr>
          </w:p>
        </w:tc>
        <w:tc>
          <w:tcPr>
            <w:tcW w:w="36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1,116</w:t>
            </w:r>
          </w:p>
        </w:tc>
        <w:tc>
          <w:tcPr>
            <w:tcW w:w="46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1,115</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1,030</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9"/>
                <w:szCs w:val="19"/>
                <w:color w:val="auto"/>
              </w:rPr>
              <w:t>Segment Profit</w:t>
            </w: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Aerospace</w:t>
            </w:r>
          </w:p>
        </w:tc>
        <w:tc>
          <w:tcPr>
            <w:tcW w:w="36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3,503</w:t>
            </w:r>
          </w:p>
        </w:tc>
        <w:tc>
          <w:tcPr>
            <w:tcW w:w="46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3,288</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2,991</w:t>
            </w:r>
          </w:p>
        </w:tc>
        <w:tc>
          <w:tcPr>
            <w:tcW w:w="0" w:type="dxa"/>
            <w:vAlign w:val="bottom"/>
          </w:tcPr>
          <w:p>
            <w:pPr>
              <w:spacing w:after="0"/>
              <w:rPr>
                <w:sz w:val="1"/>
                <w:szCs w:val="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9"/>
                <w:szCs w:val="19"/>
                <w:color w:val="auto"/>
              </w:rPr>
              <w:t>Honeywell Building Technologies</w:t>
            </w:r>
          </w:p>
        </w:tc>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1,608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1,650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1,621</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Performance Materials and Technologies</w:t>
            </w:r>
          </w:p>
        </w:tc>
        <w:tc>
          <w:tcPr>
            <w:tcW w:w="3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2,328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2,206</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2,112</w:t>
            </w:r>
          </w:p>
        </w:tc>
        <w:tc>
          <w:tcPr>
            <w:tcW w:w="0" w:type="dxa"/>
            <w:vAlign w:val="bottom"/>
          </w:tcPr>
          <w:p>
            <w:pPr>
              <w:spacing w:after="0"/>
              <w:rPr>
                <w:sz w:val="1"/>
                <w:szCs w:val="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9"/>
                <w:szCs w:val="19"/>
                <w:color w:val="auto"/>
              </w:rPr>
              <w:t>Safety and Productivity Solutions</w:t>
            </w:r>
          </w:p>
        </w:tc>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1,032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852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680</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w:t>
            </w:r>
          </w:p>
        </w:tc>
        <w:tc>
          <w:tcPr>
            <w:tcW w:w="3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(281)</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(306)</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(218)</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36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8,190</w:t>
            </w:r>
          </w:p>
        </w:tc>
        <w:tc>
          <w:tcPr>
            <w:tcW w:w="460" w:type="dxa"/>
            <w:vAlign w:val="bottom"/>
            <w:gridSpan w:val="2"/>
          </w:tcPr>
          <w:p>
            <w:pPr>
              <w:ind w:left="30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7,690</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7,186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Capital expenditures</w:t>
            </w:r>
          </w:p>
        </w:tc>
        <w:tc>
          <w:tcPr>
            <w:tcW w:w="34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9"/>
                <w:szCs w:val="19"/>
                <w:color w:val="auto"/>
              </w:rPr>
              <w:t>Aerospace</w:t>
            </w:r>
          </w:p>
        </w:tc>
        <w:tc>
          <w:tcPr>
            <w:tcW w:w="36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308</w:t>
            </w:r>
          </w:p>
        </w:tc>
        <w:tc>
          <w:tcPr>
            <w:tcW w:w="460" w:type="dxa"/>
            <w:vAlign w:val="bottom"/>
            <w:gridSpan w:val="2"/>
          </w:tcPr>
          <w:p>
            <w:pPr>
              <w:ind w:left="30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380</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331</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Honeywell Building Technologies</w:t>
            </w:r>
          </w:p>
        </w:tc>
        <w:tc>
          <w:tcPr>
            <w:tcW w:w="3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125</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88</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92</w:t>
            </w:r>
          </w:p>
        </w:tc>
        <w:tc>
          <w:tcPr>
            <w:tcW w:w="0" w:type="dxa"/>
            <w:vAlign w:val="bottom"/>
          </w:tcPr>
          <w:p>
            <w:pPr>
              <w:spacing w:after="0"/>
              <w:rPr>
                <w:sz w:val="1"/>
                <w:szCs w:val="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9"/>
                <w:szCs w:val="19"/>
                <w:color w:val="auto"/>
              </w:rPr>
              <w:t>Performance Materials and Technologies</w:t>
            </w:r>
          </w:p>
        </w:tc>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254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303</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473</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Safety and Productivity Solutions</w:t>
            </w:r>
          </w:p>
        </w:tc>
        <w:tc>
          <w:tcPr>
            <w:tcW w:w="3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79</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55</w:t>
            </w:r>
          </w:p>
        </w:tc>
        <w:tc>
          <w:tcPr>
            <w:tcW w:w="0" w:type="dxa"/>
            <w:vAlign w:val="bottom"/>
          </w:tcPr>
          <w:p>
            <w:pPr>
              <w:spacing w:after="0"/>
              <w:rPr>
                <w:sz w:val="1"/>
                <w:szCs w:val="1"/>
                <w:color w:val="auto"/>
              </w:rPr>
            </w:pPr>
          </w:p>
        </w:tc>
      </w:tr>
      <w:tr>
        <w:trPr>
          <w:trHeight w:val="250"/>
        </w:trPr>
        <w:tc>
          <w:tcPr>
            <w:tcW w:w="4740" w:type="dxa"/>
            <w:vAlign w:val="bottom"/>
          </w:tcPr>
          <w:p>
            <w:pPr>
              <w:ind w:left="360"/>
              <w:spacing w:after="0"/>
              <w:rPr>
                <w:sz w:val="20"/>
                <w:szCs w:val="20"/>
                <w:color w:val="auto"/>
              </w:rPr>
            </w:pPr>
            <w:r>
              <w:rPr>
                <w:rFonts w:ascii="Arial" w:cs="Arial" w:eastAsia="Arial" w:hAnsi="Arial"/>
                <w:sz w:val="19"/>
                <w:szCs w:val="19"/>
                <w:color w:val="auto"/>
              </w:rPr>
              <w:t>Corporate</w:t>
            </w:r>
          </w:p>
        </w:tc>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181</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144</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spacing w:after="0"/>
              <w:rPr>
                <w:sz w:val="21"/>
                <w:szCs w:val="21"/>
                <w:color w:val="auto"/>
              </w:rPr>
            </w:pPr>
          </w:p>
        </w:tc>
        <w:tc>
          <w:tcPr>
            <w:tcW w:w="3460" w:type="dxa"/>
            <w:vAlign w:val="bottom"/>
            <w:gridSpan w:val="2"/>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828</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1,031</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1,095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4"/>
              <w:spacing w:after="0" w:line="169" w:lineRule="exact"/>
              <w:rPr>
                <w:sz w:val="20"/>
                <w:szCs w:val="20"/>
                <w:color w:val="auto"/>
              </w:rPr>
            </w:pPr>
            <w:r>
              <w:rPr>
                <w:rFonts w:ascii="Arial" w:cs="Arial" w:eastAsia="Arial" w:hAnsi="Arial"/>
                <w:sz w:val="16"/>
                <w:szCs w:val="16"/>
                <w:b w:val="1"/>
                <w:bCs w:val="1"/>
                <w:color w:val="auto"/>
                <w:w w:val="95"/>
              </w:rPr>
              <w:t>2017</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10"/>
        </w:trPr>
        <w:tc>
          <w:tcPr>
            <w:tcW w:w="47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Total Assets</w:t>
            </w:r>
          </w:p>
        </w:tc>
        <w:tc>
          <w:tcPr>
            <w:tcW w:w="34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9"/>
                <w:szCs w:val="19"/>
                <w:color w:val="auto"/>
              </w:rPr>
              <w:t>Aerospace</w:t>
            </w:r>
          </w:p>
        </w:tc>
        <w:tc>
          <w:tcPr>
            <w:tcW w:w="36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11,234</w:t>
            </w:r>
          </w:p>
        </w:tc>
        <w:tc>
          <w:tcPr>
            <w:tcW w:w="1180" w:type="dxa"/>
            <w:vAlign w:val="bottom"/>
            <w:gridSpan w:val="3"/>
          </w:tcPr>
          <w:p>
            <w:pPr>
              <w:ind w:left="300"/>
              <w:spacing w:after="0"/>
              <w:rPr>
                <w:sz w:val="20"/>
                <w:szCs w:val="20"/>
                <w:color w:val="auto"/>
              </w:rPr>
            </w:pPr>
            <w:r>
              <w:rPr>
                <w:rFonts w:ascii="Arial" w:cs="Arial" w:eastAsia="Arial" w:hAnsi="Arial"/>
                <w:sz w:val="19"/>
                <w:szCs w:val="19"/>
                <w:color w:val="auto"/>
              </w:rPr>
              <w:t>$ 11,769</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11,426</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Honeywell Building Technologies</w:t>
            </w:r>
          </w:p>
        </w:tc>
        <w:tc>
          <w:tcPr>
            <w:tcW w:w="3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6,010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10,592</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10,392</w:t>
            </w:r>
          </w:p>
        </w:tc>
        <w:tc>
          <w:tcPr>
            <w:tcW w:w="0" w:type="dxa"/>
            <w:vAlign w:val="bottom"/>
          </w:tcPr>
          <w:p>
            <w:pPr>
              <w:spacing w:after="0"/>
              <w:rPr>
                <w:sz w:val="1"/>
                <w:szCs w:val="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9"/>
                <w:szCs w:val="19"/>
                <w:color w:val="auto"/>
              </w:rPr>
              <w:t>Performance Materials and Technologies</w:t>
            </w:r>
          </w:p>
        </w:tc>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17,827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17,203</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15,835</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Safety and Productivity Solutions</w:t>
            </w:r>
          </w:p>
        </w:tc>
        <w:tc>
          <w:tcPr>
            <w:tcW w:w="3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9,886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9,456</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8,951</w:t>
            </w:r>
          </w:p>
        </w:tc>
        <w:tc>
          <w:tcPr>
            <w:tcW w:w="0" w:type="dxa"/>
            <w:vAlign w:val="bottom"/>
          </w:tcPr>
          <w:p>
            <w:pPr>
              <w:spacing w:after="0"/>
              <w:rPr>
                <w:sz w:val="1"/>
                <w:szCs w:val="1"/>
                <w:color w:val="auto"/>
              </w:rPr>
            </w:pPr>
          </w:p>
        </w:tc>
      </w:tr>
      <w:tr>
        <w:trPr>
          <w:trHeight w:val="250"/>
        </w:trPr>
        <w:tc>
          <w:tcPr>
            <w:tcW w:w="4740" w:type="dxa"/>
            <w:vAlign w:val="bottom"/>
          </w:tcPr>
          <w:p>
            <w:pPr>
              <w:ind w:left="360"/>
              <w:spacing w:after="0"/>
              <w:rPr>
                <w:sz w:val="20"/>
                <w:szCs w:val="20"/>
                <w:color w:val="auto"/>
              </w:rPr>
            </w:pPr>
            <w:r>
              <w:rPr>
                <w:rFonts w:ascii="Arial" w:cs="Arial" w:eastAsia="Arial" w:hAnsi="Arial"/>
                <w:sz w:val="19"/>
                <w:szCs w:val="19"/>
                <w:color w:val="auto"/>
              </w:rPr>
              <w:t>Corporate</w:t>
            </w:r>
          </w:p>
        </w:tc>
        <w:tc>
          <w:tcPr>
            <w:tcW w:w="34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12,816</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10,450</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7,962</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spacing w:after="0"/>
              <w:rPr>
                <w:sz w:val="21"/>
                <w:szCs w:val="21"/>
                <w:color w:val="auto"/>
              </w:rPr>
            </w:pPr>
          </w:p>
        </w:tc>
        <w:tc>
          <w:tcPr>
            <w:tcW w:w="36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57,773</w:t>
            </w:r>
          </w:p>
        </w:tc>
        <w:tc>
          <w:tcPr>
            <w:tcW w:w="1180" w:type="dxa"/>
            <w:vAlign w:val="bottom"/>
            <w:gridSpan w:val="3"/>
            <w:shd w:val="clear" w:color="auto" w:fill="E5FFFF"/>
          </w:tcPr>
          <w:p>
            <w:pPr>
              <w:ind w:left="300"/>
              <w:spacing w:after="0"/>
              <w:rPr>
                <w:sz w:val="20"/>
                <w:szCs w:val="20"/>
                <w:color w:val="auto"/>
              </w:rPr>
            </w:pPr>
            <w:r>
              <w:rPr>
                <w:rFonts w:ascii="Arial" w:cs="Arial" w:eastAsia="Arial" w:hAnsi="Arial"/>
                <w:sz w:val="19"/>
                <w:szCs w:val="19"/>
                <w:color w:val="auto"/>
              </w:rPr>
              <w:t>$ 59,470</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54,566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40" w:type="dxa"/>
            <w:vAlign w:val="bottom"/>
            <w:vMerge w:val="restart"/>
          </w:tcPr>
          <w:p>
            <w:pPr>
              <w:jc w:val="right"/>
              <w:ind w:right="2263"/>
              <w:spacing w:after="0"/>
              <w:rPr>
                <w:sz w:val="20"/>
                <w:szCs w:val="20"/>
                <w:color w:val="auto"/>
              </w:rPr>
            </w:pPr>
            <w:r>
              <w:rPr>
                <w:rFonts w:ascii="Arial" w:cs="Arial" w:eastAsia="Arial" w:hAnsi="Arial"/>
                <w:sz w:val="19"/>
                <w:szCs w:val="19"/>
                <w:color w:val="auto"/>
              </w:rPr>
              <w:t>91</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94" w:name="page95"/>
    <w:bookmarkEnd w:id="94"/>
    <w:p>
      <w:pPr>
        <w:jc w:val="center"/>
        <w:ind w:right="-13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 reconciliation of segment profit to consolidated income from continuing operations before taxes are as follows:</w:t>
      </w: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392"/>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7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4"/>
                <w:szCs w:val="14"/>
                <w:color w:val="auto"/>
              </w:rPr>
            </w:pPr>
          </w:p>
        </w:tc>
        <w:tc>
          <w:tcPr>
            <w:tcW w:w="780" w:type="dxa"/>
            <w:vAlign w:val="bottom"/>
            <w:tcBorders>
              <w:bottom w:val="single" w:sz="8" w:color="auto"/>
            </w:tcBorders>
          </w:tcPr>
          <w:p>
            <w:pPr>
              <w:jc w:val="right"/>
              <w:ind w:right="112"/>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right"/>
              <w:ind w:right="132"/>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7400" w:type="dxa"/>
            <w:vAlign w:val="bottom"/>
            <w:shd w:val="clear" w:color="auto" w:fill="E5FFFF"/>
          </w:tcPr>
          <w:p>
            <w:pPr>
              <w:spacing w:after="0"/>
              <w:rPr>
                <w:sz w:val="20"/>
                <w:szCs w:val="20"/>
                <w:color w:val="auto"/>
              </w:rPr>
            </w:pPr>
            <w:r>
              <w:rPr>
                <w:rFonts w:ascii="Arial" w:cs="Arial" w:eastAsia="Arial" w:hAnsi="Arial"/>
                <w:sz w:val="19"/>
                <w:szCs w:val="19"/>
                <w:color w:val="auto"/>
              </w:rPr>
              <w:t>Segment Profit</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8,190</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$ 7,690</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$ 7,186</w:t>
            </w:r>
          </w:p>
        </w:tc>
      </w:tr>
      <w:tr>
        <w:trPr>
          <w:trHeight w:val="243"/>
        </w:trPr>
        <w:tc>
          <w:tcPr>
            <w:tcW w:w="7400" w:type="dxa"/>
            <w:vAlign w:val="bottom"/>
          </w:tcPr>
          <w:p>
            <w:pPr>
              <w:spacing w:after="0"/>
              <w:rPr>
                <w:sz w:val="20"/>
                <w:szCs w:val="20"/>
                <w:color w:val="auto"/>
              </w:rPr>
            </w:pPr>
            <w:r>
              <w:rPr>
                <w:rFonts w:ascii="Arial" w:cs="Arial" w:eastAsia="Arial" w:hAnsi="Arial"/>
                <w:sz w:val="19"/>
                <w:szCs w:val="19"/>
                <w:color w:val="auto"/>
              </w:rPr>
              <w:t>Interest and other financial charges</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(367)</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(316)</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(338)</w:t>
            </w:r>
          </w:p>
        </w:tc>
      </w:tr>
      <w:tr>
        <w:trPr>
          <w:trHeight w:val="243"/>
        </w:trPr>
        <w:tc>
          <w:tcPr>
            <w:tcW w:w="7400" w:type="dxa"/>
            <w:vAlign w:val="bottom"/>
            <w:shd w:val="clear" w:color="auto" w:fill="E5FFFF"/>
          </w:tcPr>
          <w:p>
            <w:pPr>
              <w:spacing w:after="0"/>
              <w:rPr>
                <w:sz w:val="20"/>
                <w:szCs w:val="20"/>
                <w:color w:val="auto"/>
              </w:rPr>
            </w:pPr>
            <w:r>
              <w:rPr>
                <w:rFonts w:ascii="Arial" w:cs="Arial" w:eastAsia="Arial" w:hAnsi="Arial"/>
                <w:sz w:val="19"/>
                <w:szCs w:val="19"/>
                <w:color w:val="auto"/>
              </w:rPr>
              <w:t>Stock compensation expense</w:t>
            </w:r>
            <w:r>
              <w:rPr>
                <w:rFonts w:ascii="Arial" w:cs="Arial" w:eastAsia="Arial" w:hAnsi="Arial"/>
                <w:sz w:val="10"/>
                <w:szCs w:val="10"/>
                <w:color w:val="auto"/>
              </w:rPr>
              <w:t>(1)</w:t>
            </w: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(175)</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(176)</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(184)</w:t>
            </w:r>
          </w:p>
        </w:tc>
      </w:tr>
      <w:tr>
        <w:trPr>
          <w:trHeight w:val="243"/>
        </w:trPr>
        <w:tc>
          <w:tcPr>
            <w:tcW w:w="7400" w:type="dxa"/>
            <w:vAlign w:val="bottom"/>
          </w:tcPr>
          <w:p>
            <w:pPr>
              <w:spacing w:after="0"/>
              <w:rPr>
                <w:sz w:val="20"/>
                <w:szCs w:val="20"/>
                <w:color w:val="auto"/>
              </w:rPr>
            </w:pPr>
            <w:r>
              <w:rPr>
                <w:rFonts w:ascii="Arial" w:cs="Arial" w:eastAsia="Arial" w:hAnsi="Arial"/>
                <w:sz w:val="19"/>
                <w:szCs w:val="19"/>
                <w:color w:val="auto"/>
              </w:rPr>
              <w:t>Pension ongoing income (expense)</w:t>
            </w:r>
            <w:r>
              <w:rPr>
                <w:rFonts w:ascii="Arial" w:cs="Arial" w:eastAsia="Arial" w:hAnsi="Arial"/>
                <w:sz w:val="10"/>
                <w:szCs w:val="10"/>
                <w:color w:val="auto"/>
              </w:rPr>
              <w:t>(2)</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992</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713</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601</w:t>
            </w:r>
          </w:p>
        </w:tc>
      </w:tr>
      <w:tr>
        <w:trPr>
          <w:trHeight w:val="243"/>
        </w:trPr>
        <w:tc>
          <w:tcPr>
            <w:tcW w:w="7400" w:type="dxa"/>
            <w:vAlign w:val="bottom"/>
            <w:shd w:val="clear" w:color="auto" w:fill="E5FFFF"/>
          </w:tcPr>
          <w:p>
            <w:pPr>
              <w:spacing w:after="0"/>
              <w:rPr>
                <w:sz w:val="20"/>
                <w:szCs w:val="20"/>
                <w:color w:val="auto"/>
              </w:rPr>
            </w:pPr>
            <w:r>
              <w:rPr>
                <w:rFonts w:ascii="Arial" w:cs="Arial" w:eastAsia="Arial" w:hAnsi="Arial"/>
                <w:sz w:val="19"/>
                <w:szCs w:val="19"/>
                <w:color w:val="auto"/>
              </w:rPr>
              <w:t>Pension mark-to-market expense</w:t>
            </w:r>
            <w:r>
              <w:rPr>
                <w:rFonts w:ascii="Arial" w:cs="Arial" w:eastAsia="Arial" w:hAnsi="Arial"/>
                <w:sz w:val="10"/>
                <w:szCs w:val="10"/>
                <w:color w:val="auto"/>
              </w:rPr>
              <w:t>(2)</w:t>
            </w: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(87)</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(273)</w:t>
            </w:r>
          </w:p>
        </w:tc>
      </w:tr>
      <w:tr>
        <w:trPr>
          <w:trHeight w:val="243"/>
        </w:trPr>
        <w:tc>
          <w:tcPr>
            <w:tcW w:w="7400" w:type="dxa"/>
            <w:vAlign w:val="bottom"/>
          </w:tcPr>
          <w:p>
            <w:pPr>
              <w:spacing w:after="0"/>
              <w:rPr>
                <w:sz w:val="20"/>
                <w:szCs w:val="20"/>
                <w:color w:val="auto"/>
              </w:rPr>
            </w:pPr>
            <w:r>
              <w:rPr>
                <w:rFonts w:ascii="Arial" w:cs="Arial" w:eastAsia="Arial" w:hAnsi="Arial"/>
                <w:sz w:val="19"/>
                <w:szCs w:val="19"/>
                <w:color w:val="auto"/>
              </w:rPr>
              <w:t>Other postretirement income (expense)</w:t>
            </w:r>
            <w:r>
              <w:rPr>
                <w:rFonts w:ascii="Arial" w:cs="Arial" w:eastAsia="Arial" w:hAnsi="Arial"/>
                <w:sz w:val="10"/>
                <w:szCs w:val="10"/>
                <w:color w:val="auto"/>
              </w:rPr>
              <w:t>(2)</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32</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21</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32</w:t>
            </w:r>
          </w:p>
        </w:tc>
      </w:tr>
      <w:tr>
        <w:trPr>
          <w:trHeight w:val="243"/>
        </w:trPr>
        <w:tc>
          <w:tcPr>
            <w:tcW w:w="7400" w:type="dxa"/>
            <w:vAlign w:val="bottom"/>
            <w:shd w:val="clear" w:color="auto" w:fill="E5FFFF"/>
          </w:tcPr>
          <w:p>
            <w:pPr>
              <w:spacing w:after="0"/>
              <w:rPr>
                <w:sz w:val="20"/>
                <w:szCs w:val="20"/>
                <w:color w:val="auto"/>
              </w:rPr>
            </w:pPr>
            <w:r>
              <w:rPr>
                <w:rFonts w:ascii="Arial" w:cs="Arial" w:eastAsia="Arial" w:hAnsi="Arial"/>
                <w:sz w:val="19"/>
                <w:szCs w:val="19"/>
                <w:color w:val="auto"/>
              </w:rPr>
              <w:t>Repositioning and other charges</w:t>
            </w:r>
            <w:r>
              <w:rPr>
                <w:rFonts w:ascii="Arial" w:cs="Arial" w:eastAsia="Arial" w:hAnsi="Arial"/>
                <w:sz w:val="10"/>
                <w:szCs w:val="10"/>
                <w:color w:val="auto"/>
              </w:rPr>
              <w:t>(3)</w:t>
            </w: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(1,091)</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(973)</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(690)</w:t>
            </w:r>
          </w:p>
        </w:tc>
      </w:tr>
      <w:tr>
        <w:trPr>
          <w:trHeight w:val="250"/>
        </w:trPr>
        <w:tc>
          <w:tcPr>
            <w:tcW w:w="7400" w:type="dxa"/>
            <w:vAlign w:val="bottom"/>
          </w:tcPr>
          <w:p>
            <w:pPr>
              <w:spacing w:after="0"/>
              <w:rPr>
                <w:sz w:val="20"/>
                <w:szCs w:val="20"/>
                <w:color w:val="auto"/>
              </w:rPr>
            </w:pPr>
            <w:r>
              <w:rPr>
                <w:rFonts w:ascii="Arial" w:cs="Arial" w:eastAsia="Arial" w:hAnsi="Arial"/>
                <w:sz w:val="19"/>
                <w:szCs w:val="19"/>
                <w:color w:val="auto"/>
              </w:rPr>
              <w:t>Other</w:t>
            </w:r>
            <w:r>
              <w:rPr>
                <w:rFonts w:ascii="Arial" w:cs="Arial" w:eastAsia="Arial" w:hAnsi="Arial"/>
                <w:sz w:val="10"/>
                <w:szCs w:val="10"/>
                <w:color w:val="auto"/>
              </w:rPr>
              <w:t>(4)</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(57)</w:t>
            </w:r>
          </w:p>
        </w:tc>
        <w:tc>
          <w:tcPr>
            <w:tcW w:w="2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w:t>
            </w:r>
          </w:p>
        </w:tc>
        <w:tc>
          <w:tcPr>
            <w:tcW w:w="3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118</w:t>
            </w:r>
          </w:p>
        </w:tc>
      </w:tr>
      <w:tr>
        <w:trPr>
          <w:trHeight w:val="243"/>
        </w:trPr>
        <w:tc>
          <w:tcPr>
            <w:tcW w:w="7400" w:type="dxa"/>
            <w:vAlign w:val="bottom"/>
            <w:shd w:val="clear" w:color="auto" w:fill="E5FFFF"/>
          </w:tcPr>
          <w:p>
            <w:pPr>
              <w:spacing w:after="0"/>
              <w:rPr>
                <w:sz w:val="20"/>
                <w:szCs w:val="20"/>
                <w:color w:val="auto"/>
              </w:rPr>
            </w:pPr>
            <w:r>
              <w:rPr>
                <w:rFonts w:ascii="Arial" w:cs="Arial" w:eastAsia="Arial" w:hAnsi="Arial"/>
                <w:sz w:val="19"/>
                <w:szCs w:val="19"/>
                <w:color w:val="auto"/>
              </w:rPr>
              <w:t>Income before taxes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7,487</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$ 6,950</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$ 6,452</w:t>
            </w:r>
          </w:p>
        </w:tc>
      </w:tr>
      <w:tr>
        <w:trPr>
          <w:trHeight w:val="20"/>
        </w:trPr>
        <w:tc>
          <w:tcPr>
            <w:tcW w:w="7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ind w:left="420" w:hanging="338"/>
        <w:spacing w:after="0"/>
        <w:tabs>
          <w:tab w:leader="none" w:pos="4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Amounts included in Selling, general and administrative expenses.</w:t>
      </w:r>
    </w:p>
    <w:p>
      <w:pPr>
        <w:spacing w:after="0" w:line="92" w:lineRule="exact"/>
        <w:rPr>
          <w:rFonts w:ascii="Arial" w:cs="Arial" w:eastAsia="Arial" w:hAnsi="Arial"/>
          <w:sz w:val="19"/>
          <w:szCs w:val="19"/>
          <w:color w:val="auto"/>
        </w:rPr>
      </w:pPr>
    </w:p>
    <w:p>
      <w:pPr>
        <w:ind w:left="420" w:right="140" w:hanging="338"/>
        <w:spacing w:after="0" w:line="253" w:lineRule="auto"/>
        <w:tabs>
          <w:tab w:leader="none" w:pos="4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Amounts included in Cost of products and services sold and Selling, general and administrative expenses (service costs) and Other income/expense (non-service cost components).</w:t>
      </w:r>
    </w:p>
    <w:p>
      <w:pPr>
        <w:spacing w:after="0" w:line="66" w:lineRule="exact"/>
        <w:rPr>
          <w:rFonts w:ascii="Arial" w:cs="Arial" w:eastAsia="Arial" w:hAnsi="Arial"/>
          <w:sz w:val="19"/>
          <w:szCs w:val="19"/>
          <w:color w:val="auto"/>
        </w:rPr>
      </w:pPr>
    </w:p>
    <w:p>
      <w:pPr>
        <w:ind w:left="420" w:right="1180" w:hanging="338"/>
        <w:spacing w:after="0" w:line="253" w:lineRule="auto"/>
        <w:tabs>
          <w:tab w:leader="none" w:pos="4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Amounts included in Cost of products and services sold, Selling, general and administrative expenses, and Other income/expense.</w:t>
      </w:r>
    </w:p>
    <w:p>
      <w:pPr>
        <w:spacing w:after="0" w:line="66" w:lineRule="exact"/>
        <w:rPr>
          <w:rFonts w:ascii="Arial" w:cs="Arial" w:eastAsia="Arial" w:hAnsi="Arial"/>
          <w:sz w:val="19"/>
          <w:szCs w:val="19"/>
          <w:color w:val="auto"/>
        </w:rPr>
      </w:pPr>
    </w:p>
    <w:p>
      <w:pPr>
        <w:ind w:left="420" w:right="380" w:hanging="338"/>
        <w:spacing w:after="0" w:line="253" w:lineRule="auto"/>
        <w:tabs>
          <w:tab w:leader="none" w:pos="4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Amounts include the other components of Other income/expense not included within other categories in this reconciliation. Equity income/loss of affiliated companies is included in segment profit.</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23. Geographic Areas—Financial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Net Sales</w:t>
            </w:r>
            <w:r>
              <w:rPr>
                <w:rFonts w:ascii="Arial" w:cs="Arial" w:eastAsia="Arial" w:hAnsi="Arial"/>
                <w:sz w:val="8"/>
                <w:szCs w:val="8"/>
                <w:b w:val="1"/>
                <w:bCs w:val="1"/>
                <w:color w:val="auto"/>
              </w:rPr>
              <w:t>(1)</w:t>
            </w: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8"/>
              </w:rPr>
              <w:t>Long-lived Assets</w:t>
            </w:r>
            <w:r>
              <w:rPr>
                <w:rFonts w:ascii="Arial" w:cs="Arial" w:eastAsia="Arial" w:hAnsi="Arial"/>
                <w:sz w:val="8"/>
                <w:szCs w:val="8"/>
                <w:b w:val="1"/>
                <w:bCs w:val="1"/>
                <w:color w:val="auto"/>
                <w:w w:val="98"/>
              </w:rPr>
              <w:t>(2)</w:t>
            </w:r>
          </w:p>
        </w:tc>
        <w:tc>
          <w:tcPr>
            <w:tcW w:w="620" w:type="dxa"/>
            <w:vAlign w:val="bottom"/>
            <w:tcBorders>
              <w:bottom w:val="single" w:sz="8" w:color="auto"/>
            </w:tcBorders>
          </w:tcPr>
          <w:p>
            <w:pPr>
              <w:spacing w:after="0"/>
              <w:rPr>
                <w:sz w:val="16"/>
                <w:szCs w:val="16"/>
                <w:color w:val="auto"/>
              </w:rPr>
            </w:pPr>
          </w:p>
        </w:tc>
      </w:tr>
      <w:tr>
        <w:trPr>
          <w:trHeight w:val="169"/>
        </w:trPr>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7"/>
          </w:tcPr>
          <w:p>
            <w:pPr>
              <w:jc w:val="right"/>
              <w:ind w:right="527"/>
              <w:spacing w:after="0" w:line="169" w:lineRule="exact"/>
              <w:rPr>
                <w:sz w:val="20"/>
                <w:szCs w:val="20"/>
                <w:color w:val="auto"/>
              </w:rPr>
            </w:pPr>
            <w:r>
              <w:rPr>
                <w:rFonts w:ascii="Arial" w:cs="Arial" w:eastAsia="Arial" w:hAnsi="Arial"/>
                <w:sz w:val="16"/>
                <w:szCs w:val="16"/>
                <w:b w:val="1"/>
                <w:bCs w:val="1"/>
                <w:color w:val="auto"/>
              </w:rPr>
              <w:t>Years Ended December 31,</w:t>
            </w:r>
          </w:p>
        </w:tc>
        <w:tc>
          <w:tcPr>
            <w:tcW w:w="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line="169" w:lineRule="exact"/>
              <w:rPr>
                <w:sz w:val="20"/>
                <w:szCs w:val="20"/>
                <w:color w:val="auto"/>
              </w:rPr>
            </w:pPr>
            <w:r>
              <w:rPr>
                <w:rFonts w:ascii="Arial" w:cs="Arial" w:eastAsia="Arial" w:hAnsi="Arial"/>
                <w:sz w:val="16"/>
                <w:szCs w:val="16"/>
                <w:b w:val="1"/>
                <w:bCs w:val="1"/>
                <w:color w:val="auto"/>
                <w:w w:val="97"/>
              </w:rPr>
              <w:t>December 31,</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69"/>
        </w:trPr>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9"/>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7"/>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7"/>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720" w:type="dxa"/>
            <w:vAlign w:val="bottom"/>
            <w:tcBorders>
              <w:bottom w:val="single" w:sz="8" w:color="auto"/>
            </w:tcBorders>
          </w:tcPr>
          <w:p>
            <w:pPr>
              <w:jc w:val="right"/>
              <w:ind w:right="72"/>
              <w:spacing w:after="0" w:line="169" w:lineRule="exact"/>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ind w:right="112"/>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7"/>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500" w:type="dxa"/>
            <w:vAlign w:val="bottom"/>
          </w:tcPr>
          <w:p>
            <w:pPr>
              <w:spacing w:after="0"/>
              <w:rPr>
                <w:sz w:val="20"/>
                <w:szCs w:val="20"/>
                <w:color w:val="auto"/>
              </w:rPr>
            </w:pPr>
          </w:p>
        </w:tc>
        <w:tc>
          <w:tcPr>
            <w:tcW w:w="39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United States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23,841</w:t>
            </w:r>
          </w:p>
        </w:tc>
        <w:tc>
          <w:tcPr>
            <w:tcW w:w="480" w:type="dxa"/>
            <w:vAlign w:val="bottom"/>
            <w:gridSpan w:val="2"/>
            <w:shd w:val="clear" w:color="auto" w:fill="E5FFFF"/>
          </w:tcPr>
          <w:p>
            <w:pPr>
              <w:ind w:left="32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22,722</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22,652</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$ 3,601</w:t>
            </w:r>
          </w:p>
        </w:tc>
        <w:tc>
          <w:tcPr>
            <w:tcW w:w="11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$ 3,604</w:t>
            </w:r>
          </w:p>
        </w:tc>
        <w:tc>
          <w:tcPr>
            <w:tcW w:w="300" w:type="dxa"/>
            <w:vAlign w:val="bottom"/>
            <w:shd w:val="clear" w:color="auto" w:fill="E5FFFF"/>
          </w:tcPr>
          <w:p>
            <w:pPr>
              <w:spacing w:after="0"/>
              <w:rPr>
                <w:sz w:val="20"/>
                <w:szCs w:val="20"/>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3,744</w:t>
            </w:r>
          </w:p>
        </w:tc>
      </w:tr>
      <w:tr>
        <w:trPr>
          <w:trHeight w:val="243"/>
        </w:trPr>
        <w:tc>
          <w:tcPr>
            <w:tcW w:w="500" w:type="dxa"/>
            <w:vAlign w:val="bottom"/>
          </w:tcPr>
          <w:p>
            <w:pPr>
              <w:spacing w:after="0"/>
              <w:rPr>
                <w:sz w:val="21"/>
                <w:szCs w:val="21"/>
                <w:color w:val="auto"/>
              </w:rPr>
            </w:pPr>
          </w:p>
        </w:tc>
        <w:tc>
          <w:tcPr>
            <w:tcW w:w="3960" w:type="dxa"/>
            <w:vAlign w:val="bottom"/>
            <w:gridSpan w:val="2"/>
          </w:tcPr>
          <w:p>
            <w:pPr>
              <w:spacing w:after="0"/>
              <w:rPr>
                <w:sz w:val="20"/>
                <w:szCs w:val="20"/>
                <w:color w:val="auto"/>
              </w:rPr>
            </w:pPr>
            <w:r>
              <w:rPr>
                <w:rFonts w:ascii="Arial" w:cs="Arial" w:eastAsia="Arial" w:hAnsi="Arial"/>
                <w:sz w:val="19"/>
                <w:szCs w:val="19"/>
                <w:color w:val="auto"/>
              </w:rPr>
              <w:t>Europe</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10,066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10,400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9,966</w:t>
            </w:r>
          </w:p>
        </w:tc>
        <w:tc>
          <w:tcPr>
            <w:tcW w:w="1000" w:type="dxa"/>
            <w:vAlign w:val="bottom"/>
            <w:gridSpan w:val="2"/>
          </w:tcPr>
          <w:p>
            <w:pPr>
              <w:jc w:val="right"/>
              <w:spacing w:after="0"/>
              <w:rPr>
                <w:sz w:val="20"/>
                <w:szCs w:val="20"/>
                <w:color w:val="auto"/>
              </w:rPr>
            </w:pPr>
            <w:r>
              <w:rPr>
                <w:rFonts w:ascii="Arial" w:cs="Arial" w:eastAsia="Arial" w:hAnsi="Arial"/>
                <w:sz w:val="19"/>
                <w:szCs w:val="19"/>
                <w:color w:val="auto"/>
              </w:rPr>
              <w:t>571</w:t>
            </w:r>
          </w:p>
        </w:tc>
        <w:tc>
          <w:tcPr>
            <w:tcW w:w="1100" w:type="dxa"/>
            <w:vAlign w:val="bottom"/>
            <w:gridSpan w:val="3"/>
          </w:tcPr>
          <w:p>
            <w:pPr>
              <w:jc w:val="right"/>
              <w:spacing w:after="0"/>
              <w:rPr>
                <w:sz w:val="20"/>
                <w:szCs w:val="20"/>
                <w:color w:val="auto"/>
              </w:rPr>
            </w:pPr>
            <w:r>
              <w:rPr>
                <w:rFonts w:ascii="Arial" w:cs="Arial" w:eastAsia="Arial" w:hAnsi="Arial"/>
                <w:sz w:val="19"/>
                <w:szCs w:val="19"/>
                <w:color w:val="auto"/>
              </w:rPr>
              <w:t>927</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741</w:t>
            </w:r>
          </w:p>
        </w:tc>
      </w:tr>
      <w:tr>
        <w:trPr>
          <w:trHeight w:val="243"/>
        </w:trPr>
        <w:tc>
          <w:tcPr>
            <w:tcW w:w="500" w:type="dxa"/>
            <w:vAlign w:val="bottom"/>
          </w:tcPr>
          <w:p>
            <w:pPr>
              <w:spacing w:after="0"/>
              <w:rPr>
                <w:sz w:val="21"/>
                <w:szCs w:val="21"/>
                <w:color w:val="auto"/>
              </w:rPr>
            </w:pPr>
          </w:p>
        </w:tc>
        <w:tc>
          <w:tcPr>
            <w:tcW w:w="39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Other International</w:t>
            </w: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7,895</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7,412</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6,684</w:t>
            </w:r>
          </w:p>
        </w:tc>
        <w:tc>
          <w:tcPr>
            <w:tcW w:w="280" w:type="dxa"/>
            <w:vAlign w:val="bottom"/>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1,124</w:t>
            </w:r>
          </w:p>
        </w:tc>
        <w:tc>
          <w:tcPr>
            <w:tcW w:w="4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1,395</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1,308</w:t>
            </w:r>
          </w:p>
        </w:tc>
      </w:tr>
      <w:tr>
        <w:trPr>
          <w:trHeight w:val="250"/>
        </w:trPr>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41,802</w:t>
            </w:r>
          </w:p>
        </w:tc>
        <w:tc>
          <w:tcPr>
            <w:tcW w:w="480" w:type="dxa"/>
            <w:vAlign w:val="bottom"/>
            <w:gridSpan w:val="2"/>
          </w:tcPr>
          <w:p>
            <w:pPr>
              <w:ind w:left="32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40,534</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39,302</w:t>
            </w:r>
          </w:p>
        </w:tc>
        <w:tc>
          <w:tcPr>
            <w:tcW w:w="1000" w:type="dxa"/>
            <w:vAlign w:val="bottom"/>
            <w:gridSpan w:val="2"/>
          </w:tcPr>
          <w:p>
            <w:pPr>
              <w:jc w:val="right"/>
              <w:spacing w:after="0"/>
              <w:rPr>
                <w:sz w:val="20"/>
                <w:szCs w:val="20"/>
                <w:color w:val="auto"/>
              </w:rPr>
            </w:pPr>
            <w:r>
              <w:rPr>
                <w:rFonts w:ascii="Arial" w:cs="Arial" w:eastAsia="Arial" w:hAnsi="Arial"/>
                <w:sz w:val="19"/>
                <w:szCs w:val="19"/>
                <w:color w:val="auto"/>
              </w:rPr>
              <w:t>$ 5,296</w:t>
            </w:r>
          </w:p>
        </w:tc>
        <w:tc>
          <w:tcPr>
            <w:tcW w:w="1100" w:type="dxa"/>
            <w:vAlign w:val="bottom"/>
            <w:gridSpan w:val="3"/>
          </w:tcPr>
          <w:p>
            <w:pPr>
              <w:jc w:val="right"/>
              <w:spacing w:after="0"/>
              <w:rPr>
                <w:sz w:val="20"/>
                <w:szCs w:val="20"/>
                <w:color w:val="auto"/>
              </w:rPr>
            </w:pPr>
            <w:r>
              <w:rPr>
                <w:rFonts w:ascii="Arial" w:cs="Arial" w:eastAsia="Arial" w:hAnsi="Arial"/>
                <w:sz w:val="19"/>
                <w:szCs w:val="19"/>
                <w:color w:val="auto"/>
              </w:rPr>
              <w:t>$ 5,926</w:t>
            </w:r>
          </w:p>
        </w:tc>
        <w:tc>
          <w:tcPr>
            <w:tcW w:w="3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5,793</w:t>
            </w: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bl>
    <w:p>
      <w:pPr>
        <w:spacing w:after="0" w:line="162" w:lineRule="exact"/>
        <w:rPr>
          <w:sz w:val="20"/>
          <w:szCs w:val="20"/>
          <w:color w:val="auto"/>
        </w:rPr>
      </w:pPr>
    </w:p>
    <w:p>
      <w:pPr>
        <w:jc w:val="both"/>
        <w:ind w:left="420" w:hanging="338"/>
        <w:spacing w:after="0" w:line="245" w:lineRule="auto"/>
        <w:tabs>
          <w:tab w:leader="none" w:pos="4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Sales between geographic areas approximate market and are not significant. Net sales are classified according to their country of origin. Included in United States net sales are export sales of $5,293 million, $4,974 million and $5,290 million in 2018, 2017 and 2016.</w:t>
      </w:r>
    </w:p>
    <w:p>
      <w:pPr>
        <w:spacing w:after="0" w:line="73" w:lineRule="exact"/>
        <w:rPr>
          <w:rFonts w:ascii="Arial" w:cs="Arial" w:eastAsia="Arial" w:hAnsi="Arial"/>
          <w:sz w:val="19"/>
          <w:szCs w:val="19"/>
          <w:color w:val="auto"/>
        </w:rPr>
      </w:pPr>
    </w:p>
    <w:p>
      <w:pPr>
        <w:ind w:left="420" w:hanging="338"/>
        <w:spacing w:after="0"/>
        <w:tabs>
          <w:tab w:leader="none" w:pos="4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Long-lived assets are comprised of property, plant and equipment - net.</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58" w:right="379" w:bottom="1440" w:gutter="0" w:footer="0" w:header="0"/>
        </w:sectPr>
      </w:pPr>
    </w:p>
    <w:bookmarkStart w:id="95" w:name="page96"/>
    <w:bookmarkEnd w:id="9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24. Supplemental Cash Flow Information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14"/>
          </w:tcPr>
          <w:p>
            <w:pPr>
              <w:jc w:val="right"/>
              <w:ind w:right="960"/>
              <w:spacing w:after="0"/>
              <w:rPr>
                <w:sz w:val="20"/>
                <w:szCs w:val="20"/>
                <w:color w:val="auto"/>
              </w:rPr>
            </w:pPr>
            <w:r>
              <w:rPr>
                <w:rFonts w:ascii="Arial" w:cs="Arial" w:eastAsia="Arial" w:hAnsi="Arial"/>
                <w:sz w:val="16"/>
                <w:szCs w:val="16"/>
                <w:b w:val="1"/>
                <w:bCs w:val="1"/>
                <w:color w:val="auto"/>
                <w:w w:val="98"/>
              </w:rPr>
              <w:t>Years Ended December 31,</w:t>
            </w: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4"/>
          </w:tcPr>
          <w:p>
            <w:pPr>
              <w:jc w:val="right"/>
              <w:ind w:right="107"/>
              <w:spacing w:after="0" w:line="169" w:lineRule="exact"/>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3"/>
          </w:tcPr>
          <w:p>
            <w:pPr>
              <w:jc w:val="right"/>
              <w:ind w:right="115"/>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gridSpan w:val="3"/>
          </w:tcPr>
          <w:p>
            <w:pPr>
              <w:jc w:val="right"/>
              <w:ind w:right="141"/>
              <w:spacing w:after="0" w:line="169" w:lineRule="exact"/>
              <w:rPr>
                <w:sz w:val="20"/>
                <w:szCs w:val="20"/>
                <w:color w:val="auto"/>
              </w:rPr>
            </w:pPr>
            <w:r>
              <w:rPr>
                <w:rFonts w:ascii="Arial" w:cs="Arial" w:eastAsia="Arial" w:hAnsi="Arial"/>
                <w:sz w:val="16"/>
                <w:szCs w:val="16"/>
                <w:b w:val="1"/>
                <w:bCs w:val="1"/>
                <w:color w:val="auto"/>
                <w:w w:val="95"/>
              </w:rPr>
              <w:t>2016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40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Net payments for repositioning and other charges:</w:t>
            </w:r>
          </w:p>
        </w:tc>
        <w:tc>
          <w:tcPr>
            <w:tcW w:w="18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0" w:type="dxa"/>
            <w:vAlign w:val="bottom"/>
          </w:tcPr>
          <w:p>
            <w:pPr>
              <w:ind w:left="360"/>
              <w:spacing w:after="0" w:line="216" w:lineRule="exact"/>
              <w:rPr>
                <w:sz w:val="20"/>
                <w:szCs w:val="20"/>
                <w:color w:val="auto"/>
              </w:rPr>
            </w:pPr>
            <w:r>
              <w:rPr>
                <w:rFonts w:ascii="Arial" w:cs="Arial" w:eastAsia="Arial" w:hAnsi="Arial"/>
                <w:sz w:val="19"/>
                <w:szCs w:val="19"/>
                <w:color w:val="auto"/>
              </w:rPr>
              <w:t>Severance and exit cost payments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spacing w:after="0" w:line="216" w:lineRule="exact"/>
              <w:rPr>
                <w:sz w:val="20"/>
                <w:szCs w:val="20"/>
                <w:color w:val="auto"/>
              </w:rPr>
            </w:pPr>
            <w:r>
              <w:rPr>
                <w:rFonts w:ascii="Arial" w:cs="Arial" w:eastAsia="Arial" w:hAnsi="Arial"/>
                <w:sz w:val="19"/>
                <w:szCs w:val="19"/>
                <w:color w:val="auto"/>
              </w:rPr>
              <w:t>$</w:t>
            </w:r>
          </w:p>
        </w:tc>
        <w:tc>
          <w:tcPr>
            <w:tcW w:w="600" w:type="dxa"/>
            <w:vAlign w:val="bottom"/>
            <w:gridSpan w:val="4"/>
          </w:tcPr>
          <w:p>
            <w:pPr>
              <w:jc w:val="right"/>
              <w:spacing w:after="0" w:line="216" w:lineRule="exact"/>
              <w:rPr>
                <w:sz w:val="20"/>
                <w:szCs w:val="20"/>
                <w:color w:val="auto"/>
              </w:rPr>
            </w:pPr>
            <w:r>
              <w:rPr>
                <w:rFonts w:ascii="Arial" w:cs="Arial" w:eastAsia="Arial" w:hAnsi="Arial"/>
                <w:sz w:val="19"/>
                <w:szCs w:val="19"/>
                <w:color w:val="auto"/>
              </w:rPr>
              <w:t>(285)</w:t>
            </w:r>
          </w:p>
        </w:tc>
        <w:tc>
          <w:tcPr>
            <w:tcW w:w="300" w:type="dxa"/>
            <w:vAlign w:val="bottom"/>
          </w:tcPr>
          <w:p>
            <w:pPr>
              <w:spacing w:after="0"/>
              <w:rPr>
                <w:sz w:val="18"/>
                <w:szCs w:val="18"/>
                <w:color w:val="auto"/>
              </w:rPr>
            </w:pPr>
          </w:p>
        </w:tc>
        <w:tc>
          <w:tcPr>
            <w:tcW w:w="160" w:type="dxa"/>
            <w:vAlign w:val="bottom"/>
            <w:gridSpan w:val="2"/>
          </w:tcPr>
          <w:p>
            <w:pPr>
              <w:jc w:val="right"/>
              <w:ind w:right="40"/>
              <w:spacing w:after="0" w:line="216" w:lineRule="exact"/>
              <w:rPr>
                <w:sz w:val="20"/>
                <w:szCs w:val="20"/>
                <w:color w:val="auto"/>
              </w:rPr>
            </w:pPr>
            <w:r>
              <w:rPr>
                <w:rFonts w:ascii="Arial" w:cs="Arial" w:eastAsia="Arial" w:hAnsi="Arial"/>
                <w:sz w:val="19"/>
                <w:szCs w:val="19"/>
                <w:color w:val="auto"/>
                <w:w w:val="94"/>
              </w:rPr>
              <w:t>$</w:t>
            </w:r>
          </w:p>
        </w:tc>
        <w:tc>
          <w:tcPr>
            <w:tcW w:w="600" w:type="dxa"/>
            <w:vAlign w:val="bottom"/>
            <w:gridSpan w:val="3"/>
          </w:tcPr>
          <w:p>
            <w:pPr>
              <w:jc w:val="right"/>
              <w:spacing w:after="0" w:line="216" w:lineRule="exact"/>
              <w:rPr>
                <w:sz w:val="20"/>
                <w:szCs w:val="20"/>
                <w:color w:val="auto"/>
              </w:rPr>
            </w:pPr>
            <w:r>
              <w:rPr>
                <w:rFonts w:ascii="Arial" w:cs="Arial" w:eastAsia="Arial" w:hAnsi="Arial"/>
                <w:sz w:val="19"/>
                <w:szCs w:val="19"/>
                <w:color w:val="auto"/>
              </w:rPr>
              <w:t>(177)</w:t>
            </w:r>
          </w:p>
        </w:tc>
        <w:tc>
          <w:tcPr>
            <w:tcW w:w="520" w:type="dxa"/>
            <w:vAlign w:val="bottom"/>
            <w:gridSpan w:val="3"/>
          </w:tcPr>
          <w:p>
            <w:pPr>
              <w:jc w:val="right"/>
              <w:ind w:right="80"/>
              <w:spacing w:after="0" w:line="216" w:lineRule="exact"/>
              <w:rPr>
                <w:sz w:val="20"/>
                <w:szCs w:val="20"/>
                <w:color w:val="auto"/>
              </w:rPr>
            </w:pPr>
            <w:r>
              <w:rPr>
                <w:rFonts w:ascii="Arial" w:cs="Arial" w:eastAsia="Arial" w:hAnsi="Arial"/>
                <w:sz w:val="19"/>
                <w:szCs w:val="19"/>
                <w:color w:val="auto"/>
              </w:rPr>
              <w:t>$</w:t>
            </w:r>
          </w:p>
        </w:tc>
        <w:tc>
          <w:tcPr>
            <w:tcW w:w="580" w:type="dxa"/>
            <w:vAlign w:val="bottom"/>
            <w:gridSpan w:val="3"/>
          </w:tcPr>
          <w:p>
            <w:pPr>
              <w:jc w:val="right"/>
              <w:spacing w:after="0" w:line="216" w:lineRule="exact"/>
              <w:rPr>
                <w:sz w:val="20"/>
                <w:szCs w:val="20"/>
                <w:color w:val="auto"/>
              </w:rPr>
            </w:pPr>
            <w:r>
              <w:rPr>
                <w:rFonts w:ascii="Arial" w:cs="Arial" w:eastAsia="Arial" w:hAnsi="Arial"/>
                <w:sz w:val="19"/>
                <w:szCs w:val="19"/>
                <w:color w:val="auto"/>
              </w:rPr>
              <w:t>(228)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4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Environmental payments</w:t>
            </w: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(218)</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(212)</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(228)</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400" w:type="dxa"/>
            <w:vAlign w:val="bottom"/>
          </w:tcPr>
          <w:p>
            <w:pPr>
              <w:ind w:left="360"/>
              <w:spacing w:after="0"/>
              <w:rPr>
                <w:sz w:val="20"/>
                <w:szCs w:val="20"/>
                <w:color w:val="auto"/>
              </w:rPr>
            </w:pPr>
            <w:r>
              <w:rPr>
                <w:rFonts w:ascii="Arial" w:cs="Arial" w:eastAsia="Arial" w:hAnsi="Arial"/>
                <w:sz w:val="19"/>
                <w:szCs w:val="19"/>
                <w:color w:val="auto"/>
              </w:rPr>
              <w:t>Indemnity receipts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67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3"/>
          </w:tcPr>
          <w:p>
            <w:pPr>
              <w:jc w:val="right"/>
              <w:ind w:right="6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4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Insurance receipts for asbestos related liabilities</w:t>
            </w: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38</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27</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43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5400" w:type="dxa"/>
            <w:vAlign w:val="bottom"/>
          </w:tcPr>
          <w:p>
            <w:pPr>
              <w:ind w:left="360"/>
              <w:spacing w:after="0"/>
              <w:rPr>
                <w:sz w:val="20"/>
                <w:szCs w:val="20"/>
                <w:color w:val="auto"/>
              </w:rPr>
            </w:pPr>
            <w:r>
              <w:rPr>
                <w:rFonts w:ascii="Arial" w:cs="Arial" w:eastAsia="Arial" w:hAnsi="Arial"/>
                <w:sz w:val="19"/>
                <w:szCs w:val="19"/>
                <w:color w:val="auto"/>
              </w:rPr>
              <w:t>Asbestos related liability payments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color w:val="auto"/>
              </w:rPr>
              <w:t>(254)</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(266)</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(212)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40" w:type="dxa"/>
            <w:vAlign w:val="bottom"/>
            <w:gridSpan w:val="2"/>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jc w:val="right"/>
              <w:spacing w:after="0" w:line="216" w:lineRule="exact"/>
              <w:rPr>
                <w:sz w:val="20"/>
                <w:szCs w:val="20"/>
                <w:color w:val="auto"/>
              </w:rPr>
            </w:pPr>
            <w:r>
              <w:rPr>
                <w:rFonts w:ascii="Arial" w:cs="Arial" w:eastAsia="Arial" w:hAnsi="Arial"/>
                <w:sz w:val="19"/>
                <w:szCs w:val="19"/>
                <w:color w:val="auto"/>
              </w:rPr>
              <w:t>$</w:t>
            </w:r>
          </w:p>
        </w:tc>
        <w:tc>
          <w:tcPr>
            <w:tcW w:w="600" w:type="dxa"/>
            <w:vAlign w:val="bottom"/>
            <w:tcBorders>
              <w:bottom w:val="single" w:sz="8" w:color="auto"/>
            </w:tcBorders>
            <w:gridSpan w:val="4"/>
            <w:shd w:val="clear" w:color="auto" w:fill="E5FFFF"/>
          </w:tcPr>
          <w:p>
            <w:pPr>
              <w:jc w:val="right"/>
              <w:spacing w:after="0" w:line="216" w:lineRule="exact"/>
              <w:rPr>
                <w:sz w:val="20"/>
                <w:szCs w:val="20"/>
                <w:color w:val="auto"/>
              </w:rPr>
            </w:pPr>
            <w:r>
              <w:rPr>
                <w:rFonts w:ascii="Arial" w:cs="Arial" w:eastAsia="Arial" w:hAnsi="Arial"/>
                <w:sz w:val="19"/>
                <w:szCs w:val="19"/>
                <w:color w:val="auto"/>
              </w:rPr>
              <w:t>(652)</w:t>
            </w:r>
          </w:p>
        </w:tc>
        <w:tc>
          <w:tcPr>
            <w:tcW w:w="300" w:type="dxa"/>
            <w:vAlign w:val="bottom"/>
            <w:shd w:val="clear" w:color="auto" w:fill="E5FFFF"/>
          </w:tcPr>
          <w:p>
            <w:pPr>
              <w:spacing w:after="0"/>
              <w:rPr>
                <w:sz w:val="18"/>
                <w:szCs w:val="18"/>
                <w:color w:val="auto"/>
              </w:rPr>
            </w:pPr>
          </w:p>
        </w:tc>
        <w:tc>
          <w:tcPr>
            <w:tcW w:w="160" w:type="dxa"/>
            <w:vAlign w:val="bottom"/>
            <w:tcBorders>
              <w:bottom w:val="single" w:sz="8" w:color="auto"/>
            </w:tcBorders>
            <w:gridSpan w:val="2"/>
            <w:shd w:val="clear" w:color="auto" w:fill="E5FFFF"/>
          </w:tcPr>
          <w:p>
            <w:pPr>
              <w:jc w:val="right"/>
              <w:ind w:right="40"/>
              <w:spacing w:after="0" w:line="216" w:lineRule="exact"/>
              <w:rPr>
                <w:sz w:val="20"/>
                <w:szCs w:val="20"/>
                <w:color w:val="auto"/>
              </w:rPr>
            </w:pPr>
            <w:r>
              <w:rPr>
                <w:rFonts w:ascii="Arial" w:cs="Arial" w:eastAsia="Arial" w:hAnsi="Arial"/>
                <w:sz w:val="19"/>
                <w:szCs w:val="19"/>
                <w:color w:val="auto"/>
                <w:w w:val="94"/>
              </w:rPr>
              <w:t>$</w:t>
            </w:r>
          </w:p>
        </w:tc>
        <w:tc>
          <w:tcPr>
            <w:tcW w:w="600" w:type="dxa"/>
            <w:vAlign w:val="bottom"/>
            <w:tcBorders>
              <w:bottom w:val="single" w:sz="8" w:color="auto"/>
            </w:tcBorders>
            <w:gridSpan w:val="3"/>
            <w:shd w:val="clear" w:color="auto" w:fill="E5FFFF"/>
          </w:tcPr>
          <w:p>
            <w:pPr>
              <w:jc w:val="right"/>
              <w:spacing w:after="0" w:line="216" w:lineRule="exact"/>
              <w:rPr>
                <w:sz w:val="20"/>
                <w:szCs w:val="20"/>
                <w:color w:val="auto"/>
              </w:rPr>
            </w:pPr>
            <w:r>
              <w:rPr>
                <w:rFonts w:ascii="Arial" w:cs="Arial" w:eastAsia="Arial" w:hAnsi="Arial"/>
                <w:sz w:val="19"/>
                <w:szCs w:val="19"/>
                <w:color w:val="auto"/>
              </w:rPr>
              <w:t>(628)</w:t>
            </w:r>
          </w:p>
        </w:tc>
        <w:tc>
          <w:tcPr>
            <w:tcW w:w="300" w:type="dxa"/>
            <w:vAlign w:val="bottom"/>
            <w:shd w:val="clear" w:color="auto" w:fill="E5FFFF"/>
          </w:tcPr>
          <w:p>
            <w:pPr>
              <w:spacing w:after="0"/>
              <w:rPr>
                <w:sz w:val="18"/>
                <w:szCs w:val="18"/>
                <w:color w:val="auto"/>
              </w:rPr>
            </w:pPr>
          </w:p>
        </w:tc>
        <w:tc>
          <w:tcPr>
            <w:tcW w:w="220" w:type="dxa"/>
            <w:vAlign w:val="bottom"/>
            <w:tcBorders>
              <w:bottom w:val="single" w:sz="8" w:color="auto"/>
            </w:tcBorders>
            <w:gridSpan w:val="2"/>
            <w:shd w:val="clear" w:color="auto" w:fill="E5FFFF"/>
          </w:tcPr>
          <w:p>
            <w:pPr>
              <w:jc w:val="right"/>
              <w:ind w:right="80"/>
              <w:spacing w:after="0" w:line="216" w:lineRule="exact"/>
              <w:rPr>
                <w:sz w:val="20"/>
                <w:szCs w:val="20"/>
                <w:color w:val="auto"/>
              </w:rPr>
            </w:pPr>
            <w:r>
              <w:rPr>
                <w:rFonts w:ascii="Arial" w:cs="Arial" w:eastAsia="Arial" w:hAnsi="Arial"/>
                <w:sz w:val="19"/>
                <w:szCs w:val="19"/>
                <w:color w:val="auto"/>
              </w:rPr>
              <w:t>$</w:t>
            </w:r>
          </w:p>
        </w:tc>
        <w:tc>
          <w:tcPr>
            <w:tcW w:w="580" w:type="dxa"/>
            <w:vAlign w:val="bottom"/>
            <w:tcBorders>
              <w:bottom w:val="single" w:sz="8" w:color="auto"/>
            </w:tcBorders>
            <w:gridSpan w:val="3"/>
            <w:shd w:val="clear" w:color="auto" w:fill="E5FFFF"/>
          </w:tcPr>
          <w:p>
            <w:pPr>
              <w:jc w:val="right"/>
              <w:spacing w:after="0" w:line="216" w:lineRule="exact"/>
              <w:rPr>
                <w:sz w:val="20"/>
                <w:szCs w:val="20"/>
                <w:color w:val="auto"/>
              </w:rPr>
            </w:pPr>
            <w:r>
              <w:rPr>
                <w:rFonts w:ascii="Arial" w:cs="Arial" w:eastAsia="Arial" w:hAnsi="Arial"/>
                <w:sz w:val="19"/>
                <w:szCs w:val="19"/>
                <w:color w:val="auto"/>
              </w:rPr>
              <w:t>(625)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9"/>
                <w:szCs w:val="19"/>
                <w:color w:val="auto"/>
              </w:rPr>
              <w:t>Interest paid, net of amounts capitalized</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600" w:type="dxa"/>
            <w:vAlign w:val="bottom"/>
            <w:gridSpan w:val="4"/>
          </w:tcPr>
          <w:p>
            <w:pPr>
              <w:jc w:val="right"/>
              <w:spacing w:after="0"/>
              <w:rPr>
                <w:sz w:val="20"/>
                <w:szCs w:val="20"/>
                <w:color w:val="auto"/>
              </w:rPr>
            </w:pPr>
            <w:r>
              <w:rPr>
                <w:rFonts w:ascii="Arial" w:cs="Arial" w:eastAsia="Arial" w:hAnsi="Arial"/>
                <w:sz w:val="19"/>
                <w:szCs w:val="19"/>
                <w:color w:val="auto"/>
              </w:rPr>
              <w:t>353</w:t>
            </w:r>
          </w:p>
        </w:tc>
        <w:tc>
          <w:tcPr>
            <w:tcW w:w="30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9"/>
                <w:szCs w:val="19"/>
                <w:color w:val="auto"/>
                <w:w w:val="94"/>
              </w:rPr>
              <w:t>$</w:t>
            </w:r>
          </w:p>
        </w:tc>
        <w:tc>
          <w:tcPr>
            <w:tcW w:w="600" w:type="dxa"/>
            <w:vAlign w:val="bottom"/>
            <w:gridSpan w:val="3"/>
          </w:tcPr>
          <w:p>
            <w:pPr>
              <w:jc w:val="right"/>
              <w:spacing w:after="0"/>
              <w:rPr>
                <w:sz w:val="20"/>
                <w:szCs w:val="20"/>
                <w:color w:val="auto"/>
              </w:rPr>
            </w:pPr>
            <w:r>
              <w:rPr>
                <w:rFonts w:ascii="Arial" w:cs="Arial" w:eastAsia="Arial" w:hAnsi="Arial"/>
                <w:sz w:val="19"/>
                <w:szCs w:val="19"/>
                <w:color w:val="auto"/>
              </w:rPr>
              <w:t>306</w:t>
            </w:r>
          </w:p>
        </w:tc>
        <w:tc>
          <w:tcPr>
            <w:tcW w:w="52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580" w:type="dxa"/>
            <w:vAlign w:val="bottom"/>
            <w:gridSpan w:val="3"/>
          </w:tcPr>
          <w:p>
            <w:pPr>
              <w:jc w:val="right"/>
              <w:ind w:right="1"/>
              <w:spacing w:after="0"/>
              <w:rPr>
                <w:sz w:val="20"/>
                <w:szCs w:val="20"/>
                <w:color w:val="auto"/>
              </w:rPr>
            </w:pPr>
            <w:r>
              <w:rPr>
                <w:rFonts w:ascii="Arial" w:cs="Arial" w:eastAsia="Arial" w:hAnsi="Arial"/>
                <w:sz w:val="19"/>
                <w:szCs w:val="19"/>
                <w:color w:val="auto"/>
              </w:rPr>
              <w:t>329</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400" w:type="dxa"/>
            <w:vAlign w:val="bottom"/>
            <w:shd w:val="clear" w:color="auto" w:fill="E5FFFF"/>
          </w:tcPr>
          <w:p>
            <w:pPr>
              <w:spacing w:after="0"/>
              <w:rPr>
                <w:sz w:val="20"/>
                <w:szCs w:val="20"/>
                <w:color w:val="auto"/>
              </w:rPr>
            </w:pPr>
            <w:r>
              <w:rPr>
                <w:rFonts w:ascii="Arial" w:cs="Arial" w:eastAsia="Arial" w:hAnsi="Arial"/>
                <w:sz w:val="19"/>
                <w:szCs w:val="19"/>
                <w:color w:val="auto"/>
              </w:rPr>
              <w:t>Income taxes paid, net of refunds</w:t>
            </w: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1,566</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1,751</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1,142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0" w:type="dxa"/>
            <w:vAlign w:val="bottom"/>
          </w:tcPr>
          <w:p>
            <w:pPr>
              <w:spacing w:after="0" w:line="216" w:lineRule="exact"/>
              <w:rPr>
                <w:sz w:val="20"/>
                <w:szCs w:val="20"/>
                <w:color w:val="auto"/>
              </w:rPr>
            </w:pPr>
            <w:r>
              <w:rPr>
                <w:rFonts w:ascii="Arial" w:cs="Arial" w:eastAsia="Arial" w:hAnsi="Arial"/>
                <w:sz w:val="19"/>
                <w:szCs w:val="19"/>
                <w:color w:val="auto"/>
              </w:rPr>
              <w:t>Non-cash investing and financing activities: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4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Common stock contributed to savings plans</w:t>
            </w: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52</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172</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168</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00" w:type="dxa"/>
            <w:vAlign w:val="bottom"/>
          </w:tcPr>
          <w:p>
            <w:pPr>
              <w:spacing w:after="0"/>
              <w:rPr>
                <w:sz w:val="22"/>
                <w:szCs w:val="22"/>
                <w:color w:val="auto"/>
              </w:rPr>
            </w:pPr>
          </w:p>
        </w:tc>
        <w:tc>
          <w:tcPr>
            <w:tcW w:w="5580" w:type="dxa"/>
            <w:vAlign w:val="bottom"/>
            <w:gridSpan w:val="2"/>
          </w:tcPr>
          <w:p>
            <w:pPr>
              <w:ind w:left="360"/>
              <w:spacing w:after="0"/>
              <w:rPr>
                <w:sz w:val="20"/>
                <w:szCs w:val="20"/>
                <w:color w:val="auto"/>
              </w:rPr>
            </w:pPr>
            <w:r>
              <w:rPr>
                <w:rFonts w:ascii="Arial" w:cs="Arial" w:eastAsia="Arial" w:hAnsi="Arial"/>
                <w:sz w:val="19"/>
                <w:szCs w:val="19"/>
                <w:color w:val="auto"/>
              </w:rPr>
              <w:t>Marketable securities contributed to non-U.S. pension plans</w:t>
            </w: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99</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9"/>
                <w:szCs w:val="19"/>
                <w:color w:val="auto"/>
              </w:rPr>
              <w:t>89</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3"/>
          </w:tcPr>
          <w:p>
            <w:pPr>
              <w:jc w:val="right"/>
              <w:ind w:right="1"/>
              <w:spacing w:after="0"/>
              <w:rPr>
                <w:sz w:val="20"/>
                <w:szCs w:val="20"/>
                <w:color w:val="auto"/>
              </w:rPr>
            </w:pPr>
            <w:r>
              <w:rPr>
                <w:rFonts w:ascii="Arial" w:cs="Arial" w:eastAsia="Arial" w:hAnsi="Arial"/>
                <w:sz w:val="19"/>
                <w:szCs w:val="19"/>
                <w:color w:val="auto"/>
              </w:rPr>
              <w:t>106</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5900" w:type="dxa"/>
            <w:vAlign w:val="bottom"/>
            <w:gridSpan w:val="2"/>
          </w:tcPr>
          <w:p>
            <w:pPr>
              <w:spacing w:after="0"/>
              <w:rPr>
                <w:sz w:val="20"/>
                <w:szCs w:val="20"/>
                <w:color w:val="auto"/>
              </w:rPr>
            </w:pPr>
            <w:r>
              <w:rPr>
                <w:rFonts w:ascii="Arial" w:cs="Arial" w:eastAsia="Arial" w:hAnsi="Arial"/>
                <w:sz w:val="19"/>
                <w:szCs w:val="19"/>
                <w:b w:val="1"/>
                <w:bCs w:val="1"/>
                <w:color w:val="auto"/>
              </w:rPr>
              <w:t>Note 25. Unaudited Quarterly Financial Information</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6"/>
              <w:spacing w:after="0" w:line="169" w:lineRule="exact"/>
              <w:rPr>
                <w:sz w:val="20"/>
                <w:szCs w:val="20"/>
                <w:color w:val="auto"/>
              </w:rPr>
            </w:pPr>
            <w:r>
              <w:rPr>
                <w:rFonts w:ascii="Arial" w:cs="Arial" w:eastAsia="Arial" w:hAnsi="Arial"/>
                <w:sz w:val="16"/>
                <w:szCs w:val="16"/>
                <w:b w:val="1"/>
                <w:bCs w:val="1"/>
                <w:color w:val="auto"/>
                <w:w w:val="94"/>
              </w:rPr>
              <w:t>Mar. 31</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4"/>
              <w:spacing w:after="0" w:line="169" w:lineRule="exact"/>
              <w:rPr>
                <w:sz w:val="20"/>
                <w:szCs w:val="20"/>
                <w:color w:val="auto"/>
              </w:rPr>
            </w:pPr>
            <w:r>
              <w:rPr>
                <w:rFonts w:ascii="Arial" w:cs="Arial" w:eastAsia="Arial" w:hAnsi="Arial"/>
                <w:sz w:val="16"/>
                <w:szCs w:val="16"/>
                <w:b w:val="1"/>
                <w:bCs w:val="1"/>
                <w:color w:val="auto"/>
              </w:rPr>
              <w:t>June 30</w:t>
            </w:r>
          </w:p>
        </w:tc>
        <w:tc>
          <w:tcPr>
            <w:tcW w:w="1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ind w:left="120"/>
              <w:spacing w:after="0" w:line="169" w:lineRule="exact"/>
              <w:rPr>
                <w:sz w:val="20"/>
                <w:szCs w:val="20"/>
                <w:color w:val="auto"/>
              </w:rPr>
            </w:pPr>
            <w:r>
              <w:rPr>
                <w:rFonts w:ascii="Arial" w:cs="Arial" w:eastAsia="Arial" w:hAnsi="Arial"/>
                <w:sz w:val="16"/>
                <w:szCs w:val="16"/>
                <w:b w:val="1"/>
                <w:bCs w:val="1"/>
                <w:color w:val="auto"/>
              </w:rPr>
              <w:t>Sept. 30</w:t>
            </w:r>
          </w:p>
        </w:tc>
        <w:tc>
          <w:tcPr>
            <w:tcW w:w="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3"/>
              <w:spacing w:after="0" w:line="169" w:lineRule="exact"/>
              <w:rPr>
                <w:sz w:val="20"/>
                <w:szCs w:val="20"/>
                <w:color w:val="auto"/>
              </w:rPr>
            </w:pPr>
            <w:r>
              <w:rPr>
                <w:rFonts w:ascii="Arial" w:cs="Arial" w:eastAsia="Arial" w:hAnsi="Arial"/>
                <w:sz w:val="16"/>
                <w:szCs w:val="16"/>
                <w:b w:val="1"/>
                <w:bCs w:val="1"/>
                <w:color w:val="auto"/>
              </w:rPr>
              <w:t>Dec. 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00"/>
              <w:spacing w:after="0" w:line="169" w:lineRule="exact"/>
              <w:rPr>
                <w:sz w:val="20"/>
                <w:szCs w:val="20"/>
                <w:color w:val="auto"/>
              </w:rPr>
            </w:pPr>
            <w:r>
              <w:rPr>
                <w:rFonts w:ascii="Arial" w:cs="Arial" w:eastAsia="Arial" w:hAnsi="Arial"/>
                <w:sz w:val="16"/>
                <w:szCs w:val="16"/>
                <w:b w:val="1"/>
                <w:bCs w:val="1"/>
                <w:color w:val="auto"/>
              </w:rPr>
              <w:t>Year</w:t>
            </w:r>
          </w:p>
        </w:tc>
        <w:tc>
          <w:tcPr>
            <w:tcW w:w="0" w:type="dxa"/>
            <w:vAlign w:val="bottom"/>
          </w:tcPr>
          <w:p>
            <w:pPr>
              <w:spacing w:after="0"/>
              <w:rPr>
                <w:sz w:val="1"/>
                <w:szCs w:val="1"/>
                <w:color w:val="auto"/>
              </w:rPr>
            </w:pPr>
          </w:p>
        </w:tc>
      </w:tr>
      <w:tr>
        <w:trPr>
          <w:trHeight w:val="237"/>
        </w:trPr>
        <w:tc>
          <w:tcPr>
            <w:tcW w:w="59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Net sales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10,392</w:t>
            </w:r>
          </w:p>
        </w:tc>
        <w:tc>
          <w:tcPr>
            <w:tcW w:w="46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10,919</w:t>
            </w:r>
          </w:p>
        </w:tc>
        <w:tc>
          <w:tcPr>
            <w:tcW w:w="2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2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10,762</w:t>
            </w:r>
          </w:p>
        </w:tc>
        <w:tc>
          <w:tcPr>
            <w:tcW w:w="40" w:type="dxa"/>
            <w:vAlign w:val="bottom"/>
            <w:shd w:val="clear" w:color="auto" w:fill="E5FFFF"/>
          </w:tcPr>
          <w:p>
            <w:pPr>
              <w:spacing w:after="0"/>
              <w:rPr>
                <w:sz w:val="20"/>
                <w:szCs w:val="20"/>
                <w:color w:val="auto"/>
              </w:rPr>
            </w:pPr>
          </w:p>
        </w:tc>
        <w:tc>
          <w:tcPr>
            <w:tcW w:w="1000" w:type="dxa"/>
            <w:vAlign w:val="bottom"/>
            <w:gridSpan w:val="5"/>
            <w:shd w:val="clear" w:color="auto" w:fill="E5FFFF"/>
          </w:tcPr>
          <w:p>
            <w:pPr>
              <w:jc w:val="right"/>
              <w:spacing w:after="0"/>
              <w:rPr>
                <w:sz w:val="20"/>
                <w:szCs w:val="20"/>
                <w:color w:val="auto"/>
              </w:rPr>
            </w:pPr>
            <w:r>
              <w:rPr>
                <w:rFonts w:ascii="Arial" w:cs="Arial" w:eastAsia="Arial" w:hAnsi="Arial"/>
                <w:sz w:val="19"/>
                <w:szCs w:val="19"/>
                <w:color w:val="auto"/>
              </w:rPr>
              <w:t>$ 9,729</w:t>
            </w:r>
          </w:p>
        </w:tc>
        <w:tc>
          <w:tcPr>
            <w:tcW w:w="120" w:type="dxa"/>
            <w:vAlign w:val="bottom"/>
            <w:shd w:val="clear" w:color="auto" w:fill="E5FFFF"/>
          </w:tcPr>
          <w:p>
            <w:pPr>
              <w:spacing w:after="0"/>
              <w:rPr>
                <w:sz w:val="20"/>
                <w:szCs w:val="20"/>
                <w:color w:val="auto"/>
              </w:rPr>
            </w:pPr>
          </w:p>
        </w:tc>
        <w:tc>
          <w:tcPr>
            <w:tcW w:w="110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  41,802</w:t>
            </w:r>
          </w:p>
        </w:tc>
        <w:tc>
          <w:tcPr>
            <w:tcW w:w="0" w:type="dxa"/>
            <w:vAlign w:val="bottom"/>
          </w:tcPr>
          <w:p>
            <w:pPr>
              <w:spacing w:after="0"/>
              <w:rPr>
                <w:sz w:val="1"/>
                <w:szCs w:val="1"/>
                <w:color w:val="auto"/>
              </w:rPr>
            </w:pPr>
          </w:p>
        </w:tc>
      </w:tr>
      <w:tr>
        <w:trPr>
          <w:trHeight w:val="243"/>
        </w:trPr>
        <w:tc>
          <w:tcPr>
            <w:tcW w:w="5900" w:type="dxa"/>
            <w:vAlign w:val="bottom"/>
            <w:gridSpan w:val="2"/>
          </w:tcPr>
          <w:p>
            <w:pPr>
              <w:spacing w:after="0"/>
              <w:rPr>
                <w:sz w:val="20"/>
                <w:szCs w:val="20"/>
                <w:color w:val="auto"/>
              </w:rPr>
            </w:pPr>
            <w:r>
              <w:rPr>
                <w:rFonts w:ascii="Arial" w:cs="Arial" w:eastAsia="Arial" w:hAnsi="Arial"/>
                <w:sz w:val="19"/>
                <w:szCs w:val="19"/>
                <w:color w:val="auto"/>
              </w:rPr>
              <w:t>Gross profit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3,201</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3,305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3,206</w:t>
            </w:r>
          </w:p>
        </w:tc>
        <w:tc>
          <w:tcPr>
            <w:tcW w:w="40" w:type="dxa"/>
            <w:vAlign w:val="bottom"/>
          </w:tcPr>
          <w:p>
            <w:pPr>
              <w:spacing w:after="0"/>
              <w:rPr>
                <w:sz w:val="21"/>
                <w:szCs w:val="21"/>
                <w:color w:val="auto"/>
              </w:rPr>
            </w:pPr>
          </w:p>
        </w:tc>
        <w:tc>
          <w:tcPr>
            <w:tcW w:w="1000" w:type="dxa"/>
            <w:vAlign w:val="bottom"/>
            <w:gridSpan w:val="5"/>
          </w:tcPr>
          <w:p>
            <w:pPr>
              <w:jc w:val="right"/>
              <w:spacing w:after="0"/>
              <w:rPr>
                <w:sz w:val="20"/>
                <w:szCs w:val="20"/>
                <w:color w:val="auto"/>
              </w:rPr>
            </w:pPr>
            <w:r>
              <w:rPr>
                <w:rFonts w:ascii="Arial" w:cs="Arial" w:eastAsia="Arial" w:hAnsi="Arial"/>
                <w:sz w:val="19"/>
                <w:szCs w:val="19"/>
                <w:color w:val="auto"/>
              </w:rPr>
              <w:t>3,044</w:t>
            </w:r>
          </w:p>
        </w:tc>
        <w:tc>
          <w:tcPr>
            <w:tcW w:w="120" w:type="dxa"/>
            <w:vAlign w:val="bottom"/>
          </w:tcPr>
          <w:p>
            <w:pPr>
              <w:spacing w:after="0"/>
              <w:rPr>
                <w:sz w:val="21"/>
                <w:szCs w:val="21"/>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9"/>
                <w:szCs w:val="19"/>
                <w:color w:val="auto"/>
              </w:rPr>
              <w:t>12,756</w:t>
            </w:r>
          </w:p>
        </w:tc>
        <w:tc>
          <w:tcPr>
            <w:tcW w:w="0" w:type="dxa"/>
            <w:vAlign w:val="bottom"/>
          </w:tcPr>
          <w:p>
            <w:pPr>
              <w:spacing w:after="0"/>
              <w:rPr>
                <w:sz w:val="1"/>
                <w:szCs w:val="1"/>
                <w:color w:val="auto"/>
              </w:rPr>
            </w:pPr>
          </w:p>
        </w:tc>
      </w:tr>
      <w:tr>
        <w:trPr>
          <w:trHeight w:val="243"/>
        </w:trPr>
        <w:tc>
          <w:tcPr>
            <w:tcW w:w="5900" w:type="dxa"/>
            <w:vAlign w:val="bottom"/>
            <w:gridSpan w:val="2"/>
            <w:shd w:val="clear" w:color="auto" w:fill="E5FFFF"/>
          </w:tcPr>
          <w:p>
            <w:pPr>
              <w:ind w:left="180"/>
              <w:spacing w:after="0"/>
              <w:rPr>
                <w:sz w:val="20"/>
                <w:szCs w:val="20"/>
                <w:color w:val="auto"/>
              </w:rPr>
            </w:pPr>
            <w:r>
              <w:rPr>
                <w:rFonts w:ascii="Arial" w:cs="Arial" w:eastAsia="Arial" w:hAnsi="Arial"/>
                <w:sz w:val="19"/>
                <w:szCs w:val="19"/>
                <w:color w:val="auto"/>
              </w:rPr>
              <w:t>Net income attributable to Honeywell</w:t>
            </w: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1,439</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1,267</w:t>
            </w: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2,338</w:t>
            </w:r>
          </w:p>
        </w:tc>
        <w:tc>
          <w:tcPr>
            <w:tcW w:w="40" w:type="dxa"/>
            <w:vAlign w:val="bottom"/>
            <w:shd w:val="clear" w:color="auto" w:fill="E5FFFF"/>
          </w:tcPr>
          <w:p>
            <w:pPr>
              <w:spacing w:after="0"/>
              <w:rPr>
                <w:sz w:val="21"/>
                <w:szCs w:val="21"/>
                <w:color w:val="auto"/>
              </w:rPr>
            </w:pPr>
          </w:p>
        </w:tc>
        <w:tc>
          <w:tcPr>
            <w:tcW w:w="1000" w:type="dxa"/>
            <w:vAlign w:val="bottom"/>
            <w:gridSpan w:val="5"/>
            <w:shd w:val="clear" w:color="auto" w:fill="E5FFFF"/>
          </w:tcPr>
          <w:p>
            <w:pPr>
              <w:jc w:val="right"/>
              <w:spacing w:after="0"/>
              <w:rPr>
                <w:sz w:val="20"/>
                <w:szCs w:val="20"/>
                <w:color w:val="auto"/>
              </w:rPr>
            </w:pPr>
            <w:r>
              <w:rPr>
                <w:rFonts w:ascii="Arial" w:cs="Arial" w:eastAsia="Arial" w:hAnsi="Arial"/>
                <w:sz w:val="19"/>
                <w:szCs w:val="19"/>
                <w:color w:val="auto"/>
              </w:rPr>
              <w:t>1,721</w:t>
            </w:r>
          </w:p>
        </w:tc>
        <w:tc>
          <w:tcPr>
            <w:tcW w:w="120" w:type="dxa"/>
            <w:vAlign w:val="bottom"/>
            <w:shd w:val="clear" w:color="auto" w:fill="E5FFFF"/>
          </w:tcPr>
          <w:p>
            <w:pPr>
              <w:spacing w:after="0"/>
              <w:rPr>
                <w:sz w:val="21"/>
                <w:szCs w:val="21"/>
                <w:color w:val="auto"/>
              </w:rPr>
            </w:pPr>
          </w:p>
        </w:tc>
        <w:tc>
          <w:tcPr>
            <w:tcW w:w="110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6,765</w:t>
            </w:r>
          </w:p>
        </w:tc>
        <w:tc>
          <w:tcPr>
            <w:tcW w:w="0" w:type="dxa"/>
            <w:vAlign w:val="bottom"/>
          </w:tcPr>
          <w:p>
            <w:pPr>
              <w:spacing w:after="0"/>
              <w:rPr>
                <w:sz w:val="1"/>
                <w:szCs w:val="1"/>
                <w:color w:val="auto"/>
              </w:rPr>
            </w:pPr>
          </w:p>
        </w:tc>
      </w:tr>
      <w:tr>
        <w:trPr>
          <w:trHeight w:val="243"/>
        </w:trPr>
        <w:tc>
          <w:tcPr>
            <w:tcW w:w="5900" w:type="dxa"/>
            <w:vAlign w:val="bottom"/>
            <w:gridSpan w:val="2"/>
          </w:tcPr>
          <w:p>
            <w:pPr>
              <w:spacing w:after="0"/>
              <w:rPr>
                <w:sz w:val="20"/>
                <w:szCs w:val="20"/>
                <w:color w:val="auto"/>
              </w:rPr>
            </w:pPr>
            <w:r>
              <w:rPr>
                <w:rFonts w:ascii="Arial" w:cs="Arial" w:eastAsia="Arial" w:hAnsi="Arial"/>
                <w:sz w:val="19"/>
                <w:szCs w:val="19"/>
                <w:color w:val="auto"/>
              </w:rPr>
              <w:t>Earnings per common share—basic</w:t>
            </w:r>
            <w:r>
              <w:rPr>
                <w:rFonts w:ascii="Arial" w:cs="Arial" w:eastAsia="Arial" w:hAnsi="Arial"/>
                <w:sz w:val="10"/>
                <w:szCs w:val="10"/>
                <w:color w:val="auto"/>
              </w:rPr>
              <w:t>(1)(4)</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1.92</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1.70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3.15</w:t>
            </w:r>
          </w:p>
        </w:tc>
        <w:tc>
          <w:tcPr>
            <w:tcW w:w="40" w:type="dxa"/>
            <w:vAlign w:val="bottom"/>
          </w:tcPr>
          <w:p>
            <w:pPr>
              <w:spacing w:after="0"/>
              <w:rPr>
                <w:sz w:val="21"/>
                <w:szCs w:val="21"/>
                <w:color w:val="auto"/>
              </w:rPr>
            </w:pPr>
          </w:p>
        </w:tc>
        <w:tc>
          <w:tcPr>
            <w:tcW w:w="1000" w:type="dxa"/>
            <w:vAlign w:val="bottom"/>
            <w:gridSpan w:val="5"/>
          </w:tcPr>
          <w:p>
            <w:pPr>
              <w:jc w:val="right"/>
              <w:spacing w:after="0"/>
              <w:rPr>
                <w:sz w:val="20"/>
                <w:szCs w:val="20"/>
                <w:color w:val="auto"/>
              </w:rPr>
            </w:pPr>
            <w:r>
              <w:rPr>
                <w:rFonts w:ascii="Arial" w:cs="Arial" w:eastAsia="Arial" w:hAnsi="Arial"/>
                <w:sz w:val="19"/>
                <w:szCs w:val="19"/>
                <w:color w:val="auto"/>
              </w:rPr>
              <w:t>2.34</w:t>
            </w:r>
          </w:p>
        </w:tc>
        <w:tc>
          <w:tcPr>
            <w:tcW w:w="120" w:type="dxa"/>
            <w:vAlign w:val="bottom"/>
          </w:tcPr>
          <w:p>
            <w:pPr>
              <w:spacing w:after="0"/>
              <w:rPr>
                <w:sz w:val="21"/>
                <w:szCs w:val="21"/>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9"/>
                <w:szCs w:val="19"/>
                <w:color w:val="auto"/>
              </w:rPr>
              <w:t>9.10</w:t>
            </w:r>
          </w:p>
        </w:tc>
        <w:tc>
          <w:tcPr>
            <w:tcW w:w="0" w:type="dxa"/>
            <w:vAlign w:val="bottom"/>
          </w:tcPr>
          <w:p>
            <w:pPr>
              <w:spacing w:after="0"/>
              <w:rPr>
                <w:sz w:val="1"/>
                <w:szCs w:val="1"/>
                <w:color w:val="auto"/>
              </w:rPr>
            </w:pPr>
          </w:p>
        </w:tc>
      </w:tr>
      <w:tr>
        <w:trPr>
          <w:trHeight w:val="243"/>
        </w:trPr>
        <w:tc>
          <w:tcPr>
            <w:tcW w:w="59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Earnings per common share—assuming dilution</w:t>
            </w:r>
            <w:r>
              <w:rPr>
                <w:rFonts w:ascii="Arial" w:cs="Arial" w:eastAsia="Arial" w:hAnsi="Arial"/>
                <w:sz w:val="10"/>
                <w:szCs w:val="10"/>
                <w:color w:val="auto"/>
              </w:rPr>
              <w:t>(1)(4)</w:t>
            </w: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1.89</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1.68</w:t>
            </w: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3.11</w:t>
            </w:r>
          </w:p>
        </w:tc>
        <w:tc>
          <w:tcPr>
            <w:tcW w:w="40" w:type="dxa"/>
            <w:vAlign w:val="bottom"/>
            <w:shd w:val="clear" w:color="auto" w:fill="E5FFFF"/>
          </w:tcPr>
          <w:p>
            <w:pPr>
              <w:spacing w:after="0"/>
              <w:rPr>
                <w:sz w:val="21"/>
                <w:szCs w:val="21"/>
                <w:color w:val="auto"/>
              </w:rPr>
            </w:pPr>
          </w:p>
        </w:tc>
        <w:tc>
          <w:tcPr>
            <w:tcW w:w="1000" w:type="dxa"/>
            <w:vAlign w:val="bottom"/>
            <w:gridSpan w:val="5"/>
            <w:shd w:val="clear" w:color="auto" w:fill="E5FFFF"/>
          </w:tcPr>
          <w:p>
            <w:pPr>
              <w:jc w:val="right"/>
              <w:spacing w:after="0"/>
              <w:rPr>
                <w:sz w:val="20"/>
                <w:szCs w:val="20"/>
                <w:color w:val="auto"/>
              </w:rPr>
            </w:pPr>
            <w:r>
              <w:rPr>
                <w:rFonts w:ascii="Arial" w:cs="Arial" w:eastAsia="Arial" w:hAnsi="Arial"/>
                <w:sz w:val="19"/>
                <w:szCs w:val="19"/>
                <w:color w:val="auto"/>
              </w:rPr>
              <w:t>2.31</w:t>
            </w:r>
          </w:p>
        </w:tc>
        <w:tc>
          <w:tcPr>
            <w:tcW w:w="120" w:type="dxa"/>
            <w:vAlign w:val="bottom"/>
            <w:shd w:val="clear" w:color="auto" w:fill="E5FFFF"/>
          </w:tcPr>
          <w:p>
            <w:pPr>
              <w:spacing w:after="0"/>
              <w:rPr>
                <w:sz w:val="21"/>
                <w:szCs w:val="21"/>
                <w:color w:val="auto"/>
              </w:rPr>
            </w:pPr>
          </w:p>
        </w:tc>
        <w:tc>
          <w:tcPr>
            <w:tcW w:w="110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8.98</w:t>
            </w:r>
          </w:p>
        </w:tc>
        <w:tc>
          <w:tcPr>
            <w:tcW w:w="0" w:type="dxa"/>
            <w:vAlign w:val="bottom"/>
          </w:tcPr>
          <w:p>
            <w:pPr>
              <w:spacing w:after="0"/>
              <w:rPr>
                <w:sz w:val="1"/>
                <w:szCs w:val="1"/>
                <w:color w:val="auto"/>
              </w:rPr>
            </w:pPr>
          </w:p>
        </w:tc>
      </w:tr>
      <w:tr>
        <w:trPr>
          <w:trHeight w:val="256"/>
        </w:trPr>
        <w:tc>
          <w:tcPr>
            <w:tcW w:w="5900" w:type="dxa"/>
            <w:vAlign w:val="bottom"/>
            <w:gridSpan w:val="2"/>
          </w:tcPr>
          <w:p>
            <w:pPr>
              <w:spacing w:after="0"/>
              <w:rPr>
                <w:sz w:val="20"/>
                <w:szCs w:val="20"/>
                <w:color w:val="auto"/>
              </w:rPr>
            </w:pPr>
            <w:r>
              <w:rPr>
                <w:rFonts w:ascii="Arial" w:cs="Arial" w:eastAsia="Arial" w:hAnsi="Arial"/>
                <w:sz w:val="19"/>
                <w:szCs w:val="19"/>
                <w:color w:val="auto"/>
              </w:rPr>
              <w:t>Cash dividends per common share</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0.745</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0.745</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0.745</w:t>
            </w:r>
          </w:p>
        </w:tc>
        <w:tc>
          <w:tcPr>
            <w:tcW w:w="40" w:type="dxa"/>
            <w:vAlign w:val="bottom"/>
          </w:tcPr>
          <w:p>
            <w:pPr>
              <w:spacing w:after="0"/>
              <w:rPr>
                <w:sz w:val="22"/>
                <w:szCs w:val="22"/>
                <w:color w:val="auto"/>
              </w:rPr>
            </w:pPr>
          </w:p>
        </w:tc>
        <w:tc>
          <w:tcPr>
            <w:tcW w:w="1000" w:type="dxa"/>
            <w:vAlign w:val="bottom"/>
            <w:gridSpan w:val="5"/>
          </w:tcPr>
          <w:p>
            <w:pPr>
              <w:jc w:val="right"/>
              <w:spacing w:after="0"/>
              <w:rPr>
                <w:sz w:val="20"/>
                <w:szCs w:val="20"/>
                <w:color w:val="auto"/>
              </w:rPr>
            </w:pPr>
            <w:r>
              <w:rPr>
                <w:rFonts w:ascii="Arial" w:cs="Arial" w:eastAsia="Arial" w:hAnsi="Arial"/>
                <w:sz w:val="19"/>
                <w:szCs w:val="19"/>
                <w:color w:val="auto"/>
              </w:rPr>
              <w:t>0.820</w:t>
            </w:r>
          </w:p>
        </w:tc>
        <w:tc>
          <w:tcPr>
            <w:tcW w:w="120" w:type="dxa"/>
            <w:vAlign w:val="bottom"/>
          </w:tcPr>
          <w:p>
            <w:pPr>
              <w:spacing w:after="0"/>
              <w:rPr>
                <w:sz w:val="22"/>
                <w:szCs w:val="22"/>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9"/>
                <w:szCs w:val="19"/>
                <w:color w:val="auto"/>
              </w:rPr>
              <w:t>3.055</w:t>
            </w: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Mar. 31</w:t>
            </w: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20"/>
              <w:spacing w:after="0" w:line="169" w:lineRule="exact"/>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w w:val="97"/>
              </w:rPr>
              <w:t>Sept. 30</w:t>
            </w:r>
          </w:p>
        </w:tc>
        <w:tc>
          <w:tcPr>
            <w:tcW w:w="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auto"/>
            </w:tcBorders>
            <w:gridSpan w:val="4"/>
          </w:tcPr>
          <w:p>
            <w:pPr>
              <w:jc w:val="right"/>
              <w:ind w:right="100"/>
              <w:spacing w:after="0" w:line="169" w:lineRule="exact"/>
              <w:rPr>
                <w:sz w:val="20"/>
                <w:szCs w:val="20"/>
                <w:color w:val="auto"/>
              </w:rPr>
            </w:pPr>
            <w:r>
              <w:rPr>
                <w:rFonts w:ascii="Arial" w:cs="Arial" w:eastAsia="Arial" w:hAnsi="Arial"/>
                <w:sz w:val="16"/>
                <w:szCs w:val="16"/>
                <w:b w:val="1"/>
                <w:bCs w:val="1"/>
                <w:color w:val="auto"/>
              </w:rPr>
              <w:t>Dec. 31</w:t>
            </w:r>
            <w:r>
              <w:rPr>
                <w:rFonts w:ascii="Arial" w:cs="Arial" w:eastAsia="Arial" w:hAnsi="Arial"/>
                <w:sz w:val="8"/>
                <w:szCs w:val="8"/>
                <w:b w:val="1"/>
                <w:bCs w:val="1"/>
                <w:color w:val="auto"/>
              </w:rPr>
              <w:t>(3)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240"/>
              <w:spacing w:after="0" w:line="169" w:lineRule="exact"/>
              <w:rPr>
                <w:sz w:val="20"/>
                <w:szCs w:val="20"/>
                <w:color w:val="auto"/>
              </w:rPr>
            </w:pPr>
            <w:r>
              <w:rPr>
                <w:rFonts w:ascii="Arial" w:cs="Arial" w:eastAsia="Arial" w:hAnsi="Arial"/>
                <w:sz w:val="16"/>
                <w:szCs w:val="16"/>
                <w:b w:val="1"/>
                <w:bCs w:val="1"/>
                <w:color w:val="auto"/>
              </w:rPr>
              <w:t>Year</w:t>
            </w:r>
          </w:p>
        </w:tc>
        <w:tc>
          <w:tcPr>
            <w:tcW w:w="0" w:type="dxa"/>
            <w:vAlign w:val="bottom"/>
          </w:tcPr>
          <w:p>
            <w:pPr>
              <w:spacing w:after="0"/>
              <w:rPr>
                <w:sz w:val="1"/>
                <w:szCs w:val="1"/>
                <w:color w:val="auto"/>
              </w:rPr>
            </w:pPr>
          </w:p>
        </w:tc>
      </w:tr>
      <w:tr>
        <w:trPr>
          <w:trHeight w:val="237"/>
        </w:trPr>
        <w:tc>
          <w:tcPr>
            <w:tcW w:w="59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Net sales</w:t>
            </w:r>
          </w:p>
        </w:tc>
        <w:tc>
          <w:tcPr>
            <w:tcW w:w="180" w:type="dxa"/>
            <w:vAlign w:val="bottom"/>
            <w:shd w:val="clear" w:color="auto" w:fill="E5FFFF"/>
          </w:tcPr>
          <w:p>
            <w:pPr>
              <w:spacing w:after="0"/>
              <w:rPr>
                <w:sz w:val="20"/>
                <w:szCs w:val="20"/>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$ 9,492</w:t>
            </w:r>
          </w:p>
        </w:tc>
        <w:tc>
          <w:tcPr>
            <w:tcW w:w="46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10,078</w:t>
            </w:r>
          </w:p>
        </w:tc>
        <w:tc>
          <w:tcPr>
            <w:tcW w:w="2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2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10,121</w:t>
            </w:r>
          </w:p>
        </w:tc>
        <w:tc>
          <w:tcPr>
            <w:tcW w:w="40" w:type="dxa"/>
            <w:vAlign w:val="bottom"/>
            <w:shd w:val="clear" w:color="auto" w:fill="E5FFFF"/>
          </w:tcPr>
          <w:p>
            <w:pPr>
              <w:spacing w:after="0"/>
              <w:rPr>
                <w:sz w:val="20"/>
                <w:szCs w:val="20"/>
                <w:color w:val="auto"/>
              </w:rPr>
            </w:pPr>
          </w:p>
        </w:tc>
        <w:tc>
          <w:tcPr>
            <w:tcW w:w="1120" w:type="dxa"/>
            <w:vAlign w:val="bottom"/>
            <w:gridSpan w:val="6"/>
            <w:shd w:val="clear" w:color="auto" w:fill="E5FFFF"/>
          </w:tcPr>
          <w:p>
            <w:pPr>
              <w:jc w:val="right"/>
              <w:ind w:right="80"/>
              <w:spacing w:after="0"/>
              <w:rPr>
                <w:sz w:val="20"/>
                <w:szCs w:val="20"/>
                <w:color w:val="auto"/>
              </w:rPr>
            </w:pPr>
            <w:r>
              <w:rPr>
                <w:rFonts w:ascii="Arial" w:cs="Arial" w:eastAsia="Arial" w:hAnsi="Arial"/>
                <w:sz w:val="19"/>
                <w:szCs w:val="19"/>
                <w:color w:val="auto"/>
              </w:rPr>
              <w:t>$ 10,843</w:t>
            </w:r>
          </w:p>
        </w:tc>
        <w:tc>
          <w:tcPr>
            <w:tcW w:w="110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$ 40,534</w:t>
            </w:r>
          </w:p>
        </w:tc>
        <w:tc>
          <w:tcPr>
            <w:tcW w:w="0" w:type="dxa"/>
            <w:vAlign w:val="bottom"/>
          </w:tcPr>
          <w:p>
            <w:pPr>
              <w:spacing w:after="0"/>
              <w:rPr>
                <w:sz w:val="1"/>
                <w:szCs w:val="1"/>
                <w:color w:val="auto"/>
              </w:rPr>
            </w:pPr>
          </w:p>
        </w:tc>
      </w:tr>
      <w:tr>
        <w:trPr>
          <w:trHeight w:val="243"/>
        </w:trPr>
        <w:tc>
          <w:tcPr>
            <w:tcW w:w="5900" w:type="dxa"/>
            <w:vAlign w:val="bottom"/>
            <w:gridSpan w:val="2"/>
          </w:tcPr>
          <w:p>
            <w:pPr>
              <w:spacing w:after="0"/>
              <w:rPr>
                <w:sz w:val="20"/>
                <w:szCs w:val="20"/>
                <w:color w:val="auto"/>
              </w:rPr>
            </w:pPr>
            <w:r>
              <w:rPr>
                <w:rFonts w:ascii="Arial" w:cs="Arial" w:eastAsia="Arial" w:hAnsi="Arial"/>
                <w:sz w:val="19"/>
                <w:szCs w:val="19"/>
                <w:color w:val="auto"/>
              </w:rPr>
              <w:t>Gross profit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2,966</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3,054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3,067</w:t>
            </w:r>
          </w:p>
        </w:tc>
        <w:tc>
          <w:tcPr>
            <w:tcW w:w="40" w:type="dxa"/>
            <w:vAlign w:val="bottom"/>
          </w:tcPr>
          <w:p>
            <w:pPr>
              <w:spacing w:after="0"/>
              <w:rPr>
                <w:sz w:val="21"/>
                <w:szCs w:val="21"/>
                <w:color w:val="auto"/>
              </w:rPr>
            </w:pPr>
          </w:p>
        </w:tc>
        <w:tc>
          <w:tcPr>
            <w:tcW w:w="1120" w:type="dxa"/>
            <w:vAlign w:val="bottom"/>
            <w:gridSpan w:val="6"/>
          </w:tcPr>
          <w:p>
            <w:pPr>
              <w:jc w:val="right"/>
              <w:ind w:right="80"/>
              <w:spacing w:after="0"/>
              <w:rPr>
                <w:sz w:val="20"/>
                <w:szCs w:val="20"/>
                <w:color w:val="auto"/>
              </w:rPr>
            </w:pPr>
            <w:r>
              <w:rPr>
                <w:rFonts w:ascii="Arial" w:cs="Arial" w:eastAsia="Arial" w:hAnsi="Arial"/>
                <w:sz w:val="19"/>
                <w:szCs w:val="19"/>
                <w:color w:val="auto"/>
              </w:rPr>
              <w:t>3,303</w:t>
            </w:r>
          </w:p>
        </w:tc>
        <w:tc>
          <w:tcPr>
            <w:tcW w:w="1100" w:type="dxa"/>
            <w:vAlign w:val="bottom"/>
            <w:gridSpan w:val="4"/>
          </w:tcPr>
          <w:p>
            <w:pPr>
              <w:jc w:val="right"/>
              <w:ind w:right="60"/>
              <w:spacing w:after="0"/>
              <w:rPr>
                <w:sz w:val="20"/>
                <w:szCs w:val="20"/>
                <w:color w:val="auto"/>
              </w:rPr>
            </w:pPr>
            <w:r>
              <w:rPr>
                <w:rFonts w:ascii="Arial" w:cs="Arial" w:eastAsia="Arial" w:hAnsi="Arial"/>
                <w:sz w:val="19"/>
                <w:szCs w:val="19"/>
                <w:color w:val="auto"/>
              </w:rPr>
              <w:t>12,390</w:t>
            </w:r>
          </w:p>
        </w:tc>
        <w:tc>
          <w:tcPr>
            <w:tcW w:w="0" w:type="dxa"/>
            <w:vAlign w:val="bottom"/>
          </w:tcPr>
          <w:p>
            <w:pPr>
              <w:spacing w:after="0"/>
              <w:rPr>
                <w:sz w:val="1"/>
                <w:szCs w:val="1"/>
                <w:color w:val="auto"/>
              </w:rPr>
            </w:pPr>
          </w:p>
        </w:tc>
      </w:tr>
      <w:tr>
        <w:trPr>
          <w:trHeight w:val="243"/>
        </w:trPr>
        <w:tc>
          <w:tcPr>
            <w:tcW w:w="5900" w:type="dxa"/>
            <w:vAlign w:val="bottom"/>
            <w:gridSpan w:val="2"/>
            <w:shd w:val="clear" w:color="auto" w:fill="E5FFFF"/>
          </w:tcPr>
          <w:p>
            <w:pPr>
              <w:ind w:left="180"/>
              <w:spacing w:after="0"/>
              <w:rPr>
                <w:sz w:val="20"/>
                <w:szCs w:val="20"/>
                <w:color w:val="auto"/>
              </w:rPr>
            </w:pPr>
            <w:r>
              <w:rPr>
                <w:rFonts w:ascii="Arial" w:cs="Arial" w:eastAsia="Arial" w:hAnsi="Arial"/>
                <w:sz w:val="19"/>
                <w:szCs w:val="19"/>
                <w:color w:val="auto"/>
              </w:rPr>
              <w:t>Net income (loss) attributable to Honeywell</w:t>
            </w: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1,328</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1,391</w:t>
            </w: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1,345</w:t>
            </w:r>
          </w:p>
        </w:tc>
        <w:tc>
          <w:tcPr>
            <w:tcW w:w="40" w:type="dxa"/>
            <w:vAlign w:val="bottom"/>
            <w:shd w:val="clear" w:color="auto" w:fill="E5FFFF"/>
          </w:tcPr>
          <w:p>
            <w:pPr>
              <w:spacing w:after="0"/>
              <w:rPr>
                <w:sz w:val="21"/>
                <w:szCs w:val="21"/>
                <w:color w:val="auto"/>
              </w:rPr>
            </w:pPr>
          </w:p>
        </w:tc>
        <w:tc>
          <w:tcPr>
            <w:tcW w:w="1120" w:type="dxa"/>
            <w:vAlign w:val="bottom"/>
            <w:gridSpan w:val="6"/>
            <w:shd w:val="clear" w:color="auto" w:fill="E5FFFF"/>
          </w:tcPr>
          <w:p>
            <w:pPr>
              <w:jc w:val="right"/>
              <w:ind w:right="20"/>
              <w:spacing w:after="0"/>
              <w:rPr>
                <w:sz w:val="20"/>
                <w:szCs w:val="20"/>
                <w:color w:val="auto"/>
              </w:rPr>
            </w:pPr>
            <w:r>
              <w:rPr>
                <w:rFonts w:ascii="Arial" w:cs="Arial" w:eastAsia="Arial" w:hAnsi="Arial"/>
                <w:sz w:val="19"/>
                <w:szCs w:val="19"/>
                <w:color w:val="auto"/>
              </w:rPr>
              <w:t>(2,519)</w:t>
            </w:r>
          </w:p>
        </w:tc>
        <w:tc>
          <w:tcPr>
            <w:tcW w:w="110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1,545</w:t>
            </w:r>
          </w:p>
        </w:tc>
        <w:tc>
          <w:tcPr>
            <w:tcW w:w="0" w:type="dxa"/>
            <w:vAlign w:val="bottom"/>
          </w:tcPr>
          <w:p>
            <w:pPr>
              <w:spacing w:after="0"/>
              <w:rPr>
                <w:sz w:val="1"/>
                <w:szCs w:val="1"/>
                <w:color w:val="auto"/>
              </w:rPr>
            </w:pPr>
          </w:p>
        </w:tc>
      </w:tr>
      <w:tr>
        <w:trPr>
          <w:trHeight w:val="243"/>
        </w:trPr>
        <w:tc>
          <w:tcPr>
            <w:tcW w:w="5900" w:type="dxa"/>
            <w:vAlign w:val="bottom"/>
            <w:gridSpan w:val="2"/>
          </w:tcPr>
          <w:p>
            <w:pPr>
              <w:spacing w:after="0"/>
              <w:rPr>
                <w:sz w:val="20"/>
                <w:szCs w:val="20"/>
                <w:color w:val="auto"/>
              </w:rPr>
            </w:pPr>
            <w:r>
              <w:rPr>
                <w:rFonts w:ascii="Arial" w:cs="Arial" w:eastAsia="Arial" w:hAnsi="Arial"/>
                <w:sz w:val="19"/>
                <w:szCs w:val="19"/>
                <w:color w:val="auto"/>
              </w:rPr>
              <w:t>Earnings (loss) per common share—basic</w:t>
            </w:r>
            <w:r>
              <w:rPr>
                <w:rFonts w:ascii="Arial" w:cs="Arial" w:eastAsia="Arial" w:hAnsi="Arial"/>
                <w:sz w:val="10"/>
                <w:szCs w:val="10"/>
                <w:color w:val="auto"/>
              </w:rPr>
              <w:t>(1)(4)</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1.74</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1.82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1.76</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9"/>
                <w:szCs w:val="19"/>
                <w:color w:val="auto"/>
                <w:w w:val="96"/>
              </w:rPr>
              <w:t>(3.32)</w:t>
            </w:r>
          </w:p>
        </w:tc>
        <w:tc>
          <w:tcPr>
            <w:tcW w:w="1100" w:type="dxa"/>
            <w:vAlign w:val="bottom"/>
            <w:gridSpan w:val="4"/>
          </w:tcPr>
          <w:p>
            <w:pPr>
              <w:jc w:val="right"/>
              <w:ind w:right="60"/>
              <w:spacing w:after="0"/>
              <w:rPr>
                <w:sz w:val="20"/>
                <w:szCs w:val="20"/>
                <w:color w:val="auto"/>
              </w:rPr>
            </w:pPr>
            <w:r>
              <w:rPr>
                <w:rFonts w:ascii="Arial" w:cs="Arial" w:eastAsia="Arial" w:hAnsi="Arial"/>
                <w:sz w:val="19"/>
                <w:szCs w:val="19"/>
                <w:color w:val="auto"/>
              </w:rPr>
              <w:t>2.03</w:t>
            </w:r>
          </w:p>
        </w:tc>
        <w:tc>
          <w:tcPr>
            <w:tcW w:w="0" w:type="dxa"/>
            <w:vAlign w:val="bottom"/>
          </w:tcPr>
          <w:p>
            <w:pPr>
              <w:spacing w:after="0"/>
              <w:rPr>
                <w:sz w:val="1"/>
                <w:szCs w:val="1"/>
                <w:color w:val="auto"/>
              </w:rPr>
            </w:pPr>
          </w:p>
        </w:tc>
      </w:tr>
      <w:tr>
        <w:trPr>
          <w:trHeight w:val="243"/>
        </w:trPr>
        <w:tc>
          <w:tcPr>
            <w:tcW w:w="59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Earnings (loss) per common share—assuming dilution</w:t>
            </w:r>
            <w:r>
              <w:rPr>
                <w:rFonts w:ascii="Arial" w:cs="Arial" w:eastAsia="Arial" w:hAnsi="Arial"/>
                <w:sz w:val="10"/>
                <w:szCs w:val="10"/>
                <w:color w:val="auto"/>
              </w:rPr>
              <w:t>(1)(2)(4)</w:t>
            </w: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1.72</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1.80</w:t>
            </w: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1.74</w:t>
            </w: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w w:val="96"/>
              </w:rPr>
              <w:t>(3.32)</w:t>
            </w:r>
          </w:p>
        </w:tc>
        <w:tc>
          <w:tcPr>
            <w:tcW w:w="110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2.00</w:t>
            </w:r>
          </w:p>
        </w:tc>
        <w:tc>
          <w:tcPr>
            <w:tcW w:w="0" w:type="dxa"/>
            <w:vAlign w:val="bottom"/>
          </w:tcPr>
          <w:p>
            <w:pPr>
              <w:spacing w:after="0"/>
              <w:rPr>
                <w:sz w:val="1"/>
                <w:szCs w:val="1"/>
                <w:color w:val="auto"/>
              </w:rPr>
            </w:pPr>
          </w:p>
        </w:tc>
      </w:tr>
      <w:tr>
        <w:trPr>
          <w:trHeight w:val="261"/>
        </w:trPr>
        <w:tc>
          <w:tcPr>
            <w:tcW w:w="5900" w:type="dxa"/>
            <w:vAlign w:val="bottom"/>
            <w:gridSpan w:val="2"/>
          </w:tcPr>
          <w:p>
            <w:pPr>
              <w:spacing w:after="0"/>
              <w:rPr>
                <w:sz w:val="20"/>
                <w:szCs w:val="20"/>
                <w:color w:val="auto"/>
              </w:rPr>
            </w:pPr>
            <w:r>
              <w:rPr>
                <w:rFonts w:ascii="Arial" w:cs="Arial" w:eastAsia="Arial" w:hAnsi="Arial"/>
                <w:sz w:val="19"/>
                <w:szCs w:val="19"/>
                <w:color w:val="auto"/>
              </w:rPr>
              <w:t>Cash dividends per common share</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0.665</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0.665</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0.665</w:t>
            </w:r>
          </w:p>
        </w:tc>
        <w:tc>
          <w:tcPr>
            <w:tcW w:w="40" w:type="dxa"/>
            <w:vAlign w:val="bottom"/>
          </w:tcPr>
          <w:p>
            <w:pPr>
              <w:spacing w:after="0"/>
              <w:rPr>
                <w:sz w:val="22"/>
                <w:szCs w:val="22"/>
                <w:color w:val="auto"/>
              </w:rPr>
            </w:pPr>
          </w:p>
        </w:tc>
        <w:tc>
          <w:tcPr>
            <w:tcW w:w="1120" w:type="dxa"/>
            <w:vAlign w:val="bottom"/>
            <w:gridSpan w:val="6"/>
          </w:tcPr>
          <w:p>
            <w:pPr>
              <w:jc w:val="right"/>
              <w:ind w:right="80"/>
              <w:spacing w:after="0"/>
              <w:rPr>
                <w:sz w:val="20"/>
                <w:szCs w:val="20"/>
                <w:color w:val="auto"/>
              </w:rPr>
            </w:pPr>
            <w:r>
              <w:rPr>
                <w:rFonts w:ascii="Arial" w:cs="Arial" w:eastAsia="Arial" w:hAnsi="Arial"/>
                <w:sz w:val="19"/>
                <w:szCs w:val="19"/>
                <w:color w:val="auto"/>
              </w:rPr>
              <w:t>0.745</w:t>
            </w:r>
          </w:p>
        </w:tc>
        <w:tc>
          <w:tcPr>
            <w:tcW w:w="1100" w:type="dxa"/>
            <w:vAlign w:val="bottom"/>
            <w:gridSpan w:val="4"/>
          </w:tcPr>
          <w:p>
            <w:pPr>
              <w:jc w:val="right"/>
              <w:ind w:right="60"/>
              <w:spacing w:after="0"/>
              <w:rPr>
                <w:sz w:val="20"/>
                <w:szCs w:val="20"/>
                <w:color w:val="auto"/>
              </w:rPr>
            </w:pPr>
            <w:r>
              <w:rPr>
                <w:rFonts w:ascii="Arial" w:cs="Arial" w:eastAsia="Arial" w:hAnsi="Arial"/>
                <w:sz w:val="19"/>
                <w:szCs w:val="19"/>
                <w:color w:val="auto"/>
              </w:rPr>
              <w:t>2.740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975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7" w:lineRule="exact"/>
        <w:rPr>
          <w:sz w:val="20"/>
          <w:szCs w:val="20"/>
          <w:color w:val="auto"/>
        </w:rPr>
      </w:pPr>
    </w:p>
    <w:p>
      <w:pPr>
        <w:ind w:left="420" w:right="200" w:hanging="338"/>
        <w:spacing w:after="0" w:line="253" w:lineRule="auto"/>
        <w:tabs>
          <w:tab w:leader="none" w:pos="4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Total for the full year may differ from the sum of the individual quarters due to the requirement to use weighted average shares each quarter, which may fluctuate with share repurchases and share issuances, and due to the impact of losses in a quarter.</w:t>
      </w:r>
    </w:p>
    <w:p>
      <w:pPr>
        <w:spacing w:after="0" w:line="52" w:lineRule="exact"/>
        <w:rPr>
          <w:rFonts w:ascii="Arial" w:cs="Arial" w:eastAsia="Arial" w:hAnsi="Arial"/>
          <w:sz w:val="19"/>
          <w:szCs w:val="19"/>
          <w:color w:val="auto"/>
        </w:rPr>
      </w:pPr>
    </w:p>
    <w:p>
      <w:pPr>
        <w:ind w:left="420" w:right="520" w:hanging="338"/>
        <w:spacing w:after="0" w:line="253" w:lineRule="auto"/>
        <w:tabs>
          <w:tab w:leader="none" w:pos="4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Due to a loss for the quarter ended December 31, 2017, no incremental shares were included because the effect would be antidilutive.</w:t>
      </w:r>
    </w:p>
    <w:p>
      <w:pPr>
        <w:spacing w:after="0" w:line="66" w:lineRule="exact"/>
        <w:rPr>
          <w:rFonts w:ascii="Arial" w:cs="Arial" w:eastAsia="Arial" w:hAnsi="Arial"/>
          <w:sz w:val="19"/>
          <w:szCs w:val="19"/>
          <w:color w:val="auto"/>
        </w:rPr>
      </w:pPr>
    </w:p>
    <w:p>
      <w:pPr>
        <w:ind w:left="420" w:right="440" w:hanging="338"/>
        <w:spacing w:after="0" w:line="253" w:lineRule="auto"/>
        <w:tabs>
          <w:tab w:leader="none" w:pos="4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For the quarter ended December 31, 2017 Net income (loss) attributable to Honeywell, Earnings (loss) per common share - basic and Earnings (loss) per common share - assuming dilution were impacted by U.S. Tax Reform.</w:t>
      </w:r>
    </w:p>
    <w:p>
      <w:pPr>
        <w:spacing w:after="0" w:line="66" w:lineRule="exact"/>
        <w:rPr>
          <w:rFonts w:ascii="Arial" w:cs="Arial" w:eastAsia="Arial" w:hAnsi="Arial"/>
          <w:sz w:val="19"/>
          <w:szCs w:val="19"/>
          <w:color w:val="auto"/>
        </w:rPr>
      </w:pPr>
    </w:p>
    <w:p>
      <w:pPr>
        <w:ind w:left="420" w:right="600" w:hanging="338"/>
        <w:spacing w:after="0" w:line="245" w:lineRule="auto"/>
        <w:tabs>
          <w:tab w:leader="none" w:pos="4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Earnings per Common Share and Net income attributable to Honeywell were revised for periods prior to Sept. 30, 2018 in connection with our change in accounting for Bendix asbestos-related liabilities for unasserted claims. See Note 20 Commitments and Contingencies for further details.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96" w:name="page97"/>
    <w:bookmarkEnd w:id="96"/>
    <w:p>
      <w:pPr>
        <w:ind w:left="304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To the Shareowners and the Board of Directors of Honeywell International Inc.</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Opinions on the Financial Statements and Internal Control over Financial Reporting</w:t>
      </w:r>
    </w:p>
    <w:p>
      <w:pPr>
        <w:spacing w:after="0" w:line="13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 xml:space="preserve">We have audited the accompanying consolidated balance sheets of Honeywell International Inc. and subsidiaries (the “Company”) as of December 31, 2018 and 2017, and the related consolidated statements of operations, comprehensive income, shareowners’ equity, and cash flows, for each of the three years in the period ended December 31, 2018, and the related notes (collectively referred to as the “financial statements”). We also have audited the Company’s internal control over financial reporting as of December 31, 2018, based on criteria established in </w:t>
      </w:r>
      <w:r>
        <w:rPr>
          <w:rFonts w:ascii="Arial" w:cs="Arial" w:eastAsia="Arial" w:hAnsi="Arial"/>
          <w:sz w:val="19"/>
          <w:szCs w:val="19"/>
          <w:i w:val="1"/>
          <w:iCs w:val="1"/>
          <w:color w:val="auto"/>
        </w:rPr>
        <w:t>Internal Control—Integrated Framework (2013)</w:t>
      </w:r>
      <w:r>
        <w:rPr>
          <w:rFonts w:ascii="Arial" w:cs="Arial" w:eastAsia="Arial" w:hAnsi="Arial"/>
          <w:sz w:val="19"/>
          <w:szCs w:val="19"/>
          <w:color w:val="auto"/>
        </w:rPr>
        <w:t xml:space="preserve"> issued by the Committee of Sponsoring Organizations of the Treadway Commission (COSO).</w:t>
      </w:r>
    </w:p>
    <w:p>
      <w:pPr>
        <w:spacing w:after="0" w:line="94" w:lineRule="exact"/>
        <w:rPr>
          <w:sz w:val="20"/>
          <w:szCs w:val="20"/>
          <w:color w:val="auto"/>
        </w:rPr>
      </w:pPr>
    </w:p>
    <w:p>
      <w:pPr>
        <w:ind w:right="40" w:firstLine="357"/>
        <w:spacing w:after="0" w:line="241" w:lineRule="auto"/>
        <w:rPr>
          <w:sz w:val="20"/>
          <w:szCs w:val="20"/>
          <w:color w:val="auto"/>
        </w:rPr>
      </w:pPr>
      <w:r>
        <w:rPr>
          <w:rFonts w:ascii="Arial" w:cs="Arial" w:eastAsia="Arial" w:hAnsi="Arial"/>
          <w:sz w:val="19"/>
          <w:szCs w:val="19"/>
          <w:color w:val="auto"/>
        </w:rPr>
        <w:t xml:space="preserve">In our opinion, the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9"/>
          <w:szCs w:val="19"/>
          <w:i w:val="1"/>
          <w:iCs w:val="1"/>
          <w:color w:val="auto"/>
        </w:rPr>
        <w:t>Internal Control—Integrated Framework (2013)</w:t>
      </w:r>
      <w:r>
        <w:rPr>
          <w:rFonts w:ascii="Arial" w:cs="Arial" w:eastAsia="Arial" w:hAnsi="Arial"/>
          <w:sz w:val="19"/>
          <w:szCs w:val="19"/>
          <w:color w:val="auto"/>
        </w:rPr>
        <w:t xml:space="preserve"> issued by COSO.</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in Accounting Principle</w:t>
      </w:r>
    </w:p>
    <w:p>
      <w:pPr>
        <w:spacing w:after="0" w:line="130" w:lineRule="exact"/>
        <w:rPr>
          <w:sz w:val="20"/>
          <w:szCs w:val="20"/>
          <w:color w:val="auto"/>
        </w:rPr>
      </w:pPr>
    </w:p>
    <w:p>
      <w:pPr>
        <w:ind w:right="140" w:firstLine="357"/>
        <w:spacing w:after="0" w:line="245" w:lineRule="auto"/>
        <w:rPr>
          <w:sz w:val="20"/>
          <w:szCs w:val="20"/>
          <w:color w:val="auto"/>
        </w:rPr>
      </w:pPr>
      <w:r>
        <w:rPr>
          <w:rFonts w:ascii="Arial" w:cs="Arial" w:eastAsia="Arial" w:hAnsi="Arial"/>
          <w:sz w:val="19"/>
          <w:szCs w:val="19"/>
          <w:color w:val="auto"/>
        </w:rPr>
        <w:t xml:space="preserve">As discussed in Note 1 to the financial statements, the accompanying 2017 and 2016 consolidated statements of operations have been retrospectively adjusted for the adoption of Accounting Standards Update 2017-07, </w:t>
      </w:r>
      <w:r>
        <w:rPr>
          <w:rFonts w:ascii="Arial" w:cs="Arial" w:eastAsia="Arial" w:hAnsi="Arial"/>
          <w:sz w:val="19"/>
          <w:szCs w:val="19"/>
          <w:i w:val="1"/>
          <w:iCs w:val="1"/>
          <w:color w:val="auto"/>
        </w:rPr>
        <w:t>Compensation—Retirement Benefits</w:t>
      </w:r>
      <w:r>
        <w:rPr>
          <w:rFonts w:ascii="Arial" w:cs="Arial" w:eastAsia="Arial" w:hAnsi="Arial"/>
          <w:sz w:val="19"/>
          <w:szCs w:val="19"/>
          <w:color w:val="auto"/>
        </w:rPr>
        <w:t xml:space="preserve"> </w:t>
      </w:r>
      <w:r>
        <w:rPr>
          <w:rFonts w:ascii="Arial" w:cs="Arial" w:eastAsia="Arial" w:hAnsi="Arial"/>
          <w:sz w:val="19"/>
          <w:szCs w:val="19"/>
          <w:i w:val="1"/>
          <w:iCs w:val="1"/>
          <w:color w:val="auto"/>
        </w:rPr>
        <w:t>(Topic 715): Improving the Presentation of Net Periodic Pension Cost and Net Periodic Postretirement Benefit Cost</w:t>
      </w:r>
      <w:r>
        <w:rPr>
          <w:rFonts w:ascii="Arial" w:cs="Arial" w:eastAsia="Arial" w:hAnsi="Arial"/>
          <w:sz w:val="19"/>
          <w:szCs w:val="19"/>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Opinions</w:t>
      </w:r>
    </w:p>
    <w:p>
      <w:pPr>
        <w:spacing w:after="0" w:line="130"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ind w:right="20" w:firstLine="357"/>
        <w:spacing w:after="0" w:line="245"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87"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97" w:name="page98"/>
    <w:bookmarkEnd w:id="97"/>
    <w:p>
      <w:pPr>
        <w:spacing w:after="0"/>
        <w:rPr>
          <w:sz w:val="20"/>
          <w:szCs w:val="20"/>
          <w:color w:val="auto"/>
        </w:rPr>
      </w:pPr>
      <w:r>
        <w:rPr>
          <w:rFonts w:ascii="Arial" w:cs="Arial" w:eastAsia="Arial" w:hAnsi="Arial"/>
          <w:sz w:val="19"/>
          <w:szCs w:val="19"/>
          <w:b w:val="1"/>
          <w:bCs w:val="1"/>
          <w:color w:val="auto"/>
        </w:rPr>
        <w:t>Definition and Limitations of Internal Control over Financial Reporting</w:t>
      </w:r>
    </w:p>
    <w:p>
      <w:pPr>
        <w:spacing w:after="0" w:line="130"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ind w:right="100" w:firstLine="357"/>
        <w:spacing w:after="0" w:line="245"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color w:val="auto"/>
        </w:rPr>
        <w:t>Parsippany, New Jersey</w:t>
      </w:r>
    </w:p>
    <w:p>
      <w:pPr>
        <w:spacing w:after="0"/>
        <w:rPr>
          <w:sz w:val="20"/>
          <w:szCs w:val="20"/>
          <w:color w:val="auto"/>
        </w:rPr>
      </w:pPr>
      <w:r>
        <w:rPr>
          <w:rFonts w:ascii="Arial" w:cs="Arial" w:eastAsia="Arial" w:hAnsi="Arial"/>
          <w:sz w:val="19"/>
          <w:szCs w:val="19"/>
          <w:color w:val="auto"/>
        </w:rPr>
        <w:t>February 8, 2019</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2014.</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5" w:right="259" w:bottom="1440" w:gutter="0" w:footer="0" w:header="0"/>
        </w:sectPr>
      </w:pPr>
    </w:p>
    <w:bookmarkStart w:id="98" w:name="page99"/>
    <w:bookmarkEnd w:id="98"/>
    <w:p>
      <w:pPr>
        <w:spacing w:after="0"/>
        <w:rPr>
          <w:sz w:val="20"/>
          <w:szCs w:val="20"/>
          <w:color w:val="auto"/>
        </w:rPr>
      </w:pPr>
      <w:r>
        <w:rPr>
          <w:rFonts w:ascii="Arial" w:cs="Arial" w:eastAsia="Arial" w:hAnsi="Arial"/>
          <w:sz w:val="23"/>
          <w:szCs w:val="23"/>
          <w:b w:val="1"/>
          <w:bCs w:val="1"/>
          <w:color w:val="auto"/>
        </w:rPr>
        <w:t>Item 9. Changes in and Disagreements with Accountants on Accounting and Financial Disclosure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9A. Controls and Procedures</w:t>
      </w:r>
    </w:p>
    <w:p>
      <w:pPr>
        <w:spacing w:after="0" w:line="147"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Honeywell management maintains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There have been no changes that have materially affected, or are reasonably likely to materially affect, Honeywell’s internal control over financial reporting that have occurred during the quarter ended December 31, 2018.</w:t>
      </w:r>
    </w:p>
    <w:p>
      <w:pPr>
        <w:spacing w:after="0" w:line="80" w:lineRule="exact"/>
        <w:rPr>
          <w:sz w:val="20"/>
          <w:szCs w:val="20"/>
          <w:color w:val="auto"/>
        </w:rPr>
      </w:pPr>
    </w:p>
    <w:p>
      <w:pPr>
        <w:ind w:right="20" w:firstLine="357"/>
        <w:spacing w:after="0" w:line="242" w:lineRule="auto"/>
        <w:rPr>
          <w:sz w:val="20"/>
          <w:szCs w:val="20"/>
          <w:color w:val="auto"/>
        </w:rPr>
      </w:pPr>
      <w:r>
        <w:rPr>
          <w:rFonts w:ascii="Arial" w:cs="Arial" w:eastAsia="Arial" w:hAnsi="Arial"/>
          <w:sz w:val="19"/>
          <w:szCs w:val="19"/>
          <w:color w:val="auto"/>
        </w:rPr>
        <w:t>Our management, with the participation of our CEO and CFO, evaluated the effectiveness of our disclosure controls and procedures (as defined in Rules 13a-15(e) or 15d-15(e) promulgated under the Exchange Act) at December 31, 2018. Based on these evaluations, our CEO and CFO concluded that our disclosure controls and procedures required by paragraph (b) of Rules 13a-15 or 15d-15 were effective as of December 31, 2018.</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Management’s Report on Internal Control Over Financial Reporting</w:t>
      </w:r>
    </w:p>
    <w:p>
      <w:pPr>
        <w:spacing w:after="0" w:line="130" w:lineRule="exact"/>
        <w:rPr>
          <w:sz w:val="20"/>
          <w:szCs w:val="20"/>
          <w:color w:val="auto"/>
        </w:rPr>
      </w:pPr>
    </w:p>
    <w:p>
      <w:pPr>
        <w:ind w:right="100" w:firstLine="357"/>
        <w:spacing w:after="0" w:line="241" w:lineRule="auto"/>
        <w:rPr>
          <w:sz w:val="20"/>
          <w:szCs w:val="20"/>
          <w:color w:val="auto"/>
        </w:rPr>
      </w:pPr>
      <w:r>
        <w:rPr>
          <w:rFonts w:ascii="Arial" w:cs="Arial" w:eastAsia="Arial" w:hAnsi="Arial"/>
          <w:sz w:val="19"/>
          <w:szCs w:val="19"/>
          <w:color w:val="auto"/>
        </w:rPr>
        <w:t>Honeywell management is responsible for establishing and maintaining adequate internal control over financial reporting and for its assessment of the effectiveness of internal control over financial reporting as defined in Rules 13a-15(f) and 15d-15(f) under the Securities Exchange Act of 1934. Honeywell’s internal control over financial reporting is a process designed to provide reasonable assurance to our management and board of directors regarding the reliability of financial reporting and the preparation of financial statements for external purposes in accordance with generally accepted accounting principles.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w:t>
      </w:r>
    </w:p>
    <w:p>
      <w:pPr>
        <w:spacing w:after="0" w:line="106" w:lineRule="exact"/>
        <w:rPr>
          <w:sz w:val="20"/>
          <w:szCs w:val="20"/>
          <w:color w:val="auto"/>
        </w:rPr>
      </w:pPr>
    </w:p>
    <w:p>
      <w:pPr>
        <w:jc w:val="both"/>
        <w:ind w:right="400" w:firstLine="357"/>
        <w:spacing w:after="0" w:line="245" w:lineRule="auto"/>
        <w:rPr>
          <w:sz w:val="20"/>
          <w:szCs w:val="20"/>
          <w:color w:val="auto"/>
        </w:rPr>
      </w:pPr>
      <w:r>
        <w:rPr>
          <w:rFonts w:ascii="Arial" w:cs="Arial" w:eastAsia="Arial" w:hAnsi="Arial"/>
          <w:sz w:val="19"/>
          <w:szCs w:val="19"/>
          <w:color w:val="auto"/>
        </w:rPr>
        <w:t xml:space="preserve">Management assessed the effectiveness of Honeywell’s internal control over financial reporting as of December 31, 2018. In making this assessment, management used the criteria set forth by the Committee of Sponsoring Organizations of the Treadway Commission (COSO) in </w:t>
      </w:r>
      <w:r>
        <w:rPr>
          <w:rFonts w:ascii="Arial" w:cs="Arial" w:eastAsia="Arial" w:hAnsi="Arial"/>
          <w:sz w:val="19"/>
          <w:szCs w:val="19"/>
          <w:i w:val="1"/>
          <w:iCs w:val="1"/>
          <w:color w:val="auto"/>
        </w:rPr>
        <w:t>Internal Control—Integrated Framework (2013)</w:t>
      </w:r>
      <w:r>
        <w:rPr>
          <w:rFonts w:ascii="Arial" w:cs="Arial" w:eastAsia="Arial" w:hAnsi="Arial"/>
          <w:sz w:val="19"/>
          <w:szCs w:val="19"/>
          <w:color w:val="auto"/>
        </w:rPr>
        <w:t>.</w:t>
      </w:r>
    </w:p>
    <w:p>
      <w:pPr>
        <w:spacing w:after="0" w:line="87" w:lineRule="exact"/>
        <w:rPr>
          <w:sz w:val="20"/>
          <w:szCs w:val="20"/>
          <w:color w:val="auto"/>
        </w:rPr>
      </w:pPr>
    </w:p>
    <w:p>
      <w:pPr>
        <w:ind w:right="80" w:firstLine="357"/>
        <w:spacing w:after="0" w:line="253" w:lineRule="auto"/>
        <w:rPr>
          <w:sz w:val="20"/>
          <w:szCs w:val="20"/>
          <w:color w:val="auto"/>
        </w:rPr>
      </w:pPr>
      <w:r>
        <w:rPr>
          <w:rFonts w:ascii="Arial" w:cs="Arial" w:eastAsia="Arial" w:hAnsi="Arial"/>
          <w:sz w:val="19"/>
          <w:szCs w:val="19"/>
          <w:color w:val="auto"/>
        </w:rPr>
        <w:t>Based on this assessment, management determined that Honeywell maintained effective internal control over financial reporting as of December 31, 2018.</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effectiveness of Honeywell’s internal control over financial reporting as of December 31, 2018 has been audited by Deloitte</w:t>
      </w:r>
    </w:p>
    <w:p>
      <w:pPr>
        <w:ind w:right="640" w:firstLine="8"/>
        <w:spacing w:after="0" w:line="253" w:lineRule="auto"/>
        <w:tabs>
          <w:tab w:leader="none" w:pos="183" w:val="left"/>
        </w:tabs>
        <w:numPr>
          <w:ilvl w:val="0"/>
          <w:numId w:val="31"/>
        </w:numPr>
        <w:rPr>
          <w:rFonts w:ascii="Arial" w:cs="Arial" w:eastAsia="Arial" w:hAnsi="Arial"/>
          <w:sz w:val="19"/>
          <w:szCs w:val="19"/>
          <w:color w:val="auto"/>
        </w:rPr>
      </w:pPr>
      <w:r>
        <w:rPr>
          <w:rFonts w:ascii="Arial" w:cs="Arial" w:eastAsia="Arial" w:hAnsi="Arial"/>
          <w:sz w:val="19"/>
          <w:szCs w:val="19"/>
          <w:color w:val="auto"/>
        </w:rPr>
        <w:t>Touche LLP, an independent registered public accounting firm, as stated in their report which is included in Item 8. Financial Statements and Supplementary Data.</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9B. Other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Iran Threat Reduction and Syrian Human Rights Act of 2012</w:t>
      </w:r>
    </w:p>
    <w:p>
      <w:pPr>
        <w:spacing w:after="0" w:line="130"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Under the Iran Threat Reduction and Syrian Human Rights Act of 2012, which added Section 13(r) of the Securities Exchange Act of 1934, Honeywell is required to disclose in its periodic reports if it or any of its affiliates knowingly engaged in certain activities, transactions or dealings relating to Iran or with entities or individuals designated pursuant to certain Executive Orders. All of our activities in Iran during the year ended December 31, 2018, including the activities disclosed below, were conducted by our non-U.S. subsidiaries (i) under General License H, (ii) under General License I, or (iii) under a specific license issued by U.S. Treasury’s Office of Foreign Assets Control (OFAC), and otherwise in compliance with all applicable laws, including sanctions regulations administered by OFAC.</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99" w:name="page100"/>
    <w:bookmarkEnd w:id="99"/>
    <w:p>
      <w:pPr>
        <w:ind w:left="360"/>
        <w:spacing w:after="0"/>
        <w:rPr>
          <w:sz w:val="20"/>
          <w:szCs w:val="20"/>
          <w:color w:val="auto"/>
        </w:rPr>
      </w:pPr>
      <w:r>
        <w:rPr>
          <w:rFonts w:ascii="Arial" w:cs="Arial" w:eastAsia="Arial" w:hAnsi="Arial"/>
          <w:sz w:val="19"/>
          <w:szCs w:val="19"/>
          <w:color w:val="auto"/>
        </w:rPr>
        <w:t>In the year ended December 31, 2018, the non-U.S. subsidiaries of our UOP business, part of Performance Materials and</w:t>
      </w:r>
    </w:p>
    <w:p>
      <w:pPr>
        <w:spacing w:after="0"/>
        <w:rPr>
          <w:sz w:val="20"/>
          <w:szCs w:val="20"/>
          <w:color w:val="auto"/>
        </w:rPr>
      </w:pPr>
      <w:r>
        <w:rPr>
          <w:rFonts w:ascii="Arial" w:cs="Arial" w:eastAsia="Arial" w:hAnsi="Arial"/>
          <w:sz w:val="19"/>
          <w:szCs w:val="19"/>
          <w:color w:val="auto"/>
        </w:rPr>
        <w:t>Technologies, engaged in the following activities related to Iran’s oil, gas and/or petrochemical sectors:</w:t>
      </w:r>
    </w:p>
    <w:p>
      <w:pPr>
        <w:spacing w:after="0" w:line="92" w:lineRule="exact"/>
        <w:rPr>
          <w:sz w:val="20"/>
          <w:szCs w:val="20"/>
          <w:color w:val="auto"/>
        </w:rPr>
      </w:pPr>
    </w:p>
    <w:p>
      <w:pPr>
        <w:ind w:left="540" w:hanging="168"/>
        <w:spacing w:after="0" w:line="253"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Delivered services to Iranian counterparties pursuant to new and existing contracts, which resulted in revenue of approximately $31.3 million.</w:t>
      </w:r>
    </w:p>
    <w:p>
      <w:pPr>
        <w:spacing w:after="0" w:line="66" w:lineRule="exact"/>
        <w:rPr>
          <w:rFonts w:ascii="Arial" w:cs="Arial" w:eastAsia="Arial" w:hAnsi="Arial"/>
          <w:sz w:val="19"/>
          <w:szCs w:val="19"/>
          <w:color w:val="auto"/>
        </w:rPr>
      </w:pPr>
    </w:p>
    <w:p>
      <w:pPr>
        <w:ind w:left="540" w:right="640" w:hanging="168"/>
        <w:spacing w:after="0" w:line="253"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Sold non-U.S. origin products to non-U.S. third-parties for end-use in Iran pursuant to new and existing contracts, which resulted in revenue of approximately $14.0 million.</w:t>
      </w:r>
    </w:p>
    <w:p>
      <w:pPr>
        <w:spacing w:after="0" w:line="80" w:lineRule="exact"/>
        <w:rPr>
          <w:sz w:val="20"/>
          <w:szCs w:val="20"/>
          <w:color w:val="auto"/>
        </w:rPr>
      </w:pPr>
    </w:p>
    <w:p>
      <w:pPr>
        <w:ind w:right="560" w:firstLine="357"/>
        <w:spacing w:after="0" w:line="253" w:lineRule="auto"/>
        <w:rPr>
          <w:sz w:val="20"/>
          <w:szCs w:val="20"/>
          <w:color w:val="auto"/>
        </w:rPr>
      </w:pPr>
      <w:r>
        <w:rPr>
          <w:rFonts w:ascii="Arial" w:cs="Arial" w:eastAsia="Arial" w:hAnsi="Arial"/>
          <w:sz w:val="19"/>
          <w:szCs w:val="19"/>
          <w:color w:val="auto"/>
        </w:rPr>
        <w:t>Following our completion of the wind-down activities authorized by OFAC after the United States’ withdrawal from the Joint Comprehensive Plan of Action, we have now ceased doing business in Iran.</w:t>
      </w:r>
    </w:p>
    <w:p>
      <w:pPr>
        <w:spacing w:after="0" w:line="80" w:lineRule="exact"/>
        <w:rPr>
          <w:sz w:val="20"/>
          <w:szCs w:val="20"/>
          <w:color w:val="auto"/>
        </w:rPr>
      </w:pPr>
    </w:p>
    <w:p>
      <w:pPr>
        <w:ind w:right="460" w:firstLine="357"/>
        <w:spacing w:after="0" w:line="253" w:lineRule="auto"/>
        <w:rPr>
          <w:sz w:val="20"/>
          <w:szCs w:val="20"/>
          <w:color w:val="auto"/>
        </w:rPr>
      </w:pPr>
      <w:r>
        <w:rPr>
          <w:rFonts w:ascii="Arial" w:cs="Arial" w:eastAsia="Arial" w:hAnsi="Arial"/>
          <w:sz w:val="19"/>
          <w:szCs w:val="19"/>
          <w:color w:val="auto"/>
        </w:rPr>
        <w:t>On February 4, 2019, Krishna Mikkilineni, the Company’s Senior Vice President of Engineering and Information Technology, communicated his intention to retire from the Company effective as of April 30, 2019 (the “Retirement Date”).</w:t>
      </w:r>
    </w:p>
    <w:p>
      <w:pPr>
        <w:spacing w:after="0" w:line="66" w:lineRule="exact"/>
        <w:rPr>
          <w:sz w:val="20"/>
          <w:szCs w:val="20"/>
          <w:color w:val="auto"/>
        </w:rPr>
      </w:pPr>
    </w:p>
    <w:p>
      <w:pPr>
        <w:ind w:right="240" w:firstLine="357"/>
        <w:spacing w:after="0" w:line="239" w:lineRule="auto"/>
        <w:rPr>
          <w:sz w:val="20"/>
          <w:szCs w:val="20"/>
          <w:color w:val="auto"/>
        </w:rPr>
      </w:pPr>
      <w:r>
        <w:rPr>
          <w:rFonts w:ascii="Arial" w:cs="Arial" w:eastAsia="Arial" w:hAnsi="Arial"/>
          <w:sz w:val="19"/>
          <w:szCs w:val="19"/>
          <w:color w:val="auto"/>
        </w:rPr>
        <w:t>In consideration for Mr. Mikkilineni’s agreement to (1) provide post-Retirement Date transition services through October 31, 2019, and (2) extend the time period of his existing non-solicitation and non-compete covenants from two years to three years, the Company and Mr. Mikkilineni entered into a Retirement Agreement that provides Mr. Mikkilineni with the following benefits notwithstanding his voluntary retirement: (i) the outstanding restricted stock units previously awarded to Mr. Mikkilineni that are unvested as of the Retirement Date and that would otherwise have vested before March 1, 2020 shall remain outstanding and continue to vest as scheduled pursuant to their existing terms and conditions, including the satisfaction of any applicable Company performance requirements, (ii) all outstanding stock options that are unvested as of the Retirement Date and that would otherwise have vested before March 1, 2020 shall continue to vest as scheduled, and (iii) Mr. Mikkilineni shall receive a $2,500,000 payout from the performance stock units (“PSUs”) granted to him for the 2017–2019 PSU performance cycle (or the full payout of such PSUs if such payout is less than $2,500,000). All other unvested long-term incentive awards shall be forfeited as of the Retirement Date.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3"/>
          <w:szCs w:val="23"/>
          <w:b w:val="1"/>
          <w:bCs w:val="1"/>
          <w:color w:val="auto"/>
        </w:rPr>
        <w:t>PART III.</w:t>
      </w:r>
    </w:p>
    <w:p>
      <w:pPr>
        <w:spacing w:after="0" w:line="33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10. Directors and Executive Officers of the Registrant</w:t>
      </w:r>
    </w:p>
    <w:p>
      <w:pPr>
        <w:spacing w:after="0" w:line="147"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Information relating to the Directors of Honeywell, as well as information relating to compliance with Section 16(a) of the Securities Exchange Act of 1934, will be contained in our definitive Proxy Statement involving the election of the Directors, which will be filed with the SEC pursuant to Regulation 14A not later than 120 days after December 31, 2018, and such information is incorporated herein by reference. Certain other information relating to the Executive Officers of Honeywell appears in Part I of this Annual Report on Form 10-K under the heading Executive Officers of the Registrant.</w:t>
      </w:r>
    </w:p>
    <w:p>
      <w:pPr>
        <w:spacing w:after="0" w:line="71" w:lineRule="exact"/>
        <w:rPr>
          <w:sz w:val="20"/>
          <w:szCs w:val="20"/>
          <w:color w:val="auto"/>
        </w:rPr>
      </w:pPr>
    </w:p>
    <w:p>
      <w:pPr>
        <w:ind w:right="200" w:firstLine="357"/>
        <w:spacing w:after="0" w:line="245" w:lineRule="auto"/>
        <w:rPr>
          <w:sz w:val="20"/>
          <w:szCs w:val="20"/>
          <w:color w:val="auto"/>
        </w:rPr>
      </w:pPr>
      <w:r>
        <w:rPr>
          <w:rFonts w:ascii="Arial" w:cs="Arial" w:eastAsia="Arial" w:hAnsi="Arial"/>
          <w:sz w:val="19"/>
          <w:szCs w:val="19"/>
          <w:color w:val="auto"/>
        </w:rPr>
        <w:t>The members of the Audit Committee of our Board of Directors are: George Paz (Chair), Kevin Burke, Jaime Chico Pardo (</w:t>
      </w:r>
      <w:r>
        <w:rPr>
          <w:rFonts w:ascii="Arial" w:cs="Arial" w:eastAsia="Arial" w:hAnsi="Arial"/>
          <w:sz w:val="19"/>
          <w:szCs w:val="19"/>
          <w:i w:val="1"/>
          <w:iCs w:val="1"/>
          <w:color w:val="auto"/>
        </w:rPr>
        <w:t>ex</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officio </w:t>
      </w:r>
      <w:r>
        <w:rPr>
          <w:rFonts w:ascii="Arial" w:cs="Arial" w:eastAsia="Arial" w:hAnsi="Arial"/>
          <w:sz w:val="19"/>
          <w:szCs w:val="19"/>
          <w:color w:val="auto"/>
        </w:rPr>
        <w:t>member), D. Scott Davis, Linnet Deily, Judd Gregg and Robin L. Washington. The Board has determined that Mr. Paz, Mr.</w:t>
      </w:r>
      <w:r>
        <w:rPr>
          <w:rFonts w:ascii="Arial" w:cs="Arial" w:eastAsia="Arial" w:hAnsi="Arial"/>
          <w:sz w:val="19"/>
          <w:szCs w:val="19"/>
          <w:i w:val="1"/>
          <w:iCs w:val="1"/>
          <w:color w:val="auto"/>
        </w:rPr>
        <w:t xml:space="preserve"> </w:t>
      </w:r>
      <w:r>
        <w:rPr>
          <w:rFonts w:ascii="Arial" w:cs="Arial" w:eastAsia="Arial" w:hAnsi="Arial"/>
          <w:sz w:val="19"/>
          <w:szCs w:val="19"/>
          <w:color w:val="auto"/>
        </w:rPr>
        <w:t>Chico Pardo, Mr. Davis and Ms. Washington are audit committee financial experts as defined by applicable SEC rules and that Mr. Paz, Mr. Burke, Mr. Davis, Ms. Deily and Ms. Washington satisfy the accounting or related financial management expertise criteria established by the NYSE. All members of the Audit Committee are independent as that term is defined in applicable SEC rules and NYSE listing standards.</w:t>
      </w:r>
    </w:p>
    <w:p>
      <w:pPr>
        <w:spacing w:after="0" w:line="73"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Honeywell’s corporate governance policies and procedures, including the Code of Business Conduct, Corporate Governance Guidelines and Charters of the Committees of the Board of Directors are available, free of charge, on our website under the heading Investor Relations (see Corporate Governance), or by writing to Honeywell, 115 Tabor Road, Morris Plains, New Jersey 07950, c/o Vice President and Corporate Secretary. Honeywell’s Code of Business Conduct applies to all Honeywell directors, officers (including the Chief Executive Officer, Chief Financial Officer and Controller) and employees. Amendments to or waivers of the Code of Business Conduct granted to any of Honeywell’s directors or executive officers will be published on our website within five business days of such amendment or waiver.</w:t>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11. Executive Compensation</w:t>
      </w:r>
    </w:p>
    <w:p>
      <w:pPr>
        <w:spacing w:after="0" w:line="147" w:lineRule="exact"/>
        <w:rPr>
          <w:sz w:val="20"/>
          <w:szCs w:val="20"/>
          <w:color w:val="auto"/>
        </w:rPr>
      </w:pPr>
    </w:p>
    <w:p>
      <w:pPr>
        <w:ind w:right="240" w:firstLine="357"/>
        <w:spacing w:after="0" w:line="253" w:lineRule="auto"/>
        <w:rPr>
          <w:sz w:val="20"/>
          <w:szCs w:val="20"/>
          <w:color w:val="auto"/>
        </w:rPr>
      </w:pPr>
      <w:r>
        <w:rPr>
          <w:rFonts w:ascii="Arial" w:cs="Arial" w:eastAsia="Arial" w:hAnsi="Arial"/>
          <w:sz w:val="19"/>
          <w:szCs w:val="19"/>
          <w:color w:val="auto"/>
        </w:rPr>
        <w:t>Information relating to executive compensation is contained in the Proxy Statement referred to above in Item 10. Directors and Executive Officers of the Registrant, and such information is incorporated herein by reference.</w:t>
      </w:r>
    </w:p>
    <w:p>
      <w:pPr>
        <w:spacing w:after="0" w:line="262" w:lineRule="exact"/>
        <w:rPr>
          <w:sz w:val="20"/>
          <w:szCs w:val="20"/>
          <w:color w:val="auto"/>
        </w:rPr>
      </w:pPr>
    </w:p>
    <w:p>
      <w:pPr>
        <w:ind w:left="960" w:right="460" w:hanging="948"/>
        <w:spacing w:after="0" w:line="280" w:lineRule="auto"/>
        <w:rPr>
          <w:sz w:val="20"/>
          <w:szCs w:val="20"/>
          <w:color w:val="auto"/>
        </w:rPr>
      </w:pPr>
      <w:r>
        <w:rPr>
          <w:rFonts w:ascii="Arial" w:cs="Arial" w:eastAsia="Arial" w:hAnsi="Arial"/>
          <w:sz w:val="23"/>
          <w:szCs w:val="23"/>
          <w:b w:val="1"/>
          <w:bCs w:val="1"/>
          <w:color w:val="auto"/>
        </w:rPr>
        <w:t>Item 12. Security Ownership of Certain Beneficial Owners and Management and Related Stockholder Matters</w:t>
      </w:r>
    </w:p>
    <w:p>
      <w:pPr>
        <w:spacing w:after="0" w:line="64" w:lineRule="exact"/>
        <w:rPr>
          <w:sz w:val="20"/>
          <w:szCs w:val="20"/>
          <w:color w:val="auto"/>
        </w:rPr>
      </w:pPr>
    </w:p>
    <w:p>
      <w:pPr>
        <w:ind w:right="580" w:firstLine="357"/>
        <w:spacing w:after="0" w:line="245" w:lineRule="auto"/>
        <w:rPr>
          <w:sz w:val="20"/>
          <w:szCs w:val="20"/>
          <w:color w:val="auto"/>
        </w:rPr>
      </w:pPr>
      <w:r>
        <w:rPr>
          <w:rFonts w:ascii="Arial" w:cs="Arial" w:eastAsia="Arial" w:hAnsi="Arial"/>
          <w:sz w:val="19"/>
          <w:szCs w:val="19"/>
          <w:color w:val="auto"/>
        </w:rPr>
        <w:t>Information relating to security ownership of certain beneficial owners and management and related stockholder matters is contained in the Proxy Statement referred to above in Item 10. Directors and Executive Officers of the Registrant, and such information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COMPENSATION PLANS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As of December 31, 2018 information about our equity compensation plans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8"/>
              </w:rPr>
              <w:t>Number of Securities</w:t>
            </w:r>
          </w:p>
        </w:tc>
      </w:tr>
      <w:tr>
        <w:trPr>
          <w:trHeight w:val="176"/>
        </w:trPr>
        <w:tc>
          <w:tcPr>
            <w:tcW w:w="4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Number of Shares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Remaining Available for</w:t>
            </w:r>
          </w:p>
        </w:tc>
      </w:tr>
      <w:tr>
        <w:trPr>
          <w:trHeight w:val="176"/>
        </w:trPr>
        <w:tc>
          <w:tcPr>
            <w:tcW w:w="4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to be Issued Upon</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ind w:right="55"/>
              <w:spacing w:after="0" w:line="176" w:lineRule="exact"/>
              <w:rPr>
                <w:sz w:val="20"/>
                <w:szCs w:val="20"/>
                <w:color w:val="auto"/>
              </w:rPr>
            </w:pPr>
            <w:r>
              <w:rPr>
                <w:rFonts w:ascii="Arial" w:cs="Arial" w:eastAsia="Arial" w:hAnsi="Arial"/>
                <w:sz w:val="16"/>
                <w:szCs w:val="16"/>
                <w:b w:val="1"/>
                <w:bCs w:val="1"/>
                <w:color w:val="auto"/>
                <w:w w:val="98"/>
              </w:rPr>
              <w:t>Weighted-Average</w:t>
            </w:r>
          </w:p>
        </w:tc>
        <w:tc>
          <w:tcPr>
            <w:tcW w:w="300" w:type="dxa"/>
            <w:vAlign w:val="bottom"/>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Future Issuance Under</w:t>
            </w:r>
          </w:p>
        </w:tc>
      </w:tr>
      <w:tr>
        <w:trPr>
          <w:trHeight w:val="176"/>
        </w:trPr>
        <w:tc>
          <w:tcPr>
            <w:tcW w:w="4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Exercise of</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ind w:right="75"/>
              <w:spacing w:after="0" w:line="176" w:lineRule="exact"/>
              <w:rPr>
                <w:sz w:val="20"/>
                <w:szCs w:val="20"/>
                <w:color w:val="auto"/>
              </w:rPr>
            </w:pPr>
            <w:r>
              <w:rPr>
                <w:rFonts w:ascii="Arial" w:cs="Arial" w:eastAsia="Arial" w:hAnsi="Arial"/>
                <w:sz w:val="16"/>
                <w:szCs w:val="16"/>
                <w:b w:val="1"/>
                <w:bCs w:val="1"/>
                <w:color w:val="auto"/>
                <w:w w:val="99"/>
              </w:rPr>
              <w:t>Exercise Price of</w:t>
            </w:r>
          </w:p>
        </w:tc>
        <w:tc>
          <w:tcPr>
            <w:tcW w:w="300" w:type="dxa"/>
            <w:vAlign w:val="bottom"/>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Equity Compensation</w:t>
            </w:r>
          </w:p>
        </w:tc>
      </w:tr>
      <w:tr>
        <w:trPr>
          <w:trHeight w:val="176"/>
        </w:trPr>
        <w:tc>
          <w:tcPr>
            <w:tcW w:w="4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Outstanding Options,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ind w:right="75"/>
              <w:spacing w:after="0" w:line="176" w:lineRule="exact"/>
              <w:rPr>
                <w:sz w:val="20"/>
                <w:szCs w:val="20"/>
                <w:color w:val="auto"/>
              </w:rPr>
            </w:pPr>
            <w:r>
              <w:rPr>
                <w:rFonts w:ascii="Arial" w:cs="Arial" w:eastAsia="Arial" w:hAnsi="Arial"/>
                <w:sz w:val="16"/>
                <w:szCs w:val="16"/>
                <w:b w:val="1"/>
                <w:bCs w:val="1"/>
                <w:color w:val="auto"/>
                <w:w w:val="97"/>
              </w:rPr>
              <w:t>Outstanding</w:t>
            </w:r>
          </w:p>
        </w:tc>
        <w:tc>
          <w:tcPr>
            <w:tcW w:w="300" w:type="dxa"/>
            <w:vAlign w:val="bottom"/>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Plans (Excluding</w:t>
            </w:r>
          </w:p>
        </w:tc>
      </w:tr>
      <w:tr>
        <w:trPr>
          <w:trHeight w:val="176"/>
        </w:trPr>
        <w:tc>
          <w:tcPr>
            <w:tcW w:w="4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Warrants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ind w:right="75"/>
              <w:spacing w:after="0" w:line="176" w:lineRule="exact"/>
              <w:rPr>
                <w:sz w:val="20"/>
                <w:szCs w:val="20"/>
                <w:color w:val="auto"/>
              </w:rPr>
            </w:pPr>
            <w:r>
              <w:rPr>
                <w:rFonts w:ascii="Arial" w:cs="Arial" w:eastAsia="Arial" w:hAnsi="Arial"/>
                <w:sz w:val="16"/>
                <w:szCs w:val="16"/>
                <w:b w:val="1"/>
                <w:bCs w:val="1"/>
                <w:color w:val="auto"/>
                <w:w w:val="98"/>
              </w:rPr>
              <w:t>Options, Warrants</w:t>
            </w:r>
          </w:p>
        </w:tc>
        <w:tc>
          <w:tcPr>
            <w:tcW w:w="300" w:type="dxa"/>
            <w:vAlign w:val="bottom"/>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Securities Reflected in</w:t>
            </w:r>
          </w:p>
        </w:tc>
      </w:tr>
      <w:tr>
        <w:trPr>
          <w:trHeight w:val="190"/>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and Rights</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99"/>
              </w:rPr>
              <w:t>and Rights</w:t>
            </w:r>
          </w:p>
        </w:tc>
        <w:tc>
          <w:tcPr>
            <w:tcW w:w="3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Column (a))</w:t>
            </w:r>
          </w:p>
        </w:tc>
      </w:tr>
      <w:tr>
        <w:trPr>
          <w:trHeight w:val="223"/>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Plan category</w:t>
            </w:r>
          </w:p>
        </w:tc>
        <w:tc>
          <w:tcPr>
            <w:tcW w:w="3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rPr>
              <w:t>(a)</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center"/>
              <w:ind w:right="75"/>
              <w:spacing w:after="0"/>
              <w:rPr>
                <w:sz w:val="20"/>
                <w:szCs w:val="20"/>
                <w:color w:val="auto"/>
              </w:rPr>
            </w:pPr>
            <w:r>
              <w:rPr>
                <w:rFonts w:ascii="Arial" w:cs="Arial" w:eastAsia="Arial" w:hAnsi="Arial"/>
                <w:sz w:val="16"/>
                <w:szCs w:val="16"/>
                <w:b w:val="1"/>
                <w:bCs w:val="1"/>
                <w:color w:val="auto"/>
                <w:w w:val="97"/>
              </w:rPr>
              <w:t>(b)</w:t>
            </w:r>
          </w:p>
        </w:tc>
        <w:tc>
          <w:tcPr>
            <w:tcW w:w="30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rPr>
              <w:t>(c)</w:t>
            </w:r>
          </w:p>
        </w:tc>
      </w:tr>
      <w:tr>
        <w:trPr>
          <w:trHeight w:val="210"/>
        </w:trPr>
        <w:tc>
          <w:tcPr>
            <w:tcW w:w="462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Equity compensation plans approved by security</w:t>
            </w:r>
          </w:p>
        </w:tc>
        <w:tc>
          <w:tcPr>
            <w:tcW w:w="300" w:type="dxa"/>
            <w:vAlign w:val="bottom"/>
            <w:shd w:val="clear" w:color="auto" w:fill="E5FFFF"/>
          </w:tcPr>
          <w:p>
            <w:pPr>
              <w:spacing w:after="0"/>
              <w:rPr>
                <w:sz w:val="18"/>
                <w:szCs w:val="18"/>
                <w:color w:val="auto"/>
              </w:rPr>
            </w:pPr>
          </w:p>
        </w:tc>
        <w:tc>
          <w:tcPr>
            <w:tcW w:w="18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300" w:type="dxa"/>
            <w:vAlign w:val="bottom"/>
            <w:shd w:val="clear" w:color="auto" w:fill="E5FFFF"/>
          </w:tcPr>
          <w:p>
            <w:pPr>
              <w:spacing w:after="0"/>
              <w:rPr>
                <w:sz w:val="18"/>
                <w:szCs w:val="18"/>
                <w:color w:val="auto"/>
              </w:rPr>
            </w:pPr>
          </w:p>
        </w:tc>
      </w:tr>
      <w:tr>
        <w:trPr>
          <w:trHeight w:val="216"/>
        </w:trPr>
        <w:tc>
          <w:tcPr>
            <w:tcW w:w="462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holders</w:t>
            </w:r>
          </w:p>
        </w:tc>
        <w:tc>
          <w:tcPr>
            <w:tcW w:w="2140" w:type="dxa"/>
            <w:vAlign w:val="bottom"/>
            <w:gridSpan w:val="2"/>
            <w:shd w:val="clear" w:color="auto" w:fill="E5FFFF"/>
          </w:tcPr>
          <w:p>
            <w:pPr>
              <w:jc w:val="right"/>
              <w:ind w:right="37"/>
              <w:spacing w:after="0" w:line="216" w:lineRule="exact"/>
              <w:rPr>
                <w:sz w:val="20"/>
                <w:szCs w:val="20"/>
                <w:color w:val="auto"/>
              </w:rPr>
            </w:pPr>
            <w:r>
              <w:rPr>
                <w:rFonts w:ascii="Arial" w:cs="Arial" w:eastAsia="Arial" w:hAnsi="Arial"/>
                <w:sz w:val="19"/>
                <w:szCs w:val="19"/>
                <w:color w:val="auto"/>
              </w:rPr>
              <w:t>26,746,020</w:t>
            </w:r>
            <w:r>
              <w:rPr>
                <w:rFonts w:ascii="Arial" w:cs="Arial" w:eastAsia="Arial" w:hAnsi="Arial"/>
                <w:sz w:val="10"/>
                <w:szCs w:val="10"/>
                <w:color w:val="auto"/>
              </w:rPr>
              <w:t>(1)</w:t>
            </w:r>
          </w:p>
        </w:tc>
        <w:tc>
          <w:tcPr>
            <w:tcW w:w="460" w:type="dxa"/>
            <w:vAlign w:val="bottom"/>
            <w:gridSpan w:val="2"/>
            <w:shd w:val="clear" w:color="auto" w:fill="E5FFFF"/>
          </w:tcPr>
          <w:p>
            <w:pPr>
              <w:jc w:val="right"/>
              <w:spacing w:after="0" w:line="216" w:lineRule="exact"/>
              <w:rPr>
                <w:sz w:val="20"/>
                <w:szCs w:val="20"/>
                <w:color w:val="auto"/>
              </w:rPr>
            </w:pPr>
            <w:r>
              <w:rPr>
                <w:rFonts w:ascii="Arial" w:cs="Arial" w:eastAsia="Arial" w:hAnsi="Arial"/>
                <w:sz w:val="19"/>
                <w:szCs w:val="19"/>
                <w:color w:val="auto"/>
              </w:rPr>
              <w:t>$</w:t>
            </w:r>
          </w:p>
        </w:tc>
        <w:tc>
          <w:tcPr>
            <w:tcW w:w="1600" w:type="dxa"/>
            <w:vAlign w:val="bottom"/>
            <w:shd w:val="clear" w:color="auto" w:fill="E5FFFF"/>
          </w:tcPr>
          <w:p>
            <w:pPr>
              <w:ind w:left="760"/>
              <w:spacing w:after="0" w:line="216" w:lineRule="exact"/>
              <w:rPr>
                <w:sz w:val="20"/>
                <w:szCs w:val="20"/>
                <w:color w:val="auto"/>
              </w:rPr>
            </w:pPr>
            <w:r>
              <w:rPr>
                <w:rFonts w:ascii="Arial" w:cs="Arial" w:eastAsia="Arial" w:hAnsi="Arial"/>
                <w:sz w:val="19"/>
                <w:szCs w:val="19"/>
                <w:color w:val="auto"/>
              </w:rPr>
              <w:t>97.83</w:t>
            </w:r>
            <w:r>
              <w:rPr>
                <w:rFonts w:ascii="Arial" w:cs="Arial" w:eastAsia="Arial" w:hAnsi="Arial"/>
                <w:sz w:val="10"/>
                <w:szCs w:val="10"/>
                <w:color w:val="auto"/>
              </w:rPr>
              <w:t>(2)</w:t>
            </w:r>
          </w:p>
        </w:tc>
        <w:tc>
          <w:tcPr>
            <w:tcW w:w="2600" w:type="dxa"/>
            <w:vAlign w:val="bottom"/>
            <w:gridSpan w:val="2"/>
            <w:shd w:val="clear" w:color="auto" w:fill="E5FFFF"/>
          </w:tcPr>
          <w:p>
            <w:pPr>
              <w:ind w:left="1340"/>
              <w:spacing w:after="0" w:line="216" w:lineRule="exact"/>
              <w:rPr>
                <w:sz w:val="20"/>
                <w:szCs w:val="20"/>
                <w:color w:val="auto"/>
              </w:rPr>
            </w:pPr>
            <w:r>
              <w:rPr>
                <w:rFonts w:ascii="Arial" w:cs="Arial" w:eastAsia="Arial" w:hAnsi="Arial"/>
                <w:sz w:val="19"/>
                <w:szCs w:val="19"/>
                <w:color w:val="auto"/>
              </w:rPr>
              <w:t>42,792,180</w:t>
            </w:r>
            <w:r>
              <w:rPr>
                <w:rFonts w:ascii="Arial" w:cs="Arial" w:eastAsia="Arial" w:hAnsi="Arial"/>
                <w:sz w:val="10"/>
                <w:szCs w:val="10"/>
                <w:color w:val="auto"/>
              </w:rPr>
              <w:t>(3)</w:t>
            </w:r>
          </w:p>
        </w:tc>
      </w:tr>
      <w:tr>
        <w:trPr>
          <w:trHeight w:val="216"/>
        </w:trPr>
        <w:tc>
          <w:tcPr>
            <w:tcW w:w="4620" w:type="dxa"/>
            <w:vAlign w:val="bottom"/>
          </w:tcPr>
          <w:p>
            <w:pPr>
              <w:spacing w:after="0" w:line="216" w:lineRule="exact"/>
              <w:rPr>
                <w:sz w:val="20"/>
                <w:szCs w:val="20"/>
                <w:color w:val="auto"/>
              </w:rPr>
            </w:pPr>
            <w:r>
              <w:rPr>
                <w:rFonts w:ascii="Arial" w:cs="Arial" w:eastAsia="Arial" w:hAnsi="Arial"/>
                <w:sz w:val="19"/>
                <w:szCs w:val="19"/>
                <w:color w:val="auto"/>
              </w:rPr>
              <w:t>Equity compensation plans not approved by security</w:t>
            </w: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23"/>
        </w:trPr>
        <w:tc>
          <w:tcPr>
            <w:tcW w:w="4620" w:type="dxa"/>
            <w:vAlign w:val="bottom"/>
          </w:tcPr>
          <w:p>
            <w:pPr>
              <w:ind w:left="180"/>
              <w:spacing w:after="0" w:line="216" w:lineRule="exact"/>
              <w:rPr>
                <w:sz w:val="20"/>
                <w:szCs w:val="20"/>
                <w:color w:val="auto"/>
              </w:rPr>
            </w:pPr>
            <w:r>
              <w:rPr>
                <w:rFonts w:ascii="Arial" w:cs="Arial" w:eastAsia="Arial" w:hAnsi="Arial"/>
                <w:sz w:val="19"/>
                <w:szCs w:val="19"/>
                <w:color w:val="auto"/>
              </w:rPr>
              <w:t>holders</w:t>
            </w:r>
          </w:p>
        </w:tc>
        <w:tc>
          <w:tcPr>
            <w:tcW w:w="300" w:type="dxa"/>
            <w:vAlign w:val="bottom"/>
          </w:tcPr>
          <w:p>
            <w:pPr>
              <w:spacing w:after="0"/>
              <w:rPr>
                <w:sz w:val="19"/>
                <w:szCs w:val="19"/>
                <w:color w:val="auto"/>
              </w:rPr>
            </w:pPr>
          </w:p>
        </w:tc>
        <w:tc>
          <w:tcPr>
            <w:tcW w:w="1840" w:type="dxa"/>
            <w:vAlign w:val="bottom"/>
            <w:tcBorders>
              <w:bottom w:val="single" w:sz="8" w:color="auto"/>
            </w:tcBorders>
          </w:tcPr>
          <w:p>
            <w:pPr>
              <w:jc w:val="right"/>
              <w:ind w:right="37"/>
              <w:spacing w:after="0" w:line="216" w:lineRule="exact"/>
              <w:rPr>
                <w:sz w:val="20"/>
                <w:szCs w:val="20"/>
                <w:color w:val="auto"/>
              </w:rPr>
            </w:pPr>
            <w:r>
              <w:rPr>
                <w:rFonts w:ascii="Arial" w:cs="Arial" w:eastAsia="Arial" w:hAnsi="Arial"/>
                <w:sz w:val="19"/>
                <w:szCs w:val="19"/>
                <w:color w:val="auto"/>
              </w:rPr>
              <w:t>328,003</w:t>
            </w:r>
            <w:r>
              <w:rPr>
                <w:rFonts w:ascii="Arial" w:cs="Arial" w:eastAsia="Arial" w:hAnsi="Arial"/>
                <w:sz w:val="10"/>
                <w:szCs w:val="10"/>
                <w:color w:val="auto"/>
              </w:rPr>
              <w:t>(4)</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920"/>
              <w:spacing w:after="0" w:line="216" w:lineRule="exact"/>
              <w:rPr>
                <w:sz w:val="20"/>
                <w:szCs w:val="20"/>
                <w:color w:val="auto"/>
              </w:rPr>
            </w:pPr>
            <w:r>
              <w:rPr>
                <w:rFonts w:ascii="Arial" w:cs="Arial" w:eastAsia="Arial" w:hAnsi="Arial"/>
                <w:sz w:val="19"/>
                <w:szCs w:val="19"/>
                <w:color w:val="auto"/>
              </w:rPr>
              <w:t>N/A</w:t>
            </w:r>
            <w:r>
              <w:rPr>
                <w:rFonts w:ascii="Arial" w:cs="Arial" w:eastAsia="Arial" w:hAnsi="Arial"/>
                <w:sz w:val="10"/>
                <w:szCs w:val="10"/>
                <w:color w:val="auto"/>
              </w:rPr>
              <w:t>(5)</w:t>
            </w:r>
          </w:p>
        </w:tc>
        <w:tc>
          <w:tcPr>
            <w:tcW w:w="300" w:type="dxa"/>
            <w:vAlign w:val="bottom"/>
          </w:tcPr>
          <w:p>
            <w:pPr>
              <w:spacing w:after="0"/>
              <w:rPr>
                <w:sz w:val="19"/>
                <w:szCs w:val="19"/>
                <w:color w:val="auto"/>
              </w:rPr>
            </w:pPr>
          </w:p>
        </w:tc>
        <w:tc>
          <w:tcPr>
            <w:tcW w:w="2300" w:type="dxa"/>
            <w:vAlign w:val="bottom"/>
            <w:tcBorders>
              <w:bottom w:val="single" w:sz="8" w:color="auto"/>
            </w:tcBorders>
          </w:tcPr>
          <w:p>
            <w:pPr>
              <w:ind w:left="1700"/>
              <w:spacing w:after="0" w:line="216" w:lineRule="exact"/>
              <w:rPr>
                <w:sz w:val="20"/>
                <w:szCs w:val="20"/>
                <w:color w:val="auto"/>
              </w:rPr>
            </w:pPr>
            <w:r>
              <w:rPr>
                <w:rFonts w:ascii="Arial" w:cs="Arial" w:eastAsia="Arial" w:hAnsi="Arial"/>
                <w:sz w:val="19"/>
                <w:szCs w:val="19"/>
                <w:color w:val="auto"/>
              </w:rPr>
              <w:t>N/A</w:t>
            </w:r>
            <w:r>
              <w:rPr>
                <w:rFonts w:ascii="Arial" w:cs="Arial" w:eastAsia="Arial" w:hAnsi="Arial"/>
                <w:sz w:val="10"/>
                <w:szCs w:val="10"/>
                <w:color w:val="auto"/>
              </w:rPr>
              <w:t>(6)</w:t>
            </w:r>
          </w:p>
        </w:tc>
      </w:tr>
      <w:tr>
        <w:trPr>
          <w:trHeight w:val="243"/>
        </w:trPr>
        <w:tc>
          <w:tcPr>
            <w:tcW w:w="4620" w:type="dxa"/>
            <w:vAlign w:val="bottom"/>
            <w:shd w:val="clear" w:color="auto" w:fill="E5FFFF"/>
          </w:tcPr>
          <w:p>
            <w:pPr>
              <w:spacing w:after="0"/>
              <w:rPr>
                <w:sz w:val="20"/>
                <w:szCs w:val="20"/>
                <w:color w:val="auto"/>
              </w:rPr>
            </w:pPr>
            <w:r>
              <w:rPr>
                <w:rFonts w:ascii="Arial" w:cs="Arial" w:eastAsia="Arial" w:hAnsi="Arial"/>
                <w:sz w:val="19"/>
                <w:szCs w:val="19"/>
                <w:color w:val="auto"/>
              </w:rPr>
              <w:t>Total</w:t>
            </w:r>
          </w:p>
        </w:tc>
        <w:tc>
          <w:tcPr>
            <w:tcW w:w="300" w:type="dxa"/>
            <w:vAlign w:val="bottom"/>
            <w:shd w:val="clear" w:color="auto" w:fill="E5FFFF"/>
          </w:tcPr>
          <w:p>
            <w:pPr>
              <w:spacing w:after="0"/>
              <w:rPr>
                <w:sz w:val="21"/>
                <w:szCs w:val="21"/>
                <w:color w:val="auto"/>
              </w:rPr>
            </w:pPr>
          </w:p>
        </w:tc>
        <w:tc>
          <w:tcPr>
            <w:tcW w:w="1840" w:type="dxa"/>
            <w:vAlign w:val="bottom"/>
            <w:tcBorders>
              <w:bottom w:val="single" w:sz="8" w:color="auto"/>
            </w:tcBorders>
            <w:shd w:val="clear" w:color="auto" w:fill="E5FFFF"/>
          </w:tcPr>
          <w:p>
            <w:pPr>
              <w:jc w:val="right"/>
              <w:ind w:right="157"/>
              <w:spacing w:after="0"/>
              <w:rPr>
                <w:sz w:val="20"/>
                <w:szCs w:val="20"/>
                <w:color w:val="auto"/>
              </w:rPr>
            </w:pPr>
            <w:r>
              <w:rPr>
                <w:rFonts w:ascii="Arial" w:cs="Arial" w:eastAsia="Arial" w:hAnsi="Arial"/>
                <w:sz w:val="19"/>
                <w:szCs w:val="19"/>
                <w:color w:val="auto"/>
              </w:rPr>
              <w:t>27,074,023</w:t>
            </w:r>
          </w:p>
        </w:tc>
        <w:tc>
          <w:tcPr>
            <w:tcW w:w="3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600" w:type="dxa"/>
            <w:vAlign w:val="bottom"/>
            <w:tcBorders>
              <w:bottom w:val="single" w:sz="8" w:color="auto"/>
            </w:tcBorders>
            <w:shd w:val="clear" w:color="auto" w:fill="E5FFFF"/>
          </w:tcPr>
          <w:p>
            <w:pPr>
              <w:ind w:left="760"/>
              <w:spacing w:after="0"/>
              <w:rPr>
                <w:sz w:val="20"/>
                <w:szCs w:val="20"/>
                <w:color w:val="auto"/>
              </w:rPr>
            </w:pPr>
            <w:r>
              <w:rPr>
                <w:rFonts w:ascii="Arial" w:cs="Arial" w:eastAsia="Arial" w:hAnsi="Arial"/>
                <w:sz w:val="19"/>
                <w:szCs w:val="19"/>
                <w:color w:val="auto"/>
              </w:rPr>
              <w:t>97.83</w:t>
            </w:r>
          </w:p>
        </w:tc>
        <w:tc>
          <w:tcPr>
            <w:tcW w:w="300" w:type="dxa"/>
            <w:vAlign w:val="bottom"/>
            <w:shd w:val="clear" w:color="auto" w:fill="E5FFFF"/>
          </w:tcPr>
          <w:p>
            <w:pPr>
              <w:spacing w:after="0"/>
              <w:rPr>
                <w:sz w:val="21"/>
                <w:szCs w:val="21"/>
                <w:color w:val="auto"/>
              </w:rPr>
            </w:pPr>
          </w:p>
        </w:tc>
        <w:tc>
          <w:tcPr>
            <w:tcW w:w="2300" w:type="dxa"/>
            <w:vAlign w:val="bottom"/>
            <w:tcBorders>
              <w:bottom w:val="single" w:sz="8" w:color="auto"/>
            </w:tcBorders>
            <w:shd w:val="clear" w:color="auto" w:fill="E5FFFF"/>
          </w:tcPr>
          <w:p>
            <w:pPr>
              <w:ind w:left="1040"/>
              <w:spacing w:after="0"/>
              <w:rPr>
                <w:sz w:val="20"/>
                <w:szCs w:val="20"/>
                <w:color w:val="auto"/>
              </w:rPr>
            </w:pPr>
            <w:r>
              <w:rPr>
                <w:rFonts w:ascii="Arial" w:cs="Arial" w:eastAsia="Arial" w:hAnsi="Arial"/>
                <w:sz w:val="19"/>
                <w:szCs w:val="19"/>
                <w:color w:val="auto"/>
              </w:rPr>
              <w:t>42,792,180</w:t>
            </w:r>
          </w:p>
        </w:tc>
      </w:tr>
      <w:tr>
        <w:trPr>
          <w:trHeight w:val="20"/>
        </w:trPr>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336"/>
        </w:trPr>
        <w:tc>
          <w:tcPr>
            <w:tcW w:w="4620" w:type="dxa"/>
            <w:vAlign w:val="bottom"/>
          </w:tcPr>
          <w:p>
            <w:pPr>
              <w:spacing w:after="0"/>
              <w:rPr>
                <w:sz w:val="24"/>
                <w:szCs w:val="24"/>
                <w:color w:val="auto"/>
              </w:rPr>
            </w:pPr>
          </w:p>
        </w:tc>
        <w:tc>
          <w:tcPr>
            <w:tcW w:w="2140" w:type="dxa"/>
            <w:vAlign w:val="bottom"/>
            <w:gridSpan w:val="2"/>
          </w:tcPr>
          <w:p>
            <w:pPr>
              <w:jc w:val="right"/>
              <w:ind w:right="857"/>
              <w:spacing w:after="0"/>
              <w:rPr>
                <w:sz w:val="20"/>
                <w:szCs w:val="20"/>
                <w:color w:val="auto"/>
              </w:rPr>
            </w:pPr>
            <w:r>
              <w:rPr>
                <w:rFonts w:ascii="Arial" w:cs="Arial" w:eastAsia="Arial" w:hAnsi="Arial"/>
                <w:sz w:val="19"/>
                <w:szCs w:val="19"/>
                <w:color w:val="auto"/>
              </w:rPr>
              <w:t>98</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09"/>
        </w:trPr>
        <w:tc>
          <w:tcPr>
            <w:tcW w:w="4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01" w:name="page102"/>
    <w:bookmarkEnd w:id="101"/>
    <w:p>
      <w:pPr>
        <w:ind w:left="340" w:right="20" w:hanging="338"/>
        <w:spacing w:after="0" w:line="239" w:lineRule="auto"/>
        <w:tabs>
          <w:tab w:leader="none" w:pos="3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Equity compensation plans approved by shareowners which are included in column (a) of the table are the 2016 Stock Incentive Plan, the 2011 Stock Incentive Plan, and the 2006 Stock Incentive Plan (including 22,222,860 shares of Common Stock to be issued for options; 3,617,539 RSUs subject to continued employment; and 631,082 deferred RSUs); and the 2016 Stock Plan for Non-Employee Directors and the 2006 Stock Plan for Non-Employee Directors (including 255,721 shares of Common Stock to be issued for options; and 18,818 RSUs subject to continued services). RSUs included in column (a) of the table represent the full number of RSUs awarded and outstanding whereas the number of shares of Common Stock to be issued upon vesting will be lower than what is reflected on the table because the value of shares required to meet employee tax withholding requirements are not issued.</w:t>
      </w:r>
    </w:p>
    <w:p>
      <w:pPr>
        <w:spacing w:after="0" w:line="82" w:lineRule="exact"/>
        <w:rPr>
          <w:rFonts w:ascii="Arial" w:cs="Arial" w:eastAsia="Arial" w:hAnsi="Arial"/>
          <w:sz w:val="19"/>
          <w:szCs w:val="19"/>
          <w:color w:val="auto"/>
        </w:rPr>
      </w:pPr>
    </w:p>
    <w:p>
      <w:pPr>
        <w:jc w:val="both"/>
        <w:ind w:left="340" w:right="200"/>
        <w:spacing w:after="0" w:line="245" w:lineRule="auto"/>
        <w:rPr>
          <w:rFonts w:ascii="Arial" w:cs="Arial" w:eastAsia="Arial" w:hAnsi="Arial"/>
          <w:sz w:val="19"/>
          <w:szCs w:val="19"/>
          <w:color w:val="auto"/>
        </w:rPr>
      </w:pPr>
      <w:r>
        <w:rPr>
          <w:rFonts w:ascii="Arial" w:cs="Arial" w:eastAsia="Arial" w:hAnsi="Arial"/>
          <w:sz w:val="19"/>
          <w:szCs w:val="19"/>
          <w:color w:val="auto"/>
        </w:rPr>
        <w:t>1,110,753 growth plan units were issued and remain outstanding for the performance cycle commencing January 1, 2016 and ended December 31, 2017 pursuant to the 2011 Stock Incentive Plan. The value of this growth plan award will be paid in cash and, thus, growth plan units are not included in the table above.</w:t>
      </w:r>
    </w:p>
    <w:p>
      <w:pPr>
        <w:spacing w:after="0" w:line="73" w:lineRule="exact"/>
        <w:rPr>
          <w:rFonts w:ascii="Arial" w:cs="Arial" w:eastAsia="Arial" w:hAnsi="Arial"/>
          <w:sz w:val="19"/>
          <w:szCs w:val="19"/>
          <w:color w:val="auto"/>
        </w:rPr>
      </w:pPr>
    </w:p>
    <w:p>
      <w:pPr>
        <w:ind w:left="340" w:right="200"/>
        <w:spacing w:after="0" w:line="253" w:lineRule="auto"/>
        <w:rPr>
          <w:rFonts w:ascii="Arial" w:cs="Arial" w:eastAsia="Arial" w:hAnsi="Arial"/>
          <w:sz w:val="19"/>
          <w:szCs w:val="19"/>
          <w:color w:val="auto"/>
        </w:rPr>
      </w:pPr>
      <w:r>
        <w:rPr>
          <w:rFonts w:ascii="Arial" w:cs="Arial" w:eastAsia="Arial" w:hAnsi="Arial"/>
          <w:sz w:val="19"/>
          <w:szCs w:val="19"/>
          <w:color w:val="auto"/>
        </w:rPr>
        <w:t>Because the number of future shares that may be distributed to employees participating in the Honeywell Global Stock Plan is unknown, no shares attributable to that plan are included in column (a) of the table above.</w:t>
      </w:r>
    </w:p>
    <w:p>
      <w:pPr>
        <w:spacing w:after="0" w:line="66" w:lineRule="exact"/>
        <w:rPr>
          <w:rFonts w:ascii="Arial" w:cs="Arial" w:eastAsia="Arial" w:hAnsi="Arial"/>
          <w:sz w:val="19"/>
          <w:szCs w:val="19"/>
          <w:color w:val="auto"/>
        </w:rPr>
      </w:pPr>
    </w:p>
    <w:p>
      <w:pPr>
        <w:ind w:left="340" w:right="220" w:hanging="338"/>
        <w:spacing w:after="0" w:line="245" w:lineRule="auto"/>
        <w:tabs>
          <w:tab w:leader="none" w:pos="3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Column (b) relates to stock options and does not include any exercise price for RSUs because an RSU’s value is dependent upon attainment of certain performance goals or continued employment or service and they are settled for shares of Common Stock on a one-for-one basis.</w:t>
      </w:r>
    </w:p>
    <w:p>
      <w:pPr>
        <w:spacing w:after="0" w:line="73" w:lineRule="exact"/>
        <w:rPr>
          <w:rFonts w:ascii="Arial" w:cs="Arial" w:eastAsia="Arial" w:hAnsi="Arial"/>
          <w:sz w:val="19"/>
          <w:szCs w:val="19"/>
          <w:color w:val="auto"/>
        </w:rPr>
      </w:pPr>
    </w:p>
    <w:p>
      <w:pPr>
        <w:ind w:left="340" w:right="140" w:hanging="338"/>
        <w:spacing w:after="0"/>
        <w:tabs>
          <w:tab w:leader="none" w:pos="3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number of shares that may be issued under the 2016 Stock Incentive Plan as of December 31, 2018 is 40,270,690 which includes the following additional shares that may again be available for issuance: shares that are settled for cash, expire, are canceled, or under similar prior plans, are tendered as option exercise price or tax withholding obligations, are reacquired with cash option exercise price or with monies attributable to any tax deduction to Honeywell upon the exercise of an option, or are under any outstanding awards assumed under any equity compensation plan of an entity acquired by Honeywell. No securities are available for future issuance under the 2011 Stock Incentive Plan or the 2006 Stock Incentive Plan.</w:t>
      </w:r>
    </w:p>
    <w:p>
      <w:pPr>
        <w:spacing w:after="0" w:line="80" w:lineRule="exact"/>
        <w:rPr>
          <w:rFonts w:ascii="Arial" w:cs="Arial" w:eastAsia="Arial" w:hAnsi="Arial"/>
          <w:sz w:val="19"/>
          <w:szCs w:val="19"/>
          <w:color w:val="auto"/>
        </w:rPr>
      </w:pPr>
    </w:p>
    <w:p>
      <w:pPr>
        <w:ind w:left="340" w:right="180"/>
        <w:spacing w:after="0" w:line="245" w:lineRule="auto"/>
        <w:rPr>
          <w:rFonts w:ascii="Arial" w:cs="Arial" w:eastAsia="Arial" w:hAnsi="Arial"/>
          <w:sz w:val="19"/>
          <w:szCs w:val="19"/>
          <w:color w:val="auto"/>
        </w:rPr>
      </w:pPr>
      <w:r>
        <w:rPr>
          <w:rFonts w:ascii="Arial" w:cs="Arial" w:eastAsia="Arial" w:hAnsi="Arial"/>
          <w:sz w:val="19"/>
          <w:szCs w:val="19"/>
          <w:color w:val="auto"/>
        </w:rPr>
        <w:t>The number of shares that may be issued under the Honeywell Global Stock Plan as of December 31, 2018 is 1,807,681. This plan is an umbrella plan for three plans described below maintained solely for eligible employees of participating non-U.S. countries.</w:t>
      </w:r>
    </w:p>
    <w:p>
      <w:pPr>
        <w:spacing w:after="0" w:line="73" w:lineRule="exact"/>
        <w:rPr>
          <w:rFonts w:ascii="Arial" w:cs="Arial" w:eastAsia="Arial" w:hAnsi="Arial"/>
          <w:sz w:val="19"/>
          <w:szCs w:val="19"/>
          <w:color w:val="auto"/>
        </w:rPr>
      </w:pPr>
    </w:p>
    <w:p>
      <w:pPr>
        <w:ind w:left="460" w:right="520" w:hanging="168"/>
        <w:spacing w:after="0" w:line="245" w:lineRule="auto"/>
        <w:tabs>
          <w:tab w:leader="none" w:pos="460"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The UK Sharebuilder Plan allows an eligible UK employee to invest taxable earnings in Common Stock. The Company matches those shares and dividends paid are used to purchase additional shares of Common Stock. For the year ending December 31, 2018, 42,697 shares were credited to participants’ accounts under the UK Sharebuilder Plan.</w:t>
      </w:r>
    </w:p>
    <w:p>
      <w:pPr>
        <w:spacing w:after="0" w:line="73" w:lineRule="exact"/>
        <w:rPr>
          <w:rFonts w:ascii="Arial" w:cs="Arial" w:eastAsia="Arial" w:hAnsi="Arial"/>
          <w:sz w:val="19"/>
          <w:szCs w:val="19"/>
          <w:color w:val="auto"/>
        </w:rPr>
      </w:pPr>
    </w:p>
    <w:p>
      <w:pPr>
        <w:ind w:left="460" w:hanging="168"/>
        <w:spacing w:after="0"/>
        <w:tabs>
          <w:tab w:leader="none" w:pos="460"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The Honeywell Aerospace Ireland Share Participation Plan, the Honeywell Measurex (Ireland) Limited Group Employee Profit Sharing Plan, and the Honeywell International Technologies Limited Employee Share Ownership Plan allow eligible Irish employees to contribute a percentage of base pay and/or bonus that is invested in Common Stock. For the year ending December 31, 2018, 4,139 shares of Common Stock were credited to participants’ accounts under these plans. The Honeywell International Technologies Limited Employee Share Ownership Plan was part of the spinoff of the Transportation Systems business that occurred on October 1, 2018 and is no longer sponsored by Honeywell.</w:t>
      </w:r>
    </w:p>
    <w:p>
      <w:pPr>
        <w:spacing w:after="0" w:line="80" w:lineRule="exact"/>
        <w:rPr>
          <w:sz w:val="20"/>
          <w:szCs w:val="20"/>
          <w:color w:val="auto"/>
        </w:rPr>
      </w:pPr>
    </w:p>
    <w:p>
      <w:pPr>
        <w:ind w:left="340" w:right="580"/>
        <w:spacing w:after="0" w:line="253" w:lineRule="auto"/>
        <w:rPr>
          <w:sz w:val="20"/>
          <w:szCs w:val="20"/>
          <w:color w:val="auto"/>
        </w:rPr>
      </w:pPr>
      <w:r>
        <w:rPr>
          <w:rFonts w:ascii="Arial" w:cs="Arial" w:eastAsia="Arial" w:hAnsi="Arial"/>
          <w:sz w:val="19"/>
          <w:szCs w:val="19"/>
          <w:color w:val="auto"/>
        </w:rPr>
        <w:t>The remaining 893,809 shares included in column (c) are shares remaining under the 2016 Stock Plan for Non-Employee Directors.</w:t>
      </w:r>
    </w:p>
    <w:p>
      <w:pPr>
        <w:spacing w:after="0" w:line="53" w:lineRule="exact"/>
        <w:rPr>
          <w:sz w:val="20"/>
          <w:szCs w:val="20"/>
          <w:color w:val="auto"/>
        </w:rPr>
      </w:pPr>
    </w:p>
    <w:p>
      <w:pPr>
        <w:ind w:left="340" w:right="80" w:hanging="338"/>
        <w:spacing w:after="0" w:line="253" w:lineRule="auto"/>
        <w:tabs>
          <w:tab w:leader="none" w:pos="3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Equity compensation plans not approved by shareowners included in the table refers to the Honeywell Excess Benefit Plan and Supplemental Savings Plan.</w:t>
      </w:r>
    </w:p>
    <w:p>
      <w:pPr>
        <w:spacing w:after="0" w:line="79" w:lineRule="exact"/>
        <w:rPr>
          <w:rFonts w:ascii="Arial" w:cs="Arial" w:eastAsia="Arial" w:hAnsi="Arial"/>
          <w:sz w:val="19"/>
          <w:szCs w:val="19"/>
          <w:color w:val="auto"/>
        </w:rPr>
      </w:pPr>
    </w:p>
    <w:p>
      <w:pPr>
        <w:ind w:left="340"/>
        <w:spacing w:after="0" w:line="245" w:lineRule="auto"/>
        <w:rPr>
          <w:rFonts w:ascii="Arial" w:cs="Arial" w:eastAsia="Arial" w:hAnsi="Arial"/>
          <w:sz w:val="19"/>
          <w:szCs w:val="19"/>
          <w:color w:val="auto"/>
        </w:rPr>
      </w:pPr>
      <w:r>
        <w:rPr>
          <w:rFonts w:ascii="Arial" w:cs="Arial" w:eastAsia="Arial" w:hAnsi="Arial"/>
          <w:sz w:val="19"/>
          <w:szCs w:val="19"/>
          <w:color w:val="auto"/>
        </w:rPr>
        <w:t>The Honeywell Excess Benefit Plan and Supplemental Savings Plan for highly compensated employees is an unfunded, non-tax qualified plan that provides benefits equal to the employee deferrals and company matching allocations that would have been provided under Honeywell’s U.S. tax-qualified savings plan if the Internal Revenue Code limitations on compensation and</w:t>
      </w:r>
    </w:p>
    <w:p>
      <w:pPr>
        <w:spacing w:after="0" w:line="101"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64770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20" w:top="707" w:right="259" w:bottom="1440" w:gutter="0" w:footer="0" w:header="0"/>
        </w:sectPr>
      </w:pPr>
    </w:p>
    <w:bookmarkStart w:id="102" w:name="page103"/>
    <w:bookmarkEnd w:id="102"/>
    <w:p>
      <w:pPr>
        <w:ind w:left="420" w:right="380"/>
        <w:spacing w:after="0" w:line="245" w:lineRule="auto"/>
        <w:rPr>
          <w:sz w:val="20"/>
          <w:szCs w:val="20"/>
          <w:color w:val="auto"/>
        </w:rPr>
      </w:pPr>
      <w:r>
        <w:rPr>
          <w:rFonts w:ascii="Arial" w:cs="Arial" w:eastAsia="Arial" w:hAnsi="Arial"/>
          <w:sz w:val="19"/>
          <w:szCs w:val="19"/>
          <w:color w:val="auto"/>
        </w:rPr>
        <w:t>contributions did not apply. The Company matching contribution is credited to participants’ accounts in the form of notional shares of Common Stock. The notional shares are distributed in the form of actual shares of Common Stock. The number of shares to be issued under this plan based on the value of the notional shares as of December 31, 2018 is 328,003.</w:t>
      </w:r>
    </w:p>
    <w:p>
      <w:pPr>
        <w:spacing w:after="0" w:line="74" w:lineRule="exact"/>
        <w:rPr>
          <w:sz w:val="20"/>
          <w:szCs w:val="20"/>
          <w:color w:val="auto"/>
        </w:rPr>
      </w:pPr>
    </w:p>
    <w:p>
      <w:pPr>
        <w:ind w:left="420" w:right="100" w:hanging="338"/>
        <w:spacing w:after="0" w:line="245" w:lineRule="auto"/>
        <w:tabs>
          <w:tab w:leader="none" w:pos="4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Column (b) does not include any exercise price for notional shares allocated to employees under Honeywell’s equity compensation plans not approved by shareowners because all of these shares are only settled for shares of Common Stock on a one-for-one basis.</w:t>
      </w:r>
    </w:p>
    <w:p>
      <w:pPr>
        <w:spacing w:after="0" w:line="73" w:lineRule="exact"/>
        <w:rPr>
          <w:rFonts w:ascii="Arial" w:cs="Arial" w:eastAsia="Arial" w:hAnsi="Arial"/>
          <w:sz w:val="19"/>
          <w:szCs w:val="19"/>
          <w:color w:val="auto"/>
        </w:rPr>
      </w:pPr>
    </w:p>
    <w:p>
      <w:pPr>
        <w:ind w:left="420" w:right="20" w:hanging="338"/>
        <w:spacing w:after="0" w:line="245" w:lineRule="auto"/>
        <w:tabs>
          <w:tab w:leader="none" w:pos="4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amount of securities available for future issuance under the Honeywell Excess Benefit Plan and Supplemental Savings Plan is not determinable because the number of securities that may be issued under this plan depends upon the amount deferred to the plan by participants in future years.</w:t>
      </w: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13. Certain Relationships and Related Transactions</w:t>
      </w:r>
    </w:p>
    <w:p>
      <w:pPr>
        <w:spacing w:after="0" w:line="147"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Information relating to certain relationships and related transactions is contained in the Proxy Statement referred to above in Item 10. Directors and Executive Officers of the Registrant, and such information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14. Principal Accounting Fees and Services</w:t>
      </w:r>
    </w:p>
    <w:p>
      <w:pPr>
        <w:spacing w:after="0" w:line="133" w:lineRule="exact"/>
        <w:rPr>
          <w:sz w:val="20"/>
          <w:szCs w:val="20"/>
          <w:color w:val="auto"/>
        </w:rPr>
      </w:pPr>
    </w:p>
    <w:p>
      <w:pPr>
        <w:ind w:right="340" w:firstLine="357"/>
        <w:spacing w:after="0" w:line="245" w:lineRule="auto"/>
        <w:rPr>
          <w:sz w:val="20"/>
          <w:szCs w:val="20"/>
          <w:color w:val="auto"/>
        </w:rPr>
      </w:pPr>
      <w:r>
        <w:rPr>
          <w:rFonts w:ascii="Arial" w:cs="Arial" w:eastAsia="Arial" w:hAnsi="Arial"/>
          <w:sz w:val="19"/>
          <w:szCs w:val="19"/>
          <w:color w:val="auto"/>
        </w:rPr>
        <w:t>Information relating to fees paid to and services performed by Deloitte &amp; Touche LLP and our Audit Committee’s pre-approval policies and procedures with respect to non-audit services are contained in the Proxy Statement referred to above in Item 10. Directors and Executive Officers of the Registrant, and such information is incorporated herein by reference.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103" w:name="page104"/>
    <w:bookmarkEnd w:id="103"/>
    <w:p>
      <w:pPr>
        <w:ind w:left="5240"/>
        <w:spacing w:after="0"/>
        <w:rPr>
          <w:sz w:val="20"/>
          <w:szCs w:val="20"/>
          <w:color w:val="auto"/>
        </w:rPr>
      </w:pPr>
      <w:r>
        <w:rPr>
          <w:rFonts w:ascii="Arial" w:cs="Arial" w:eastAsia="Arial" w:hAnsi="Arial"/>
          <w:sz w:val="23"/>
          <w:szCs w:val="23"/>
          <w:b w:val="1"/>
          <w:bCs w:val="1"/>
          <w:color w:val="auto"/>
        </w:rPr>
        <w:t>PART IV.</w:t>
      </w:r>
    </w:p>
    <w:p>
      <w:pPr>
        <w:spacing w:after="0" w:line="33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15. Exhibits and Financial Statement Schedules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jc w:val="right"/>
              <w:ind w:right="161"/>
              <w:spacing w:after="0"/>
              <w:rPr>
                <w:sz w:val="20"/>
                <w:szCs w:val="20"/>
                <w:color w:val="auto"/>
              </w:rPr>
            </w:pPr>
            <w:r>
              <w:rPr>
                <w:rFonts w:ascii="Arial" w:cs="Arial" w:eastAsia="Arial" w:hAnsi="Arial"/>
                <w:sz w:val="16"/>
                <w:szCs w:val="16"/>
                <w:b w:val="1"/>
                <w:bCs w:val="1"/>
                <w:color w:val="auto"/>
              </w:rPr>
              <w:t>Page Number</w:t>
            </w:r>
          </w:p>
        </w:tc>
      </w:tr>
      <w:tr>
        <w:trPr>
          <w:trHeight w:val="190"/>
        </w:trPr>
        <w:tc>
          <w:tcPr>
            <w:tcW w:w="99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in Form 10-K</w:t>
            </w:r>
          </w:p>
        </w:tc>
      </w:tr>
      <w:tr>
        <w:trPr>
          <w:trHeight w:val="210"/>
        </w:trPr>
        <w:tc>
          <w:tcPr>
            <w:tcW w:w="992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(a)(1.) Consolidated Financial Statements:</w:t>
            </w:r>
          </w:p>
        </w:tc>
        <w:tc>
          <w:tcPr>
            <w:tcW w:w="2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r>
      <w:tr>
        <w:trPr>
          <w:trHeight w:val="243"/>
        </w:trPr>
        <w:tc>
          <w:tcPr>
            <w:tcW w:w="9920" w:type="dxa"/>
            <w:vAlign w:val="bottom"/>
          </w:tcPr>
          <w:p>
            <w:pPr>
              <w:ind w:left="1300"/>
              <w:spacing w:after="0"/>
              <w:rPr>
                <w:sz w:val="20"/>
                <w:szCs w:val="20"/>
                <w:color w:val="auto"/>
              </w:rPr>
            </w:pPr>
            <w:r>
              <w:rPr>
                <w:rFonts w:ascii="Arial" w:cs="Arial" w:eastAsia="Arial" w:hAnsi="Arial"/>
                <w:sz w:val="19"/>
                <w:szCs w:val="19"/>
                <w:color w:val="auto"/>
              </w:rPr>
              <w:t>Consolidated Statement of Operations for the years ended December 31, 2018, 2017 and 2016</w:t>
            </w:r>
          </w:p>
        </w:tc>
        <w:tc>
          <w:tcPr>
            <w:tcW w:w="1500" w:type="dxa"/>
            <w:vAlign w:val="bottom"/>
            <w:gridSpan w:val="2"/>
          </w:tcPr>
          <w:p>
            <w:pPr>
              <w:jc w:val="right"/>
              <w:ind w:right="201"/>
              <w:spacing w:after="0"/>
              <w:rPr>
                <w:sz w:val="20"/>
                <w:szCs w:val="20"/>
                <w:color w:val="auto"/>
              </w:rPr>
            </w:pPr>
            <w:r>
              <w:rPr>
                <w:rFonts w:ascii="Arial" w:cs="Arial" w:eastAsia="Arial" w:hAnsi="Arial"/>
                <w:sz w:val="19"/>
                <w:szCs w:val="19"/>
                <w:color w:val="auto"/>
              </w:rPr>
              <w:t>36</w:t>
            </w:r>
          </w:p>
        </w:tc>
      </w:tr>
      <w:tr>
        <w:trPr>
          <w:trHeight w:val="216"/>
        </w:trPr>
        <w:tc>
          <w:tcPr>
            <w:tcW w:w="9920" w:type="dxa"/>
            <w:vAlign w:val="bottom"/>
            <w:shd w:val="clear" w:color="auto" w:fill="E5FFFF"/>
          </w:tcPr>
          <w:p>
            <w:pPr>
              <w:ind w:left="1300"/>
              <w:spacing w:after="0" w:line="216" w:lineRule="exact"/>
              <w:rPr>
                <w:sz w:val="20"/>
                <w:szCs w:val="20"/>
                <w:color w:val="auto"/>
              </w:rPr>
            </w:pPr>
            <w:r>
              <w:rPr>
                <w:rFonts w:ascii="Arial" w:cs="Arial" w:eastAsia="Arial" w:hAnsi="Arial"/>
                <w:sz w:val="19"/>
                <w:szCs w:val="19"/>
                <w:color w:val="auto"/>
              </w:rPr>
              <w:t>Consolidated Statement of Comprehensive Income for the years ended December 31, 2018,</w:t>
            </w:r>
          </w:p>
        </w:tc>
        <w:tc>
          <w:tcPr>
            <w:tcW w:w="2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r>
      <w:tr>
        <w:trPr>
          <w:trHeight w:val="216"/>
        </w:trPr>
        <w:tc>
          <w:tcPr>
            <w:tcW w:w="9920" w:type="dxa"/>
            <w:vAlign w:val="bottom"/>
            <w:shd w:val="clear" w:color="auto" w:fill="E5FFFF"/>
          </w:tcPr>
          <w:p>
            <w:pPr>
              <w:ind w:left="1520"/>
              <w:spacing w:after="0" w:line="216" w:lineRule="exact"/>
              <w:rPr>
                <w:sz w:val="20"/>
                <w:szCs w:val="20"/>
                <w:color w:val="auto"/>
              </w:rPr>
            </w:pPr>
            <w:r>
              <w:rPr>
                <w:rFonts w:ascii="Arial" w:cs="Arial" w:eastAsia="Arial" w:hAnsi="Arial"/>
                <w:sz w:val="19"/>
                <w:szCs w:val="19"/>
                <w:color w:val="auto"/>
              </w:rPr>
              <w:t>2017 and 2016</w:t>
            </w:r>
          </w:p>
        </w:tc>
        <w:tc>
          <w:tcPr>
            <w:tcW w:w="1500" w:type="dxa"/>
            <w:vAlign w:val="bottom"/>
            <w:gridSpan w:val="2"/>
            <w:shd w:val="clear" w:color="auto" w:fill="E5FFFF"/>
          </w:tcPr>
          <w:p>
            <w:pPr>
              <w:jc w:val="right"/>
              <w:ind w:right="201"/>
              <w:spacing w:after="0" w:line="216" w:lineRule="exact"/>
              <w:rPr>
                <w:sz w:val="20"/>
                <w:szCs w:val="20"/>
                <w:color w:val="auto"/>
              </w:rPr>
            </w:pPr>
            <w:r>
              <w:rPr>
                <w:rFonts w:ascii="Arial" w:cs="Arial" w:eastAsia="Arial" w:hAnsi="Arial"/>
                <w:sz w:val="19"/>
                <w:szCs w:val="19"/>
                <w:color w:val="auto"/>
              </w:rPr>
              <w:t>37</w:t>
            </w:r>
          </w:p>
        </w:tc>
      </w:tr>
      <w:tr>
        <w:trPr>
          <w:trHeight w:val="243"/>
        </w:trPr>
        <w:tc>
          <w:tcPr>
            <w:tcW w:w="9920" w:type="dxa"/>
            <w:vAlign w:val="bottom"/>
          </w:tcPr>
          <w:p>
            <w:pPr>
              <w:ind w:left="1300"/>
              <w:spacing w:after="0"/>
              <w:rPr>
                <w:sz w:val="20"/>
                <w:szCs w:val="20"/>
                <w:color w:val="auto"/>
              </w:rPr>
            </w:pPr>
            <w:r>
              <w:rPr>
                <w:rFonts w:ascii="Arial" w:cs="Arial" w:eastAsia="Arial" w:hAnsi="Arial"/>
                <w:sz w:val="19"/>
                <w:szCs w:val="19"/>
                <w:color w:val="auto"/>
              </w:rPr>
              <w:t>Consolidated Balance Sheet at December 31, 2018 and 2017</w:t>
            </w:r>
          </w:p>
        </w:tc>
        <w:tc>
          <w:tcPr>
            <w:tcW w:w="1500" w:type="dxa"/>
            <w:vAlign w:val="bottom"/>
            <w:gridSpan w:val="2"/>
          </w:tcPr>
          <w:p>
            <w:pPr>
              <w:jc w:val="right"/>
              <w:ind w:right="201"/>
              <w:spacing w:after="0"/>
              <w:rPr>
                <w:sz w:val="20"/>
                <w:szCs w:val="20"/>
                <w:color w:val="auto"/>
              </w:rPr>
            </w:pPr>
            <w:r>
              <w:rPr>
                <w:rFonts w:ascii="Arial" w:cs="Arial" w:eastAsia="Arial" w:hAnsi="Arial"/>
                <w:sz w:val="19"/>
                <w:szCs w:val="19"/>
                <w:color w:val="auto"/>
              </w:rPr>
              <w:t>38</w:t>
            </w:r>
          </w:p>
        </w:tc>
      </w:tr>
      <w:tr>
        <w:trPr>
          <w:trHeight w:val="243"/>
        </w:trPr>
        <w:tc>
          <w:tcPr>
            <w:tcW w:w="9920" w:type="dxa"/>
            <w:vAlign w:val="bottom"/>
            <w:shd w:val="clear" w:color="auto" w:fill="E5FFFF"/>
          </w:tcPr>
          <w:p>
            <w:pPr>
              <w:ind w:left="1300"/>
              <w:spacing w:after="0"/>
              <w:rPr>
                <w:sz w:val="20"/>
                <w:szCs w:val="20"/>
                <w:color w:val="auto"/>
              </w:rPr>
            </w:pPr>
            <w:r>
              <w:rPr>
                <w:rFonts w:ascii="Arial" w:cs="Arial" w:eastAsia="Arial" w:hAnsi="Arial"/>
                <w:sz w:val="19"/>
                <w:szCs w:val="19"/>
                <w:color w:val="auto"/>
              </w:rPr>
              <w:t>Consolidated Statement of Cash Flows for the years ended December 2018, 2017 and 2016</w:t>
            </w:r>
          </w:p>
        </w:tc>
        <w:tc>
          <w:tcPr>
            <w:tcW w:w="1500" w:type="dxa"/>
            <w:vAlign w:val="bottom"/>
            <w:gridSpan w:val="2"/>
            <w:shd w:val="clear" w:color="auto" w:fill="E5FFFF"/>
          </w:tcPr>
          <w:p>
            <w:pPr>
              <w:jc w:val="right"/>
              <w:ind w:right="201"/>
              <w:spacing w:after="0"/>
              <w:rPr>
                <w:sz w:val="20"/>
                <w:szCs w:val="20"/>
                <w:color w:val="auto"/>
              </w:rPr>
            </w:pPr>
            <w:r>
              <w:rPr>
                <w:rFonts w:ascii="Arial" w:cs="Arial" w:eastAsia="Arial" w:hAnsi="Arial"/>
                <w:sz w:val="19"/>
                <w:szCs w:val="19"/>
                <w:color w:val="auto"/>
              </w:rPr>
              <w:t>39</w:t>
            </w:r>
          </w:p>
        </w:tc>
      </w:tr>
      <w:tr>
        <w:trPr>
          <w:trHeight w:val="216"/>
        </w:trPr>
        <w:tc>
          <w:tcPr>
            <w:tcW w:w="9920" w:type="dxa"/>
            <w:vAlign w:val="bottom"/>
          </w:tcPr>
          <w:p>
            <w:pPr>
              <w:ind w:left="1300"/>
              <w:spacing w:after="0" w:line="216" w:lineRule="exact"/>
              <w:rPr>
                <w:sz w:val="20"/>
                <w:szCs w:val="20"/>
                <w:color w:val="auto"/>
              </w:rPr>
            </w:pPr>
            <w:r>
              <w:rPr>
                <w:rFonts w:ascii="Arial" w:cs="Arial" w:eastAsia="Arial" w:hAnsi="Arial"/>
                <w:sz w:val="19"/>
                <w:szCs w:val="19"/>
                <w:color w:val="auto"/>
              </w:rPr>
              <w:t>Consolidated Statement of Shareowners’ Equity for the years ended December 31, 2018, 2017</w:t>
            </w: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9920" w:type="dxa"/>
            <w:vAlign w:val="bottom"/>
          </w:tcPr>
          <w:p>
            <w:pPr>
              <w:ind w:left="1520"/>
              <w:spacing w:after="0" w:line="216" w:lineRule="exact"/>
              <w:rPr>
                <w:sz w:val="20"/>
                <w:szCs w:val="20"/>
                <w:color w:val="auto"/>
              </w:rPr>
            </w:pPr>
            <w:r>
              <w:rPr>
                <w:rFonts w:ascii="Arial" w:cs="Arial" w:eastAsia="Arial" w:hAnsi="Arial"/>
                <w:sz w:val="19"/>
                <w:szCs w:val="19"/>
                <w:color w:val="auto"/>
              </w:rPr>
              <w:t>and 2016</w:t>
            </w:r>
          </w:p>
        </w:tc>
        <w:tc>
          <w:tcPr>
            <w:tcW w:w="1500" w:type="dxa"/>
            <w:vAlign w:val="bottom"/>
            <w:gridSpan w:val="2"/>
          </w:tcPr>
          <w:p>
            <w:pPr>
              <w:jc w:val="right"/>
              <w:ind w:right="201"/>
              <w:spacing w:after="0" w:line="216" w:lineRule="exact"/>
              <w:rPr>
                <w:sz w:val="20"/>
                <w:szCs w:val="20"/>
                <w:color w:val="auto"/>
              </w:rPr>
            </w:pPr>
            <w:r>
              <w:rPr>
                <w:rFonts w:ascii="Arial" w:cs="Arial" w:eastAsia="Arial" w:hAnsi="Arial"/>
                <w:sz w:val="19"/>
                <w:szCs w:val="19"/>
                <w:color w:val="auto"/>
              </w:rPr>
              <w:t>40</w:t>
            </w:r>
          </w:p>
        </w:tc>
      </w:tr>
      <w:tr>
        <w:trPr>
          <w:trHeight w:val="243"/>
        </w:trPr>
        <w:tc>
          <w:tcPr>
            <w:tcW w:w="9920" w:type="dxa"/>
            <w:vAlign w:val="bottom"/>
            <w:shd w:val="clear" w:color="auto" w:fill="E5FFFF"/>
          </w:tcPr>
          <w:p>
            <w:pPr>
              <w:ind w:left="1300"/>
              <w:spacing w:after="0"/>
              <w:rPr>
                <w:sz w:val="20"/>
                <w:szCs w:val="20"/>
                <w:color w:val="auto"/>
              </w:rPr>
            </w:pPr>
            <w:r>
              <w:rPr>
                <w:rFonts w:ascii="Arial" w:cs="Arial" w:eastAsia="Arial" w:hAnsi="Arial"/>
                <w:sz w:val="19"/>
                <w:szCs w:val="19"/>
                <w:color w:val="auto"/>
              </w:rPr>
              <w:t>Notes to Consolidated Financial Statements</w:t>
            </w:r>
          </w:p>
        </w:tc>
        <w:tc>
          <w:tcPr>
            <w:tcW w:w="1500" w:type="dxa"/>
            <w:vAlign w:val="bottom"/>
            <w:gridSpan w:val="2"/>
            <w:shd w:val="clear" w:color="auto" w:fill="E5FFFF"/>
          </w:tcPr>
          <w:p>
            <w:pPr>
              <w:jc w:val="right"/>
              <w:ind w:right="201"/>
              <w:spacing w:after="0"/>
              <w:rPr>
                <w:sz w:val="20"/>
                <w:szCs w:val="20"/>
                <w:color w:val="auto"/>
              </w:rPr>
            </w:pPr>
            <w:r>
              <w:rPr>
                <w:rFonts w:ascii="Arial" w:cs="Arial" w:eastAsia="Arial" w:hAnsi="Arial"/>
                <w:sz w:val="19"/>
                <w:szCs w:val="19"/>
                <w:color w:val="auto"/>
              </w:rPr>
              <w:t>41</w:t>
            </w:r>
          </w:p>
        </w:tc>
      </w:tr>
      <w:tr>
        <w:trPr>
          <w:trHeight w:val="256"/>
        </w:trPr>
        <w:tc>
          <w:tcPr>
            <w:tcW w:w="9920" w:type="dxa"/>
            <w:vAlign w:val="bottom"/>
          </w:tcPr>
          <w:p>
            <w:pPr>
              <w:ind w:left="1300"/>
              <w:spacing w:after="0"/>
              <w:rPr>
                <w:sz w:val="20"/>
                <w:szCs w:val="20"/>
                <w:color w:val="auto"/>
              </w:rPr>
            </w:pPr>
            <w:r>
              <w:rPr>
                <w:rFonts w:ascii="Arial" w:cs="Arial" w:eastAsia="Arial" w:hAnsi="Arial"/>
                <w:sz w:val="19"/>
                <w:szCs w:val="19"/>
                <w:color w:val="auto"/>
              </w:rPr>
              <w:t>Report of Independent Registered Public Accounting Firm</w:t>
            </w:r>
          </w:p>
        </w:tc>
        <w:tc>
          <w:tcPr>
            <w:tcW w:w="1500" w:type="dxa"/>
            <w:vAlign w:val="bottom"/>
            <w:gridSpan w:val="2"/>
          </w:tcPr>
          <w:p>
            <w:pPr>
              <w:jc w:val="right"/>
              <w:ind w:right="201"/>
              <w:spacing w:after="0"/>
              <w:rPr>
                <w:sz w:val="20"/>
                <w:szCs w:val="20"/>
                <w:color w:val="auto"/>
              </w:rPr>
            </w:pPr>
            <w:r>
              <w:rPr>
                <w:rFonts w:ascii="Arial" w:cs="Arial" w:eastAsia="Arial" w:hAnsi="Arial"/>
                <w:sz w:val="19"/>
                <w:szCs w:val="19"/>
                <w:color w:val="auto"/>
              </w:rPr>
              <w:t>94</w:t>
            </w:r>
          </w:p>
        </w:tc>
      </w:tr>
      <w:tr>
        <w:trPr>
          <w:trHeight w:val="176"/>
        </w:trPr>
        <w:tc>
          <w:tcPr>
            <w:tcW w:w="9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jc w:val="right"/>
              <w:ind w:right="161"/>
              <w:spacing w:after="0" w:line="176" w:lineRule="exact"/>
              <w:rPr>
                <w:sz w:val="20"/>
                <w:szCs w:val="20"/>
                <w:color w:val="auto"/>
              </w:rPr>
            </w:pPr>
            <w:r>
              <w:rPr>
                <w:rFonts w:ascii="Arial" w:cs="Arial" w:eastAsia="Arial" w:hAnsi="Arial"/>
                <w:sz w:val="16"/>
                <w:szCs w:val="16"/>
                <w:b w:val="1"/>
                <w:bCs w:val="1"/>
                <w:color w:val="auto"/>
              </w:rPr>
              <w:t>Page Number</w:t>
            </w:r>
          </w:p>
        </w:tc>
      </w:tr>
      <w:tr>
        <w:trPr>
          <w:trHeight w:val="190"/>
        </w:trPr>
        <w:tc>
          <w:tcPr>
            <w:tcW w:w="9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in Form 10-K</w:t>
            </w:r>
          </w:p>
        </w:tc>
      </w:tr>
      <w:tr>
        <w:trPr>
          <w:trHeight w:val="210"/>
        </w:trPr>
        <w:tc>
          <w:tcPr>
            <w:tcW w:w="992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(a)(2.) Exhibits</w:t>
            </w:r>
          </w:p>
        </w:tc>
        <w:tc>
          <w:tcPr>
            <w:tcW w:w="2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r>
      <w:tr>
        <w:trPr>
          <w:trHeight w:val="261"/>
        </w:trPr>
        <w:tc>
          <w:tcPr>
            <w:tcW w:w="9920" w:type="dxa"/>
            <w:vAlign w:val="bottom"/>
          </w:tcPr>
          <w:p>
            <w:pPr>
              <w:ind w:left="1300"/>
              <w:spacing w:after="0"/>
              <w:rPr>
                <w:sz w:val="20"/>
                <w:szCs w:val="20"/>
                <w:color w:val="auto"/>
              </w:rPr>
            </w:pPr>
            <w:r>
              <w:rPr>
                <w:rFonts w:ascii="Arial" w:cs="Arial" w:eastAsia="Arial" w:hAnsi="Arial"/>
                <w:sz w:val="19"/>
                <w:szCs w:val="19"/>
                <w:color w:val="auto"/>
              </w:rPr>
              <w:t>See the Exhibit Index of this Annual Report on Form 10-K</w:t>
            </w:r>
          </w:p>
        </w:tc>
        <w:tc>
          <w:tcPr>
            <w:tcW w:w="1500" w:type="dxa"/>
            <w:vAlign w:val="bottom"/>
            <w:gridSpan w:val="2"/>
          </w:tcPr>
          <w:p>
            <w:pPr>
              <w:jc w:val="right"/>
              <w:ind w:right="121"/>
              <w:spacing w:after="0"/>
              <w:rPr>
                <w:sz w:val="20"/>
                <w:szCs w:val="20"/>
                <w:color w:val="auto"/>
              </w:rPr>
            </w:pPr>
            <w:r>
              <w:rPr>
                <w:rFonts w:ascii="Arial" w:cs="Arial" w:eastAsia="Arial" w:hAnsi="Arial"/>
                <w:sz w:val="19"/>
                <w:szCs w:val="19"/>
                <w:color w:val="auto"/>
              </w:rPr>
              <w:t>102</w:t>
            </w:r>
          </w:p>
        </w:tc>
      </w:tr>
    </w:tbl>
    <w:p>
      <w:pPr>
        <w:spacing w:after="0" w:line="26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16. Form 10-K Summary</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None.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58"/>
        </w:trPr>
        <w:tc>
          <w:tcPr>
            <w:tcW w:w="1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920" w:type="dxa"/>
            <w:vAlign w:val="bottom"/>
            <w:gridSpan w:val="20"/>
          </w:tcPr>
          <w:p>
            <w:pPr>
              <w:ind w:left="500"/>
              <w:spacing w:after="0"/>
              <w:rPr>
                <w:sz w:val="20"/>
                <w:szCs w:val="20"/>
                <w:color w:val="auto"/>
              </w:rPr>
            </w:pPr>
            <w:r>
              <w:rPr>
                <w:rFonts w:ascii="Arial" w:cs="Arial" w:eastAsia="Arial" w:hAnsi="Arial"/>
                <w:sz w:val="19"/>
                <w:szCs w:val="19"/>
                <w:b w:val="1"/>
                <w:bCs w:val="1"/>
                <w:color w:val="auto"/>
              </w:rPr>
              <w:t>EXHIBIT INDEX</w:t>
            </w:r>
          </w:p>
        </w:tc>
      </w:tr>
      <w:tr>
        <w:trPr>
          <w:trHeight w:val="253"/>
        </w:trPr>
        <w:tc>
          <w:tcPr>
            <w:tcW w:w="1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19"/>
          </w:tcPr>
          <w:p>
            <w:pPr>
              <w:ind w:left="1020"/>
              <w:spacing w:after="0"/>
              <w:rPr>
                <w:sz w:val="20"/>
                <w:szCs w:val="20"/>
                <w:color w:val="auto"/>
              </w:rPr>
            </w:pPr>
            <w:r>
              <w:rPr>
                <w:rFonts w:ascii="Arial" w:cs="Arial" w:eastAsia="Arial" w:hAnsi="Arial"/>
                <w:sz w:val="16"/>
                <w:szCs w:val="16"/>
                <w:b w:val="1"/>
                <w:bCs w:val="1"/>
                <w:color w:val="auto"/>
              </w:rPr>
              <w:t>Description</w:t>
            </w:r>
          </w:p>
        </w:tc>
      </w:tr>
      <w:tr>
        <w:trPr>
          <w:trHeight w:val="196"/>
        </w:trPr>
        <w:tc>
          <w:tcPr>
            <w:tcW w:w="1960" w:type="dxa"/>
            <w:vAlign w:val="bottom"/>
          </w:tcPr>
          <w:p>
            <w:pPr>
              <w:ind w:left="160"/>
              <w:spacing w:after="0" w:line="196" w:lineRule="exact"/>
              <w:rPr>
                <w:sz w:val="20"/>
                <w:szCs w:val="20"/>
                <w:color w:val="auto"/>
              </w:rPr>
            </w:pPr>
            <w:r>
              <w:rPr>
                <w:rFonts w:ascii="Arial" w:cs="Arial" w:eastAsia="Arial" w:hAnsi="Arial"/>
                <w:sz w:val="19"/>
                <w:szCs w:val="19"/>
                <w:color w:val="auto"/>
              </w:rPr>
              <w:t>3(i)</w:t>
            </w:r>
          </w:p>
        </w:tc>
        <w:tc>
          <w:tcPr>
            <w:tcW w:w="9440" w:type="dxa"/>
            <w:vAlign w:val="bottom"/>
            <w:tcBorders>
              <w:bottom w:val="single" w:sz="8" w:color="0000EE"/>
            </w:tcBorders>
            <w:gridSpan w:val="24"/>
          </w:tcPr>
          <w:p>
            <w:pPr>
              <w:spacing w:after="0" w:line="196" w:lineRule="exact"/>
              <w:rPr>
                <w:rFonts w:ascii="Arial" w:cs="Arial" w:eastAsia="Arial" w:hAnsi="Arial"/>
                <w:sz w:val="19"/>
                <w:szCs w:val="19"/>
                <w:color w:val="0000EE"/>
              </w:rPr>
            </w:pPr>
            <w:hyperlink r:id="rId148">
              <w:r>
                <w:rPr>
                  <w:rFonts w:ascii="Arial" w:cs="Arial" w:eastAsia="Arial" w:hAnsi="Arial"/>
                  <w:sz w:val="19"/>
                  <w:szCs w:val="19"/>
                  <w:color w:val="0000EE"/>
                </w:rPr>
                <w:t>Amended and Restated Certificate of Incorporation of Honeywell International Inc., as amended April 23, 2018</w:t>
              </w:r>
            </w:hyperlink>
          </w:p>
        </w:tc>
        <w:tc>
          <w:tcPr>
            <w:tcW w:w="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80" w:type="dxa"/>
            <w:vAlign w:val="bottom"/>
            <w:tcBorders>
              <w:bottom w:val="single" w:sz="8" w:color="0000EE"/>
            </w:tcBorders>
            <w:gridSpan w:val="17"/>
          </w:tcPr>
          <w:p>
            <w:pPr>
              <w:spacing w:after="0" w:line="196" w:lineRule="exact"/>
              <w:rPr>
                <w:rFonts w:ascii="Arial" w:cs="Arial" w:eastAsia="Arial" w:hAnsi="Arial"/>
                <w:sz w:val="19"/>
                <w:szCs w:val="19"/>
                <w:color w:val="0000EE"/>
              </w:rPr>
            </w:pPr>
            <w:hyperlink r:id="rId148">
              <w:r>
                <w:rPr>
                  <w:rFonts w:ascii="Arial" w:cs="Arial" w:eastAsia="Arial" w:hAnsi="Arial"/>
                  <w:sz w:val="19"/>
                  <w:szCs w:val="19"/>
                  <w:color w:val="0000EE"/>
                </w:rPr>
                <w:t>(incorporated by reference to Exhibit 3(i) to Honeywell’s Form 10-Q for the quarter ended June 30, 2018)</w:t>
              </w:r>
            </w:hyperlink>
          </w:p>
        </w:tc>
        <w:tc>
          <w:tcPr>
            <w:tcW w:w="300" w:type="dxa"/>
            <w:vAlign w:val="bottom"/>
            <w:gridSpan w:val="7"/>
          </w:tcPr>
          <w:p>
            <w:pPr>
              <w:spacing w:after="0"/>
              <w:rPr>
                <w:sz w:val="17"/>
                <w:szCs w:val="17"/>
                <w:color w:val="auto"/>
              </w:rPr>
            </w:pPr>
          </w:p>
        </w:tc>
      </w:tr>
      <w:tr>
        <w:trPr>
          <w:trHeight w:val="196"/>
        </w:trPr>
        <w:tc>
          <w:tcPr>
            <w:tcW w:w="1960" w:type="dxa"/>
            <w:vAlign w:val="bottom"/>
          </w:tcPr>
          <w:p>
            <w:pPr>
              <w:ind w:left="160"/>
              <w:spacing w:after="0" w:line="196" w:lineRule="exact"/>
              <w:rPr>
                <w:sz w:val="20"/>
                <w:szCs w:val="20"/>
                <w:color w:val="auto"/>
              </w:rPr>
            </w:pPr>
            <w:r>
              <w:rPr>
                <w:rFonts w:ascii="Arial" w:cs="Arial" w:eastAsia="Arial" w:hAnsi="Arial"/>
                <w:sz w:val="19"/>
                <w:szCs w:val="19"/>
                <w:color w:val="auto"/>
              </w:rPr>
              <w:t>3(ii)</w:t>
            </w:r>
          </w:p>
        </w:tc>
        <w:tc>
          <w:tcPr>
            <w:tcW w:w="9320" w:type="dxa"/>
            <w:vAlign w:val="bottom"/>
            <w:tcBorders>
              <w:bottom w:val="single" w:sz="8" w:color="0000EE"/>
            </w:tcBorders>
            <w:gridSpan w:val="21"/>
          </w:tcPr>
          <w:p>
            <w:pPr>
              <w:spacing w:after="0" w:line="196" w:lineRule="exact"/>
              <w:rPr>
                <w:rFonts w:ascii="Arial" w:cs="Arial" w:eastAsia="Arial" w:hAnsi="Arial"/>
                <w:sz w:val="19"/>
                <w:szCs w:val="19"/>
                <w:color w:val="0000EE"/>
              </w:rPr>
            </w:pPr>
            <w:hyperlink r:id="rId149">
              <w:r>
                <w:rPr>
                  <w:rFonts w:ascii="Arial" w:cs="Arial" w:eastAsia="Arial" w:hAnsi="Arial"/>
                  <w:sz w:val="19"/>
                  <w:szCs w:val="19"/>
                  <w:color w:val="0000EE"/>
                </w:rPr>
                <w:t>By-laws of Honeywell International Inc., as amended April 23, 2018 (incorporated by reference to Exhibit 3(ii)</w:t>
              </w:r>
            </w:hyperlink>
          </w:p>
        </w:tc>
        <w:tc>
          <w:tcPr>
            <w:tcW w:w="14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40" w:type="dxa"/>
            <w:vAlign w:val="bottom"/>
            <w:tcBorders>
              <w:bottom w:val="single" w:sz="8" w:color="0000EE"/>
            </w:tcBorders>
            <w:gridSpan w:val="7"/>
          </w:tcPr>
          <w:p>
            <w:pPr>
              <w:spacing w:after="0" w:line="196" w:lineRule="exact"/>
              <w:rPr>
                <w:rFonts w:ascii="Arial" w:cs="Arial" w:eastAsia="Arial" w:hAnsi="Arial"/>
                <w:sz w:val="19"/>
                <w:szCs w:val="19"/>
                <w:color w:val="0000EE"/>
              </w:rPr>
            </w:pPr>
            <w:hyperlink r:id="rId149">
              <w:r>
                <w:rPr>
                  <w:rFonts w:ascii="Arial" w:cs="Arial" w:eastAsia="Arial" w:hAnsi="Arial"/>
                  <w:sz w:val="19"/>
                  <w:szCs w:val="19"/>
                  <w:color w:val="0000EE"/>
                </w:rPr>
                <w:t>to Honeywell’s 10-Q for the quarter ended June 30, 2018)</w:t>
              </w:r>
            </w:hyperlink>
          </w:p>
        </w:tc>
        <w:tc>
          <w:tcPr>
            <w:tcW w:w="4340" w:type="dxa"/>
            <w:vAlign w:val="bottom"/>
            <w:gridSpan w:val="17"/>
          </w:tcPr>
          <w:p>
            <w:pPr>
              <w:spacing w:after="0"/>
              <w:rPr>
                <w:sz w:val="17"/>
                <w:szCs w:val="17"/>
                <w:color w:val="auto"/>
              </w:rPr>
            </w:pPr>
          </w:p>
        </w:tc>
      </w:tr>
      <w:tr>
        <w:trPr>
          <w:trHeight w:val="223"/>
        </w:trPr>
        <w:tc>
          <w:tcPr>
            <w:tcW w:w="1960" w:type="dxa"/>
            <w:vAlign w:val="bottom"/>
          </w:tcPr>
          <w:p>
            <w:pPr>
              <w:ind w:left="160"/>
              <w:spacing w:after="0"/>
              <w:rPr>
                <w:sz w:val="20"/>
                <w:szCs w:val="20"/>
                <w:color w:val="auto"/>
              </w:rPr>
            </w:pPr>
            <w:r>
              <w:rPr>
                <w:rFonts w:ascii="Arial" w:cs="Arial" w:eastAsia="Arial" w:hAnsi="Arial"/>
                <w:sz w:val="19"/>
                <w:szCs w:val="19"/>
                <w:color w:val="auto"/>
              </w:rPr>
              <w:t>4</w:t>
            </w:r>
          </w:p>
        </w:tc>
        <w:tc>
          <w:tcPr>
            <w:tcW w:w="9460" w:type="dxa"/>
            <w:vAlign w:val="bottom"/>
            <w:gridSpan w:val="25"/>
          </w:tcPr>
          <w:p>
            <w:pPr>
              <w:spacing w:after="0"/>
              <w:rPr>
                <w:sz w:val="20"/>
                <w:szCs w:val="20"/>
                <w:color w:val="auto"/>
              </w:rPr>
            </w:pPr>
            <w:r>
              <w:rPr>
                <w:rFonts w:ascii="Arial" w:cs="Arial" w:eastAsia="Arial" w:hAnsi="Arial"/>
                <w:sz w:val="19"/>
                <w:szCs w:val="19"/>
                <w:color w:val="auto"/>
              </w:rPr>
              <w:t>Honeywell International Inc. is a party to several long-term debt instruments under which, in each case, the</w:t>
            </w:r>
          </w:p>
        </w:tc>
      </w:tr>
      <w:tr>
        <w:trPr>
          <w:trHeight w:val="216"/>
        </w:trPr>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gridSpan w:val="24"/>
          </w:tcPr>
          <w:p>
            <w:pPr>
              <w:spacing w:after="0" w:line="216" w:lineRule="exact"/>
              <w:rPr>
                <w:sz w:val="20"/>
                <w:szCs w:val="20"/>
                <w:color w:val="auto"/>
              </w:rPr>
            </w:pPr>
            <w:r>
              <w:rPr>
                <w:rFonts w:ascii="Arial" w:cs="Arial" w:eastAsia="Arial" w:hAnsi="Arial"/>
                <w:sz w:val="19"/>
                <w:szCs w:val="19"/>
                <w:color w:val="auto"/>
              </w:rPr>
              <w:t>total amount of securities authorized does not exceed 10% of the total assets of Honeywell and its</w:t>
            </w:r>
          </w:p>
        </w:tc>
      </w:tr>
      <w:tr>
        <w:trPr>
          <w:trHeight w:val="216"/>
        </w:trPr>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gridSpan w:val="24"/>
          </w:tcPr>
          <w:p>
            <w:pPr>
              <w:spacing w:after="0" w:line="216" w:lineRule="exact"/>
              <w:rPr>
                <w:sz w:val="20"/>
                <w:szCs w:val="20"/>
                <w:color w:val="auto"/>
              </w:rPr>
            </w:pPr>
            <w:r>
              <w:rPr>
                <w:rFonts w:ascii="Arial" w:cs="Arial" w:eastAsia="Arial" w:hAnsi="Arial"/>
                <w:sz w:val="19"/>
                <w:szCs w:val="19"/>
                <w:color w:val="auto"/>
              </w:rPr>
              <w:t>subsidiaries on a consolidated basis. Pursuant to paragraph 4(iii)(A) of Item 601(b) of Regulation S-K,</w:t>
            </w:r>
          </w:p>
        </w:tc>
      </w:tr>
      <w:tr>
        <w:trPr>
          <w:trHeight w:val="216"/>
        </w:trPr>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gridSpan w:val="24"/>
          </w:tcPr>
          <w:p>
            <w:pPr>
              <w:spacing w:after="0" w:line="216" w:lineRule="exact"/>
              <w:rPr>
                <w:sz w:val="20"/>
                <w:szCs w:val="20"/>
                <w:color w:val="auto"/>
              </w:rPr>
            </w:pPr>
            <w:r>
              <w:rPr>
                <w:rFonts w:ascii="Arial" w:cs="Arial" w:eastAsia="Arial" w:hAnsi="Arial"/>
                <w:sz w:val="19"/>
                <w:szCs w:val="19"/>
                <w:color w:val="auto"/>
              </w:rPr>
              <w:t>Honeywell agrees to furnish a copy of such instruments to the Securities and Exchange Commission upon</w:t>
            </w:r>
          </w:p>
        </w:tc>
      </w:tr>
      <w:tr>
        <w:trPr>
          <w:trHeight w:val="216"/>
        </w:trPr>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gridSpan w:val="24"/>
          </w:tcPr>
          <w:p>
            <w:pPr>
              <w:spacing w:after="0" w:line="216" w:lineRule="exact"/>
              <w:rPr>
                <w:sz w:val="20"/>
                <w:szCs w:val="20"/>
                <w:color w:val="auto"/>
              </w:rPr>
            </w:pPr>
            <w:r>
              <w:rPr>
                <w:rFonts w:ascii="Arial" w:cs="Arial" w:eastAsia="Arial" w:hAnsi="Arial"/>
                <w:sz w:val="19"/>
                <w:szCs w:val="19"/>
                <w:color w:val="auto"/>
              </w:rPr>
              <w:t>request.</w:t>
            </w:r>
          </w:p>
        </w:tc>
      </w:tr>
      <w:tr>
        <w:trPr>
          <w:trHeight w:val="189"/>
        </w:trPr>
        <w:tc>
          <w:tcPr>
            <w:tcW w:w="1960" w:type="dxa"/>
            <w:vAlign w:val="bottom"/>
          </w:tcPr>
          <w:p>
            <w:pPr>
              <w:spacing w:after="0" w:line="189" w:lineRule="exact"/>
              <w:rPr>
                <w:sz w:val="20"/>
                <w:szCs w:val="20"/>
                <w:color w:val="auto"/>
              </w:rPr>
            </w:pPr>
            <w:r>
              <w:rPr>
                <w:rFonts w:ascii="Arial" w:cs="Arial" w:eastAsia="Arial" w:hAnsi="Arial"/>
                <w:sz w:val="19"/>
                <w:szCs w:val="19"/>
                <w:color w:val="auto"/>
              </w:rPr>
              <w:t>10.1*</w:t>
            </w:r>
          </w:p>
        </w:tc>
        <w:tc>
          <w:tcPr>
            <w:tcW w:w="9160" w:type="dxa"/>
            <w:vAlign w:val="bottom"/>
            <w:tcBorders>
              <w:bottom w:val="single" w:sz="8" w:color="0000EE"/>
            </w:tcBorders>
            <w:gridSpan w:val="18"/>
          </w:tcPr>
          <w:p>
            <w:pPr>
              <w:spacing w:after="0" w:line="189" w:lineRule="exact"/>
              <w:rPr>
                <w:rFonts w:ascii="Arial" w:cs="Arial" w:eastAsia="Arial" w:hAnsi="Arial"/>
                <w:sz w:val="19"/>
                <w:szCs w:val="19"/>
                <w:color w:val="0000EE"/>
              </w:rPr>
            </w:pPr>
            <w:hyperlink r:id="rId150">
              <w:r>
                <w:rPr>
                  <w:rFonts w:ascii="Arial" w:cs="Arial" w:eastAsia="Arial" w:hAnsi="Arial"/>
                  <w:sz w:val="19"/>
                  <w:szCs w:val="19"/>
                  <w:color w:val="0000EE"/>
                </w:rPr>
                <w:t>Deferred Compensation Plan for Non-Employee Directors of Honeywell International Inc., as amended and</w:t>
              </w:r>
            </w:hyperlink>
          </w:p>
        </w:tc>
        <w:tc>
          <w:tcPr>
            <w:tcW w:w="300" w:type="dxa"/>
            <w:vAlign w:val="bottom"/>
            <w:gridSpan w:val="7"/>
          </w:tcPr>
          <w:p>
            <w:pPr>
              <w:spacing w:after="0"/>
              <w:rPr>
                <w:sz w:val="16"/>
                <w:szCs w:val="16"/>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40" w:type="dxa"/>
            <w:vAlign w:val="bottom"/>
            <w:tcBorders>
              <w:bottom w:val="single" w:sz="8" w:color="0000EE"/>
            </w:tcBorders>
            <w:gridSpan w:val="15"/>
          </w:tcPr>
          <w:p>
            <w:pPr>
              <w:spacing w:after="0" w:line="196" w:lineRule="exact"/>
              <w:rPr>
                <w:rFonts w:ascii="Arial" w:cs="Arial" w:eastAsia="Arial" w:hAnsi="Arial"/>
                <w:sz w:val="19"/>
                <w:szCs w:val="19"/>
                <w:color w:val="0000EE"/>
              </w:rPr>
            </w:pPr>
            <w:hyperlink r:id="rId150">
              <w:r>
                <w:rPr>
                  <w:rFonts w:ascii="Arial" w:cs="Arial" w:eastAsia="Arial" w:hAnsi="Arial"/>
                  <w:sz w:val="19"/>
                  <w:szCs w:val="19"/>
                  <w:color w:val="0000EE"/>
                </w:rPr>
                <w:t>restated (incorporated by reference to Exhibit 10.2 to Honeywell’s Form 10-Q for quarter ended June 30,</w:t>
              </w:r>
            </w:hyperlink>
          </w:p>
        </w:tc>
        <w:tc>
          <w:tcPr>
            <w:tcW w:w="340" w:type="dxa"/>
            <w:vAlign w:val="bottom"/>
            <w:gridSpan w:val="9"/>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660" w:type="dxa"/>
            <w:vAlign w:val="bottom"/>
            <w:gridSpan w:val="2"/>
          </w:tcPr>
          <w:p>
            <w:pPr>
              <w:ind w:left="180"/>
              <w:spacing w:after="0" w:line="196" w:lineRule="exact"/>
              <w:rPr>
                <w:rFonts w:ascii="Arial" w:cs="Arial" w:eastAsia="Arial" w:hAnsi="Arial"/>
                <w:sz w:val="19"/>
                <w:szCs w:val="19"/>
                <w:color w:val="0000EE"/>
                <w:w w:val="94"/>
              </w:rPr>
            </w:pPr>
            <w:hyperlink r:id="rId150">
              <w:r>
                <w:rPr>
                  <w:rFonts w:ascii="Arial" w:cs="Arial" w:eastAsia="Arial" w:hAnsi="Arial"/>
                  <w:sz w:val="19"/>
                  <w:szCs w:val="19"/>
                  <w:color w:val="0000EE"/>
                  <w:w w:val="94"/>
                </w:rPr>
                <w:t>2003)</w:t>
              </w:r>
            </w:hyperlink>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w:t>
            </w:r>
          </w:p>
        </w:tc>
        <w:tc>
          <w:tcPr>
            <w:tcW w:w="9240" w:type="dxa"/>
            <w:vAlign w:val="bottom"/>
            <w:tcBorders>
              <w:bottom w:val="single" w:sz="8" w:color="0000EE"/>
            </w:tcBorders>
            <w:gridSpan w:val="19"/>
          </w:tcPr>
          <w:p>
            <w:pPr>
              <w:spacing w:after="0" w:line="196" w:lineRule="exact"/>
              <w:rPr>
                <w:rFonts w:ascii="Arial" w:cs="Arial" w:eastAsia="Arial" w:hAnsi="Arial"/>
                <w:sz w:val="19"/>
                <w:szCs w:val="19"/>
                <w:color w:val="0000EE"/>
              </w:rPr>
            </w:pPr>
            <w:hyperlink r:id="rId151">
              <w:r>
                <w:rPr>
                  <w:rFonts w:ascii="Arial" w:cs="Arial" w:eastAsia="Arial" w:hAnsi="Arial"/>
                  <w:sz w:val="19"/>
                  <w:szCs w:val="19"/>
                  <w:color w:val="0000EE"/>
                </w:rPr>
                <w:t>Amendment to Deferred Compensation Plan for Non-Employee Directors of Honeywell International Inc., as</w:t>
              </w:r>
            </w:hyperlink>
          </w:p>
        </w:tc>
        <w:tc>
          <w:tcPr>
            <w:tcW w:w="220" w:type="dxa"/>
            <w:vAlign w:val="bottom"/>
            <w:gridSpan w:val="6"/>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51">
              <w:r>
                <w:rPr>
                  <w:rFonts w:ascii="Arial" w:cs="Arial" w:eastAsia="Arial" w:hAnsi="Arial"/>
                  <w:sz w:val="19"/>
                  <w:szCs w:val="19"/>
                  <w:color w:val="0000EE"/>
                </w:rPr>
                <w:t>amended and restated (incorporated by reference to Exhibit 10.1 to Honeywell’s Form 8-K filed December</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000" w:type="dxa"/>
            <w:vAlign w:val="bottom"/>
            <w:gridSpan w:val="3"/>
          </w:tcPr>
          <w:p>
            <w:pPr>
              <w:ind w:left="180"/>
              <w:spacing w:after="0" w:line="196" w:lineRule="exact"/>
              <w:rPr>
                <w:rFonts w:ascii="Arial" w:cs="Arial" w:eastAsia="Arial" w:hAnsi="Arial"/>
                <w:sz w:val="19"/>
                <w:szCs w:val="19"/>
                <w:color w:val="0000EE"/>
                <w:w w:val="99"/>
              </w:rPr>
            </w:pPr>
            <w:hyperlink r:id="rId151">
              <w:r>
                <w:rPr>
                  <w:rFonts w:ascii="Arial" w:cs="Arial" w:eastAsia="Arial" w:hAnsi="Arial"/>
                  <w:sz w:val="19"/>
                  <w:szCs w:val="19"/>
                  <w:color w:val="0000EE"/>
                  <w:w w:val="99"/>
                </w:rPr>
                <w:t>21, 2004)</w:t>
              </w:r>
            </w:hyperlink>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w:t>
            </w:r>
          </w:p>
        </w:tc>
        <w:tc>
          <w:tcPr>
            <w:tcW w:w="9240" w:type="dxa"/>
            <w:vAlign w:val="bottom"/>
            <w:tcBorders>
              <w:bottom w:val="single" w:sz="8" w:color="0000EE"/>
            </w:tcBorders>
            <w:gridSpan w:val="19"/>
          </w:tcPr>
          <w:p>
            <w:pPr>
              <w:spacing w:after="0" w:line="196" w:lineRule="exact"/>
              <w:rPr>
                <w:rFonts w:ascii="Arial" w:cs="Arial" w:eastAsia="Arial" w:hAnsi="Arial"/>
                <w:sz w:val="19"/>
                <w:szCs w:val="19"/>
                <w:color w:val="0000EE"/>
              </w:rPr>
            </w:pPr>
            <w:hyperlink r:id="rId152">
              <w:r>
                <w:rPr>
                  <w:rFonts w:ascii="Arial" w:cs="Arial" w:eastAsia="Arial" w:hAnsi="Arial"/>
                  <w:sz w:val="19"/>
                  <w:szCs w:val="19"/>
                  <w:color w:val="0000EE"/>
                </w:rPr>
                <w:t>Amendment to Deferred Compensation Plan for Non-Employee Directors of Honeywell International Inc., as</w:t>
              </w:r>
            </w:hyperlink>
          </w:p>
        </w:tc>
        <w:tc>
          <w:tcPr>
            <w:tcW w:w="220" w:type="dxa"/>
            <w:vAlign w:val="bottom"/>
            <w:gridSpan w:val="6"/>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52">
              <w:r>
                <w:rPr>
                  <w:rFonts w:ascii="Arial" w:cs="Arial" w:eastAsia="Arial" w:hAnsi="Arial"/>
                  <w:sz w:val="19"/>
                  <w:szCs w:val="19"/>
                  <w:color w:val="0000EE"/>
                </w:rPr>
                <w:t>amended and restated (incorporated by reference to Exhibit 10.2 to Honeywell’s Form 10-K for the year</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4"/>
          </w:tcPr>
          <w:p>
            <w:pPr>
              <w:spacing w:after="0" w:line="196" w:lineRule="exact"/>
              <w:rPr>
                <w:rFonts w:ascii="Arial" w:cs="Arial" w:eastAsia="Arial" w:hAnsi="Arial"/>
                <w:sz w:val="19"/>
                <w:szCs w:val="19"/>
                <w:color w:val="0000EE"/>
              </w:rPr>
            </w:pPr>
            <w:hyperlink r:id="rId152">
              <w:r>
                <w:rPr>
                  <w:rFonts w:ascii="Arial" w:cs="Arial" w:eastAsia="Arial" w:hAnsi="Arial"/>
                  <w:sz w:val="19"/>
                  <w:szCs w:val="19"/>
                  <w:color w:val="0000EE"/>
                </w:rPr>
                <w:t>ended December 31, 2005)</w:t>
              </w:r>
            </w:hyperlink>
          </w:p>
        </w:tc>
        <w:tc>
          <w:tcPr>
            <w:tcW w:w="6480" w:type="dxa"/>
            <w:vAlign w:val="bottom"/>
            <w:tcBorders>
              <w:top w:val="single" w:sz="8" w:color="0000EE"/>
            </w:tcBorders>
            <w:gridSpan w:val="10"/>
          </w:tcPr>
          <w:p>
            <w:pPr>
              <w:spacing w:after="0"/>
              <w:rPr>
                <w:sz w:val="17"/>
                <w:szCs w:val="17"/>
                <w:color w:val="auto"/>
              </w:rPr>
            </w:pPr>
          </w:p>
        </w:tc>
        <w:tc>
          <w:tcPr>
            <w:tcW w:w="440" w:type="dxa"/>
            <w:vAlign w:val="bottom"/>
            <w:gridSpan w:val="10"/>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w:t>
            </w:r>
          </w:p>
        </w:tc>
        <w:tc>
          <w:tcPr>
            <w:tcW w:w="9460" w:type="dxa"/>
            <w:vAlign w:val="bottom"/>
            <w:gridSpan w:val="25"/>
          </w:tcPr>
          <w:p>
            <w:pPr>
              <w:spacing w:after="0" w:line="196" w:lineRule="exact"/>
              <w:rPr>
                <w:rFonts w:ascii="Arial" w:cs="Arial" w:eastAsia="Arial" w:hAnsi="Arial"/>
                <w:sz w:val="19"/>
                <w:szCs w:val="19"/>
                <w:color w:val="0000EE"/>
              </w:rPr>
            </w:pPr>
            <w:hyperlink w:anchor="page112">
              <w:r>
                <w:rPr>
                  <w:rFonts w:ascii="Arial" w:cs="Arial" w:eastAsia="Arial" w:hAnsi="Arial"/>
                  <w:sz w:val="19"/>
                  <w:szCs w:val="19"/>
                  <w:color w:val="0000EE"/>
                </w:rPr>
                <w:t>Honeywell International Inc. Incentive Compensation Plan for Executive Employees, as amended and restated</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260" w:type="dxa"/>
            <w:vAlign w:val="bottom"/>
            <w:tcBorders>
              <w:top w:val="single" w:sz="8" w:color="0000EE"/>
            </w:tcBorders>
            <w:gridSpan w:val="23"/>
          </w:tcPr>
          <w:p>
            <w:pPr>
              <w:spacing w:after="0" w:line="196" w:lineRule="exact"/>
              <w:rPr>
                <w:rFonts w:ascii="Arial" w:cs="Arial" w:eastAsia="Arial" w:hAnsi="Arial"/>
                <w:sz w:val="19"/>
                <w:szCs w:val="19"/>
                <w:color w:val="0000EE"/>
              </w:rPr>
            </w:pPr>
            <w:hyperlink w:anchor="page112">
              <w:r>
                <w:rPr>
                  <w:rFonts w:ascii="Arial" w:cs="Arial" w:eastAsia="Arial" w:hAnsi="Arial"/>
                  <w:sz w:val="19"/>
                  <w:szCs w:val="19"/>
                  <w:color w:val="0000EE"/>
                </w:rPr>
                <w:t>(filed herewith)</w:t>
              </w:r>
            </w:hyperlink>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w:t>
            </w:r>
          </w:p>
        </w:tc>
        <w:tc>
          <w:tcPr>
            <w:tcW w:w="9460" w:type="dxa"/>
            <w:vAlign w:val="bottom"/>
            <w:gridSpan w:val="25"/>
          </w:tcPr>
          <w:p>
            <w:pPr>
              <w:spacing w:after="0" w:line="196" w:lineRule="exact"/>
              <w:rPr>
                <w:rFonts w:ascii="Arial" w:cs="Arial" w:eastAsia="Arial" w:hAnsi="Arial"/>
                <w:sz w:val="19"/>
                <w:szCs w:val="19"/>
                <w:color w:val="0000EE"/>
              </w:rPr>
            </w:pPr>
            <w:hyperlink r:id="rId153">
              <w:r>
                <w:rPr>
                  <w:rFonts w:ascii="Arial" w:cs="Arial" w:eastAsia="Arial" w:hAnsi="Arial"/>
                  <w:sz w:val="19"/>
                  <w:szCs w:val="19"/>
                  <w:color w:val="0000EE"/>
                </w:rPr>
                <w:t>Honeywell Excess Benefit Plan and Honeywell Supplemental Savings Plan, as amended and restated</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tcBorders>
              <w:bottom w:val="single" w:sz="8" w:color="0000EE"/>
            </w:tcBorders>
            <w:gridSpan w:val="22"/>
          </w:tcPr>
          <w:p>
            <w:pPr>
              <w:spacing w:after="0" w:line="196" w:lineRule="exact"/>
              <w:rPr>
                <w:rFonts w:ascii="Arial" w:cs="Arial" w:eastAsia="Arial" w:hAnsi="Arial"/>
                <w:sz w:val="19"/>
                <w:szCs w:val="19"/>
                <w:color w:val="0000EE"/>
              </w:rPr>
            </w:pPr>
            <w:hyperlink r:id="rId153">
              <w:r>
                <w:rPr>
                  <w:rFonts w:ascii="Arial" w:cs="Arial" w:eastAsia="Arial" w:hAnsi="Arial"/>
                  <w:sz w:val="19"/>
                  <w:szCs w:val="19"/>
                  <w:color w:val="0000EE"/>
                </w:rPr>
                <w:t>(incorporated by reference to Exhibit 10.2 to Honeywell’s Form 10-Q for the quarter ended March 31, 2018)</w:t>
              </w:r>
            </w:hyperlink>
          </w:p>
        </w:tc>
        <w:tc>
          <w:tcPr>
            <w:tcW w:w="100" w:type="dxa"/>
            <w:vAlign w:val="bottom"/>
            <w:gridSpan w:val="2"/>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w:t>
            </w:r>
          </w:p>
        </w:tc>
        <w:tc>
          <w:tcPr>
            <w:tcW w:w="9340" w:type="dxa"/>
            <w:vAlign w:val="bottom"/>
            <w:tcBorders>
              <w:bottom w:val="single" w:sz="8" w:color="0000EE"/>
            </w:tcBorders>
            <w:gridSpan w:val="22"/>
          </w:tcPr>
          <w:p>
            <w:pPr>
              <w:spacing w:after="0" w:line="196" w:lineRule="exact"/>
              <w:rPr>
                <w:rFonts w:ascii="Arial" w:cs="Arial" w:eastAsia="Arial" w:hAnsi="Arial"/>
                <w:sz w:val="19"/>
                <w:szCs w:val="19"/>
                <w:color w:val="0000EE"/>
              </w:rPr>
            </w:pPr>
            <w:hyperlink r:id="rId154">
              <w:r>
                <w:rPr>
                  <w:rFonts w:ascii="Arial" w:cs="Arial" w:eastAsia="Arial" w:hAnsi="Arial"/>
                  <w:sz w:val="19"/>
                  <w:szCs w:val="19"/>
                  <w:color w:val="0000EE"/>
                </w:rPr>
                <w:t>Honeywell International Inc. Severance Plan for Designated Officers, as amended and restated (incorporated</w:t>
              </w:r>
            </w:hyperlink>
          </w:p>
        </w:tc>
        <w:tc>
          <w:tcPr>
            <w:tcW w:w="120" w:type="dxa"/>
            <w:vAlign w:val="bottom"/>
            <w:gridSpan w:val="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80" w:type="dxa"/>
            <w:vAlign w:val="bottom"/>
            <w:tcBorders>
              <w:bottom w:val="single" w:sz="8" w:color="0000EE"/>
            </w:tcBorders>
            <w:gridSpan w:val="10"/>
          </w:tcPr>
          <w:p>
            <w:pPr>
              <w:spacing w:after="0" w:line="196" w:lineRule="exact"/>
              <w:rPr>
                <w:rFonts w:ascii="Arial" w:cs="Arial" w:eastAsia="Arial" w:hAnsi="Arial"/>
                <w:sz w:val="19"/>
                <w:szCs w:val="19"/>
                <w:color w:val="0000EE"/>
              </w:rPr>
            </w:pPr>
            <w:hyperlink r:id="rId154">
              <w:r>
                <w:rPr>
                  <w:rFonts w:ascii="Arial" w:cs="Arial" w:eastAsia="Arial" w:hAnsi="Arial"/>
                  <w:sz w:val="19"/>
                  <w:szCs w:val="19"/>
                  <w:color w:val="0000EE"/>
                </w:rPr>
                <w:t>by reference to Exhibit 10.6 to Honeywell’s Form 10-K for the year ended December 31, 2013)</w:t>
              </w:r>
            </w:hyperlink>
          </w:p>
        </w:tc>
        <w:tc>
          <w:tcPr>
            <w:tcW w:w="1200" w:type="dxa"/>
            <w:vAlign w:val="bottom"/>
            <w:gridSpan w:val="14"/>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10.7*</w:t>
            </w:r>
          </w:p>
        </w:tc>
        <w:tc>
          <w:tcPr>
            <w:tcW w:w="9140" w:type="dxa"/>
            <w:vAlign w:val="bottom"/>
            <w:tcBorders>
              <w:bottom w:val="single" w:sz="8" w:color="0000EE"/>
            </w:tcBorders>
            <w:gridSpan w:val="17"/>
          </w:tcPr>
          <w:p>
            <w:pPr>
              <w:spacing w:after="0" w:line="196" w:lineRule="exact"/>
              <w:rPr>
                <w:rFonts w:ascii="Arial" w:cs="Arial" w:eastAsia="Arial" w:hAnsi="Arial"/>
                <w:sz w:val="19"/>
                <w:szCs w:val="19"/>
                <w:color w:val="0000EE"/>
              </w:rPr>
            </w:pPr>
            <w:hyperlink r:id="rId155">
              <w:r>
                <w:rPr>
                  <w:rFonts w:ascii="Arial" w:cs="Arial" w:eastAsia="Arial" w:hAnsi="Arial"/>
                  <w:sz w:val="19"/>
                  <w:szCs w:val="19"/>
                  <w:color w:val="0000EE"/>
                </w:rPr>
                <w:t>Honeywell Deferred Incentive Compensation Plan, as amended and restated (incorporated by reference to</w:t>
              </w:r>
            </w:hyperlink>
          </w:p>
        </w:tc>
        <w:tc>
          <w:tcPr>
            <w:tcW w:w="320" w:type="dxa"/>
            <w:vAlign w:val="bottom"/>
            <w:gridSpan w:val="8"/>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55">
              <w:r>
                <w:rPr>
                  <w:rFonts w:ascii="Arial" w:cs="Arial" w:eastAsia="Arial" w:hAnsi="Arial"/>
                  <w:sz w:val="19"/>
                  <w:szCs w:val="19"/>
                  <w:color w:val="0000EE"/>
                </w:rPr>
                <w:t>Exhibit 10.3 to Honeywell’s Form 10-Q for the quarter ended March 31, 2018)</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10.8*</w:t>
            </w:r>
          </w:p>
        </w:tc>
        <w:tc>
          <w:tcPr>
            <w:tcW w:w="9460" w:type="dxa"/>
            <w:vAlign w:val="bottom"/>
            <w:gridSpan w:val="25"/>
          </w:tcPr>
          <w:p>
            <w:pPr>
              <w:spacing w:after="0" w:line="196" w:lineRule="exact"/>
              <w:rPr>
                <w:rFonts w:ascii="Arial" w:cs="Arial" w:eastAsia="Arial" w:hAnsi="Arial"/>
                <w:sz w:val="19"/>
                <w:szCs w:val="19"/>
                <w:color w:val="0000EE"/>
              </w:rPr>
            </w:pPr>
            <w:hyperlink r:id="rId156">
              <w:r>
                <w:rPr>
                  <w:rFonts w:ascii="Arial" w:cs="Arial" w:eastAsia="Arial" w:hAnsi="Arial"/>
                  <w:sz w:val="19"/>
                  <w:szCs w:val="19"/>
                  <w:color w:val="0000EE"/>
                </w:rPr>
                <w:t>Honeywell International Inc. Supplemental Pension Plan, as amended and restated (incorporated by reference</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260" w:type="dxa"/>
            <w:vAlign w:val="bottom"/>
            <w:tcBorders>
              <w:top w:val="single" w:sz="8" w:color="0000EE"/>
            </w:tcBorders>
            <w:gridSpan w:val="23"/>
          </w:tcPr>
          <w:p>
            <w:pPr>
              <w:spacing w:after="0" w:line="196" w:lineRule="exact"/>
              <w:rPr>
                <w:rFonts w:ascii="Arial" w:cs="Arial" w:eastAsia="Arial" w:hAnsi="Arial"/>
                <w:sz w:val="19"/>
                <w:szCs w:val="19"/>
                <w:color w:val="0000EE"/>
              </w:rPr>
            </w:pPr>
            <w:hyperlink r:id="rId156">
              <w:r>
                <w:rPr>
                  <w:rFonts w:ascii="Arial" w:cs="Arial" w:eastAsia="Arial" w:hAnsi="Arial"/>
                  <w:sz w:val="19"/>
                  <w:szCs w:val="19"/>
                  <w:color w:val="0000EE"/>
                </w:rPr>
                <w:t>to Exhibit 10.10 to Honeywell’s Form 10-K for the year ended December 31, 2008)</w:t>
              </w:r>
            </w:hyperlink>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10.9*</w:t>
            </w:r>
          </w:p>
        </w:tc>
        <w:tc>
          <w:tcPr>
            <w:tcW w:w="8440" w:type="dxa"/>
            <w:vAlign w:val="bottom"/>
            <w:tcBorders>
              <w:bottom w:val="single" w:sz="8" w:color="0000EE"/>
            </w:tcBorders>
            <w:gridSpan w:val="12"/>
          </w:tcPr>
          <w:p>
            <w:pPr>
              <w:spacing w:after="0" w:line="196" w:lineRule="exact"/>
              <w:rPr>
                <w:rFonts w:ascii="Arial" w:cs="Arial" w:eastAsia="Arial" w:hAnsi="Arial"/>
                <w:sz w:val="19"/>
                <w:szCs w:val="19"/>
                <w:color w:val="0000EE"/>
              </w:rPr>
            </w:pPr>
            <w:hyperlink r:id="rId157">
              <w:r>
                <w:rPr>
                  <w:rFonts w:ascii="Arial" w:cs="Arial" w:eastAsia="Arial" w:hAnsi="Arial"/>
                  <w:sz w:val="19"/>
                  <w:szCs w:val="19"/>
                  <w:color w:val="0000EE"/>
                </w:rPr>
                <w:t>Amendment to Honeywell International Inc. Supplemental Pension Plan, as amended and restated</w:t>
              </w:r>
            </w:hyperlink>
          </w:p>
        </w:tc>
        <w:tc>
          <w:tcPr>
            <w:tcW w:w="1020" w:type="dxa"/>
            <w:vAlign w:val="bottom"/>
            <w:gridSpan w:val="1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57">
              <w:r>
                <w:rPr>
                  <w:rFonts w:ascii="Arial" w:cs="Arial" w:eastAsia="Arial" w:hAnsi="Arial"/>
                  <w:sz w:val="19"/>
                  <w:szCs w:val="19"/>
                  <w:color w:val="0000EE"/>
                </w:rPr>
                <w:t>(incorporated by reference to Exhibit 10.10 to Honeywell’s Form 10-K for the year ended December 31,</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60" w:type="dxa"/>
            <w:vAlign w:val="bottom"/>
            <w:gridSpan w:val="2"/>
          </w:tcPr>
          <w:p>
            <w:pPr>
              <w:ind w:left="180"/>
              <w:spacing w:after="0" w:line="196" w:lineRule="exact"/>
              <w:rPr>
                <w:rFonts w:ascii="Arial" w:cs="Arial" w:eastAsia="Arial" w:hAnsi="Arial"/>
                <w:sz w:val="19"/>
                <w:szCs w:val="19"/>
                <w:color w:val="0000EE"/>
                <w:w w:val="94"/>
              </w:rPr>
            </w:pPr>
            <w:hyperlink r:id="rId157">
              <w:r>
                <w:rPr>
                  <w:rFonts w:ascii="Arial" w:cs="Arial" w:eastAsia="Arial" w:hAnsi="Arial"/>
                  <w:sz w:val="19"/>
                  <w:szCs w:val="19"/>
                  <w:color w:val="0000EE"/>
                  <w:w w:val="94"/>
                </w:rPr>
                <w:t>2009)</w:t>
              </w:r>
            </w:hyperlink>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10.10*</w:t>
            </w:r>
          </w:p>
        </w:tc>
        <w:tc>
          <w:tcPr>
            <w:tcW w:w="8440" w:type="dxa"/>
            <w:vAlign w:val="bottom"/>
            <w:tcBorders>
              <w:bottom w:val="single" w:sz="8" w:color="0000EE"/>
            </w:tcBorders>
            <w:gridSpan w:val="12"/>
          </w:tcPr>
          <w:p>
            <w:pPr>
              <w:spacing w:after="0" w:line="196" w:lineRule="exact"/>
              <w:rPr>
                <w:rFonts w:ascii="Arial" w:cs="Arial" w:eastAsia="Arial" w:hAnsi="Arial"/>
                <w:sz w:val="19"/>
                <w:szCs w:val="19"/>
                <w:color w:val="0000EE"/>
              </w:rPr>
            </w:pPr>
            <w:hyperlink r:id="rId158">
              <w:r>
                <w:rPr>
                  <w:rFonts w:ascii="Arial" w:cs="Arial" w:eastAsia="Arial" w:hAnsi="Arial"/>
                  <w:sz w:val="19"/>
                  <w:szCs w:val="19"/>
                  <w:color w:val="0000EE"/>
                </w:rPr>
                <w:t>Amendment to Honeywell International Inc. Supplemental Pension Plan, as amended and restated</w:t>
              </w:r>
            </w:hyperlink>
          </w:p>
        </w:tc>
        <w:tc>
          <w:tcPr>
            <w:tcW w:w="1020" w:type="dxa"/>
            <w:vAlign w:val="bottom"/>
            <w:gridSpan w:val="1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58">
              <w:r>
                <w:rPr>
                  <w:rFonts w:ascii="Arial" w:cs="Arial" w:eastAsia="Arial" w:hAnsi="Arial"/>
                  <w:sz w:val="19"/>
                  <w:szCs w:val="19"/>
                  <w:color w:val="0000EE"/>
                </w:rPr>
                <w:t>(incorporated by reference to Exhibit 10.7 to Honeywell’s Form 10-K for the year ended December 31, 2015)</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580" w:type="dxa"/>
            <w:vAlign w:val="bottom"/>
            <w:tcBorders>
              <w:right w:val="single" w:sz="8" w:color="0000EE"/>
            </w:tcBorders>
            <w:gridSpan w:val="9"/>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10.11*</w:t>
            </w:r>
          </w:p>
        </w:tc>
        <w:tc>
          <w:tcPr>
            <w:tcW w:w="9460" w:type="dxa"/>
            <w:vAlign w:val="bottom"/>
            <w:gridSpan w:val="25"/>
          </w:tcPr>
          <w:p>
            <w:pPr>
              <w:spacing w:after="0" w:line="196" w:lineRule="exact"/>
              <w:rPr>
                <w:rFonts w:ascii="Arial" w:cs="Arial" w:eastAsia="Arial" w:hAnsi="Arial"/>
                <w:sz w:val="19"/>
                <w:szCs w:val="19"/>
                <w:color w:val="0000EE"/>
              </w:rPr>
            </w:pPr>
            <w:hyperlink r:id="rId159">
              <w:r>
                <w:rPr>
                  <w:rFonts w:ascii="Arial" w:cs="Arial" w:eastAsia="Arial" w:hAnsi="Arial"/>
                  <w:sz w:val="19"/>
                  <w:szCs w:val="19"/>
                  <w:color w:val="0000EE"/>
                </w:rPr>
                <w:t>Honeywell International Inc. Supplemental Executive Retirement Plan for Executives in Career Band 6 and</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580" w:type="dxa"/>
            <w:vAlign w:val="bottom"/>
            <w:tcBorders>
              <w:right w:val="single" w:sz="8" w:color="0000EE"/>
            </w:tcBorders>
            <w:gridSpan w:val="9"/>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20" w:type="dxa"/>
            <w:vAlign w:val="bottom"/>
            <w:tcBorders>
              <w:bottom w:val="single" w:sz="8" w:color="0000EE"/>
            </w:tcBorders>
            <w:gridSpan w:val="19"/>
          </w:tcPr>
          <w:p>
            <w:pPr>
              <w:spacing w:after="0" w:line="196" w:lineRule="exact"/>
              <w:rPr>
                <w:rFonts w:ascii="Arial" w:cs="Arial" w:eastAsia="Arial" w:hAnsi="Arial"/>
                <w:sz w:val="19"/>
                <w:szCs w:val="19"/>
                <w:color w:val="0000EE"/>
              </w:rPr>
            </w:pPr>
            <w:hyperlink r:id="rId159">
              <w:r>
                <w:rPr>
                  <w:rFonts w:ascii="Arial" w:cs="Arial" w:eastAsia="Arial" w:hAnsi="Arial"/>
                  <w:sz w:val="19"/>
                  <w:szCs w:val="19"/>
                  <w:color w:val="0000EE"/>
                </w:rPr>
                <w:t>Above, as amended and restated (incorporated by reference to Exhibit 10.12 to Honeywell’s Form 10-K for</w:t>
              </w:r>
            </w:hyperlink>
          </w:p>
        </w:tc>
        <w:tc>
          <w:tcPr>
            <w:tcW w:w="160" w:type="dxa"/>
            <w:vAlign w:val="bottom"/>
            <w:gridSpan w:val="5"/>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59">
              <w:r>
                <w:rPr>
                  <w:rFonts w:ascii="Arial" w:cs="Arial" w:eastAsia="Arial" w:hAnsi="Arial"/>
                  <w:sz w:val="19"/>
                  <w:szCs w:val="19"/>
                  <w:color w:val="0000EE"/>
                </w:rPr>
                <w:t>the year ended December 31, 2008)</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10.12*</w:t>
            </w:r>
          </w:p>
        </w:tc>
        <w:tc>
          <w:tcPr>
            <w:tcW w:w="9440" w:type="dxa"/>
            <w:vAlign w:val="bottom"/>
            <w:tcBorders>
              <w:bottom w:val="single" w:sz="8" w:color="0000EE"/>
            </w:tcBorders>
            <w:gridSpan w:val="24"/>
          </w:tcPr>
          <w:p>
            <w:pPr>
              <w:spacing w:after="0" w:line="196" w:lineRule="exact"/>
              <w:rPr>
                <w:rFonts w:ascii="Arial" w:cs="Arial" w:eastAsia="Arial" w:hAnsi="Arial"/>
                <w:sz w:val="19"/>
                <w:szCs w:val="19"/>
                <w:color w:val="0000EE"/>
              </w:rPr>
            </w:pPr>
            <w:hyperlink r:id="rId160">
              <w:r>
                <w:rPr>
                  <w:rFonts w:ascii="Arial" w:cs="Arial" w:eastAsia="Arial" w:hAnsi="Arial"/>
                  <w:sz w:val="19"/>
                  <w:szCs w:val="19"/>
                  <w:color w:val="0000EE"/>
                </w:rPr>
                <w:t>Amendment to Honeywell International Inc. Supplemental Executive Retirement Plan for Executives in Career</w:t>
              </w:r>
            </w:hyperlink>
          </w:p>
        </w:tc>
        <w:tc>
          <w:tcPr>
            <w:tcW w:w="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40" w:type="dxa"/>
            <w:vAlign w:val="bottom"/>
            <w:tcBorders>
              <w:bottom w:val="single" w:sz="8" w:color="0000EE"/>
            </w:tcBorders>
            <w:gridSpan w:val="15"/>
          </w:tcPr>
          <w:p>
            <w:pPr>
              <w:spacing w:after="0" w:line="196" w:lineRule="exact"/>
              <w:rPr>
                <w:rFonts w:ascii="Arial" w:cs="Arial" w:eastAsia="Arial" w:hAnsi="Arial"/>
                <w:sz w:val="19"/>
                <w:szCs w:val="19"/>
                <w:color w:val="0000EE"/>
              </w:rPr>
            </w:pPr>
            <w:hyperlink r:id="rId160">
              <w:r>
                <w:rPr>
                  <w:rFonts w:ascii="Arial" w:cs="Arial" w:eastAsia="Arial" w:hAnsi="Arial"/>
                  <w:sz w:val="19"/>
                  <w:szCs w:val="19"/>
                  <w:color w:val="0000EE"/>
                </w:rPr>
                <w:t>Band 6 and Above, as amended and restated (incorporated by reference to Exhibit 10.12 to Honeywell’s</w:t>
              </w:r>
            </w:hyperlink>
          </w:p>
        </w:tc>
        <w:tc>
          <w:tcPr>
            <w:tcW w:w="340" w:type="dxa"/>
            <w:vAlign w:val="bottom"/>
            <w:gridSpan w:val="9"/>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tcBorders>
              <w:bottom w:val="single" w:sz="8" w:color="0000EE"/>
            </w:tcBorders>
            <w:gridSpan w:val="6"/>
          </w:tcPr>
          <w:p>
            <w:pPr>
              <w:spacing w:after="0" w:line="196" w:lineRule="exact"/>
              <w:rPr>
                <w:rFonts w:ascii="Arial" w:cs="Arial" w:eastAsia="Arial" w:hAnsi="Arial"/>
                <w:sz w:val="19"/>
                <w:szCs w:val="19"/>
                <w:color w:val="0000EE"/>
              </w:rPr>
            </w:pPr>
            <w:hyperlink r:id="rId160">
              <w:r>
                <w:rPr>
                  <w:rFonts w:ascii="Arial" w:cs="Arial" w:eastAsia="Arial" w:hAnsi="Arial"/>
                  <w:sz w:val="19"/>
                  <w:szCs w:val="19"/>
                  <w:color w:val="0000EE"/>
                </w:rPr>
                <w:t>Form 10-K for the year ended December 31, 2009)</w:t>
              </w:r>
            </w:hyperlink>
          </w:p>
        </w:tc>
        <w:tc>
          <w:tcPr>
            <w:tcW w:w="4920" w:type="dxa"/>
            <w:vAlign w:val="bottom"/>
            <w:gridSpan w:val="18"/>
          </w:tcPr>
          <w:p>
            <w:pPr>
              <w:spacing w:after="0"/>
              <w:rPr>
                <w:sz w:val="17"/>
                <w:szCs w:val="17"/>
                <w:color w:val="auto"/>
              </w:rPr>
            </w:pPr>
          </w:p>
        </w:tc>
      </w:tr>
      <w:tr>
        <w:trPr>
          <w:trHeight w:val="592"/>
        </w:trPr>
        <w:tc>
          <w:tcPr>
            <w:tcW w:w="1960" w:type="dxa"/>
            <w:vAlign w:val="bottom"/>
          </w:tcPr>
          <w:p>
            <w:pPr>
              <w:spacing w:after="0"/>
              <w:rPr>
                <w:sz w:val="24"/>
                <w:szCs w:val="24"/>
                <w:color w:val="auto"/>
              </w:rPr>
            </w:pPr>
          </w:p>
        </w:tc>
        <w:tc>
          <w:tcPr>
            <w:tcW w:w="4540" w:type="dxa"/>
            <w:vAlign w:val="bottom"/>
            <w:gridSpan w:val="7"/>
          </w:tcPr>
          <w:p>
            <w:pPr>
              <w:ind w:left="3600"/>
              <w:spacing w:after="0"/>
              <w:rPr>
                <w:sz w:val="20"/>
                <w:szCs w:val="20"/>
                <w:color w:val="auto"/>
              </w:rPr>
            </w:pPr>
            <w:r>
              <w:rPr>
                <w:rFonts w:ascii="Arial" w:cs="Arial" w:eastAsia="Arial" w:hAnsi="Arial"/>
                <w:sz w:val="19"/>
                <w:szCs w:val="19"/>
                <w:color w:val="auto"/>
              </w:rPr>
              <w:t>102</w:t>
            </w: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90"/>
        </w:trPr>
        <w:tc>
          <w:tcPr>
            <w:tcW w:w="1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gridSpan w:val="18"/>
          </w:tcPr>
          <w:p>
            <w:pPr>
              <w:ind w:left="540"/>
              <w:spacing w:after="0"/>
              <w:rPr>
                <w:sz w:val="20"/>
                <w:szCs w:val="20"/>
                <w:color w:val="auto"/>
              </w:rPr>
            </w:pPr>
            <w:r>
              <w:rPr>
                <w:rFonts w:ascii="Arial" w:cs="Arial" w:eastAsia="Arial" w:hAnsi="Arial"/>
                <w:sz w:val="16"/>
                <w:szCs w:val="16"/>
                <w:b w:val="1"/>
                <w:bCs w:val="1"/>
                <w:color w:val="auto"/>
              </w:rPr>
              <w:t>Description</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10.13*</w:t>
            </w:r>
          </w:p>
        </w:tc>
        <w:tc>
          <w:tcPr>
            <w:tcW w:w="9420" w:type="dxa"/>
            <w:vAlign w:val="bottom"/>
            <w:tcBorders>
              <w:bottom w:val="single" w:sz="8" w:color="0000EE"/>
            </w:tcBorders>
            <w:gridSpan w:val="20"/>
          </w:tcPr>
          <w:p>
            <w:pPr>
              <w:spacing w:after="0" w:line="196" w:lineRule="exact"/>
              <w:rPr>
                <w:rFonts w:ascii="Arial" w:cs="Arial" w:eastAsia="Arial" w:hAnsi="Arial"/>
                <w:sz w:val="19"/>
                <w:szCs w:val="19"/>
                <w:color w:val="0000EE"/>
              </w:rPr>
            </w:pPr>
            <w:hyperlink r:id="rId163">
              <w:r>
                <w:rPr>
                  <w:rFonts w:ascii="Arial" w:cs="Arial" w:eastAsia="Arial" w:hAnsi="Arial"/>
                  <w:sz w:val="19"/>
                  <w:szCs w:val="19"/>
                  <w:color w:val="0000EE"/>
                </w:rPr>
                <w:t>Amendment to Honeywell International Inc. Supplemental Executive Retirement Plan for Executives in Career</w:t>
              </w:r>
            </w:hyperlink>
          </w:p>
        </w:tc>
        <w:tc>
          <w:tcPr>
            <w:tcW w:w="40" w:type="dxa"/>
            <w:vAlign w:val="bottom"/>
            <w:gridSpan w:val="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1"/>
          </w:tcPr>
          <w:p>
            <w:pPr>
              <w:spacing w:after="0" w:line="196" w:lineRule="exact"/>
              <w:rPr>
                <w:rFonts w:ascii="Arial" w:cs="Arial" w:eastAsia="Arial" w:hAnsi="Arial"/>
                <w:sz w:val="19"/>
                <w:szCs w:val="19"/>
                <w:color w:val="0000EE"/>
              </w:rPr>
            </w:pPr>
            <w:hyperlink r:id="rId163">
              <w:r>
                <w:rPr>
                  <w:rFonts w:ascii="Arial" w:cs="Arial" w:eastAsia="Arial" w:hAnsi="Arial"/>
                  <w:sz w:val="19"/>
                  <w:szCs w:val="19"/>
                  <w:color w:val="0000EE"/>
                </w:rPr>
                <w:t>Band 6 and Above, as amended and restated (incorporated by reference to Exhibit 10.9 to Honeywell’s</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5"/>
          </w:tcPr>
          <w:p>
            <w:pPr>
              <w:spacing w:after="0" w:line="196" w:lineRule="exact"/>
              <w:rPr>
                <w:rFonts w:ascii="Arial" w:cs="Arial" w:eastAsia="Arial" w:hAnsi="Arial"/>
                <w:sz w:val="19"/>
                <w:szCs w:val="19"/>
                <w:color w:val="0000EE"/>
              </w:rPr>
            </w:pPr>
            <w:hyperlink r:id="rId163">
              <w:r>
                <w:rPr>
                  <w:rFonts w:ascii="Arial" w:cs="Arial" w:eastAsia="Arial" w:hAnsi="Arial"/>
                  <w:sz w:val="19"/>
                  <w:szCs w:val="19"/>
                  <w:color w:val="0000EE"/>
                </w:rPr>
                <w:t>Form 10-K for the year ended December 31, 2013)</w:t>
              </w:r>
            </w:hyperlink>
          </w:p>
        </w:tc>
        <w:tc>
          <w:tcPr>
            <w:tcW w:w="4440" w:type="dxa"/>
            <w:vAlign w:val="bottom"/>
            <w:tcBorders>
              <w:top w:val="single" w:sz="8" w:color="0000EE"/>
            </w:tcBorders>
            <w:gridSpan w:val="7"/>
          </w:tcPr>
          <w:p>
            <w:pPr>
              <w:spacing w:after="0"/>
              <w:rPr>
                <w:sz w:val="17"/>
                <w:szCs w:val="17"/>
                <w:color w:val="auto"/>
              </w:rPr>
            </w:pPr>
          </w:p>
        </w:tc>
        <w:tc>
          <w:tcPr>
            <w:tcW w:w="460" w:type="dxa"/>
            <w:vAlign w:val="bottom"/>
            <w:gridSpan w:val="9"/>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10.14*</w:t>
            </w:r>
          </w:p>
        </w:tc>
        <w:tc>
          <w:tcPr>
            <w:tcW w:w="9420" w:type="dxa"/>
            <w:vAlign w:val="bottom"/>
            <w:tcBorders>
              <w:bottom w:val="single" w:sz="8" w:color="0000EE"/>
            </w:tcBorders>
            <w:gridSpan w:val="20"/>
          </w:tcPr>
          <w:p>
            <w:pPr>
              <w:spacing w:after="0" w:line="196" w:lineRule="exact"/>
              <w:rPr>
                <w:rFonts w:ascii="Arial" w:cs="Arial" w:eastAsia="Arial" w:hAnsi="Arial"/>
                <w:sz w:val="19"/>
                <w:szCs w:val="19"/>
                <w:color w:val="0000EE"/>
              </w:rPr>
            </w:pPr>
            <w:hyperlink r:id="rId164">
              <w:r>
                <w:rPr>
                  <w:rFonts w:ascii="Arial" w:cs="Arial" w:eastAsia="Arial" w:hAnsi="Arial"/>
                  <w:sz w:val="19"/>
                  <w:szCs w:val="19"/>
                  <w:color w:val="0000EE"/>
                </w:rPr>
                <w:t>Amendment to Honeywell International Inc. Supplemental Executive Retirement Plan for Executives in Career</w:t>
              </w:r>
            </w:hyperlink>
          </w:p>
        </w:tc>
        <w:tc>
          <w:tcPr>
            <w:tcW w:w="40" w:type="dxa"/>
            <w:vAlign w:val="bottom"/>
            <w:gridSpan w:val="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1"/>
          </w:tcPr>
          <w:p>
            <w:pPr>
              <w:spacing w:after="0" w:line="196" w:lineRule="exact"/>
              <w:rPr>
                <w:rFonts w:ascii="Arial" w:cs="Arial" w:eastAsia="Arial" w:hAnsi="Arial"/>
                <w:sz w:val="19"/>
                <w:szCs w:val="19"/>
                <w:color w:val="0000EE"/>
              </w:rPr>
            </w:pPr>
            <w:hyperlink r:id="rId164">
              <w:r>
                <w:rPr>
                  <w:rFonts w:ascii="Arial" w:cs="Arial" w:eastAsia="Arial" w:hAnsi="Arial"/>
                  <w:sz w:val="19"/>
                  <w:szCs w:val="19"/>
                  <w:color w:val="0000EE"/>
                </w:rPr>
                <w:t>Band 6 and Above, as amended and restated (incorporated by reference to Exhibit 10.8 to Honeywell’s</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4"/>
          </w:tcPr>
          <w:p>
            <w:pPr>
              <w:spacing w:after="0" w:line="196" w:lineRule="exact"/>
              <w:rPr>
                <w:rFonts w:ascii="Arial" w:cs="Arial" w:eastAsia="Arial" w:hAnsi="Arial"/>
                <w:sz w:val="19"/>
                <w:szCs w:val="19"/>
                <w:color w:val="0000EE"/>
              </w:rPr>
            </w:pPr>
            <w:hyperlink r:id="rId164">
              <w:r>
                <w:rPr>
                  <w:rFonts w:ascii="Arial" w:cs="Arial" w:eastAsia="Arial" w:hAnsi="Arial"/>
                  <w:sz w:val="19"/>
                  <w:szCs w:val="19"/>
                  <w:color w:val="0000EE"/>
                </w:rPr>
                <w:t>Form 10-K for the year ended December 31, 2015)</w:t>
              </w:r>
            </w:hyperlink>
          </w:p>
        </w:tc>
        <w:tc>
          <w:tcPr>
            <w:tcW w:w="4460" w:type="dxa"/>
            <w:vAlign w:val="bottom"/>
            <w:tcBorders>
              <w:top w:val="single" w:sz="8" w:color="0000EE"/>
            </w:tcBorders>
            <w:gridSpan w:val="8"/>
          </w:tcPr>
          <w:p>
            <w:pPr>
              <w:spacing w:after="0"/>
              <w:rPr>
                <w:sz w:val="17"/>
                <w:szCs w:val="17"/>
                <w:color w:val="auto"/>
              </w:rPr>
            </w:pPr>
          </w:p>
        </w:tc>
        <w:tc>
          <w:tcPr>
            <w:tcW w:w="460" w:type="dxa"/>
            <w:vAlign w:val="bottom"/>
            <w:gridSpan w:val="9"/>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10.15*</w:t>
            </w:r>
          </w:p>
        </w:tc>
        <w:tc>
          <w:tcPr>
            <w:tcW w:w="8720" w:type="dxa"/>
            <w:vAlign w:val="bottom"/>
            <w:tcBorders>
              <w:bottom w:val="single" w:sz="8" w:color="0000EE"/>
            </w:tcBorders>
            <w:gridSpan w:val="12"/>
          </w:tcPr>
          <w:p>
            <w:pPr>
              <w:spacing w:after="0" w:line="196" w:lineRule="exact"/>
              <w:rPr>
                <w:rFonts w:ascii="Arial" w:cs="Arial" w:eastAsia="Arial" w:hAnsi="Arial"/>
                <w:sz w:val="19"/>
                <w:szCs w:val="19"/>
                <w:color w:val="0000EE"/>
              </w:rPr>
            </w:pPr>
            <w:hyperlink r:id="rId165">
              <w:r>
                <w:rPr>
                  <w:rFonts w:ascii="Arial" w:cs="Arial" w:eastAsia="Arial" w:hAnsi="Arial"/>
                  <w:sz w:val="19"/>
                  <w:szCs w:val="19"/>
                  <w:color w:val="0000EE"/>
                </w:rPr>
                <w:t>Honeywell Supplemental Defined Benefit Retirement Plan, as amended and restated (incorporated by</w:t>
              </w:r>
            </w:hyperlink>
          </w:p>
        </w:tc>
        <w:tc>
          <w:tcPr>
            <w:tcW w:w="740" w:type="dxa"/>
            <w:vAlign w:val="bottom"/>
            <w:gridSpan w:val="10"/>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1"/>
          </w:tcPr>
          <w:p>
            <w:pPr>
              <w:spacing w:after="0" w:line="196" w:lineRule="exact"/>
              <w:rPr>
                <w:rFonts w:ascii="Arial" w:cs="Arial" w:eastAsia="Arial" w:hAnsi="Arial"/>
                <w:sz w:val="19"/>
                <w:szCs w:val="19"/>
                <w:color w:val="0000EE"/>
              </w:rPr>
            </w:pPr>
            <w:hyperlink r:id="rId165">
              <w:r>
                <w:rPr>
                  <w:rFonts w:ascii="Arial" w:cs="Arial" w:eastAsia="Arial" w:hAnsi="Arial"/>
                  <w:sz w:val="19"/>
                  <w:szCs w:val="19"/>
                  <w:color w:val="0000EE"/>
                </w:rPr>
                <w:t>reference to Exhibit 10.13 to Honeywell’s Form 10-K for the year ended December 31, 2008)</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10.16*</w:t>
            </w:r>
          </w:p>
        </w:tc>
        <w:tc>
          <w:tcPr>
            <w:tcW w:w="8580" w:type="dxa"/>
            <w:vAlign w:val="bottom"/>
            <w:tcBorders>
              <w:bottom w:val="single" w:sz="8" w:color="0000EE"/>
            </w:tcBorders>
            <w:gridSpan w:val="10"/>
          </w:tcPr>
          <w:p>
            <w:pPr>
              <w:spacing w:after="0" w:line="196" w:lineRule="exact"/>
              <w:rPr>
                <w:rFonts w:ascii="Arial" w:cs="Arial" w:eastAsia="Arial" w:hAnsi="Arial"/>
                <w:sz w:val="19"/>
                <w:szCs w:val="19"/>
                <w:color w:val="0000EE"/>
              </w:rPr>
            </w:pPr>
            <w:hyperlink r:id="rId166">
              <w:r>
                <w:rPr>
                  <w:rFonts w:ascii="Arial" w:cs="Arial" w:eastAsia="Arial" w:hAnsi="Arial"/>
                  <w:sz w:val="19"/>
                  <w:szCs w:val="19"/>
                  <w:color w:val="0000EE"/>
                </w:rPr>
                <w:t>Amendment to Honeywell Supplemental Defined Benefit Retirement Plan, as amended and restated</w:t>
              </w:r>
            </w:hyperlink>
          </w:p>
        </w:tc>
        <w:tc>
          <w:tcPr>
            <w:tcW w:w="880" w:type="dxa"/>
            <w:vAlign w:val="bottom"/>
            <w:gridSpan w:val="1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1"/>
          </w:tcPr>
          <w:p>
            <w:pPr>
              <w:spacing w:after="0" w:line="196" w:lineRule="exact"/>
              <w:rPr>
                <w:rFonts w:ascii="Arial" w:cs="Arial" w:eastAsia="Arial" w:hAnsi="Arial"/>
                <w:sz w:val="19"/>
                <w:szCs w:val="19"/>
                <w:color w:val="0000EE"/>
              </w:rPr>
            </w:pPr>
            <w:hyperlink r:id="rId166">
              <w:r>
                <w:rPr>
                  <w:rFonts w:ascii="Arial" w:cs="Arial" w:eastAsia="Arial" w:hAnsi="Arial"/>
                  <w:sz w:val="19"/>
                  <w:szCs w:val="19"/>
                  <w:color w:val="0000EE"/>
                </w:rPr>
                <w:t>(incorporated by reference to Exhibit 10.13 to Honeywell’s Form 10-K for the year ended December 31,</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gridSpan w:val="2"/>
          </w:tcPr>
          <w:p>
            <w:pPr>
              <w:ind w:left="180"/>
              <w:spacing w:after="0" w:line="196" w:lineRule="exact"/>
              <w:rPr>
                <w:rFonts w:ascii="Arial" w:cs="Arial" w:eastAsia="Arial" w:hAnsi="Arial"/>
                <w:sz w:val="19"/>
                <w:szCs w:val="19"/>
                <w:color w:val="0000EE"/>
                <w:w w:val="94"/>
              </w:rPr>
            </w:pPr>
            <w:hyperlink r:id="rId166">
              <w:r>
                <w:rPr>
                  <w:rFonts w:ascii="Arial" w:cs="Arial" w:eastAsia="Arial" w:hAnsi="Arial"/>
                  <w:sz w:val="19"/>
                  <w:szCs w:val="19"/>
                  <w:color w:val="0000EE"/>
                  <w:w w:val="94"/>
                </w:rPr>
                <w:t>2009)</w:t>
              </w:r>
            </w:hyperlink>
          </w:p>
        </w:tc>
        <w:tc>
          <w:tcPr>
            <w:tcW w:w="3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10.17*</w:t>
            </w:r>
          </w:p>
        </w:tc>
        <w:tc>
          <w:tcPr>
            <w:tcW w:w="8580" w:type="dxa"/>
            <w:vAlign w:val="bottom"/>
            <w:tcBorders>
              <w:bottom w:val="single" w:sz="8" w:color="0000EE"/>
            </w:tcBorders>
            <w:gridSpan w:val="10"/>
          </w:tcPr>
          <w:p>
            <w:pPr>
              <w:spacing w:after="0" w:line="196" w:lineRule="exact"/>
              <w:rPr>
                <w:rFonts w:ascii="Arial" w:cs="Arial" w:eastAsia="Arial" w:hAnsi="Arial"/>
                <w:sz w:val="19"/>
                <w:szCs w:val="19"/>
                <w:color w:val="0000EE"/>
              </w:rPr>
            </w:pPr>
            <w:hyperlink r:id="rId167">
              <w:r>
                <w:rPr>
                  <w:rFonts w:ascii="Arial" w:cs="Arial" w:eastAsia="Arial" w:hAnsi="Arial"/>
                  <w:sz w:val="19"/>
                  <w:szCs w:val="19"/>
                  <w:color w:val="0000EE"/>
                </w:rPr>
                <w:t>Amendment to Honeywell Supplemental Defined Benefit Retirement Plan, as amended and restated</w:t>
              </w:r>
            </w:hyperlink>
          </w:p>
        </w:tc>
        <w:tc>
          <w:tcPr>
            <w:tcW w:w="880" w:type="dxa"/>
            <w:vAlign w:val="bottom"/>
            <w:gridSpan w:val="1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tcBorders>
              <w:bottom w:val="single" w:sz="8" w:color="0000EE"/>
            </w:tcBorders>
            <w:gridSpan w:val="21"/>
          </w:tcPr>
          <w:p>
            <w:pPr>
              <w:spacing w:after="0" w:line="196" w:lineRule="exact"/>
              <w:rPr>
                <w:rFonts w:ascii="Arial" w:cs="Arial" w:eastAsia="Arial" w:hAnsi="Arial"/>
                <w:sz w:val="19"/>
                <w:szCs w:val="19"/>
                <w:color w:val="0000EE"/>
              </w:rPr>
            </w:pPr>
            <w:hyperlink r:id="rId167">
              <w:r>
                <w:rPr>
                  <w:rFonts w:ascii="Arial" w:cs="Arial" w:eastAsia="Arial" w:hAnsi="Arial"/>
                  <w:sz w:val="19"/>
                  <w:szCs w:val="19"/>
                  <w:color w:val="0000EE"/>
                </w:rPr>
                <w:t>(incorporated by reference to Exhibit 10.9 to Honeywell’s Form 10-K for the year ended December 31, 2015)</w:t>
              </w:r>
            </w:hyperlink>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10.18*</w:t>
            </w:r>
          </w:p>
        </w:tc>
        <w:tc>
          <w:tcPr>
            <w:tcW w:w="9460" w:type="dxa"/>
            <w:vAlign w:val="bottom"/>
            <w:tcBorders>
              <w:bottom w:val="single" w:sz="8" w:color="0000EE"/>
            </w:tcBorders>
            <w:gridSpan w:val="22"/>
          </w:tcPr>
          <w:p>
            <w:pPr>
              <w:spacing w:after="0" w:line="196" w:lineRule="exact"/>
              <w:rPr>
                <w:rFonts w:ascii="Arial" w:cs="Arial" w:eastAsia="Arial" w:hAnsi="Arial"/>
                <w:sz w:val="19"/>
                <w:szCs w:val="19"/>
                <w:color w:val="0000EE"/>
              </w:rPr>
            </w:pPr>
            <w:hyperlink r:id="rId168">
              <w:r>
                <w:rPr>
                  <w:rFonts w:ascii="Arial" w:cs="Arial" w:eastAsia="Arial" w:hAnsi="Arial"/>
                  <w:sz w:val="19"/>
                  <w:szCs w:val="19"/>
                  <w:color w:val="0000EE"/>
                </w:rPr>
                <w:t>Honeywell International Inc. Severance Plan for Corporate Staff Employees (Involuntary Termination Following</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1"/>
          </w:tcPr>
          <w:p>
            <w:pPr>
              <w:spacing w:after="0" w:line="196" w:lineRule="exact"/>
              <w:rPr>
                <w:rFonts w:ascii="Arial" w:cs="Arial" w:eastAsia="Arial" w:hAnsi="Arial"/>
                <w:sz w:val="19"/>
                <w:szCs w:val="19"/>
                <w:color w:val="0000EE"/>
              </w:rPr>
            </w:pPr>
            <w:hyperlink r:id="rId168">
              <w:r>
                <w:rPr>
                  <w:rFonts w:ascii="Arial" w:cs="Arial" w:eastAsia="Arial" w:hAnsi="Arial"/>
                  <w:sz w:val="19"/>
                  <w:szCs w:val="19"/>
                  <w:color w:val="0000EE"/>
                </w:rPr>
                <w:t>a Change in Control), as amended and restated (incorporated by reference to Exhibit 10.12 to Honeywell’s</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5"/>
          </w:tcPr>
          <w:p>
            <w:pPr>
              <w:spacing w:after="0" w:line="196" w:lineRule="exact"/>
              <w:rPr>
                <w:rFonts w:ascii="Arial" w:cs="Arial" w:eastAsia="Arial" w:hAnsi="Arial"/>
                <w:sz w:val="19"/>
                <w:szCs w:val="19"/>
                <w:color w:val="0000EE"/>
              </w:rPr>
            </w:pPr>
            <w:hyperlink r:id="rId168">
              <w:r>
                <w:rPr>
                  <w:rFonts w:ascii="Arial" w:cs="Arial" w:eastAsia="Arial" w:hAnsi="Arial"/>
                  <w:sz w:val="19"/>
                  <w:szCs w:val="19"/>
                  <w:color w:val="0000EE"/>
                </w:rPr>
                <w:t>Form 10-K for the year ended December 31, 2013)</w:t>
              </w:r>
            </w:hyperlink>
          </w:p>
        </w:tc>
        <w:tc>
          <w:tcPr>
            <w:tcW w:w="4720" w:type="dxa"/>
            <w:vAlign w:val="bottom"/>
            <w:tcBorders>
              <w:top w:val="single" w:sz="8" w:color="0000EE"/>
            </w:tcBorders>
            <w:gridSpan w:val="11"/>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10.19*</w:t>
            </w:r>
          </w:p>
        </w:tc>
        <w:tc>
          <w:tcPr>
            <w:tcW w:w="9320" w:type="dxa"/>
            <w:vAlign w:val="bottom"/>
            <w:tcBorders>
              <w:bottom w:val="single" w:sz="8" w:color="0000EE"/>
            </w:tcBorders>
            <w:gridSpan w:val="18"/>
          </w:tcPr>
          <w:p>
            <w:pPr>
              <w:spacing w:after="0" w:line="196" w:lineRule="exact"/>
              <w:rPr>
                <w:rFonts w:ascii="Arial" w:cs="Arial" w:eastAsia="Arial" w:hAnsi="Arial"/>
                <w:sz w:val="19"/>
                <w:szCs w:val="19"/>
                <w:color w:val="0000EE"/>
              </w:rPr>
            </w:pPr>
            <w:hyperlink r:id="rId169">
              <w:r>
                <w:rPr>
                  <w:rFonts w:ascii="Arial" w:cs="Arial" w:eastAsia="Arial" w:hAnsi="Arial"/>
                  <w:sz w:val="19"/>
                  <w:szCs w:val="19"/>
                  <w:color w:val="0000EE"/>
                </w:rPr>
                <w:t>Employment Agreement dated as of February 18, 2002 between Honeywell and David M. Cote (incorporated</w:t>
              </w:r>
            </w:hyperlink>
          </w:p>
        </w:tc>
        <w:tc>
          <w:tcPr>
            <w:tcW w:w="14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0" w:type="dxa"/>
            <w:vAlign w:val="bottom"/>
            <w:tcBorders>
              <w:bottom w:val="single" w:sz="8" w:color="0000EE"/>
            </w:tcBorders>
            <w:gridSpan w:val="6"/>
          </w:tcPr>
          <w:p>
            <w:pPr>
              <w:spacing w:after="0" w:line="196" w:lineRule="exact"/>
              <w:rPr>
                <w:rFonts w:ascii="Arial" w:cs="Arial" w:eastAsia="Arial" w:hAnsi="Arial"/>
                <w:sz w:val="19"/>
                <w:szCs w:val="19"/>
                <w:color w:val="0000EE"/>
              </w:rPr>
            </w:pPr>
            <w:hyperlink r:id="rId169">
              <w:r>
                <w:rPr>
                  <w:rFonts w:ascii="Arial" w:cs="Arial" w:eastAsia="Arial" w:hAnsi="Arial"/>
                  <w:sz w:val="19"/>
                  <w:szCs w:val="19"/>
                  <w:color w:val="0000EE"/>
                </w:rPr>
                <w:t>by reference to Exhibit 10.24 to Honeywell’s Form 8-K filed March 4, 2002)</w:t>
              </w:r>
            </w:hyperlink>
          </w:p>
        </w:tc>
        <w:tc>
          <w:tcPr>
            <w:tcW w:w="2880" w:type="dxa"/>
            <w:vAlign w:val="bottom"/>
            <w:gridSpan w:val="15"/>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10.20*</w:t>
            </w:r>
          </w:p>
        </w:tc>
        <w:tc>
          <w:tcPr>
            <w:tcW w:w="9460" w:type="dxa"/>
            <w:vAlign w:val="bottom"/>
            <w:tcBorders>
              <w:bottom w:val="single" w:sz="8" w:color="0000EE"/>
            </w:tcBorders>
            <w:gridSpan w:val="22"/>
          </w:tcPr>
          <w:p>
            <w:pPr>
              <w:spacing w:after="0" w:line="196" w:lineRule="exact"/>
              <w:rPr>
                <w:rFonts w:ascii="Arial" w:cs="Arial" w:eastAsia="Arial" w:hAnsi="Arial"/>
                <w:sz w:val="19"/>
                <w:szCs w:val="19"/>
                <w:color w:val="0000EE"/>
              </w:rPr>
            </w:pPr>
            <w:hyperlink r:id="rId170">
              <w:r>
                <w:rPr>
                  <w:rFonts w:ascii="Arial" w:cs="Arial" w:eastAsia="Arial" w:hAnsi="Arial"/>
                  <w:sz w:val="19"/>
                  <w:szCs w:val="19"/>
                  <w:color w:val="0000EE"/>
                </w:rPr>
                <w:t>Amendment to Employment Agreement dated as of February 18, 2002 between Honeywell and David M. Cote</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40" w:type="dxa"/>
            <w:vAlign w:val="bottom"/>
            <w:tcBorders>
              <w:bottom w:val="single" w:sz="8" w:color="0000EE"/>
            </w:tcBorders>
            <w:gridSpan w:val="15"/>
          </w:tcPr>
          <w:p>
            <w:pPr>
              <w:spacing w:after="0" w:line="196" w:lineRule="exact"/>
              <w:rPr>
                <w:rFonts w:ascii="Arial" w:cs="Arial" w:eastAsia="Arial" w:hAnsi="Arial"/>
                <w:sz w:val="19"/>
                <w:szCs w:val="19"/>
                <w:color w:val="0000EE"/>
              </w:rPr>
            </w:pPr>
            <w:hyperlink r:id="rId170">
              <w:r>
                <w:rPr>
                  <w:rFonts w:ascii="Arial" w:cs="Arial" w:eastAsia="Arial" w:hAnsi="Arial"/>
                  <w:sz w:val="19"/>
                  <w:szCs w:val="19"/>
                  <w:color w:val="0000EE"/>
                </w:rPr>
                <w:t>(incorporated by reference to Exhibit 10.3 to Honeywell’s Form 10-Q for the quarter ended September 30,</w:t>
              </w:r>
            </w:hyperlink>
          </w:p>
        </w:tc>
        <w:tc>
          <w:tcPr>
            <w:tcW w:w="240" w:type="dxa"/>
            <w:vAlign w:val="bottom"/>
            <w:gridSpan w:val="6"/>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680" w:type="dxa"/>
            <w:vAlign w:val="bottom"/>
            <w:gridSpan w:val="2"/>
          </w:tcPr>
          <w:p>
            <w:pPr>
              <w:ind w:left="180"/>
              <w:spacing w:after="0" w:line="196" w:lineRule="exact"/>
              <w:rPr>
                <w:rFonts w:ascii="Arial" w:cs="Arial" w:eastAsia="Arial" w:hAnsi="Arial"/>
                <w:sz w:val="19"/>
                <w:szCs w:val="19"/>
                <w:color w:val="0000EE"/>
                <w:w w:val="94"/>
              </w:rPr>
            </w:pPr>
            <w:hyperlink r:id="rId170">
              <w:r>
                <w:rPr>
                  <w:rFonts w:ascii="Arial" w:cs="Arial" w:eastAsia="Arial" w:hAnsi="Arial"/>
                  <w:sz w:val="19"/>
                  <w:szCs w:val="19"/>
                  <w:color w:val="0000EE"/>
                  <w:w w:val="94"/>
                </w:rPr>
                <w:t>2008)</w:t>
              </w:r>
            </w:hyperlink>
          </w:p>
        </w:tc>
        <w:tc>
          <w:tcPr>
            <w:tcW w:w="3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10.21*</w:t>
            </w:r>
          </w:p>
        </w:tc>
        <w:tc>
          <w:tcPr>
            <w:tcW w:w="9460" w:type="dxa"/>
            <w:vAlign w:val="bottom"/>
            <w:tcBorders>
              <w:bottom w:val="single" w:sz="8" w:color="0000EE"/>
            </w:tcBorders>
            <w:gridSpan w:val="22"/>
          </w:tcPr>
          <w:p>
            <w:pPr>
              <w:spacing w:after="0" w:line="196" w:lineRule="exact"/>
              <w:rPr>
                <w:rFonts w:ascii="Arial" w:cs="Arial" w:eastAsia="Arial" w:hAnsi="Arial"/>
                <w:sz w:val="19"/>
                <w:szCs w:val="19"/>
                <w:color w:val="0000EE"/>
              </w:rPr>
            </w:pPr>
            <w:hyperlink r:id="rId171">
              <w:r>
                <w:rPr>
                  <w:rFonts w:ascii="Arial" w:cs="Arial" w:eastAsia="Arial" w:hAnsi="Arial"/>
                  <w:sz w:val="19"/>
                  <w:szCs w:val="19"/>
                  <w:color w:val="0000EE"/>
                </w:rPr>
                <w:t>Amendment to Employment Agreement dated as of February 18, 2002 between Honeywell and David M. Cote</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1"/>
          </w:tcPr>
          <w:p>
            <w:pPr>
              <w:spacing w:after="0" w:line="196" w:lineRule="exact"/>
              <w:rPr>
                <w:rFonts w:ascii="Arial" w:cs="Arial" w:eastAsia="Arial" w:hAnsi="Arial"/>
                <w:sz w:val="19"/>
                <w:szCs w:val="19"/>
                <w:color w:val="0000EE"/>
              </w:rPr>
            </w:pPr>
            <w:hyperlink r:id="rId171">
              <w:r>
                <w:rPr>
                  <w:rFonts w:ascii="Arial" w:cs="Arial" w:eastAsia="Arial" w:hAnsi="Arial"/>
                  <w:sz w:val="19"/>
                  <w:szCs w:val="19"/>
                  <w:color w:val="0000EE"/>
                </w:rPr>
                <w:t>(incorporated by reference to Exhibit 10.17 to Honeywell’s Form 10-K for the year ended December 31,</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gridSpan w:val="2"/>
          </w:tcPr>
          <w:p>
            <w:pPr>
              <w:ind w:left="180"/>
              <w:spacing w:after="0" w:line="196" w:lineRule="exact"/>
              <w:rPr>
                <w:rFonts w:ascii="Arial" w:cs="Arial" w:eastAsia="Arial" w:hAnsi="Arial"/>
                <w:sz w:val="19"/>
                <w:szCs w:val="19"/>
                <w:color w:val="0000EE"/>
                <w:w w:val="94"/>
              </w:rPr>
            </w:pPr>
            <w:hyperlink r:id="rId171">
              <w:r>
                <w:rPr>
                  <w:rFonts w:ascii="Arial" w:cs="Arial" w:eastAsia="Arial" w:hAnsi="Arial"/>
                  <w:sz w:val="19"/>
                  <w:szCs w:val="19"/>
                  <w:color w:val="0000EE"/>
                  <w:w w:val="94"/>
                </w:rPr>
                <w:t>2008)</w:t>
              </w:r>
            </w:hyperlink>
          </w:p>
        </w:tc>
        <w:tc>
          <w:tcPr>
            <w:tcW w:w="3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10.22*</w:t>
            </w:r>
          </w:p>
        </w:tc>
        <w:tc>
          <w:tcPr>
            <w:tcW w:w="9460" w:type="dxa"/>
            <w:vAlign w:val="bottom"/>
            <w:tcBorders>
              <w:bottom w:val="single" w:sz="8" w:color="0000EE"/>
            </w:tcBorders>
            <w:gridSpan w:val="22"/>
          </w:tcPr>
          <w:p>
            <w:pPr>
              <w:spacing w:after="0" w:line="196" w:lineRule="exact"/>
              <w:rPr>
                <w:rFonts w:ascii="Arial" w:cs="Arial" w:eastAsia="Arial" w:hAnsi="Arial"/>
                <w:sz w:val="19"/>
                <w:szCs w:val="19"/>
                <w:color w:val="0000EE"/>
              </w:rPr>
            </w:pPr>
            <w:hyperlink r:id="rId172">
              <w:r>
                <w:rPr>
                  <w:rFonts w:ascii="Arial" w:cs="Arial" w:eastAsia="Arial" w:hAnsi="Arial"/>
                  <w:sz w:val="19"/>
                  <w:szCs w:val="19"/>
                  <w:color w:val="0000EE"/>
                </w:rPr>
                <w:t>Amendment to Employment Agreement dated as of February 18, 2002 between Honeywell and David M. Cote</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tcBorders>
              <w:bottom w:val="single" w:sz="8" w:color="0000EE"/>
            </w:tcBorders>
            <w:gridSpan w:val="18"/>
          </w:tcPr>
          <w:p>
            <w:pPr>
              <w:spacing w:after="0" w:line="196" w:lineRule="exact"/>
              <w:rPr>
                <w:rFonts w:ascii="Arial" w:cs="Arial" w:eastAsia="Arial" w:hAnsi="Arial"/>
                <w:sz w:val="19"/>
                <w:szCs w:val="19"/>
                <w:color w:val="0000EE"/>
              </w:rPr>
            </w:pPr>
            <w:hyperlink r:id="rId172">
              <w:r>
                <w:rPr>
                  <w:rFonts w:ascii="Arial" w:cs="Arial" w:eastAsia="Arial" w:hAnsi="Arial"/>
                  <w:sz w:val="19"/>
                  <w:szCs w:val="19"/>
                  <w:color w:val="0000EE"/>
                </w:rPr>
                <w:t>(incorporated by reference to Exhibit 10.1 to Honeywell’s Form 10-Q for the quarter ended March 31, 2013)</w:t>
              </w:r>
            </w:hyperlink>
          </w:p>
        </w:tc>
        <w:tc>
          <w:tcPr>
            <w:tcW w:w="100" w:type="dxa"/>
            <w:vAlign w:val="bottom"/>
            <w:gridSpan w:val="3"/>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10.23*</w:t>
            </w:r>
          </w:p>
        </w:tc>
        <w:tc>
          <w:tcPr>
            <w:tcW w:w="9460" w:type="dxa"/>
            <w:vAlign w:val="bottom"/>
            <w:gridSpan w:val="22"/>
          </w:tcPr>
          <w:p>
            <w:pPr>
              <w:spacing w:after="0" w:line="196" w:lineRule="exact"/>
              <w:rPr>
                <w:rFonts w:ascii="Arial" w:cs="Arial" w:eastAsia="Arial" w:hAnsi="Arial"/>
                <w:sz w:val="19"/>
                <w:szCs w:val="19"/>
                <w:color w:val="0000EE"/>
              </w:rPr>
            </w:pPr>
            <w:hyperlink r:id="rId173">
              <w:r>
                <w:rPr>
                  <w:rFonts w:ascii="Arial" w:cs="Arial" w:eastAsia="Arial" w:hAnsi="Arial"/>
                  <w:sz w:val="19"/>
                  <w:szCs w:val="19"/>
                  <w:color w:val="0000EE"/>
                </w:rPr>
                <w:t>Deferred Compensation Agreement dated August 4, 2006 between Honeywell and David M. Cote</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4580" w:type="dxa"/>
            <w:vAlign w:val="bottom"/>
            <w:gridSpan w:val="5"/>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1"/>
          </w:tcPr>
          <w:p>
            <w:pPr>
              <w:spacing w:after="0" w:line="196" w:lineRule="exact"/>
              <w:rPr>
                <w:rFonts w:ascii="Arial" w:cs="Arial" w:eastAsia="Arial" w:hAnsi="Arial"/>
                <w:sz w:val="19"/>
                <w:szCs w:val="19"/>
                <w:color w:val="0000EE"/>
              </w:rPr>
            </w:pPr>
            <w:hyperlink r:id="rId173">
              <w:r>
                <w:rPr>
                  <w:rFonts w:ascii="Arial" w:cs="Arial" w:eastAsia="Arial" w:hAnsi="Arial"/>
                  <w:sz w:val="19"/>
                  <w:szCs w:val="19"/>
                  <w:color w:val="0000EE"/>
                </w:rPr>
                <w:t>(incorporated by reference to Exhibit 10.22 to Honeywell’s Form 10-K for the year ended December 31,</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gridSpan w:val="2"/>
          </w:tcPr>
          <w:p>
            <w:pPr>
              <w:ind w:left="180"/>
              <w:spacing w:after="0" w:line="196" w:lineRule="exact"/>
              <w:rPr>
                <w:rFonts w:ascii="Arial" w:cs="Arial" w:eastAsia="Arial" w:hAnsi="Arial"/>
                <w:sz w:val="19"/>
                <w:szCs w:val="19"/>
                <w:color w:val="0000EE"/>
                <w:w w:val="94"/>
              </w:rPr>
            </w:pPr>
            <w:hyperlink r:id="rId173">
              <w:r>
                <w:rPr>
                  <w:rFonts w:ascii="Arial" w:cs="Arial" w:eastAsia="Arial" w:hAnsi="Arial"/>
                  <w:sz w:val="19"/>
                  <w:szCs w:val="19"/>
                  <w:color w:val="0000EE"/>
                  <w:w w:val="94"/>
                </w:rPr>
                <w:t>2006)</w:t>
              </w:r>
            </w:hyperlink>
          </w:p>
        </w:tc>
        <w:tc>
          <w:tcPr>
            <w:tcW w:w="3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10.24*</w:t>
            </w:r>
          </w:p>
        </w:tc>
        <w:tc>
          <w:tcPr>
            <w:tcW w:w="9200" w:type="dxa"/>
            <w:vAlign w:val="bottom"/>
            <w:tcBorders>
              <w:bottom w:val="single" w:sz="8" w:color="0000EE"/>
            </w:tcBorders>
            <w:gridSpan w:val="15"/>
          </w:tcPr>
          <w:p>
            <w:pPr>
              <w:spacing w:after="0" w:line="196" w:lineRule="exact"/>
              <w:rPr>
                <w:rFonts w:ascii="Arial" w:cs="Arial" w:eastAsia="Arial" w:hAnsi="Arial"/>
                <w:sz w:val="19"/>
                <w:szCs w:val="19"/>
                <w:color w:val="0000EE"/>
              </w:rPr>
            </w:pPr>
            <w:hyperlink r:id="rId174">
              <w:r>
                <w:rPr>
                  <w:rFonts w:ascii="Arial" w:cs="Arial" w:eastAsia="Arial" w:hAnsi="Arial"/>
                  <w:sz w:val="19"/>
                  <w:szCs w:val="19"/>
                  <w:color w:val="0000EE"/>
                </w:rPr>
                <w:t>Amendment to Deferred Compensation Agreement dated August 4, 2006 between Honeywell and David M.</w:t>
              </w:r>
            </w:hyperlink>
          </w:p>
        </w:tc>
        <w:tc>
          <w:tcPr>
            <w:tcW w:w="260" w:type="dxa"/>
            <w:vAlign w:val="bottom"/>
            <w:gridSpan w:val="7"/>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1"/>
          </w:tcPr>
          <w:p>
            <w:pPr>
              <w:spacing w:after="0" w:line="196" w:lineRule="exact"/>
              <w:rPr>
                <w:rFonts w:ascii="Arial" w:cs="Arial" w:eastAsia="Arial" w:hAnsi="Arial"/>
                <w:sz w:val="19"/>
                <w:szCs w:val="19"/>
                <w:color w:val="0000EE"/>
              </w:rPr>
            </w:pPr>
            <w:hyperlink r:id="rId174">
              <w:r>
                <w:rPr>
                  <w:rFonts w:ascii="Arial" w:cs="Arial" w:eastAsia="Arial" w:hAnsi="Arial"/>
                  <w:sz w:val="19"/>
                  <w:szCs w:val="19"/>
                  <w:color w:val="0000EE"/>
                </w:rPr>
                <w:t>Cote (incorporated by reference to Exhibit 10.22 to Honeywell’s Form 10-K for the year ended December</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000" w:type="dxa"/>
            <w:vAlign w:val="bottom"/>
            <w:gridSpan w:val="3"/>
          </w:tcPr>
          <w:p>
            <w:pPr>
              <w:ind w:left="180"/>
              <w:spacing w:after="0" w:line="196" w:lineRule="exact"/>
              <w:rPr>
                <w:rFonts w:ascii="Arial" w:cs="Arial" w:eastAsia="Arial" w:hAnsi="Arial"/>
                <w:sz w:val="19"/>
                <w:szCs w:val="19"/>
                <w:color w:val="0000EE"/>
                <w:w w:val="99"/>
              </w:rPr>
            </w:pPr>
            <w:hyperlink r:id="rId174">
              <w:r>
                <w:rPr>
                  <w:rFonts w:ascii="Arial" w:cs="Arial" w:eastAsia="Arial" w:hAnsi="Arial"/>
                  <w:sz w:val="19"/>
                  <w:szCs w:val="19"/>
                  <w:color w:val="0000EE"/>
                  <w:w w:val="99"/>
                </w:rPr>
                <w:t>31, 2009)</w:t>
              </w:r>
            </w:hyperlink>
          </w:p>
        </w:tc>
        <w:tc>
          <w:tcPr>
            <w:tcW w:w="2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10.25*</w:t>
            </w:r>
          </w:p>
        </w:tc>
        <w:tc>
          <w:tcPr>
            <w:tcW w:w="9440" w:type="dxa"/>
            <w:vAlign w:val="bottom"/>
            <w:tcBorders>
              <w:bottom w:val="single" w:sz="8" w:color="0000EE"/>
            </w:tcBorders>
            <w:gridSpan w:val="21"/>
          </w:tcPr>
          <w:p>
            <w:pPr>
              <w:spacing w:after="0" w:line="196" w:lineRule="exact"/>
              <w:rPr>
                <w:rFonts w:ascii="Arial" w:cs="Arial" w:eastAsia="Arial" w:hAnsi="Arial"/>
                <w:sz w:val="19"/>
                <w:szCs w:val="19"/>
                <w:color w:val="0000EE"/>
              </w:rPr>
            </w:pPr>
            <w:hyperlink r:id="rId175">
              <w:r>
                <w:rPr>
                  <w:rFonts w:ascii="Arial" w:cs="Arial" w:eastAsia="Arial" w:hAnsi="Arial"/>
                  <w:sz w:val="19"/>
                  <w:szCs w:val="19"/>
                  <w:color w:val="0000EE"/>
                </w:rPr>
                <w:t>Honeywell Supplemental Retirement Plan (incorporated by reference to Exhibit 10.24 to Honeywell’s Form 10-</w:t>
              </w:r>
            </w:hyperlink>
          </w:p>
        </w:tc>
        <w:tc>
          <w:tcPr>
            <w:tcW w:w="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tcBorders>
              <w:bottom w:val="single" w:sz="8" w:color="0000EE"/>
            </w:tcBorders>
            <w:gridSpan w:val="3"/>
          </w:tcPr>
          <w:p>
            <w:pPr>
              <w:spacing w:after="0" w:line="196" w:lineRule="exact"/>
              <w:rPr>
                <w:rFonts w:ascii="Arial" w:cs="Arial" w:eastAsia="Arial" w:hAnsi="Arial"/>
                <w:sz w:val="19"/>
                <w:szCs w:val="19"/>
                <w:color w:val="0000EE"/>
              </w:rPr>
            </w:pPr>
            <w:hyperlink r:id="rId175">
              <w:r>
                <w:rPr>
                  <w:rFonts w:ascii="Arial" w:cs="Arial" w:eastAsia="Arial" w:hAnsi="Arial"/>
                  <w:sz w:val="19"/>
                  <w:szCs w:val="19"/>
                  <w:color w:val="0000EE"/>
                </w:rPr>
                <w:t>K for the year ended December 31, 2006)</w:t>
              </w:r>
            </w:hyperlink>
          </w:p>
        </w:tc>
        <w:tc>
          <w:tcPr>
            <w:tcW w:w="5700" w:type="dxa"/>
            <w:vAlign w:val="bottom"/>
            <w:gridSpan w:val="18"/>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10.26*</w:t>
            </w:r>
          </w:p>
        </w:tc>
        <w:tc>
          <w:tcPr>
            <w:tcW w:w="8620" w:type="dxa"/>
            <w:vAlign w:val="bottom"/>
            <w:tcBorders>
              <w:bottom w:val="single" w:sz="8" w:color="0000EE"/>
            </w:tcBorders>
            <w:gridSpan w:val="11"/>
          </w:tcPr>
          <w:p>
            <w:pPr>
              <w:spacing w:after="0" w:line="196" w:lineRule="exact"/>
              <w:rPr>
                <w:rFonts w:ascii="Arial" w:cs="Arial" w:eastAsia="Arial" w:hAnsi="Arial"/>
                <w:sz w:val="19"/>
                <w:szCs w:val="19"/>
                <w:color w:val="0000EE"/>
              </w:rPr>
            </w:pPr>
            <w:hyperlink r:id="rId176">
              <w:r>
                <w:rPr>
                  <w:rFonts w:ascii="Arial" w:cs="Arial" w:eastAsia="Arial" w:hAnsi="Arial"/>
                  <w:sz w:val="19"/>
                  <w:szCs w:val="19"/>
                  <w:color w:val="0000EE"/>
                </w:rPr>
                <w:t>2006 Stock Incentive Plan of Honeywell International Inc. and Its Affiliates, as amended and restated</w:t>
              </w:r>
            </w:hyperlink>
          </w:p>
        </w:tc>
        <w:tc>
          <w:tcPr>
            <w:tcW w:w="840" w:type="dxa"/>
            <w:vAlign w:val="bottom"/>
            <w:gridSpan w:val="11"/>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1"/>
          </w:tcPr>
          <w:p>
            <w:pPr>
              <w:spacing w:after="0" w:line="196" w:lineRule="exact"/>
              <w:rPr>
                <w:rFonts w:ascii="Arial" w:cs="Arial" w:eastAsia="Arial" w:hAnsi="Arial"/>
                <w:sz w:val="19"/>
                <w:szCs w:val="19"/>
                <w:color w:val="0000EE"/>
              </w:rPr>
            </w:pPr>
            <w:hyperlink r:id="rId176">
              <w:r>
                <w:rPr>
                  <w:rFonts w:ascii="Arial" w:cs="Arial" w:eastAsia="Arial" w:hAnsi="Arial"/>
                  <w:sz w:val="19"/>
                  <w:szCs w:val="19"/>
                  <w:color w:val="0000EE"/>
                </w:rPr>
                <w:t>(incorporated by reference to Exhibit 10.26 to Honeywell’s Form 10-K for the year ended December 31,</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gridSpan w:val="2"/>
          </w:tcPr>
          <w:p>
            <w:pPr>
              <w:ind w:left="180"/>
              <w:spacing w:after="0" w:line="196" w:lineRule="exact"/>
              <w:rPr>
                <w:rFonts w:ascii="Arial" w:cs="Arial" w:eastAsia="Arial" w:hAnsi="Arial"/>
                <w:sz w:val="19"/>
                <w:szCs w:val="19"/>
                <w:color w:val="0000EE"/>
                <w:w w:val="94"/>
              </w:rPr>
            </w:pPr>
            <w:hyperlink r:id="rId176">
              <w:r>
                <w:rPr>
                  <w:rFonts w:ascii="Arial" w:cs="Arial" w:eastAsia="Arial" w:hAnsi="Arial"/>
                  <w:sz w:val="19"/>
                  <w:szCs w:val="19"/>
                  <w:color w:val="0000EE"/>
                  <w:w w:val="94"/>
                </w:rPr>
                <w:t>2008)</w:t>
              </w:r>
            </w:hyperlink>
          </w:p>
        </w:tc>
        <w:tc>
          <w:tcPr>
            <w:tcW w:w="3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460" w:type="dxa"/>
            <w:vAlign w:val="bottom"/>
            <w:gridSpan w:val="1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10.27*</w:t>
            </w:r>
          </w:p>
        </w:tc>
        <w:tc>
          <w:tcPr>
            <w:tcW w:w="9140" w:type="dxa"/>
            <w:vAlign w:val="bottom"/>
            <w:tcBorders>
              <w:bottom w:val="single" w:sz="8" w:color="0000EE"/>
            </w:tcBorders>
            <w:gridSpan w:val="14"/>
          </w:tcPr>
          <w:p>
            <w:pPr>
              <w:spacing w:after="0" w:line="196" w:lineRule="exact"/>
              <w:rPr>
                <w:rFonts w:ascii="Arial" w:cs="Arial" w:eastAsia="Arial" w:hAnsi="Arial"/>
                <w:sz w:val="19"/>
                <w:szCs w:val="19"/>
                <w:color w:val="0000EE"/>
              </w:rPr>
            </w:pPr>
            <w:hyperlink r:id="rId177">
              <w:r>
                <w:rPr>
                  <w:rFonts w:ascii="Arial" w:cs="Arial" w:eastAsia="Arial" w:hAnsi="Arial"/>
                  <w:sz w:val="19"/>
                  <w:szCs w:val="19"/>
                  <w:color w:val="0000EE"/>
                </w:rPr>
                <w:t>Amendment to the 2006 Stock Incentive Plan of Honeywell International Inc. and Its Affiliates, as amended</w:t>
              </w:r>
            </w:hyperlink>
          </w:p>
        </w:tc>
        <w:tc>
          <w:tcPr>
            <w:tcW w:w="320" w:type="dxa"/>
            <w:vAlign w:val="bottom"/>
            <w:gridSpan w:val="8"/>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1"/>
          </w:tcPr>
          <w:p>
            <w:pPr>
              <w:spacing w:after="0" w:line="196" w:lineRule="exact"/>
              <w:rPr>
                <w:rFonts w:ascii="Arial" w:cs="Arial" w:eastAsia="Arial" w:hAnsi="Arial"/>
                <w:sz w:val="19"/>
                <w:szCs w:val="19"/>
                <w:color w:val="0000EE"/>
              </w:rPr>
            </w:pPr>
            <w:hyperlink r:id="rId177">
              <w:r>
                <w:rPr>
                  <w:rFonts w:ascii="Arial" w:cs="Arial" w:eastAsia="Arial" w:hAnsi="Arial"/>
                  <w:sz w:val="19"/>
                  <w:szCs w:val="19"/>
                  <w:color w:val="0000EE"/>
                </w:rPr>
                <w:t>and restated (incorporated by reference to Exhibit 10.1 to Honeywell’s 10-Q for the quarter ended March 31,</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gridSpan w:val="2"/>
          </w:tcPr>
          <w:p>
            <w:pPr>
              <w:ind w:left="180"/>
              <w:spacing w:after="0" w:line="196" w:lineRule="exact"/>
              <w:rPr>
                <w:rFonts w:ascii="Arial" w:cs="Arial" w:eastAsia="Arial" w:hAnsi="Arial"/>
                <w:sz w:val="19"/>
                <w:szCs w:val="19"/>
                <w:color w:val="0000EE"/>
                <w:w w:val="94"/>
              </w:rPr>
            </w:pPr>
            <w:hyperlink r:id="rId177">
              <w:r>
                <w:rPr>
                  <w:rFonts w:ascii="Arial" w:cs="Arial" w:eastAsia="Arial" w:hAnsi="Arial"/>
                  <w:sz w:val="19"/>
                  <w:szCs w:val="19"/>
                  <w:color w:val="0000EE"/>
                  <w:w w:val="94"/>
                </w:rPr>
                <w:t>2011)</w:t>
              </w:r>
            </w:hyperlink>
          </w:p>
        </w:tc>
        <w:tc>
          <w:tcPr>
            <w:tcW w:w="3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92"/>
        </w:trPr>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860" w:type="dxa"/>
            <w:vAlign w:val="bottom"/>
            <w:gridSpan w:val="3"/>
          </w:tcPr>
          <w:p>
            <w:pPr>
              <w:jc w:val="right"/>
              <w:ind w:right="541"/>
              <w:spacing w:after="0"/>
              <w:rPr>
                <w:sz w:val="20"/>
                <w:szCs w:val="20"/>
                <w:color w:val="auto"/>
              </w:rPr>
            </w:pPr>
            <w:r>
              <w:rPr>
                <w:rFonts w:ascii="Arial" w:cs="Arial" w:eastAsia="Arial" w:hAnsi="Arial"/>
                <w:sz w:val="19"/>
                <w:szCs w:val="19"/>
                <w:color w:val="auto"/>
              </w:rPr>
              <w:t>103</w:t>
            </w: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90"/>
        </w:trPr>
        <w:tc>
          <w:tcPr>
            <w:tcW w:w="1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280" w:type="dxa"/>
            <w:vAlign w:val="bottom"/>
            <w:tcBorders>
              <w:bottom w:val="single" w:sz="8" w:color="auto"/>
            </w:tcBorders>
            <w:gridSpan w:val="20"/>
          </w:tcPr>
          <w:p>
            <w:pPr>
              <w:ind w:left="2120"/>
              <w:spacing w:after="0"/>
              <w:rPr>
                <w:sz w:val="20"/>
                <w:szCs w:val="20"/>
                <w:color w:val="auto"/>
              </w:rPr>
            </w:pPr>
            <w:r>
              <w:rPr>
                <w:rFonts w:ascii="Arial" w:cs="Arial" w:eastAsia="Arial" w:hAnsi="Arial"/>
                <w:sz w:val="16"/>
                <w:szCs w:val="16"/>
                <w:b w:val="1"/>
                <w:bCs w:val="1"/>
                <w:color w:val="auto"/>
              </w:rPr>
              <w:t>Description</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10.28*</w:t>
            </w:r>
          </w:p>
        </w:tc>
        <w:tc>
          <w:tcPr>
            <w:tcW w:w="9400" w:type="dxa"/>
            <w:vAlign w:val="bottom"/>
            <w:tcBorders>
              <w:bottom w:val="single" w:sz="8" w:color="0000EE"/>
            </w:tcBorders>
            <w:gridSpan w:val="25"/>
          </w:tcPr>
          <w:p>
            <w:pPr>
              <w:spacing w:after="0" w:line="196" w:lineRule="exact"/>
              <w:rPr>
                <w:rFonts w:ascii="Arial" w:cs="Arial" w:eastAsia="Arial" w:hAnsi="Arial"/>
                <w:sz w:val="19"/>
                <w:szCs w:val="19"/>
                <w:color w:val="0000EE"/>
              </w:rPr>
            </w:pPr>
            <w:hyperlink r:id="rId180">
              <w:r>
                <w:rPr>
                  <w:rFonts w:ascii="Arial" w:cs="Arial" w:eastAsia="Arial" w:hAnsi="Arial"/>
                  <w:sz w:val="19"/>
                  <w:szCs w:val="19"/>
                  <w:color w:val="0000EE"/>
                </w:rPr>
                <w:t>2006 Stock Incentive Plan of Honeywell International Inc. and Its Affiliates—Form of Option Award Agreement</w:t>
              </w:r>
            </w:hyperlink>
          </w:p>
        </w:tc>
        <w:tc>
          <w:tcPr>
            <w:tcW w:w="60" w:type="dxa"/>
            <w:vAlign w:val="bottom"/>
            <w:gridSpan w:val="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tcBorders>
              <w:bottom w:val="single" w:sz="8" w:color="0000EE"/>
            </w:tcBorders>
            <w:gridSpan w:val="22"/>
          </w:tcPr>
          <w:p>
            <w:pPr>
              <w:spacing w:after="0" w:line="196" w:lineRule="exact"/>
              <w:rPr>
                <w:rFonts w:ascii="Arial" w:cs="Arial" w:eastAsia="Arial" w:hAnsi="Arial"/>
                <w:sz w:val="19"/>
                <w:szCs w:val="19"/>
                <w:color w:val="0000EE"/>
              </w:rPr>
            </w:pPr>
            <w:hyperlink r:id="rId180">
              <w:r>
                <w:rPr>
                  <w:rFonts w:ascii="Arial" w:cs="Arial" w:eastAsia="Arial" w:hAnsi="Arial"/>
                  <w:sz w:val="19"/>
                  <w:szCs w:val="19"/>
                  <w:color w:val="0000EE"/>
                </w:rPr>
                <w:t>(incorporated by reference to Exhibit 10.2 to Honeywell’s Form 10-Q for the quarter ended March 31, 2009)</w:t>
              </w:r>
            </w:hyperlink>
          </w:p>
        </w:tc>
        <w:tc>
          <w:tcPr>
            <w:tcW w:w="100" w:type="dxa"/>
            <w:vAlign w:val="bottom"/>
            <w:gridSpan w:val="4"/>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10.29*</w:t>
            </w:r>
          </w:p>
        </w:tc>
        <w:tc>
          <w:tcPr>
            <w:tcW w:w="8820" w:type="dxa"/>
            <w:vAlign w:val="bottom"/>
            <w:tcBorders>
              <w:bottom w:val="single" w:sz="8" w:color="0000EE"/>
            </w:tcBorders>
            <w:gridSpan w:val="15"/>
          </w:tcPr>
          <w:p>
            <w:pPr>
              <w:spacing w:after="0" w:line="196" w:lineRule="exact"/>
              <w:rPr>
                <w:rFonts w:ascii="Arial" w:cs="Arial" w:eastAsia="Arial" w:hAnsi="Arial"/>
                <w:sz w:val="19"/>
                <w:szCs w:val="19"/>
                <w:color w:val="0000EE"/>
              </w:rPr>
            </w:pPr>
            <w:hyperlink r:id="rId181">
              <w:r>
                <w:rPr>
                  <w:rFonts w:ascii="Arial" w:cs="Arial" w:eastAsia="Arial" w:hAnsi="Arial"/>
                  <w:sz w:val="19"/>
                  <w:szCs w:val="19"/>
                  <w:color w:val="0000EE"/>
                </w:rPr>
                <w:t>2006 Stock Plan for Non-Employee Directors of Honeywell International Inc., as amended and restated</w:t>
              </w:r>
            </w:hyperlink>
          </w:p>
        </w:tc>
        <w:tc>
          <w:tcPr>
            <w:tcW w:w="640" w:type="dxa"/>
            <w:vAlign w:val="bottom"/>
            <w:gridSpan w:val="1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tcBorders>
              <w:bottom w:val="single" w:sz="8" w:color="0000EE"/>
            </w:tcBorders>
            <w:gridSpan w:val="20"/>
          </w:tcPr>
          <w:p>
            <w:pPr>
              <w:spacing w:after="0" w:line="196" w:lineRule="exact"/>
              <w:rPr>
                <w:rFonts w:ascii="Arial" w:cs="Arial" w:eastAsia="Arial" w:hAnsi="Arial"/>
                <w:sz w:val="19"/>
                <w:szCs w:val="19"/>
                <w:color w:val="0000EE"/>
              </w:rPr>
            </w:pPr>
            <w:hyperlink r:id="rId181">
              <w:r>
                <w:rPr>
                  <w:rFonts w:ascii="Arial" w:cs="Arial" w:eastAsia="Arial" w:hAnsi="Arial"/>
                  <w:sz w:val="19"/>
                  <w:szCs w:val="19"/>
                  <w:color w:val="0000EE"/>
                </w:rPr>
                <w:t>(incorporated by reference to Exhibit 10.31 to Honeywell’s Form 10-K for the year ended December 31,</w:t>
              </w:r>
            </w:hyperlink>
          </w:p>
        </w:tc>
        <w:tc>
          <w:tcPr>
            <w:tcW w:w="440" w:type="dxa"/>
            <w:vAlign w:val="bottom"/>
            <w:gridSpan w:val="6"/>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660" w:type="dxa"/>
            <w:vAlign w:val="bottom"/>
            <w:gridSpan w:val="2"/>
          </w:tcPr>
          <w:p>
            <w:pPr>
              <w:ind w:left="180"/>
              <w:spacing w:after="0" w:line="196" w:lineRule="exact"/>
              <w:rPr>
                <w:rFonts w:ascii="Arial" w:cs="Arial" w:eastAsia="Arial" w:hAnsi="Arial"/>
                <w:sz w:val="19"/>
                <w:szCs w:val="19"/>
                <w:color w:val="0000EE"/>
                <w:w w:val="94"/>
              </w:rPr>
            </w:pPr>
            <w:hyperlink r:id="rId181">
              <w:r>
                <w:rPr>
                  <w:rFonts w:ascii="Arial" w:cs="Arial" w:eastAsia="Arial" w:hAnsi="Arial"/>
                  <w:sz w:val="19"/>
                  <w:szCs w:val="19"/>
                  <w:color w:val="0000EE"/>
                  <w:w w:val="94"/>
                </w:rPr>
                <w:t>2008)</w:t>
              </w:r>
            </w:hyperlink>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10.30*</w:t>
            </w:r>
          </w:p>
        </w:tc>
        <w:tc>
          <w:tcPr>
            <w:tcW w:w="9380" w:type="dxa"/>
            <w:vAlign w:val="bottom"/>
            <w:tcBorders>
              <w:bottom w:val="single" w:sz="8" w:color="0000EE"/>
            </w:tcBorders>
            <w:gridSpan w:val="24"/>
          </w:tcPr>
          <w:p>
            <w:pPr>
              <w:spacing w:after="0" w:line="196" w:lineRule="exact"/>
              <w:rPr>
                <w:rFonts w:ascii="Arial" w:cs="Arial" w:eastAsia="Arial" w:hAnsi="Arial"/>
                <w:sz w:val="19"/>
                <w:szCs w:val="19"/>
                <w:color w:val="0000EE"/>
              </w:rPr>
            </w:pPr>
            <w:hyperlink r:id="rId182">
              <w:r>
                <w:rPr>
                  <w:rFonts w:ascii="Arial" w:cs="Arial" w:eastAsia="Arial" w:hAnsi="Arial"/>
                  <w:sz w:val="19"/>
                  <w:szCs w:val="19"/>
                  <w:color w:val="0000EE"/>
                </w:rPr>
                <w:t>Amendment to 2006 Stock Plan for Non-Employee Directors of Honeywell International Inc., as amended and</w:t>
              </w:r>
            </w:hyperlink>
          </w:p>
        </w:tc>
        <w:tc>
          <w:tcPr>
            <w:tcW w:w="80" w:type="dxa"/>
            <w:vAlign w:val="bottom"/>
            <w:gridSpan w:val="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tcBorders>
              <w:bottom w:val="single" w:sz="8" w:color="0000EE"/>
            </w:tcBorders>
            <w:gridSpan w:val="25"/>
          </w:tcPr>
          <w:p>
            <w:pPr>
              <w:spacing w:after="0" w:line="196" w:lineRule="exact"/>
              <w:rPr>
                <w:rFonts w:ascii="Arial" w:cs="Arial" w:eastAsia="Arial" w:hAnsi="Arial"/>
                <w:sz w:val="19"/>
                <w:szCs w:val="19"/>
                <w:color w:val="0000EE"/>
              </w:rPr>
            </w:pPr>
            <w:hyperlink r:id="rId182">
              <w:r>
                <w:rPr>
                  <w:rFonts w:ascii="Arial" w:cs="Arial" w:eastAsia="Arial" w:hAnsi="Arial"/>
                  <w:sz w:val="19"/>
                  <w:szCs w:val="19"/>
                  <w:color w:val="0000EE"/>
                </w:rPr>
                <w:t>restated (incorporated by reference to Exhibit 10.27 to Honeywell’s Form 10-K for the year ended December</w:t>
              </w:r>
            </w:hyperlink>
          </w:p>
        </w:tc>
        <w:tc>
          <w:tcPr>
            <w:tcW w:w="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000" w:type="dxa"/>
            <w:vAlign w:val="bottom"/>
            <w:gridSpan w:val="3"/>
          </w:tcPr>
          <w:p>
            <w:pPr>
              <w:ind w:left="180"/>
              <w:spacing w:after="0" w:line="196" w:lineRule="exact"/>
              <w:rPr>
                <w:rFonts w:ascii="Arial" w:cs="Arial" w:eastAsia="Arial" w:hAnsi="Arial"/>
                <w:sz w:val="19"/>
                <w:szCs w:val="19"/>
                <w:color w:val="0000EE"/>
                <w:w w:val="97"/>
              </w:rPr>
            </w:pPr>
            <w:hyperlink r:id="rId182">
              <w:r>
                <w:rPr>
                  <w:rFonts w:ascii="Arial" w:cs="Arial" w:eastAsia="Arial" w:hAnsi="Arial"/>
                  <w:sz w:val="19"/>
                  <w:szCs w:val="19"/>
                  <w:color w:val="0000EE"/>
                  <w:w w:val="97"/>
                </w:rPr>
                <w:t>31, 2011)</w:t>
              </w:r>
            </w:hyperlink>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10.31*</w:t>
            </w:r>
          </w:p>
        </w:tc>
        <w:tc>
          <w:tcPr>
            <w:tcW w:w="9380" w:type="dxa"/>
            <w:vAlign w:val="bottom"/>
            <w:tcBorders>
              <w:bottom w:val="single" w:sz="8" w:color="0000EE"/>
            </w:tcBorders>
            <w:gridSpan w:val="24"/>
          </w:tcPr>
          <w:p>
            <w:pPr>
              <w:spacing w:after="0" w:line="196" w:lineRule="exact"/>
              <w:rPr>
                <w:rFonts w:ascii="Arial" w:cs="Arial" w:eastAsia="Arial" w:hAnsi="Arial"/>
                <w:sz w:val="19"/>
                <w:szCs w:val="19"/>
                <w:color w:val="0000EE"/>
              </w:rPr>
            </w:pPr>
            <w:hyperlink r:id="rId183">
              <w:r>
                <w:rPr>
                  <w:rFonts w:ascii="Arial" w:cs="Arial" w:eastAsia="Arial" w:hAnsi="Arial"/>
                  <w:sz w:val="19"/>
                  <w:szCs w:val="19"/>
                  <w:color w:val="0000EE"/>
                </w:rPr>
                <w:t>Amendment to 2006 Stock Plan for Non-Employee Directors of Honeywell International Inc., as amended and</w:t>
              </w:r>
            </w:hyperlink>
          </w:p>
        </w:tc>
        <w:tc>
          <w:tcPr>
            <w:tcW w:w="80" w:type="dxa"/>
            <w:vAlign w:val="bottom"/>
            <w:gridSpan w:val="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tcBorders>
              <w:bottom w:val="single" w:sz="8" w:color="0000EE"/>
            </w:tcBorders>
            <w:gridSpan w:val="25"/>
          </w:tcPr>
          <w:p>
            <w:pPr>
              <w:spacing w:after="0" w:line="196" w:lineRule="exact"/>
              <w:rPr>
                <w:rFonts w:ascii="Arial" w:cs="Arial" w:eastAsia="Arial" w:hAnsi="Arial"/>
                <w:sz w:val="19"/>
                <w:szCs w:val="19"/>
                <w:color w:val="0000EE"/>
              </w:rPr>
            </w:pPr>
            <w:hyperlink r:id="rId183">
              <w:r>
                <w:rPr>
                  <w:rFonts w:ascii="Arial" w:cs="Arial" w:eastAsia="Arial" w:hAnsi="Arial"/>
                  <w:sz w:val="19"/>
                  <w:szCs w:val="19"/>
                  <w:color w:val="0000EE"/>
                </w:rPr>
                <w:t>restated (incorporated by reference to Exhibit 10.24 to Honeywell’s Form 10-K for the year ended December</w:t>
              </w:r>
            </w:hyperlink>
          </w:p>
        </w:tc>
        <w:tc>
          <w:tcPr>
            <w:tcW w:w="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000" w:type="dxa"/>
            <w:vAlign w:val="bottom"/>
            <w:gridSpan w:val="3"/>
          </w:tcPr>
          <w:p>
            <w:pPr>
              <w:ind w:left="180"/>
              <w:spacing w:after="0" w:line="196" w:lineRule="exact"/>
              <w:rPr>
                <w:rFonts w:ascii="Arial" w:cs="Arial" w:eastAsia="Arial" w:hAnsi="Arial"/>
                <w:sz w:val="19"/>
                <w:szCs w:val="19"/>
                <w:color w:val="0000EE"/>
                <w:w w:val="97"/>
              </w:rPr>
            </w:pPr>
            <w:hyperlink r:id="rId183">
              <w:r>
                <w:rPr>
                  <w:rFonts w:ascii="Arial" w:cs="Arial" w:eastAsia="Arial" w:hAnsi="Arial"/>
                  <w:sz w:val="19"/>
                  <w:szCs w:val="19"/>
                  <w:color w:val="0000EE"/>
                  <w:w w:val="97"/>
                </w:rPr>
                <w:t>31, 2014)</w:t>
              </w:r>
            </w:hyperlink>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10.32*</w:t>
            </w:r>
          </w:p>
        </w:tc>
        <w:tc>
          <w:tcPr>
            <w:tcW w:w="9000" w:type="dxa"/>
            <w:vAlign w:val="bottom"/>
            <w:tcBorders>
              <w:bottom w:val="single" w:sz="8" w:color="0000EE"/>
            </w:tcBorders>
            <w:gridSpan w:val="20"/>
          </w:tcPr>
          <w:p>
            <w:pPr>
              <w:spacing w:after="0" w:line="196" w:lineRule="exact"/>
              <w:rPr>
                <w:rFonts w:ascii="Arial" w:cs="Arial" w:eastAsia="Arial" w:hAnsi="Arial"/>
                <w:sz w:val="19"/>
                <w:szCs w:val="19"/>
                <w:color w:val="0000EE"/>
              </w:rPr>
            </w:pPr>
            <w:hyperlink r:id="rId184">
              <w:r>
                <w:rPr>
                  <w:rFonts w:ascii="Arial" w:cs="Arial" w:eastAsia="Arial" w:hAnsi="Arial"/>
                  <w:sz w:val="19"/>
                  <w:szCs w:val="19"/>
                  <w:color w:val="0000EE"/>
                </w:rPr>
                <w:t>2006 Stock Plan for Non-Employee Directors of Honeywell International Inc.—Form of Option Agreement</w:t>
              </w:r>
            </w:hyperlink>
          </w:p>
        </w:tc>
        <w:tc>
          <w:tcPr>
            <w:tcW w:w="460" w:type="dxa"/>
            <w:vAlign w:val="bottom"/>
            <w:gridSpan w:val="7"/>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tcBorders>
              <w:bottom w:val="single" w:sz="8" w:color="0000EE"/>
            </w:tcBorders>
            <w:gridSpan w:val="22"/>
          </w:tcPr>
          <w:p>
            <w:pPr>
              <w:spacing w:after="0" w:line="196" w:lineRule="exact"/>
              <w:rPr>
                <w:rFonts w:ascii="Arial" w:cs="Arial" w:eastAsia="Arial" w:hAnsi="Arial"/>
                <w:sz w:val="19"/>
                <w:szCs w:val="19"/>
                <w:color w:val="0000EE"/>
              </w:rPr>
            </w:pPr>
            <w:hyperlink r:id="rId184">
              <w:r>
                <w:rPr>
                  <w:rFonts w:ascii="Arial" w:cs="Arial" w:eastAsia="Arial" w:hAnsi="Arial"/>
                  <w:sz w:val="19"/>
                  <w:szCs w:val="19"/>
                  <w:color w:val="0000EE"/>
                </w:rPr>
                <w:t>(incorporated by reference to Exhibit 10.3 to Honeywell’s Form 10-Q for the quarter ended March 31, 2012)</w:t>
              </w:r>
            </w:hyperlink>
          </w:p>
        </w:tc>
        <w:tc>
          <w:tcPr>
            <w:tcW w:w="100" w:type="dxa"/>
            <w:vAlign w:val="bottom"/>
            <w:gridSpan w:val="4"/>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10.33*</w:t>
            </w:r>
          </w:p>
        </w:tc>
        <w:tc>
          <w:tcPr>
            <w:tcW w:w="8700" w:type="dxa"/>
            <w:vAlign w:val="bottom"/>
            <w:tcBorders>
              <w:bottom w:val="single" w:sz="8" w:color="0000EE"/>
            </w:tcBorders>
            <w:gridSpan w:val="14"/>
          </w:tcPr>
          <w:p>
            <w:pPr>
              <w:spacing w:after="0" w:line="196" w:lineRule="exact"/>
              <w:rPr>
                <w:rFonts w:ascii="Arial" w:cs="Arial" w:eastAsia="Arial" w:hAnsi="Arial"/>
                <w:sz w:val="19"/>
                <w:szCs w:val="19"/>
                <w:color w:val="0000EE"/>
              </w:rPr>
            </w:pPr>
            <w:hyperlink r:id="rId185">
              <w:r>
                <w:rPr>
                  <w:rFonts w:ascii="Arial" w:cs="Arial" w:eastAsia="Arial" w:hAnsi="Arial"/>
                  <w:sz w:val="19"/>
                  <w:szCs w:val="19"/>
                  <w:color w:val="0000EE"/>
                </w:rPr>
                <w:t>2006 Stock Plan for Non-Employee Directors of Honeywell International Inc.—Form of Restricted Unit</w:t>
              </w:r>
            </w:hyperlink>
          </w:p>
        </w:tc>
        <w:tc>
          <w:tcPr>
            <w:tcW w:w="760" w:type="dxa"/>
            <w:vAlign w:val="bottom"/>
            <w:gridSpan w:val="1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6"/>
          </w:tcPr>
          <w:p>
            <w:pPr>
              <w:spacing w:after="0" w:line="196" w:lineRule="exact"/>
              <w:rPr>
                <w:rFonts w:ascii="Arial" w:cs="Arial" w:eastAsia="Arial" w:hAnsi="Arial"/>
                <w:sz w:val="19"/>
                <w:szCs w:val="19"/>
                <w:color w:val="0000EE"/>
              </w:rPr>
            </w:pPr>
            <w:hyperlink r:id="rId185">
              <w:r>
                <w:rPr>
                  <w:rFonts w:ascii="Arial" w:cs="Arial" w:eastAsia="Arial" w:hAnsi="Arial"/>
                  <w:sz w:val="19"/>
                  <w:szCs w:val="19"/>
                  <w:color w:val="0000EE"/>
                </w:rPr>
                <w:t>Agreement (incorporated by reference to Exhibit 10.4 to Honeywell’s Form 10-Q for the quarter ended</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4"/>
          </w:tcPr>
          <w:p>
            <w:pPr>
              <w:spacing w:after="0" w:line="196" w:lineRule="exact"/>
              <w:rPr>
                <w:rFonts w:ascii="Arial" w:cs="Arial" w:eastAsia="Arial" w:hAnsi="Arial"/>
                <w:sz w:val="19"/>
                <w:szCs w:val="19"/>
                <w:color w:val="0000EE"/>
              </w:rPr>
            </w:pPr>
            <w:hyperlink r:id="rId185">
              <w:r>
                <w:rPr>
                  <w:rFonts w:ascii="Arial" w:cs="Arial" w:eastAsia="Arial" w:hAnsi="Arial"/>
                  <w:sz w:val="19"/>
                  <w:szCs w:val="19"/>
                  <w:color w:val="0000EE"/>
                </w:rPr>
                <w:t>March 31, 2012)</w:t>
              </w:r>
            </w:hyperlink>
          </w:p>
        </w:tc>
        <w:tc>
          <w:tcPr>
            <w:tcW w:w="7280" w:type="dxa"/>
            <w:vAlign w:val="bottom"/>
            <w:tcBorders>
              <w:top w:val="single" w:sz="8" w:color="0000EE"/>
            </w:tcBorders>
            <w:gridSpan w:val="12"/>
          </w:tcPr>
          <w:p>
            <w:pPr>
              <w:spacing w:after="0"/>
              <w:rPr>
                <w:sz w:val="17"/>
                <w:szCs w:val="17"/>
                <w:color w:val="auto"/>
              </w:rPr>
            </w:pPr>
          </w:p>
        </w:tc>
        <w:tc>
          <w:tcPr>
            <w:tcW w:w="580" w:type="dxa"/>
            <w:vAlign w:val="bottom"/>
            <w:gridSpan w:val="10"/>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10.34*</w:t>
            </w:r>
          </w:p>
        </w:tc>
        <w:tc>
          <w:tcPr>
            <w:tcW w:w="9060" w:type="dxa"/>
            <w:vAlign w:val="bottom"/>
            <w:tcBorders>
              <w:bottom w:val="single" w:sz="8" w:color="0000EE"/>
            </w:tcBorders>
            <w:gridSpan w:val="22"/>
          </w:tcPr>
          <w:p>
            <w:pPr>
              <w:spacing w:after="0" w:line="196" w:lineRule="exact"/>
              <w:rPr>
                <w:rFonts w:ascii="Arial" w:cs="Arial" w:eastAsia="Arial" w:hAnsi="Arial"/>
                <w:sz w:val="19"/>
                <w:szCs w:val="19"/>
                <w:color w:val="0000EE"/>
              </w:rPr>
            </w:pPr>
            <w:hyperlink r:id="rId186">
              <w:r>
                <w:rPr>
                  <w:rFonts w:ascii="Arial" w:cs="Arial" w:eastAsia="Arial" w:hAnsi="Arial"/>
                  <w:sz w:val="19"/>
                  <w:szCs w:val="19"/>
                  <w:color w:val="0000EE"/>
                </w:rPr>
                <w:t>2007 Honeywell Global Employee Stock Plan (incorporated by reference to Honeywell’s Proxy Statement,</w:t>
              </w:r>
            </w:hyperlink>
          </w:p>
        </w:tc>
        <w:tc>
          <w:tcPr>
            <w:tcW w:w="400" w:type="dxa"/>
            <w:vAlign w:val="bottom"/>
            <w:gridSpan w:val="5"/>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6"/>
          </w:tcPr>
          <w:p>
            <w:pPr>
              <w:spacing w:after="0" w:line="196" w:lineRule="exact"/>
              <w:rPr>
                <w:rFonts w:ascii="Arial" w:cs="Arial" w:eastAsia="Arial" w:hAnsi="Arial"/>
                <w:sz w:val="19"/>
                <w:szCs w:val="19"/>
                <w:color w:val="0000EE"/>
              </w:rPr>
            </w:pPr>
            <w:hyperlink r:id="rId186">
              <w:r>
                <w:rPr>
                  <w:rFonts w:ascii="Arial" w:cs="Arial" w:eastAsia="Arial" w:hAnsi="Arial"/>
                  <w:sz w:val="19"/>
                  <w:szCs w:val="19"/>
                  <w:color w:val="0000EE"/>
                </w:rPr>
                <w:t>dated March 12, 2007, filed pursuant to Rule 14a-6 of the Securities Exchange Act of 1934)</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10.35*</w:t>
            </w:r>
          </w:p>
        </w:tc>
        <w:tc>
          <w:tcPr>
            <w:tcW w:w="9460" w:type="dxa"/>
            <w:vAlign w:val="bottom"/>
            <w:gridSpan w:val="27"/>
          </w:tcPr>
          <w:p>
            <w:pPr>
              <w:spacing w:after="0" w:line="196" w:lineRule="exact"/>
              <w:rPr>
                <w:rFonts w:ascii="Arial" w:cs="Arial" w:eastAsia="Arial" w:hAnsi="Arial"/>
                <w:sz w:val="19"/>
                <w:szCs w:val="19"/>
                <w:color w:val="0000EE"/>
              </w:rPr>
            </w:pPr>
            <w:hyperlink r:id="rId187">
              <w:r>
                <w:rPr>
                  <w:rFonts w:ascii="Arial" w:cs="Arial" w:eastAsia="Arial" w:hAnsi="Arial"/>
                  <w:sz w:val="19"/>
                  <w:szCs w:val="19"/>
                  <w:color w:val="0000EE"/>
                </w:rPr>
                <w:t>2006 Stock Incentive Plan of Honeywell International Inc. and Its Affiliates—Form of Option Award Agreement,</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180" w:type="dxa"/>
            <w:vAlign w:val="bottom"/>
            <w:tcBorders>
              <w:top w:val="single" w:sz="8" w:color="0000EE"/>
              <w:bottom w:val="single" w:sz="8" w:color="0000EE"/>
            </w:tcBorders>
            <w:gridSpan w:val="22"/>
          </w:tcPr>
          <w:p>
            <w:pPr>
              <w:spacing w:after="0" w:line="196" w:lineRule="exact"/>
              <w:rPr>
                <w:rFonts w:ascii="Arial" w:cs="Arial" w:eastAsia="Arial" w:hAnsi="Arial"/>
                <w:sz w:val="19"/>
                <w:szCs w:val="19"/>
                <w:color w:val="0000EE"/>
              </w:rPr>
            </w:pPr>
            <w:hyperlink r:id="rId187">
              <w:r>
                <w:rPr>
                  <w:rFonts w:ascii="Arial" w:cs="Arial" w:eastAsia="Arial" w:hAnsi="Arial"/>
                  <w:sz w:val="19"/>
                  <w:szCs w:val="19"/>
                  <w:color w:val="0000EE"/>
                </w:rPr>
                <w:t>Form 2 (incorporated by reference to Exhibit 10.37 to Honeywell’s Form 10-K for the year ended December</w:t>
              </w:r>
            </w:hyperlink>
          </w:p>
        </w:tc>
        <w:tc>
          <w:tcPr>
            <w:tcW w:w="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000" w:type="dxa"/>
            <w:vAlign w:val="bottom"/>
            <w:gridSpan w:val="3"/>
          </w:tcPr>
          <w:p>
            <w:pPr>
              <w:ind w:left="180"/>
              <w:spacing w:after="0" w:line="196" w:lineRule="exact"/>
              <w:rPr>
                <w:rFonts w:ascii="Arial" w:cs="Arial" w:eastAsia="Arial" w:hAnsi="Arial"/>
                <w:sz w:val="19"/>
                <w:szCs w:val="19"/>
                <w:color w:val="0000EE"/>
                <w:w w:val="97"/>
              </w:rPr>
            </w:pPr>
            <w:hyperlink r:id="rId187">
              <w:r>
                <w:rPr>
                  <w:rFonts w:ascii="Arial" w:cs="Arial" w:eastAsia="Arial" w:hAnsi="Arial"/>
                  <w:sz w:val="19"/>
                  <w:szCs w:val="19"/>
                  <w:color w:val="0000EE"/>
                  <w:w w:val="97"/>
                </w:rPr>
                <w:t>31, 2010)</w:t>
              </w:r>
            </w:hyperlink>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10.36*</w:t>
            </w:r>
          </w:p>
        </w:tc>
        <w:tc>
          <w:tcPr>
            <w:tcW w:w="8900" w:type="dxa"/>
            <w:vAlign w:val="bottom"/>
            <w:tcBorders>
              <w:bottom w:val="single" w:sz="8" w:color="0000EE"/>
            </w:tcBorders>
            <w:gridSpan w:val="18"/>
          </w:tcPr>
          <w:p>
            <w:pPr>
              <w:spacing w:after="0" w:line="196" w:lineRule="exact"/>
              <w:rPr>
                <w:rFonts w:ascii="Arial" w:cs="Arial" w:eastAsia="Arial" w:hAnsi="Arial"/>
                <w:sz w:val="19"/>
                <w:szCs w:val="19"/>
                <w:color w:val="0000EE"/>
              </w:rPr>
            </w:pPr>
            <w:hyperlink r:id="rId188">
              <w:r>
                <w:rPr>
                  <w:rFonts w:ascii="Arial" w:cs="Arial" w:eastAsia="Arial" w:hAnsi="Arial"/>
                  <w:sz w:val="19"/>
                  <w:szCs w:val="19"/>
                  <w:color w:val="0000EE"/>
                </w:rPr>
                <w:t>Letter Agreement dated September 3, 2009 between Honeywell and Timothy Mahoney (incorporated by</w:t>
              </w:r>
            </w:hyperlink>
          </w:p>
        </w:tc>
        <w:tc>
          <w:tcPr>
            <w:tcW w:w="560" w:type="dxa"/>
            <w:vAlign w:val="bottom"/>
            <w:gridSpan w:val="9"/>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6"/>
          </w:tcPr>
          <w:p>
            <w:pPr>
              <w:spacing w:after="0" w:line="196" w:lineRule="exact"/>
              <w:rPr>
                <w:rFonts w:ascii="Arial" w:cs="Arial" w:eastAsia="Arial" w:hAnsi="Arial"/>
                <w:sz w:val="19"/>
                <w:szCs w:val="19"/>
                <w:color w:val="0000EE"/>
              </w:rPr>
            </w:pPr>
            <w:hyperlink r:id="rId188">
              <w:r>
                <w:rPr>
                  <w:rFonts w:ascii="Arial" w:cs="Arial" w:eastAsia="Arial" w:hAnsi="Arial"/>
                  <w:sz w:val="19"/>
                  <w:szCs w:val="19"/>
                  <w:color w:val="0000EE"/>
                </w:rPr>
                <w:t>reference to Exhibit 10.38 to Honeywell’s Form 10-K for the year ended December 31, 2010)</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7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10.37*</w:t>
            </w:r>
          </w:p>
        </w:tc>
        <w:tc>
          <w:tcPr>
            <w:tcW w:w="8600" w:type="dxa"/>
            <w:vAlign w:val="bottom"/>
            <w:tcBorders>
              <w:bottom w:val="single" w:sz="8" w:color="0000EE"/>
            </w:tcBorders>
            <w:gridSpan w:val="12"/>
          </w:tcPr>
          <w:p>
            <w:pPr>
              <w:spacing w:after="0" w:line="196" w:lineRule="exact"/>
              <w:rPr>
                <w:rFonts w:ascii="Arial" w:cs="Arial" w:eastAsia="Arial" w:hAnsi="Arial"/>
                <w:sz w:val="19"/>
                <w:szCs w:val="19"/>
                <w:color w:val="0000EE"/>
              </w:rPr>
            </w:pPr>
            <w:hyperlink r:id="rId189">
              <w:r>
                <w:rPr>
                  <w:rFonts w:ascii="Arial" w:cs="Arial" w:eastAsia="Arial" w:hAnsi="Arial"/>
                  <w:sz w:val="19"/>
                  <w:szCs w:val="19"/>
                  <w:color w:val="0000EE"/>
                </w:rPr>
                <w:t>Form of Honeywell International Inc. Noncompete Agreement for Senior Executives (incorporated by</w:t>
              </w:r>
            </w:hyperlink>
          </w:p>
        </w:tc>
        <w:tc>
          <w:tcPr>
            <w:tcW w:w="860" w:type="dxa"/>
            <w:vAlign w:val="bottom"/>
            <w:gridSpan w:val="15"/>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6"/>
          </w:tcPr>
          <w:p>
            <w:pPr>
              <w:spacing w:after="0" w:line="196" w:lineRule="exact"/>
              <w:rPr>
                <w:rFonts w:ascii="Arial" w:cs="Arial" w:eastAsia="Arial" w:hAnsi="Arial"/>
                <w:sz w:val="19"/>
                <w:szCs w:val="19"/>
                <w:color w:val="0000EE"/>
              </w:rPr>
            </w:pPr>
            <w:hyperlink r:id="rId189">
              <w:r>
                <w:rPr>
                  <w:rFonts w:ascii="Arial" w:cs="Arial" w:eastAsia="Arial" w:hAnsi="Arial"/>
                  <w:sz w:val="19"/>
                  <w:szCs w:val="19"/>
                  <w:color w:val="0000EE"/>
                </w:rPr>
                <w:t>reference to Exhibit 10.39 to Honeywell’s Form 10-K for the year ended December 31, 2010)</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7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10.38*</w:t>
            </w:r>
          </w:p>
        </w:tc>
        <w:tc>
          <w:tcPr>
            <w:tcW w:w="8840" w:type="dxa"/>
            <w:vAlign w:val="bottom"/>
            <w:tcBorders>
              <w:bottom w:val="single" w:sz="8" w:color="0000EE"/>
            </w:tcBorders>
            <w:gridSpan w:val="16"/>
          </w:tcPr>
          <w:p>
            <w:pPr>
              <w:spacing w:after="0" w:line="196" w:lineRule="exact"/>
              <w:rPr>
                <w:rFonts w:ascii="Arial" w:cs="Arial" w:eastAsia="Arial" w:hAnsi="Arial"/>
                <w:sz w:val="19"/>
                <w:szCs w:val="19"/>
                <w:color w:val="0000EE"/>
              </w:rPr>
            </w:pPr>
            <w:hyperlink r:id="rId190">
              <w:r>
                <w:rPr>
                  <w:rFonts w:ascii="Arial" w:cs="Arial" w:eastAsia="Arial" w:hAnsi="Arial"/>
                  <w:sz w:val="19"/>
                  <w:szCs w:val="19"/>
                  <w:color w:val="0000EE"/>
                </w:rPr>
                <w:t>2011 Stock Incentive Plan of Honeywell International Inc. and its Affiliates (incorporated by reference to</w:t>
              </w:r>
            </w:hyperlink>
          </w:p>
        </w:tc>
        <w:tc>
          <w:tcPr>
            <w:tcW w:w="620" w:type="dxa"/>
            <w:vAlign w:val="bottom"/>
            <w:gridSpan w:val="11"/>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12"/>
          </w:tcPr>
          <w:p>
            <w:pPr>
              <w:spacing w:after="0" w:line="196" w:lineRule="exact"/>
              <w:rPr>
                <w:rFonts w:ascii="Arial" w:cs="Arial" w:eastAsia="Arial" w:hAnsi="Arial"/>
                <w:sz w:val="19"/>
                <w:szCs w:val="19"/>
                <w:color w:val="0000EE"/>
              </w:rPr>
            </w:pPr>
            <w:hyperlink r:id="rId190">
              <w:r>
                <w:rPr>
                  <w:rFonts w:ascii="Arial" w:cs="Arial" w:eastAsia="Arial" w:hAnsi="Arial"/>
                  <w:sz w:val="19"/>
                  <w:szCs w:val="19"/>
                  <w:color w:val="0000EE"/>
                </w:rPr>
                <w:t>Honeywell’s Proxy Statement, dated March 10, 2011, filed pursuant to Rule 14a-6 of the Securities</w:t>
              </w:r>
            </w:hyperlink>
          </w:p>
        </w:tc>
        <w:tc>
          <w:tcPr>
            <w:tcW w:w="840" w:type="dxa"/>
            <w:vAlign w:val="bottom"/>
            <w:gridSpan w:val="1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Borders>
              <w:bottom w:val="single" w:sz="8" w:color="0000EE"/>
            </w:tcBorders>
            <w:gridSpan w:val="5"/>
          </w:tcPr>
          <w:p>
            <w:pPr>
              <w:spacing w:after="0" w:line="196" w:lineRule="exact"/>
              <w:rPr>
                <w:rFonts w:ascii="Arial" w:cs="Arial" w:eastAsia="Arial" w:hAnsi="Arial"/>
                <w:sz w:val="19"/>
                <w:szCs w:val="19"/>
                <w:color w:val="0000EE"/>
              </w:rPr>
            </w:pPr>
            <w:hyperlink r:id="rId190">
              <w:r>
                <w:rPr>
                  <w:rFonts w:ascii="Arial" w:cs="Arial" w:eastAsia="Arial" w:hAnsi="Arial"/>
                  <w:sz w:val="19"/>
                  <w:szCs w:val="19"/>
                  <w:color w:val="0000EE"/>
                </w:rPr>
                <w:t>Exchange Act of 1934)</w:t>
              </w:r>
            </w:hyperlink>
          </w:p>
        </w:tc>
        <w:tc>
          <w:tcPr>
            <w:tcW w:w="7320" w:type="dxa"/>
            <w:vAlign w:val="bottom"/>
            <w:gridSpan w:val="21"/>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10.39*</w:t>
            </w:r>
          </w:p>
        </w:tc>
        <w:tc>
          <w:tcPr>
            <w:tcW w:w="9460" w:type="dxa"/>
            <w:vAlign w:val="bottom"/>
            <w:gridSpan w:val="27"/>
          </w:tcPr>
          <w:p>
            <w:pPr>
              <w:spacing w:after="0" w:line="196" w:lineRule="exact"/>
              <w:rPr>
                <w:rFonts w:ascii="Arial" w:cs="Arial" w:eastAsia="Arial" w:hAnsi="Arial"/>
                <w:sz w:val="19"/>
                <w:szCs w:val="19"/>
                <w:color w:val="0000EE"/>
              </w:rPr>
            </w:pPr>
            <w:hyperlink r:id="rId191">
              <w:r>
                <w:rPr>
                  <w:rFonts w:ascii="Arial" w:cs="Arial" w:eastAsia="Arial" w:hAnsi="Arial"/>
                  <w:sz w:val="19"/>
                  <w:szCs w:val="19"/>
                  <w:color w:val="0000EE"/>
                </w:rPr>
                <w:t>Amendment to 2011 Stock Incentive Plan of Honeywell International Inc. and its Affiliates (incorporated by</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880" w:type="dxa"/>
            <w:vAlign w:val="bottom"/>
            <w:tcBorders>
              <w:top w:val="single" w:sz="8" w:color="0000EE"/>
            </w:tcBorders>
            <w:gridSpan w:val="21"/>
          </w:tcPr>
          <w:p>
            <w:pPr>
              <w:spacing w:after="0" w:line="196" w:lineRule="exact"/>
              <w:rPr>
                <w:rFonts w:ascii="Arial" w:cs="Arial" w:eastAsia="Arial" w:hAnsi="Arial"/>
                <w:sz w:val="19"/>
                <w:szCs w:val="19"/>
                <w:color w:val="0000EE"/>
              </w:rPr>
            </w:pPr>
            <w:hyperlink r:id="rId191">
              <w:r>
                <w:rPr>
                  <w:rFonts w:ascii="Arial" w:cs="Arial" w:eastAsia="Arial" w:hAnsi="Arial"/>
                  <w:sz w:val="19"/>
                  <w:szCs w:val="19"/>
                  <w:color w:val="0000EE"/>
                </w:rPr>
                <w:t>reference to Exhibit 10.36 to Honeywell’s Form 10-K for the year ended December 31, 2012)</w:t>
              </w:r>
            </w:hyperlink>
          </w:p>
        </w:tc>
        <w:tc>
          <w:tcPr>
            <w:tcW w:w="400" w:type="dxa"/>
            <w:vAlign w:val="bottom"/>
            <w:gridSpan w:val="5"/>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7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10.40*</w:t>
            </w:r>
          </w:p>
        </w:tc>
        <w:tc>
          <w:tcPr>
            <w:tcW w:w="9460" w:type="dxa"/>
            <w:vAlign w:val="bottom"/>
            <w:gridSpan w:val="27"/>
          </w:tcPr>
          <w:p>
            <w:pPr>
              <w:spacing w:after="0" w:line="196" w:lineRule="exact"/>
              <w:rPr>
                <w:rFonts w:ascii="Arial" w:cs="Arial" w:eastAsia="Arial" w:hAnsi="Arial"/>
                <w:sz w:val="19"/>
                <w:szCs w:val="19"/>
                <w:color w:val="0000EE"/>
              </w:rPr>
            </w:pPr>
            <w:hyperlink r:id="rId192">
              <w:r>
                <w:rPr>
                  <w:rFonts w:ascii="Arial" w:cs="Arial" w:eastAsia="Arial" w:hAnsi="Arial"/>
                  <w:sz w:val="19"/>
                  <w:szCs w:val="19"/>
                  <w:color w:val="0000EE"/>
                </w:rPr>
                <w:t>Amendment to 2011 Stock Incentive Plan of Honeywell International Inc. and its Affiliates (incorporated by</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720" w:type="dxa"/>
            <w:vAlign w:val="bottom"/>
            <w:tcBorders>
              <w:top w:val="single" w:sz="8" w:color="0000EE"/>
              <w:bottom w:val="single" w:sz="8" w:color="0000EE"/>
            </w:tcBorders>
            <w:gridSpan w:val="7"/>
          </w:tcPr>
          <w:p>
            <w:pPr>
              <w:spacing w:after="0" w:line="196" w:lineRule="exact"/>
              <w:rPr>
                <w:rFonts w:ascii="Arial" w:cs="Arial" w:eastAsia="Arial" w:hAnsi="Arial"/>
                <w:sz w:val="19"/>
                <w:szCs w:val="19"/>
                <w:color w:val="0000EE"/>
              </w:rPr>
            </w:pPr>
            <w:hyperlink r:id="rId192">
              <w:r>
                <w:rPr>
                  <w:rFonts w:ascii="Arial" w:cs="Arial" w:eastAsia="Arial" w:hAnsi="Arial"/>
                  <w:sz w:val="19"/>
                  <w:szCs w:val="19"/>
                  <w:color w:val="0000EE"/>
                </w:rPr>
                <w:t>reference to Exhibit 10.1 to Honeywell’s Form 10-Q for the quarter ended March 31, 2014)</w:t>
              </w:r>
            </w:hyperlink>
          </w:p>
        </w:tc>
        <w:tc>
          <w:tcPr>
            <w:tcW w:w="1160" w:type="dxa"/>
            <w:vAlign w:val="bottom"/>
            <w:tcBorders>
              <w:top w:val="single" w:sz="8" w:color="0000EE"/>
            </w:tcBorders>
            <w:gridSpan w:val="14"/>
          </w:tcPr>
          <w:p>
            <w:pPr>
              <w:spacing w:after="0"/>
              <w:rPr>
                <w:sz w:val="17"/>
                <w:szCs w:val="17"/>
                <w:color w:val="auto"/>
              </w:rPr>
            </w:pPr>
          </w:p>
        </w:tc>
        <w:tc>
          <w:tcPr>
            <w:tcW w:w="400" w:type="dxa"/>
            <w:vAlign w:val="bottom"/>
            <w:gridSpan w:val="5"/>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10.41*</w:t>
            </w:r>
          </w:p>
        </w:tc>
        <w:tc>
          <w:tcPr>
            <w:tcW w:w="9460" w:type="dxa"/>
            <w:vAlign w:val="bottom"/>
            <w:gridSpan w:val="27"/>
          </w:tcPr>
          <w:p>
            <w:pPr>
              <w:spacing w:after="0" w:line="196" w:lineRule="exact"/>
              <w:rPr>
                <w:rFonts w:ascii="Arial" w:cs="Arial" w:eastAsia="Arial" w:hAnsi="Arial"/>
                <w:sz w:val="19"/>
                <w:szCs w:val="19"/>
                <w:color w:val="0000EE"/>
              </w:rPr>
            </w:pPr>
            <w:hyperlink r:id="rId193">
              <w:r>
                <w:rPr>
                  <w:rFonts w:ascii="Arial" w:cs="Arial" w:eastAsia="Arial" w:hAnsi="Arial"/>
                  <w:sz w:val="19"/>
                  <w:szCs w:val="19"/>
                  <w:color w:val="0000EE"/>
                </w:rPr>
                <w:t>2011 Stock Incentive Plan of Honeywell International Inc. and its Affiliates—Form of Restricted Unit</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300" w:type="dxa"/>
            <w:vAlign w:val="bottom"/>
            <w:gridSpan w:val="4"/>
            <w:shd w:val="clear" w:color="auto" w:fill="0000EE"/>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6"/>
          </w:tcPr>
          <w:p>
            <w:pPr>
              <w:spacing w:after="0" w:line="196" w:lineRule="exact"/>
              <w:rPr>
                <w:rFonts w:ascii="Arial" w:cs="Arial" w:eastAsia="Arial" w:hAnsi="Arial"/>
                <w:sz w:val="19"/>
                <w:szCs w:val="19"/>
                <w:color w:val="0000EE"/>
              </w:rPr>
            </w:pPr>
            <w:hyperlink r:id="rId193">
              <w:r>
                <w:rPr>
                  <w:rFonts w:ascii="Arial" w:cs="Arial" w:eastAsia="Arial" w:hAnsi="Arial"/>
                  <w:sz w:val="19"/>
                  <w:szCs w:val="19"/>
                  <w:color w:val="0000EE"/>
                </w:rPr>
                <w:t>Agreement (incorporated by reference to Exhibit 10.2 to Honeywell’s Form 10-Q for the quarter ended</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4"/>
          </w:tcPr>
          <w:p>
            <w:pPr>
              <w:spacing w:after="0" w:line="196" w:lineRule="exact"/>
              <w:rPr>
                <w:rFonts w:ascii="Arial" w:cs="Arial" w:eastAsia="Arial" w:hAnsi="Arial"/>
                <w:sz w:val="19"/>
                <w:szCs w:val="19"/>
                <w:color w:val="0000EE"/>
              </w:rPr>
            </w:pPr>
            <w:hyperlink r:id="rId193">
              <w:r>
                <w:rPr>
                  <w:rFonts w:ascii="Arial" w:cs="Arial" w:eastAsia="Arial" w:hAnsi="Arial"/>
                  <w:sz w:val="19"/>
                  <w:szCs w:val="19"/>
                  <w:color w:val="0000EE"/>
                </w:rPr>
                <w:t>March 31, 2014)</w:t>
              </w:r>
            </w:hyperlink>
          </w:p>
        </w:tc>
        <w:tc>
          <w:tcPr>
            <w:tcW w:w="7280" w:type="dxa"/>
            <w:vAlign w:val="bottom"/>
            <w:tcBorders>
              <w:top w:val="single" w:sz="8" w:color="0000EE"/>
            </w:tcBorders>
            <w:gridSpan w:val="12"/>
          </w:tcPr>
          <w:p>
            <w:pPr>
              <w:spacing w:after="0"/>
              <w:rPr>
                <w:sz w:val="17"/>
                <w:szCs w:val="17"/>
                <w:color w:val="auto"/>
              </w:rPr>
            </w:pPr>
          </w:p>
        </w:tc>
        <w:tc>
          <w:tcPr>
            <w:tcW w:w="580" w:type="dxa"/>
            <w:vAlign w:val="bottom"/>
            <w:gridSpan w:val="10"/>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10.42*</w:t>
            </w:r>
          </w:p>
        </w:tc>
        <w:tc>
          <w:tcPr>
            <w:tcW w:w="9460" w:type="dxa"/>
            <w:vAlign w:val="bottom"/>
            <w:gridSpan w:val="27"/>
          </w:tcPr>
          <w:p>
            <w:pPr>
              <w:spacing w:after="0" w:line="196" w:lineRule="exact"/>
              <w:rPr>
                <w:rFonts w:ascii="Arial" w:cs="Arial" w:eastAsia="Arial" w:hAnsi="Arial"/>
                <w:sz w:val="19"/>
                <w:szCs w:val="19"/>
                <w:color w:val="0000EE"/>
              </w:rPr>
            </w:pPr>
            <w:hyperlink r:id="rId194">
              <w:r>
                <w:rPr>
                  <w:rFonts w:ascii="Arial" w:cs="Arial" w:eastAsia="Arial" w:hAnsi="Arial"/>
                  <w:sz w:val="19"/>
                  <w:szCs w:val="19"/>
                  <w:color w:val="0000EE"/>
                </w:rPr>
                <w:t>2011 Stock Incentive Plan of Honeywell International Inc. and its Affiliates—Form of Restricted Unit</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300" w:type="dxa"/>
            <w:vAlign w:val="bottom"/>
            <w:gridSpan w:val="4"/>
            <w:shd w:val="clear" w:color="auto" w:fill="0000EE"/>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tcBorders>
              <w:bottom w:val="single" w:sz="8" w:color="0000EE"/>
            </w:tcBorders>
            <w:gridSpan w:val="20"/>
          </w:tcPr>
          <w:p>
            <w:pPr>
              <w:spacing w:after="0" w:line="196" w:lineRule="exact"/>
              <w:rPr>
                <w:rFonts w:ascii="Arial" w:cs="Arial" w:eastAsia="Arial" w:hAnsi="Arial"/>
                <w:sz w:val="19"/>
                <w:szCs w:val="19"/>
                <w:color w:val="0000EE"/>
              </w:rPr>
            </w:pPr>
            <w:hyperlink r:id="rId194">
              <w:r>
                <w:rPr>
                  <w:rFonts w:ascii="Arial" w:cs="Arial" w:eastAsia="Arial" w:hAnsi="Arial"/>
                  <w:sz w:val="19"/>
                  <w:szCs w:val="19"/>
                  <w:color w:val="0000EE"/>
                </w:rPr>
                <w:t>Agreement, Form 2 (incorporated by reference to Exhibit 10.3 to Honeywell’s Form 10-Q for the quarter</w:t>
              </w:r>
            </w:hyperlink>
          </w:p>
        </w:tc>
        <w:tc>
          <w:tcPr>
            <w:tcW w:w="440" w:type="dxa"/>
            <w:vAlign w:val="bottom"/>
            <w:gridSpan w:val="6"/>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6"/>
          </w:tcPr>
          <w:p>
            <w:pPr>
              <w:spacing w:after="0" w:line="196" w:lineRule="exact"/>
              <w:rPr>
                <w:rFonts w:ascii="Arial" w:cs="Arial" w:eastAsia="Arial" w:hAnsi="Arial"/>
                <w:sz w:val="19"/>
                <w:szCs w:val="19"/>
                <w:color w:val="0000EE"/>
              </w:rPr>
            </w:pPr>
            <w:hyperlink r:id="rId194">
              <w:r>
                <w:rPr>
                  <w:rFonts w:ascii="Arial" w:cs="Arial" w:eastAsia="Arial" w:hAnsi="Arial"/>
                  <w:sz w:val="19"/>
                  <w:szCs w:val="19"/>
                  <w:color w:val="0000EE"/>
                </w:rPr>
                <w:t>ended March 31, 2014)</w:t>
              </w:r>
            </w:hyperlink>
          </w:p>
        </w:tc>
        <w:tc>
          <w:tcPr>
            <w:tcW w:w="7280" w:type="dxa"/>
            <w:vAlign w:val="bottom"/>
            <w:gridSpan w:val="20"/>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10.43*</w:t>
            </w:r>
          </w:p>
        </w:tc>
        <w:tc>
          <w:tcPr>
            <w:tcW w:w="8940" w:type="dxa"/>
            <w:vAlign w:val="bottom"/>
            <w:tcBorders>
              <w:bottom w:val="single" w:sz="8" w:color="0000EE"/>
            </w:tcBorders>
            <w:gridSpan w:val="19"/>
          </w:tcPr>
          <w:p>
            <w:pPr>
              <w:spacing w:after="0" w:line="196" w:lineRule="exact"/>
              <w:rPr>
                <w:rFonts w:ascii="Arial" w:cs="Arial" w:eastAsia="Arial" w:hAnsi="Arial"/>
                <w:sz w:val="19"/>
                <w:szCs w:val="19"/>
                <w:color w:val="0000EE"/>
              </w:rPr>
            </w:pPr>
            <w:hyperlink r:id="rId195">
              <w:r>
                <w:rPr>
                  <w:rFonts w:ascii="Arial" w:cs="Arial" w:eastAsia="Arial" w:hAnsi="Arial"/>
                  <w:sz w:val="19"/>
                  <w:szCs w:val="19"/>
                  <w:color w:val="0000EE"/>
                </w:rPr>
                <w:t>2011 Stock Incentive Plan of Honeywell International Inc. and Its Affiliates—Form of Stock Option Award</w:t>
              </w:r>
            </w:hyperlink>
          </w:p>
        </w:tc>
        <w:tc>
          <w:tcPr>
            <w:tcW w:w="520" w:type="dxa"/>
            <w:vAlign w:val="bottom"/>
            <w:gridSpan w:val="8"/>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6"/>
          </w:tcPr>
          <w:p>
            <w:pPr>
              <w:spacing w:after="0" w:line="196" w:lineRule="exact"/>
              <w:rPr>
                <w:rFonts w:ascii="Arial" w:cs="Arial" w:eastAsia="Arial" w:hAnsi="Arial"/>
                <w:sz w:val="19"/>
                <w:szCs w:val="19"/>
                <w:color w:val="0000EE"/>
              </w:rPr>
            </w:pPr>
            <w:hyperlink r:id="rId195">
              <w:r>
                <w:rPr>
                  <w:rFonts w:ascii="Arial" w:cs="Arial" w:eastAsia="Arial" w:hAnsi="Arial"/>
                  <w:sz w:val="19"/>
                  <w:szCs w:val="19"/>
                  <w:color w:val="0000EE"/>
                </w:rPr>
                <w:t>Agreement (incorporated by reference to Exhibit 10.4 to Honeywell’s Form 10-Q for the quarter ended</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00" w:type="dxa"/>
            <w:vAlign w:val="bottom"/>
            <w:tcBorders>
              <w:top w:val="single" w:sz="8" w:color="0000EE"/>
            </w:tcBorders>
            <w:gridSpan w:val="16"/>
          </w:tcPr>
          <w:p>
            <w:pPr>
              <w:spacing w:after="0" w:line="196" w:lineRule="exact"/>
              <w:rPr>
                <w:rFonts w:ascii="Arial" w:cs="Arial" w:eastAsia="Arial" w:hAnsi="Arial"/>
                <w:sz w:val="19"/>
                <w:szCs w:val="19"/>
                <w:color w:val="0000EE"/>
              </w:rPr>
            </w:pPr>
            <w:hyperlink r:id="rId195">
              <w:r>
                <w:rPr>
                  <w:rFonts w:ascii="Arial" w:cs="Arial" w:eastAsia="Arial" w:hAnsi="Arial"/>
                  <w:sz w:val="19"/>
                  <w:szCs w:val="19"/>
                  <w:color w:val="0000EE"/>
                </w:rPr>
                <w:t>March 31, 2014)</w:t>
              </w:r>
            </w:hyperlink>
          </w:p>
        </w:tc>
        <w:tc>
          <w:tcPr>
            <w:tcW w:w="580" w:type="dxa"/>
            <w:vAlign w:val="bottom"/>
            <w:gridSpan w:val="10"/>
          </w:tcPr>
          <w:p>
            <w:pPr>
              <w:spacing w:after="0"/>
              <w:rPr>
                <w:sz w:val="17"/>
                <w:szCs w:val="17"/>
                <w:color w:val="auto"/>
              </w:rPr>
            </w:pPr>
          </w:p>
        </w:tc>
      </w:tr>
      <w:tr>
        <w:trPr>
          <w:trHeight w:val="592"/>
        </w:trPr>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Borders>
              <w:top w:val="single" w:sz="8" w:color="0000EE"/>
            </w:tcBorders>
            <w:gridSpan w:val="3"/>
          </w:tcPr>
          <w:p>
            <w:pPr>
              <w:spacing w:after="0"/>
              <w:rPr>
                <w:sz w:val="24"/>
                <w:szCs w:val="24"/>
                <w:color w:val="auto"/>
              </w:rPr>
            </w:pPr>
          </w:p>
        </w:tc>
        <w:tc>
          <w:tcPr>
            <w:tcW w:w="6320" w:type="dxa"/>
            <w:vAlign w:val="bottom"/>
            <w:gridSpan w:val="4"/>
          </w:tcPr>
          <w:p>
            <w:pPr>
              <w:jc w:val="right"/>
              <w:ind w:right="3901"/>
              <w:spacing w:after="0"/>
              <w:rPr>
                <w:sz w:val="20"/>
                <w:szCs w:val="20"/>
                <w:color w:val="auto"/>
              </w:rPr>
            </w:pPr>
            <w:r>
              <w:rPr>
                <w:rFonts w:ascii="Arial" w:cs="Arial" w:eastAsia="Arial" w:hAnsi="Arial"/>
                <w:sz w:val="19"/>
                <w:szCs w:val="19"/>
                <w:color w:val="auto"/>
              </w:rPr>
              <w:t>104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90"/>
        </w:trPr>
        <w:tc>
          <w:tcPr>
            <w:tcW w:w="1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320" w:type="dxa"/>
            <w:vAlign w:val="bottom"/>
            <w:tcBorders>
              <w:bottom w:val="single" w:sz="8" w:color="auto"/>
            </w:tcBorders>
            <w:gridSpan w:val="24"/>
          </w:tcPr>
          <w:p>
            <w:pPr>
              <w:ind w:left="2160"/>
              <w:spacing w:after="0"/>
              <w:rPr>
                <w:sz w:val="20"/>
                <w:szCs w:val="20"/>
                <w:color w:val="auto"/>
              </w:rPr>
            </w:pPr>
            <w:r>
              <w:rPr>
                <w:rFonts w:ascii="Arial" w:cs="Arial" w:eastAsia="Arial" w:hAnsi="Arial"/>
                <w:sz w:val="16"/>
                <w:szCs w:val="16"/>
                <w:b w:val="1"/>
                <w:bCs w:val="1"/>
                <w:color w:val="auto"/>
              </w:rPr>
              <w:t>Description</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10.44*</w:t>
            </w:r>
          </w:p>
        </w:tc>
        <w:tc>
          <w:tcPr>
            <w:tcW w:w="8940" w:type="dxa"/>
            <w:vAlign w:val="bottom"/>
            <w:tcBorders>
              <w:bottom w:val="single" w:sz="8" w:color="0000EE"/>
            </w:tcBorders>
            <w:gridSpan w:val="22"/>
          </w:tcPr>
          <w:p>
            <w:pPr>
              <w:spacing w:after="0" w:line="196" w:lineRule="exact"/>
              <w:rPr>
                <w:rFonts w:ascii="Arial" w:cs="Arial" w:eastAsia="Arial" w:hAnsi="Arial"/>
                <w:sz w:val="19"/>
                <w:szCs w:val="19"/>
                <w:color w:val="0000EE"/>
              </w:rPr>
            </w:pPr>
            <w:hyperlink r:id="rId198">
              <w:r>
                <w:rPr>
                  <w:rFonts w:ascii="Arial" w:cs="Arial" w:eastAsia="Arial" w:hAnsi="Arial"/>
                  <w:sz w:val="19"/>
                  <w:szCs w:val="19"/>
                  <w:color w:val="0000EE"/>
                </w:rPr>
                <w:t>2011 Stock Incentive Plan of Honeywell International Inc. and Its Affiliates—Form of Stock Option Award</w:t>
              </w:r>
            </w:hyperlink>
          </w:p>
        </w:tc>
        <w:tc>
          <w:tcPr>
            <w:tcW w:w="520" w:type="dxa"/>
            <w:vAlign w:val="bottom"/>
            <w:gridSpan w:val="10"/>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tcBorders>
              <w:bottom w:val="single" w:sz="8" w:color="0000EE"/>
            </w:tcBorders>
            <w:gridSpan w:val="31"/>
          </w:tcPr>
          <w:p>
            <w:pPr>
              <w:spacing w:after="0" w:line="196" w:lineRule="exact"/>
              <w:rPr>
                <w:rFonts w:ascii="Arial" w:cs="Arial" w:eastAsia="Arial" w:hAnsi="Arial"/>
                <w:sz w:val="19"/>
                <w:szCs w:val="19"/>
                <w:color w:val="0000EE"/>
              </w:rPr>
            </w:pPr>
            <w:hyperlink r:id="rId198">
              <w:r>
                <w:rPr>
                  <w:rFonts w:ascii="Arial" w:cs="Arial" w:eastAsia="Arial" w:hAnsi="Arial"/>
                  <w:sz w:val="19"/>
                  <w:szCs w:val="19"/>
                  <w:color w:val="0000EE"/>
                </w:rPr>
                <w:t>Agreement, Form 2 (incorporated by reference to Exhibit 10.39 to Honeywell’s Form 10-K for the year ended</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EE"/>
            </w:tcBorders>
            <w:gridSpan w:val="5"/>
          </w:tcPr>
          <w:p>
            <w:pPr>
              <w:spacing w:after="0" w:line="196" w:lineRule="exact"/>
              <w:rPr>
                <w:rFonts w:ascii="Arial" w:cs="Arial" w:eastAsia="Arial" w:hAnsi="Arial"/>
                <w:sz w:val="19"/>
                <w:szCs w:val="19"/>
                <w:color w:val="0000EE"/>
              </w:rPr>
            </w:pPr>
            <w:hyperlink r:id="rId198">
              <w:r>
                <w:rPr>
                  <w:rFonts w:ascii="Arial" w:cs="Arial" w:eastAsia="Arial" w:hAnsi="Arial"/>
                  <w:sz w:val="19"/>
                  <w:szCs w:val="19"/>
                  <w:color w:val="0000EE"/>
                </w:rPr>
                <w:t>December 31, 2014)</w:t>
              </w:r>
            </w:hyperlink>
          </w:p>
        </w:tc>
        <w:tc>
          <w:tcPr>
            <w:tcW w:w="7520" w:type="dxa"/>
            <w:vAlign w:val="bottom"/>
            <w:gridSpan w:val="26"/>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10.45*</w:t>
            </w:r>
          </w:p>
        </w:tc>
        <w:tc>
          <w:tcPr>
            <w:tcW w:w="9300" w:type="dxa"/>
            <w:vAlign w:val="bottom"/>
            <w:tcBorders>
              <w:bottom w:val="single" w:sz="8" w:color="0000EE"/>
            </w:tcBorders>
            <w:gridSpan w:val="30"/>
          </w:tcPr>
          <w:p>
            <w:pPr>
              <w:spacing w:after="0" w:line="196" w:lineRule="exact"/>
              <w:rPr>
                <w:rFonts w:ascii="Arial" w:cs="Arial" w:eastAsia="Arial" w:hAnsi="Arial"/>
                <w:sz w:val="19"/>
                <w:szCs w:val="19"/>
                <w:color w:val="0000EE"/>
              </w:rPr>
            </w:pPr>
            <w:hyperlink r:id="rId199">
              <w:r>
                <w:rPr>
                  <w:rFonts w:ascii="Arial" w:cs="Arial" w:eastAsia="Arial" w:hAnsi="Arial"/>
                  <w:sz w:val="19"/>
                  <w:szCs w:val="19"/>
                  <w:color w:val="0000EE"/>
                </w:rPr>
                <w:t>2011 Stock Incentive Plan of Honeywell International Inc. and Its Affiliates—Form of Growth Plan Agreement</w:t>
              </w:r>
            </w:hyperlink>
          </w:p>
        </w:tc>
        <w:tc>
          <w:tcPr>
            <w:tcW w:w="160" w:type="dxa"/>
            <w:vAlign w:val="bottom"/>
            <w:gridSpan w:val="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tcBorders>
              <w:bottom w:val="single" w:sz="8" w:color="0000EE"/>
            </w:tcBorders>
            <w:gridSpan w:val="30"/>
          </w:tcPr>
          <w:p>
            <w:pPr>
              <w:spacing w:after="0" w:line="196" w:lineRule="exact"/>
              <w:rPr>
                <w:rFonts w:ascii="Arial" w:cs="Arial" w:eastAsia="Arial" w:hAnsi="Arial"/>
                <w:sz w:val="19"/>
                <w:szCs w:val="19"/>
                <w:color w:val="0000EE"/>
              </w:rPr>
            </w:pPr>
            <w:hyperlink r:id="rId199">
              <w:r>
                <w:rPr>
                  <w:rFonts w:ascii="Arial" w:cs="Arial" w:eastAsia="Arial" w:hAnsi="Arial"/>
                  <w:sz w:val="19"/>
                  <w:szCs w:val="19"/>
                  <w:color w:val="0000EE"/>
                </w:rPr>
                <w:t>(incorporated by reference to Exhibit 10.5 to Honeywell’s Form 10-Q for the quarter ended March 31, 2014)</w:t>
              </w:r>
            </w:hyperlink>
          </w:p>
        </w:tc>
        <w:tc>
          <w:tcPr>
            <w:tcW w:w="100" w:type="dxa"/>
            <w:vAlign w:val="bottom"/>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10.46*</w:t>
            </w:r>
          </w:p>
        </w:tc>
        <w:tc>
          <w:tcPr>
            <w:tcW w:w="9220" w:type="dxa"/>
            <w:vAlign w:val="bottom"/>
            <w:tcBorders>
              <w:bottom w:val="single" w:sz="8" w:color="0000EE"/>
            </w:tcBorders>
            <w:gridSpan w:val="28"/>
          </w:tcPr>
          <w:p>
            <w:pPr>
              <w:spacing w:after="0" w:line="196" w:lineRule="exact"/>
              <w:rPr>
                <w:rFonts w:ascii="Arial" w:cs="Arial" w:eastAsia="Arial" w:hAnsi="Arial"/>
                <w:sz w:val="19"/>
                <w:szCs w:val="19"/>
                <w:color w:val="0000EE"/>
              </w:rPr>
            </w:pPr>
            <w:hyperlink r:id="rId200">
              <w:r>
                <w:rPr>
                  <w:rFonts w:ascii="Arial" w:cs="Arial" w:eastAsia="Arial" w:hAnsi="Arial"/>
                  <w:sz w:val="19"/>
                  <w:szCs w:val="19"/>
                  <w:color w:val="0000EE"/>
                </w:rPr>
                <w:t>2016 Stock Incentive Plan of Honeywell International Inc. and its Affiliates–Form of Performance Plan Grant</w:t>
              </w:r>
            </w:hyperlink>
          </w:p>
        </w:tc>
        <w:tc>
          <w:tcPr>
            <w:tcW w:w="24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31"/>
          </w:tcPr>
          <w:p>
            <w:pPr>
              <w:spacing w:after="0" w:line="196" w:lineRule="exact"/>
              <w:rPr>
                <w:rFonts w:ascii="Arial" w:cs="Arial" w:eastAsia="Arial" w:hAnsi="Arial"/>
                <w:sz w:val="19"/>
                <w:szCs w:val="19"/>
                <w:color w:val="0000EE"/>
              </w:rPr>
            </w:pPr>
            <w:hyperlink r:id="rId200">
              <w:r>
                <w:rPr>
                  <w:rFonts w:ascii="Arial" w:cs="Arial" w:eastAsia="Arial" w:hAnsi="Arial"/>
                  <w:sz w:val="19"/>
                  <w:szCs w:val="19"/>
                  <w:color w:val="0000EE"/>
                </w:rPr>
                <w:t>Agreement (incorporated by reference to Exhibit 10.2 to Honeywell’s Form 10-Q for the quarter ended</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00" w:type="dxa"/>
            <w:vAlign w:val="bottom"/>
            <w:tcBorders>
              <w:top w:val="single" w:sz="8" w:color="0000EE"/>
            </w:tcBorders>
            <w:gridSpan w:val="20"/>
          </w:tcPr>
          <w:p>
            <w:pPr>
              <w:spacing w:after="0" w:line="196" w:lineRule="exact"/>
              <w:rPr>
                <w:rFonts w:ascii="Arial" w:cs="Arial" w:eastAsia="Arial" w:hAnsi="Arial"/>
                <w:sz w:val="19"/>
                <w:szCs w:val="19"/>
                <w:color w:val="0000EE"/>
              </w:rPr>
            </w:pPr>
            <w:hyperlink r:id="rId200">
              <w:r>
                <w:rPr>
                  <w:rFonts w:ascii="Arial" w:cs="Arial" w:eastAsia="Arial" w:hAnsi="Arial"/>
                  <w:sz w:val="19"/>
                  <w:szCs w:val="19"/>
                  <w:color w:val="0000EE"/>
                </w:rPr>
                <w:t>March 31, 2017)</w:t>
              </w:r>
            </w:hyperlink>
          </w:p>
        </w:tc>
        <w:tc>
          <w:tcPr>
            <w:tcW w:w="580" w:type="dxa"/>
            <w:vAlign w:val="bottom"/>
            <w:gridSpan w:val="11"/>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10.47*</w:t>
            </w:r>
          </w:p>
        </w:tc>
        <w:tc>
          <w:tcPr>
            <w:tcW w:w="8280" w:type="dxa"/>
            <w:vAlign w:val="bottom"/>
            <w:tcBorders>
              <w:bottom w:val="single" w:sz="8" w:color="0000EE"/>
            </w:tcBorders>
            <w:gridSpan w:val="15"/>
          </w:tcPr>
          <w:p>
            <w:pPr>
              <w:spacing w:after="0" w:line="196" w:lineRule="exact"/>
              <w:rPr>
                <w:rFonts w:ascii="Arial" w:cs="Arial" w:eastAsia="Arial" w:hAnsi="Arial"/>
                <w:sz w:val="19"/>
                <w:szCs w:val="19"/>
                <w:color w:val="0000EE"/>
              </w:rPr>
            </w:pPr>
            <w:hyperlink r:id="rId201">
              <w:r>
                <w:rPr>
                  <w:rFonts w:ascii="Arial" w:cs="Arial" w:eastAsia="Arial" w:hAnsi="Arial"/>
                  <w:sz w:val="19"/>
                  <w:szCs w:val="19"/>
                  <w:color w:val="0000EE"/>
                </w:rPr>
                <w:t>Letter Agreement dated August 4, 2011 between Honeywell International Inc. and David M. Cote</w:t>
              </w:r>
            </w:hyperlink>
          </w:p>
        </w:tc>
        <w:tc>
          <w:tcPr>
            <w:tcW w:w="1180" w:type="dxa"/>
            <w:vAlign w:val="bottom"/>
            <w:gridSpan w:val="17"/>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40" w:type="dxa"/>
            <w:vAlign w:val="bottom"/>
            <w:tcBorders>
              <w:bottom w:val="single" w:sz="8" w:color="0000EE"/>
            </w:tcBorders>
            <w:gridSpan w:val="27"/>
          </w:tcPr>
          <w:p>
            <w:pPr>
              <w:spacing w:after="0" w:line="196" w:lineRule="exact"/>
              <w:rPr>
                <w:rFonts w:ascii="Arial" w:cs="Arial" w:eastAsia="Arial" w:hAnsi="Arial"/>
                <w:sz w:val="19"/>
                <w:szCs w:val="19"/>
                <w:color w:val="0000EE"/>
              </w:rPr>
            </w:pPr>
            <w:hyperlink r:id="rId201">
              <w:r>
                <w:rPr>
                  <w:rFonts w:ascii="Arial" w:cs="Arial" w:eastAsia="Arial" w:hAnsi="Arial"/>
                  <w:sz w:val="19"/>
                  <w:szCs w:val="19"/>
                  <w:color w:val="0000EE"/>
                </w:rPr>
                <w:t>(incorporated by reference to Exhibit 10.1 to Honeywell’s Form 10-Q for the quarter ended September 30,</w:t>
              </w:r>
            </w:hyperlink>
          </w:p>
        </w:tc>
        <w:tc>
          <w:tcPr>
            <w:tcW w:w="24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660" w:type="dxa"/>
            <w:vAlign w:val="bottom"/>
            <w:gridSpan w:val="2"/>
          </w:tcPr>
          <w:p>
            <w:pPr>
              <w:ind w:left="180"/>
              <w:spacing w:after="0" w:line="196" w:lineRule="exact"/>
              <w:rPr>
                <w:rFonts w:ascii="Arial" w:cs="Arial" w:eastAsia="Arial" w:hAnsi="Arial"/>
                <w:sz w:val="19"/>
                <w:szCs w:val="19"/>
                <w:color w:val="0000EE"/>
                <w:w w:val="94"/>
              </w:rPr>
            </w:pPr>
            <w:hyperlink r:id="rId201">
              <w:r>
                <w:rPr>
                  <w:rFonts w:ascii="Arial" w:cs="Arial" w:eastAsia="Arial" w:hAnsi="Arial"/>
                  <w:sz w:val="19"/>
                  <w:szCs w:val="19"/>
                  <w:color w:val="0000EE"/>
                  <w:w w:val="94"/>
                </w:rPr>
                <w:t>2011)</w:t>
              </w:r>
            </w:hyperlink>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10.48*</w:t>
            </w:r>
          </w:p>
        </w:tc>
        <w:tc>
          <w:tcPr>
            <w:tcW w:w="8500" w:type="dxa"/>
            <w:vAlign w:val="bottom"/>
            <w:tcBorders>
              <w:bottom w:val="single" w:sz="8" w:color="0000EE"/>
            </w:tcBorders>
            <w:gridSpan w:val="17"/>
          </w:tcPr>
          <w:p>
            <w:pPr>
              <w:spacing w:after="0" w:line="196" w:lineRule="exact"/>
              <w:rPr>
                <w:rFonts w:ascii="Arial" w:cs="Arial" w:eastAsia="Arial" w:hAnsi="Arial"/>
                <w:sz w:val="19"/>
                <w:szCs w:val="19"/>
                <w:color w:val="0000EE"/>
              </w:rPr>
            </w:pPr>
            <w:hyperlink r:id="rId202">
              <w:r>
                <w:rPr>
                  <w:rFonts w:ascii="Arial" w:cs="Arial" w:eastAsia="Arial" w:hAnsi="Arial"/>
                  <w:sz w:val="19"/>
                  <w:szCs w:val="19"/>
                  <w:color w:val="0000EE"/>
                </w:rPr>
                <w:t>Letter Agreement dated April 7, 2014 between Honeywell International Inc. and Thomas A. Szlosek</w:t>
              </w:r>
            </w:hyperlink>
          </w:p>
        </w:tc>
        <w:tc>
          <w:tcPr>
            <w:tcW w:w="960" w:type="dxa"/>
            <w:vAlign w:val="bottom"/>
            <w:gridSpan w:val="15"/>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tcBorders>
              <w:bottom w:val="single" w:sz="8" w:color="0000EE"/>
            </w:tcBorders>
            <w:gridSpan w:val="31"/>
          </w:tcPr>
          <w:p>
            <w:pPr>
              <w:spacing w:after="0" w:line="196" w:lineRule="exact"/>
              <w:rPr>
                <w:rFonts w:ascii="Arial" w:cs="Arial" w:eastAsia="Arial" w:hAnsi="Arial"/>
                <w:sz w:val="19"/>
                <w:szCs w:val="19"/>
                <w:color w:val="0000EE"/>
              </w:rPr>
            </w:pPr>
            <w:hyperlink r:id="rId202">
              <w:r>
                <w:rPr>
                  <w:rFonts w:ascii="Arial" w:cs="Arial" w:eastAsia="Arial" w:hAnsi="Arial"/>
                  <w:sz w:val="19"/>
                  <w:szCs w:val="19"/>
                  <w:color w:val="0000EE"/>
                </w:rPr>
                <w:t>(incorporated by reference to Exhibit 10.10 to Honeywell’s Form 10-Q for the quarter ended March 31, 2014)</w:t>
              </w:r>
            </w:hyperlink>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10.49*</w:t>
            </w:r>
          </w:p>
        </w:tc>
        <w:tc>
          <w:tcPr>
            <w:tcW w:w="9360" w:type="dxa"/>
            <w:vAlign w:val="bottom"/>
            <w:tcBorders>
              <w:bottom w:val="single" w:sz="8" w:color="0000EE"/>
            </w:tcBorders>
            <w:gridSpan w:val="31"/>
          </w:tcPr>
          <w:p>
            <w:pPr>
              <w:spacing w:after="0" w:line="196" w:lineRule="exact"/>
              <w:rPr>
                <w:rFonts w:ascii="Arial" w:cs="Arial" w:eastAsia="Arial" w:hAnsi="Arial"/>
                <w:sz w:val="19"/>
                <w:szCs w:val="19"/>
                <w:color w:val="0000EE"/>
              </w:rPr>
            </w:pPr>
            <w:hyperlink r:id="rId203">
              <w:r>
                <w:rPr>
                  <w:rFonts w:ascii="Arial" w:cs="Arial" w:eastAsia="Arial" w:hAnsi="Arial"/>
                  <w:sz w:val="19"/>
                  <w:szCs w:val="19"/>
                  <w:color w:val="0000EE"/>
                </w:rPr>
                <w:t>CEO Retention Agreement, as approved by the Board of Directors of Honeywell International Inc. on October</w:t>
              </w:r>
            </w:hyperlink>
          </w:p>
        </w:tc>
        <w:tc>
          <w:tcPr>
            <w:tcW w:w="10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tcBorders>
              <w:bottom w:val="single" w:sz="8" w:color="0000EE"/>
            </w:tcBorders>
            <w:gridSpan w:val="30"/>
          </w:tcPr>
          <w:p>
            <w:pPr>
              <w:spacing w:after="0" w:line="196" w:lineRule="exact"/>
              <w:rPr>
                <w:rFonts w:ascii="Arial" w:cs="Arial" w:eastAsia="Arial" w:hAnsi="Arial"/>
                <w:sz w:val="19"/>
                <w:szCs w:val="19"/>
                <w:color w:val="0000EE"/>
              </w:rPr>
            </w:pPr>
            <w:hyperlink r:id="rId203">
              <w:r>
                <w:rPr>
                  <w:rFonts w:ascii="Arial" w:cs="Arial" w:eastAsia="Arial" w:hAnsi="Arial"/>
                  <w:sz w:val="19"/>
                  <w:szCs w:val="19"/>
                  <w:color w:val="0000EE"/>
                </w:rPr>
                <w:t>31, 2014 and agreed to by David M. Cote on December 11, 2014 (incorporated by reference to Exhibit 99.2</w:t>
              </w:r>
            </w:hyperlink>
          </w:p>
        </w:tc>
        <w:tc>
          <w:tcPr>
            <w:tcW w:w="10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40" w:type="dxa"/>
            <w:vAlign w:val="bottom"/>
            <w:tcBorders>
              <w:bottom w:val="single" w:sz="8" w:color="0000EE"/>
            </w:tcBorders>
            <w:gridSpan w:val="9"/>
          </w:tcPr>
          <w:p>
            <w:pPr>
              <w:spacing w:after="0" w:line="196" w:lineRule="exact"/>
              <w:rPr>
                <w:rFonts w:ascii="Arial" w:cs="Arial" w:eastAsia="Arial" w:hAnsi="Arial"/>
                <w:sz w:val="19"/>
                <w:szCs w:val="19"/>
                <w:color w:val="0000EE"/>
              </w:rPr>
            </w:pPr>
            <w:hyperlink r:id="rId203">
              <w:r>
                <w:rPr>
                  <w:rFonts w:ascii="Arial" w:cs="Arial" w:eastAsia="Arial" w:hAnsi="Arial"/>
                  <w:sz w:val="19"/>
                  <w:szCs w:val="19"/>
                  <w:color w:val="0000EE"/>
                </w:rPr>
                <w:t>to Honeywell’s Form 8-K filed December 12, 2014)</w:t>
              </w:r>
            </w:hyperlink>
          </w:p>
        </w:tc>
        <w:tc>
          <w:tcPr>
            <w:tcW w:w="4940" w:type="dxa"/>
            <w:vAlign w:val="bottom"/>
            <w:gridSpan w:val="22"/>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10.50*</w:t>
            </w:r>
          </w:p>
        </w:tc>
        <w:tc>
          <w:tcPr>
            <w:tcW w:w="9460" w:type="dxa"/>
            <w:vAlign w:val="bottom"/>
            <w:gridSpan w:val="32"/>
          </w:tcPr>
          <w:p>
            <w:pPr>
              <w:spacing w:after="0" w:line="196" w:lineRule="exact"/>
              <w:rPr>
                <w:rFonts w:ascii="Arial" w:cs="Arial" w:eastAsia="Arial" w:hAnsi="Arial"/>
                <w:sz w:val="19"/>
                <w:szCs w:val="19"/>
                <w:color w:val="0000EE"/>
              </w:rPr>
            </w:pPr>
            <w:hyperlink r:id="rId204">
              <w:r>
                <w:rPr>
                  <w:rFonts w:ascii="Arial" w:cs="Arial" w:eastAsia="Arial" w:hAnsi="Arial"/>
                  <w:sz w:val="19"/>
                  <w:szCs w:val="19"/>
                  <w:color w:val="0000EE"/>
                </w:rPr>
                <w:t>Chief Executive Officer Business Continuity Agreement as approved by the Board of Directors of Honeywell</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31"/>
          </w:tcPr>
          <w:p>
            <w:pPr>
              <w:spacing w:after="0" w:line="196" w:lineRule="exact"/>
              <w:rPr>
                <w:rFonts w:ascii="Arial" w:cs="Arial" w:eastAsia="Arial" w:hAnsi="Arial"/>
                <w:sz w:val="19"/>
                <w:szCs w:val="19"/>
                <w:color w:val="0000EE"/>
              </w:rPr>
            </w:pPr>
            <w:hyperlink r:id="rId204">
              <w:r>
                <w:rPr>
                  <w:rFonts w:ascii="Arial" w:cs="Arial" w:eastAsia="Arial" w:hAnsi="Arial"/>
                  <w:sz w:val="19"/>
                  <w:szCs w:val="19"/>
                  <w:color w:val="0000EE"/>
                </w:rPr>
                <w:t>International Inc. on June 28, 2016 (incorporated by reference to Exhibit 99.1 to Honeywell’s Form 8-K filed</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tcBorders>
              <w:top w:val="single" w:sz="8" w:color="0000EE"/>
            </w:tcBorders>
            <w:gridSpan w:val="30"/>
          </w:tcPr>
          <w:p>
            <w:pPr>
              <w:spacing w:after="0" w:line="196" w:lineRule="exact"/>
              <w:rPr>
                <w:rFonts w:ascii="Arial" w:cs="Arial" w:eastAsia="Arial" w:hAnsi="Arial"/>
                <w:sz w:val="19"/>
                <w:szCs w:val="19"/>
                <w:color w:val="0000EE"/>
              </w:rPr>
            </w:pPr>
            <w:hyperlink r:id="rId204">
              <w:r>
                <w:rPr>
                  <w:rFonts w:ascii="Arial" w:cs="Arial" w:eastAsia="Arial" w:hAnsi="Arial"/>
                  <w:sz w:val="19"/>
                  <w:szCs w:val="19"/>
                  <w:color w:val="0000EE"/>
                </w:rPr>
                <w:t>June 28, 2016)</w:t>
              </w:r>
            </w:hyperlink>
          </w:p>
        </w:tc>
        <w:tc>
          <w:tcPr>
            <w:tcW w:w="10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10.51*</w:t>
            </w:r>
          </w:p>
        </w:tc>
        <w:tc>
          <w:tcPr>
            <w:tcW w:w="9360" w:type="dxa"/>
            <w:vAlign w:val="bottom"/>
            <w:tcBorders>
              <w:bottom w:val="single" w:sz="8" w:color="0000EE"/>
            </w:tcBorders>
            <w:gridSpan w:val="31"/>
          </w:tcPr>
          <w:p>
            <w:pPr>
              <w:spacing w:after="0" w:line="196" w:lineRule="exact"/>
              <w:rPr>
                <w:rFonts w:ascii="Arial" w:cs="Arial" w:eastAsia="Arial" w:hAnsi="Arial"/>
                <w:sz w:val="19"/>
                <w:szCs w:val="19"/>
                <w:color w:val="0000EE"/>
              </w:rPr>
            </w:pPr>
            <w:hyperlink r:id="rId205">
              <w:r>
                <w:rPr>
                  <w:rFonts w:ascii="Arial" w:cs="Arial" w:eastAsia="Arial" w:hAnsi="Arial"/>
                  <w:sz w:val="19"/>
                  <w:szCs w:val="19"/>
                  <w:color w:val="0000EE"/>
                </w:rPr>
                <w:t>Amendment to Chief Executive Officer Business Continuity Agreement as approved by the Board of Directors</w:t>
              </w:r>
            </w:hyperlink>
          </w:p>
        </w:tc>
        <w:tc>
          <w:tcPr>
            <w:tcW w:w="10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60" w:type="dxa"/>
            <w:vAlign w:val="bottom"/>
            <w:tcBorders>
              <w:bottom w:val="single" w:sz="8" w:color="0000EE"/>
            </w:tcBorders>
            <w:gridSpan w:val="28"/>
          </w:tcPr>
          <w:p>
            <w:pPr>
              <w:spacing w:after="0" w:line="196" w:lineRule="exact"/>
              <w:rPr>
                <w:rFonts w:ascii="Arial" w:cs="Arial" w:eastAsia="Arial" w:hAnsi="Arial"/>
                <w:sz w:val="19"/>
                <w:szCs w:val="19"/>
                <w:color w:val="0000EE"/>
              </w:rPr>
            </w:pPr>
            <w:hyperlink r:id="rId205">
              <w:r>
                <w:rPr>
                  <w:rFonts w:ascii="Arial" w:cs="Arial" w:eastAsia="Arial" w:hAnsi="Arial"/>
                  <w:sz w:val="19"/>
                  <w:szCs w:val="19"/>
                  <w:color w:val="0000EE"/>
                </w:rPr>
                <w:t>of Honeywell International Inc. on June 28, 2016 (incorporated by reference to Exhibit 10.1 to Honeywell’s</w:t>
              </w:r>
            </w:hyperlink>
          </w:p>
        </w:tc>
        <w:tc>
          <w:tcPr>
            <w:tcW w:w="220" w:type="dxa"/>
            <w:vAlign w:val="bottom"/>
            <w:gridSpan w:val="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8"/>
          </w:tcPr>
          <w:p>
            <w:pPr>
              <w:spacing w:after="0" w:line="196" w:lineRule="exact"/>
              <w:rPr>
                <w:rFonts w:ascii="Arial" w:cs="Arial" w:eastAsia="Arial" w:hAnsi="Arial"/>
                <w:sz w:val="19"/>
                <w:szCs w:val="19"/>
                <w:color w:val="0000EE"/>
              </w:rPr>
            </w:pPr>
            <w:hyperlink r:id="rId205">
              <w:r>
                <w:rPr>
                  <w:rFonts w:ascii="Arial" w:cs="Arial" w:eastAsia="Arial" w:hAnsi="Arial"/>
                  <w:sz w:val="19"/>
                  <w:szCs w:val="19"/>
                  <w:color w:val="0000EE"/>
                </w:rPr>
                <w:t>Form 10-Q for the quarter ended March 31, 2017)</w:t>
              </w:r>
            </w:hyperlink>
          </w:p>
        </w:tc>
        <w:tc>
          <w:tcPr>
            <w:tcW w:w="5020" w:type="dxa"/>
            <w:vAlign w:val="bottom"/>
            <w:gridSpan w:val="23"/>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10.52*</w:t>
            </w:r>
          </w:p>
        </w:tc>
        <w:tc>
          <w:tcPr>
            <w:tcW w:w="8800" w:type="dxa"/>
            <w:vAlign w:val="bottom"/>
            <w:tcBorders>
              <w:bottom w:val="single" w:sz="8" w:color="0000EE"/>
            </w:tcBorders>
            <w:gridSpan w:val="19"/>
          </w:tcPr>
          <w:p>
            <w:pPr>
              <w:spacing w:after="0" w:line="196" w:lineRule="exact"/>
              <w:rPr>
                <w:rFonts w:ascii="Arial" w:cs="Arial" w:eastAsia="Arial" w:hAnsi="Arial"/>
                <w:sz w:val="19"/>
                <w:szCs w:val="19"/>
                <w:color w:val="0000EE"/>
              </w:rPr>
            </w:pPr>
            <w:hyperlink r:id="rId206">
              <w:r>
                <w:rPr>
                  <w:rFonts w:ascii="Arial" w:cs="Arial" w:eastAsia="Arial" w:hAnsi="Arial"/>
                  <w:sz w:val="19"/>
                  <w:szCs w:val="19"/>
                  <w:color w:val="0000EE"/>
                </w:rPr>
                <w:t>Letter Agreement dated February 24, 2012 between Honeywell and Darius Adamczyk (incorporated by</w:t>
              </w:r>
            </w:hyperlink>
          </w:p>
        </w:tc>
        <w:tc>
          <w:tcPr>
            <w:tcW w:w="660" w:type="dxa"/>
            <w:vAlign w:val="bottom"/>
            <w:gridSpan w:val="1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20" w:type="dxa"/>
            <w:vAlign w:val="bottom"/>
            <w:tcBorders>
              <w:bottom w:val="single" w:sz="8" w:color="0000EE"/>
            </w:tcBorders>
            <w:gridSpan w:val="12"/>
          </w:tcPr>
          <w:p>
            <w:pPr>
              <w:spacing w:after="0" w:line="196" w:lineRule="exact"/>
              <w:rPr>
                <w:rFonts w:ascii="Arial" w:cs="Arial" w:eastAsia="Arial" w:hAnsi="Arial"/>
                <w:sz w:val="19"/>
                <w:szCs w:val="19"/>
                <w:color w:val="0000EE"/>
              </w:rPr>
            </w:pPr>
            <w:hyperlink r:id="rId206">
              <w:r>
                <w:rPr>
                  <w:rFonts w:ascii="Arial" w:cs="Arial" w:eastAsia="Arial" w:hAnsi="Arial"/>
                  <w:sz w:val="19"/>
                  <w:szCs w:val="19"/>
                  <w:color w:val="0000EE"/>
                </w:rPr>
                <w:t>reference to Exhibit 10.1 to Honeywell’s Form 10-Q for the quarter ended March 31, 2016)</w:t>
              </w:r>
            </w:hyperlink>
          </w:p>
        </w:tc>
        <w:tc>
          <w:tcPr>
            <w:tcW w:w="1560" w:type="dxa"/>
            <w:vAlign w:val="bottom"/>
            <w:gridSpan w:val="19"/>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10.53*</w:t>
            </w:r>
          </w:p>
        </w:tc>
        <w:tc>
          <w:tcPr>
            <w:tcW w:w="8960" w:type="dxa"/>
            <w:vAlign w:val="bottom"/>
            <w:tcBorders>
              <w:bottom w:val="single" w:sz="8" w:color="0000EE"/>
            </w:tcBorders>
            <w:gridSpan w:val="23"/>
          </w:tcPr>
          <w:p>
            <w:pPr>
              <w:spacing w:after="0" w:line="196" w:lineRule="exact"/>
              <w:rPr>
                <w:rFonts w:ascii="Arial" w:cs="Arial" w:eastAsia="Arial" w:hAnsi="Arial"/>
                <w:sz w:val="19"/>
                <w:szCs w:val="19"/>
                <w:color w:val="0000EE"/>
              </w:rPr>
            </w:pPr>
            <w:hyperlink r:id="rId207">
              <w:r>
                <w:rPr>
                  <w:rFonts w:ascii="Arial" w:cs="Arial" w:eastAsia="Arial" w:hAnsi="Arial"/>
                  <w:sz w:val="19"/>
                  <w:szCs w:val="19"/>
                  <w:color w:val="0000EE"/>
                </w:rPr>
                <w:t>Offer letter dated March 31, 2016 from Honeywell International Inc. to Darius Adamczyk (incorporated by</w:t>
              </w:r>
            </w:hyperlink>
          </w:p>
        </w:tc>
        <w:tc>
          <w:tcPr>
            <w:tcW w:w="500" w:type="dxa"/>
            <w:vAlign w:val="bottom"/>
            <w:gridSpan w:val="9"/>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Borders>
              <w:bottom w:val="single" w:sz="8" w:color="0000EE"/>
            </w:tcBorders>
            <w:gridSpan w:val="10"/>
          </w:tcPr>
          <w:p>
            <w:pPr>
              <w:spacing w:after="0" w:line="196" w:lineRule="exact"/>
              <w:rPr>
                <w:rFonts w:ascii="Arial" w:cs="Arial" w:eastAsia="Arial" w:hAnsi="Arial"/>
                <w:sz w:val="19"/>
                <w:szCs w:val="19"/>
                <w:color w:val="0000EE"/>
              </w:rPr>
            </w:pPr>
            <w:hyperlink r:id="rId207">
              <w:r>
                <w:rPr>
                  <w:rFonts w:ascii="Arial" w:cs="Arial" w:eastAsia="Arial" w:hAnsi="Arial"/>
                  <w:sz w:val="19"/>
                  <w:szCs w:val="19"/>
                  <w:color w:val="0000EE"/>
                </w:rPr>
                <w:t>reference to Exhibit 99.1 to Honeywell’s Form 8-K filed April 6, 2016)</w:t>
              </w:r>
            </w:hyperlink>
          </w:p>
        </w:tc>
        <w:tc>
          <w:tcPr>
            <w:tcW w:w="3400" w:type="dxa"/>
            <w:vAlign w:val="bottom"/>
            <w:gridSpan w:val="21"/>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10.54*</w:t>
            </w:r>
          </w:p>
        </w:tc>
        <w:tc>
          <w:tcPr>
            <w:tcW w:w="9080" w:type="dxa"/>
            <w:vAlign w:val="bottom"/>
            <w:tcBorders>
              <w:bottom w:val="single" w:sz="8" w:color="0000EE"/>
            </w:tcBorders>
            <w:gridSpan w:val="26"/>
          </w:tcPr>
          <w:p>
            <w:pPr>
              <w:spacing w:after="0" w:line="196" w:lineRule="exact"/>
              <w:rPr>
                <w:rFonts w:ascii="Arial" w:cs="Arial" w:eastAsia="Arial" w:hAnsi="Arial"/>
                <w:sz w:val="19"/>
                <w:szCs w:val="19"/>
                <w:color w:val="0000EE"/>
              </w:rPr>
            </w:pPr>
            <w:hyperlink r:id="rId208">
              <w:r>
                <w:rPr>
                  <w:rFonts w:ascii="Arial" w:cs="Arial" w:eastAsia="Arial" w:hAnsi="Arial"/>
                  <w:sz w:val="19"/>
                  <w:szCs w:val="19"/>
                  <w:color w:val="0000EE"/>
                </w:rPr>
                <w:t>Employment Offer Letter dated March 1, 2017 between Honeywell and Darius Adamczyk (incorporated by</w:t>
              </w:r>
            </w:hyperlink>
          </w:p>
        </w:tc>
        <w:tc>
          <w:tcPr>
            <w:tcW w:w="380" w:type="dxa"/>
            <w:vAlign w:val="bottom"/>
            <w:gridSpan w:val="6"/>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31"/>
          </w:tcPr>
          <w:p>
            <w:pPr>
              <w:spacing w:after="0" w:line="196" w:lineRule="exact"/>
              <w:rPr>
                <w:rFonts w:ascii="Arial" w:cs="Arial" w:eastAsia="Arial" w:hAnsi="Arial"/>
                <w:sz w:val="19"/>
                <w:szCs w:val="19"/>
                <w:color w:val="0000EE"/>
              </w:rPr>
            </w:pPr>
            <w:hyperlink r:id="rId208">
              <w:r>
                <w:rPr>
                  <w:rFonts w:ascii="Arial" w:cs="Arial" w:eastAsia="Arial" w:hAnsi="Arial"/>
                  <w:sz w:val="19"/>
                  <w:szCs w:val="19"/>
                  <w:color w:val="0000EE"/>
                </w:rPr>
                <w:t>reference to Exhibit 99.1 to Honeywell’s Form 8-K filed March 6, 2017)</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60" w:type="dxa"/>
            <w:vAlign w:val="bottom"/>
            <w:gridSpan w:val="4"/>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10.55*</w:t>
            </w:r>
          </w:p>
        </w:tc>
        <w:tc>
          <w:tcPr>
            <w:tcW w:w="9060" w:type="dxa"/>
            <w:vAlign w:val="bottom"/>
            <w:tcBorders>
              <w:bottom w:val="single" w:sz="8" w:color="0000EE"/>
            </w:tcBorders>
            <w:gridSpan w:val="25"/>
          </w:tcPr>
          <w:p>
            <w:pPr>
              <w:spacing w:after="0" w:line="196" w:lineRule="exact"/>
              <w:rPr>
                <w:rFonts w:ascii="Arial" w:cs="Arial" w:eastAsia="Arial" w:hAnsi="Arial"/>
                <w:sz w:val="19"/>
                <w:szCs w:val="19"/>
                <w:color w:val="0000EE"/>
              </w:rPr>
            </w:pPr>
            <w:hyperlink r:id="rId209">
              <w:r>
                <w:rPr>
                  <w:rFonts w:ascii="Arial" w:cs="Arial" w:eastAsia="Arial" w:hAnsi="Arial"/>
                  <w:sz w:val="19"/>
                  <w:szCs w:val="19"/>
                  <w:color w:val="0000EE"/>
                </w:rPr>
                <w:t>Offer letter dated March 11, 2013 from Honeywell International Inc. to Krishna Mikkilineni (incorporated by</w:t>
              </w:r>
            </w:hyperlink>
          </w:p>
        </w:tc>
        <w:tc>
          <w:tcPr>
            <w:tcW w:w="400" w:type="dxa"/>
            <w:vAlign w:val="bottom"/>
            <w:gridSpan w:val="7"/>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31"/>
          </w:tcPr>
          <w:p>
            <w:pPr>
              <w:spacing w:after="0" w:line="196" w:lineRule="exact"/>
              <w:rPr>
                <w:rFonts w:ascii="Arial" w:cs="Arial" w:eastAsia="Arial" w:hAnsi="Arial"/>
                <w:sz w:val="19"/>
                <w:szCs w:val="19"/>
                <w:color w:val="0000EE"/>
              </w:rPr>
            </w:pPr>
            <w:hyperlink r:id="rId209">
              <w:r>
                <w:rPr>
                  <w:rFonts w:ascii="Arial" w:cs="Arial" w:eastAsia="Arial" w:hAnsi="Arial"/>
                  <w:sz w:val="19"/>
                  <w:szCs w:val="19"/>
                  <w:color w:val="0000EE"/>
                </w:rPr>
                <w:t>reference to Exhibit 10.43 to Honeywell’s Form 10-K for the year ended December 31, 2016)</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960" w:type="dxa"/>
            <w:vAlign w:val="bottom"/>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10.56*</w:t>
            </w:r>
          </w:p>
        </w:tc>
        <w:tc>
          <w:tcPr>
            <w:tcW w:w="8840" w:type="dxa"/>
            <w:vAlign w:val="bottom"/>
            <w:tcBorders>
              <w:bottom w:val="single" w:sz="8" w:color="0000EE"/>
            </w:tcBorders>
            <w:gridSpan w:val="20"/>
          </w:tcPr>
          <w:p>
            <w:pPr>
              <w:spacing w:after="0" w:line="196" w:lineRule="exact"/>
              <w:rPr>
                <w:rFonts w:ascii="Arial" w:cs="Arial" w:eastAsia="Arial" w:hAnsi="Arial"/>
                <w:sz w:val="19"/>
                <w:szCs w:val="19"/>
                <w:color w:val="0000EE"/>
              </w:rPr>
            </w:pPr>
            <w:hyperlink r:id="rId210">
              <w:r>
                <w:rPr>
                  <w:rFonts w:ascii="Arial" w:cs="Arial" w:eastAsia="Arial" w:hAnsi="Arial"/>
                  <w:sz w:val="19"/>
                  <w:szCs w:val="19"/>
                  <w:color w:val="0000EE"/>
                </w:rPr>
                <w:t>2016 Stock Incentive Plan of Honeywell International Inc. and its Affiliates (incorporated by reference to</w:t>
              </w:r>
            </w:hyperlink>
          </w:p>
        </w:tc>
        <w:tc>
          <w:tcPr>
            <w:tcW w:w="620" w:type="dxa"/>
            <w:vAlign w:val="bottom"/>
            <w:gridSpan w:val="1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17"/>
          </w:tcPr>
          <w:p>
            <w:pPr>
              <w:spacing w:after="0" w:line="196" w:lineRule="exact"/>
              <w:rPr>
                <w:rFonts w:ascii="Arial" w:cs="Arial" w:eastAsia="Arial" w:hAnsi="Arial"/>
                <w:sz w:val="19"/>
                <w:szCs w:val="19"/>
                <w:color w:val="0000EE"/>
              </w:rPr>
            </w:pPr>
            <w:hyperlink r:id="rId210">
              <w:r>
                <w:rPr>
                  <w:rFonts w:ascii="Arial" w:cs="Arial" w:eastAsia="Arial" w:hAnsi="Arial"/>
                  <w:sz w:val="19"/>
                  <w:szCs w:val="19"/>
                  <w:color w:val="0000EE"/>
                </w:rPr>
                <w:t>Honeywell’s Proxy Statement, dated March 10, 2016, filed pursuant to Rule 14a-6 of the Securities</w:t>
              </w:r>
            </w:hyperlink>
          </w:p>
        </w:tc>
        <w:tc>
          <w:tcPr>
            <w:tcW w:w="840" w:type="dxa"/>
            <w:vAlign w:val="bottom"/>
            <w:gridSpan w:val="1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Borders>
              <w:bottom w:val="single" w:sz="8" w:color="0000EE"/>
            </w:tcBorders>
            <w:gridSpan w:val="7"/>
          </w:tcPr>
          <w:p>
            <w:pPr>
              <w:spacing w:after="0" w:line="196" w:lineRule="exact"/>
              <w:rPr>
                <w:rFonts w:ascii="Arial" w:cs="Arial" w:eastAsia="Arial" w:hAnsi="Arial"/>
                <w:sz w:val="19"/>
                <w:szCs w:val="19"/>
                <w:color w:val="0000EE"/>
              </w:rPr>
            </w:pPr>
            <w:hyperlink r:id="rId210">
              <w:r>
                <w:rPr>
                  <w:rFonts w:ascii="Arial" w:cs="Arial" w:eastAsia="Arial" w:hAnsi="Arial"/>
                  <w:sz w:val="19"/>
                  <w:szCs w:val="19"/>
                  <w:color w:val="0000EE"/>
                </w:rPr>
                <w:t>Exchange Act of 1934)</w:t>
              </w:r>
            </w:hyperlink>
          </w:p>
        </w:tc>
        <w:tc>
          <w:tcPr>
            <w:tcW w:w="7320" w:type="dxa"/>
            <w:vAlign w:val="bottom"/>
            <w:gridSpan w:val="24"/>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10.57*</w:t>
            </w:r>
          </w:p>
        </w:tc>
        <w:tc>
          <w:tcPr>
            <w:tcW w:w="9460" w:type="dxa"/>
            <w:vAlign w:val="bottom"/>
            <w:gridSpan w:val="32"/>
          </w:tcPr>
          <w:p>
            <w:pPr>
              <w:spacing w:after="0" w:line="196" w:lineRule="exact"/>
              <w:rPr>
                <w:rFonts w:ascii="Arial" w:cs="Arial" w:eastAsia="Arial" w:hAnsi="Arial"/>
                <w:sz w:val="19"/>
                <w:szCs w:val="19"/>
                <w:color w:val="0000EE"/>
              </w:rPr>
            </w:pPr>
            <w:hyperlink r:id="rId211">
              <w:r>
                <w:rPr>
                  <w:rFonts w:ascii="Arial" w:cs="Arial" w:eastAsia="Arial" w:hAnsi="Arial"/>
                  <w:sz w:val="19"/>
                  <w:szCs w:val="19"/>
                  <w:color w:val="0000EE"/>
                </w:rPr>
                <w:t>2016 Stock Incentive Plan of Honeywell International Inc. and its Affiliates—Form of Restricted Unit</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6420" w:type="dxa"/>
            <w:vAlign w:val="bottom"/>
            <w:gridSpan w:val="9"/>
            <w:shd w:val="clear" w:color="auto" w:fill="0000EE"/>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31"/>
          </w:tcPr>
          <w:p>
            <w:pPr>
              <w:spacing w:after="0" w:line="196" w:lineRule="exact"/>
              <w:rPr>
                <w:rFonts w:ascii="Arial" w:cs="Arial" w:eastAsia="Arial" w:hAnsi="Arial"/>
                <w:sz w:val="19"/>
                <w:szCs w:val="19"/>
                <w:color w:val="0000EE"/>
              </w:rPr>
            </w:pPr>
            <w:hyperlink r:id="rId211">
              <w:r>
                <w:rPr>
                  <w:rFonts w:ascii="Arial" w:cs="Arial" w:eastAsia="Arial" w:hAnsi="Arial"/>
                  <w:sz w:val="19"/>
                  <w:szCs w:val="19"/>
                  <w:color w:val="0000EE"/>
                </w:rPr>
                <w:t>Agreement (incorporated by reference to Exhibit 10.1 to Honeywell’s Form 10-Q for the quarter ended June</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460" w:type="dxa"/>
            <w:vAlign w:val="bottom"/>
            <w:gridSpan w:val="4"/>
          </w:tcPr>
          <w:p>
            <w:pPr>
              <w:ind w:left="180"/>
              <w:spacing w:after="0" w:line="196" w:lineRule="exact"/>
              <w:rPr>
                <w:rFonts w:ascii="Arial" w:cs="Arial" w:eastAsia="Arial" w:hAnsi="Arial"/>
                <w:sz w:val="19"/>
                <w:szCs w:val="19"/>
                <w:color w:val="0000EE"/>
              </w:rPr>
            </w:pPr>
            <w:hyperlink r:id="rId211">
              <w:r>
                <w:rPr>
                  <w:rFonts w:ascii="Arial" w:cs="Arial" w:eastAsia="Arial" w:hAnsi="Arial"/>
                  <w:sz w:val="19"/>
                  <w:szCs w:val="19"/>
                  <w:color w:val="0000EE"/>
                </w:rPr>
                <w:t>30, 2016)</w:t>
              </w:r>
            </w:hyperlink>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960" w:type="dxa"/>
            <w:vAlign w:val="bottom"/>
            <w:gridSpan w:val="17"/>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10.58*</w:t>
            </w:r>
          </w:p>
        </w:tc>
        <w:tc>
          <w:tcPr>
            <w:tcW w:w="9460" w:type="dxa"/>
            <w:vAlign w:val="bottom"/>
            <w:gridSpan w:val="32"/>
          </w:tcPr>
          <w:p>
            <w:pPr>
              <w:spacing w:after="0" w:line="196" w:lineRule="exact"/>
              <w:rPr>
                <w:rFonts w:ascii="Arial" w:cs="Arial" w:eastAsia="Arial" w:hAnsi="Arial"/>
                <w:sz w:val="19"/>
                <w:szCs w:val="19"/>
                <w:color w:val="0000EE"/>
              </w:rPr>
            </w:pPr>
            <w:hyperlink r:id="rId212">
              <w:r>
                <w:rPr>
                  <w:rFonts w:ascii="Arial" w:cs="Arial" w:eastAsia="Arial" w:hAnsi="Arial"/>
                  <w:sz w:val="19"/>
                  <w:szCs w:val="19"/>
                  <w:color w:val="0000EE"/>
                </w:rPr>
                <w:t>2016 Stock Incentive Plan of Honeywell International Inc. and its Affiliates—Form of Restricted Unit</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6420" w:type="dxa"/>
            <w:vAlign w:val="bottom"/>
            <w:gridSpan w:val="9"/>
            <w:shd w:val="clear" w:color="auto" w:fill="0000EE"/>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tcBorders>
              <w:bottom w:val="single" w:sz="8" w:color="0000EE"/>
            </w:tcBorders>
            <w:gridSpan w:val="23"/>
          </w:tcPr>
          <w:p>
            <w:pPr>
              <w:spacing w:after="0" w:line="196" w:lineRule="exact"/>
              <w:rPr>
                <w:rFonts w:ascii="Arial" w:cs="Arial" w:eastAsia="Arial" w:hAnsi="Arial"/>
                <w:sz w:val="19"/>
                <w:szCs w:val="19"/>
                <w:color w:val="0000EE"/>
              </w:rPr>
            </w:pPr>
            <w:hyperlink r:id="rId212">
              <w:r>
                <w:rPr>
                  <w:rFonts w:ascii="Arial" w:cs="Arial" w:eastAsia="Arial" w:hAnsi="Arial"/>
                  <w:sz w:val="19"/>
                  <w:szCs w:val="19"/>
                  <w:color w:val="0000EE"/>
                </w:rPr>
                <w:t>Agreement, Form 2 (incorporated by reference to Exhibit 10.2 to Honeywell’s Form 10-Q for the quarter</w:t>
              </w:r>
            </w:hyperlink>
          </w:p>
        </w:tc>
        <w:tc>
          <w:tcPr>
            <w:tcW w:w="440" w:type="dxa"/>
            <w:vAlign w:val="bottom"/>
            <w:gridSpan w:val="8"/>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9"/>
                <w:szCs w:val="19"/>
                <w:color w:val="0000EE"/>
              </w:rPr>
            </w:pPr>
            <w:hyperlink r:id="rId212">
              <w:r>
                <w:rPr>
                  <w:rFonts w:ascii="Arial" w:cs="Arial" w:eastAsia="Arial" w:hAnsi="Arial"/>
                  <w:sz w:val="19"/>
                  <w:szCs w:val="19"/>
                  <w:color w:val="0000EE"/>
                </w:rPr>
                <w:t>ended June 30, 2016)</w:t>
              </w:r>
            </w:hyperlink>
          </w:p>
        </w:tc>
        <w:tc>
          <w:tcPr>
            <w:tcW w:w="7400" w:type="dxa"/>
            <w:vAlign w:val="bottom"/>
            <w:gridSpan w:val="25"/>
          </w:tcPr>
          <w:p>
            <w:pPr>
              <w:spacing w:after="0"/>
              <w:rPr>
                <w:sz w:val="17"/>
                <w:szCs w:val="17"/>
                <w:color w:val="auto"/>
              </w:rPr>
            </w:pPr>
          </w:p>
        </w:tc>
      </w:tr>
      <w:tr>
        <w:trPr>
          <w:trHeight w:val="592"/>
        </w:trPr>
        <w:tc>
          <w:tcPr>
            <w:tcW w:w="1960" w:type="dxa"/>
            <w:vAlign w:val="bottom"/>
          </w:tcPr>
          <w:p>
            <w:pPr>
              <w:spacing w:after="0"/>
              <w:rPr>
                <w:sz w:val="24"/>
                <w:szCs w:val="24"/>
                <w:color w:val="auto"/>
              </w:rPr>
            </w:pPr>
          </w:p>
        </w:tc>
        <w:tc>
          <w:tcPr>
            <w:tcW w:w="4440" w:type="dxa"/>
            <w:vAlign w:val="bottom"/>
            <w:gridSpan w:val="9"/>
          </w:tcPr>
          <w:p>
            <w:pPr>
              <w:ind w:left="3600"/>
              <w:spacing w:after="0"/>
              <w:rPr>
                <w:sz w:val="20"/>
                <w:szCs w:val="20"/>
                <w:color w:val="auto"/>
              </w:rPr>
            </w:pPr>
            <w:r>
              <w:rPr>
                <w:rFonts w:ascii="Arial" w:cs="Arial" w:eastAsia="Arial" w:hAnsi="Arial"/>
                <w:sz w:val="19"/>
                <w:szCs w:val="19"/>
                <w:color w:val="auto"/>
              </w:rPr>
              <w:t>105</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90"/>
        </w:trPr>
        <w:tc>
          <w:tcPr>
            <w:tcW w:w="1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gridSpan w:val="23"/>
          </w:tcPr>
          <w:p>
            <w:pPr>
              <w:ind w:left="520"/>
              <w:spacing w:after="0"/>
              <w:rPr>
                <w:sz w:val="20"/>
                <w:szCs w:val="20"/>
                <w:color w:val="auto"/>
              </w:rPr>
            </w:pPr>
            <w:r>
              <w:rPr>
                <w:rFonts w:ascii="Arial" w:cs="Arial" w:eastAsia="Arial" w:hAnsi="Arial"/>
                <w:sz w:val="16"/>
                <w:szCs w:val="16"/>
                <w:b w:val="1"/>
                <w:bCs w:val="1"/>
                <w:color w:val="auto"/>
              </w:rPr>
              <w:t>Description</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10.59*</w:t>
            </w:r>
          </w:p>
        </w:tc>
        <w:tc>
          <w:tcPr>
            <w:tcW w:w="8940" w:type="dxa"/>
            <w:vAlign w:val="bottom"/>
            <w:tcBorders>
              <w:bottom w:val="single" w:sz="8" w:color="0000EE"/>
            </w:tcBorders>
            <w:gridSpan w:val="17"/>
          </w:tcPr>
          <w:p>
            <w:pPr>
              <w:spacing w:after="0" w:line="196" w:lineRule="exact"/>
              <w:rPr>
                <w:rFonts w:ascii="Arial" w:cs="Arial" w:eastAsia="Arial" w:hAnsi="Arial"/>
                <w:sz w:val="19"/>
                <w:szCs w:val="19"/>
                <w:color w:val="0000EE"/>
              </w:rPr>
            </w:pPr>
            <w:hyperlink r:id="rId215">
              <w:r>
                <w:rPr>
                  <w:rFonts w:ascii="Arial" w:cs="Arial" w:eastAsia="Arial" w:hAnsi="Arial"/>
                  <w:sz w:val="19"/>
                  <w:szCs w:val="19"/>
                  <w:color w:val="0000EE"/>
                </w:rPr>
                <w:t>2016 Stock Incentive Plan of Honeywell International Inc. and its Affiliates—Form of Stock Option Award</w:t>
              </w:r>
            </w:hyperlink>
          </w:p>
        </w:tc>
        <w:tc>
          <w:tcPr>
            <w:tcW w:w="520" w:type="dxa"/>
            <w:vAlign w:val="bottom"/>
            <w:gridSpan w:val="10"/>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6"/>
          </w:tcPr>
          <w:p>
            <w:pPr>
              <w:spacing w:after="0" w:line="196" w:lineRule="exact"/>
              <w:rPr>
                <w:rFonts w:ascii="Arial" w:cs="Arial" w:eastAsia="Arial" w:hAnsi="Arial"/>
                <w:sz w:val="19"/>
                <w:szCs w:val="19"/>
                <w:color w:val="0000EE"/>
              </w:rPr>
            </w:pPr>
            <w:hyperlink r:id="rId215">
              <w:r>
                <w:rPr>
                  <w:rFonts w:ascii="Arial" w:cs="Arial" w:eastAsia="Arial" w:hAnsi="Arial"/>
                  <w:sz w:val="19"/>
                  <w:szCs w:val="19"/>
                  <w:color w:val="0000EE"/>
                </w:rPr>
                <w:t>Agreement (incorporated by reference to Exhibit 10.3 to Honeywell’s Form 10-Q for the quarter ended June</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000" w:type="dxa"/>
            <w:vAlign w:val="bottom"/>
            <w:gridSpan w:val="2"/>
          </w:tcPr>
          <w:p>
            <w:pPr>
              <w:ind w:left="180"/>
              <w:spacing w:after="0" w:line="196" w:lineRule="exact"/>
              <w:rPr>
                <w:rFonts w:ascii="Arial" w:cs="Arial" w:eastAsia="Arial" w:hAnsi="Arial"/>
                <w:sz w:val="19"/>
                <w:szCs w:val="19"/>
                <w:color w:val="0000EE"/>
                <w:w w:val="99"/>
              </w:rPr>
            </w:pPr>
            <w:hyperlink r:id="rId215">
              <w:r>
                <w:rPr>
                  <w:rFonts w:ascii="Arial" w:cs="Arial" w:eastAsia="Arial" w:hAnsi="Arial"/>
                  <w:sz w:val="19"/>
                  <w:szCs w:val="19"/>
                  <w:color w:val="0000EE"/>
                  <w:w w:val="99"/>
                </w:rPr>
                <w:t>30, 2016)</w:t>
              </w:r>
            </w:hyperlink>
          </w:p>
        </w:tc>
        <w:tc>
          <w:tcPr>
            <w:tcW w:w="9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10.60*</w:t>
            </w:r>
          </w:p>
        </w:tc>
        <w:tc>
          <w:tcPr>
            <w:tcW w:w="9460" w:type="dxa"/>
            <w:vAlign w:val="bottom"/>
            <w:gridSpan w:val="27"/>
          </w:tcPr>
          <w:p>
            <w:pPr>
              <w:spacing w:after="0" w:line="196" w:lineRule="exact"/>
              <w:rPr>
                <w:rFonts w:ascii="Arial" w:cs="Arial" w:eastAsia="Arial" w:hAnsi="Arial"/>
                <w:sz w:val="19"/>
                <w:szCs w:val="19"/>
                <w:color w:val="0000EE"/>
              </w:rPr>
            </w:pPr>
            <w:hyperlink r:id="rId210">
              <w:r>
                <w:rPr>
                  <w:rFonts w:ascii="Arial" w:cs="Arial" w:eastAsia="Arial" w:hAnsi="Arial"/>
                  <w:sz w:val="19"/>
                  <w:szCs w:val="19"/>
                  <w:color w:val="0000EE"/>
                </w:rPr>
                <w:t>2016 Stock Plan for Non-Employee Directors (incorporated by reference to Honeywell’s Proxy Statement,</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840" w:type="dxa"/>
            <w:vAlign w:val="bottom"/>
            <w:tcBorders>
              <w:top w:val="single" w:sz="8" w:color="0000EE"/>
              <w:bottom w:val="single" w:sz="8" w:color="0000EE"/>
            </w:tcBorders>
            <w:gridSpan w:val="9"/>
          </w:tcPr>
          <w:p>
            <w:pPr>
              <w:spacing w:after="0" w:line="196" w:lineRule="exact"/>
              <w:rPr>
                <w:rFonts w:ascii="Arial" w:cs="Arial" w:eastAsia="Arial" w:hAnsi="Arial"/>
                <w:sz w:val="19"/>
                <w:szCs w:val="19"/>
                <w:color w:val="0000EE"/>
              </w:rPr>
            </w:pPr>
            <w:hyperlink r:id="rId210">
              <w:r>
                <w:rPr>
                  <w:rFonts w:ascii="Arial" w:cs="Arial" w:eastAsia="Arial" w:hAnsi="Arial"/>
                  <w:sz w:val="19"/>
                  <w:szCs w:val="19"/>
                  <w:color w:val="0000EE"/>
                </w:rPr>
                <w:t>dated March 10, 2016, filed pursuant to Rule 14a-6 of the Securities Exchange Act of 1934)</w:t>
              </w:r>
            </w:hyperlink>
          </w:p>
        </w:tc>
        <w:tc>
          <w:tcPr>
            <w:tcW w:w="1000" w:type="dxa"/>
            <w:vAlign w:val="bottom"/>
            <w:tcBorders>
              <w:top w:val="single" w:sz="8" w:color="0000EE"/>
            </w:tcBorders>
            <w:gridSpan w:val="9"/>
          </w:tcPr>
          <w:p>
            <w:pPr>
              <w:spacing w:after="0"/>
              <w:rPr>
                <w:sz w:val="17"/>
                <w:szCs w:val="17"/>
                <w:color w:val="auto"/>
              </w:rPr>
            </w:pPr>
          </w:p>
        </w:tc>
        <w:tc>
          <w:tcPr>
            <w:tcW w:w="440" w:type="dxa"/>
            <w:vAlign w:val="bottom"/>
            <w:gridSpan w:val="8"/>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10.61*</w:t>
            </w:r>
          </w:p>
        </w:tc>
        <w:tc>
          <w:tcPr>
            <w:tcW w:w="9460" w:type="dxa"/>
            <w:vAlign w:val="bottom"/>
            <w:gridSpan w:val="27"/>
          </w:tcPr>
          <w:p>
            <w:pPr>
              <w:spacing w:after="0" w:line="196" w:lineRule="exact"/>
              <w:rPr>
                <w:rFonts w:ascii="Arial" w:cs="Arial" w:eastAsia="Arial" w:hAnsi="Arial"/>
                <w:sz w:val="19"/>
                <w:szCs w:val="19"/>
                <w:color w:val="0000EE"/>
              </w:rPr>
            </w:pPr>
            <w:hyperlink r:id="rId216">
              <w:r>
                <w:rPr>
                  <w:rFonts w:ascii="Arial" w:cs="Arial" w:eastAsia="Arial" w:hAnsi="Arial"/>
                  <w:sz w:val="19"/>
                  <w:szCs w:val="19"/>
                  <w:color w:val="0000EE"/>
                </w:rPr>
                <w:t>2016 Stock Plan for Non-Employee Directors of Honeywell International Inc.—Form of Stock Option Award</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560" w:type="dxa"/>
            <w:vAlign w:val="bottom"/>
            <w:tcBorders>
              <w:top w:val="single" w:sz="8" w:color="0000EE"/>
              <w:bottom w:val="single" w:sz="8" w:color="0000EE"/>
            </w:tcBorders>
            <w:gridSpan w:val="13"/>
          </w:tcPr>
          <w:p>
            <w:pPr>
              <w:spacing w:after="0" w:line="196" w:lineRule="exact"/>
              <w:rPr>
                <w:rFonts w:ascii="Arial" w:cs="Arial" w:eastAsia="Arial" w:hAnsi="Arial"/>
                <w:sz w:val="19"/>
                <w:szCs w:val="19"/>
                <w:color w:val="0000EE"/>
              </w:rPr>
            </w:pPr>
            <w:hyperlink r:id="rId216">
              <w:r>
                <w:rPr>
                  <w:rFonts w:ascii="Arial" w:cs="Arial" w:eastAsia="Arial" w:hAnsi="Arial"/>
                  <w:sz w:val="19"/>
                  <w:szCs w:val="19"/>
                  <w:color w:val="0000EE"/>
                </w:rPr>
                <w:t>Agreement (incorporated by reference to Exhibit 10.74 to Honeywell’s Form 10-K for the year ended</w:t>
              </w:r>
            </w:hyperlink>
          </w:p>
        </w:tc>
        <w:tc>
          <w:tcPr>
            <w:tcW w:w="380" w:type="dxa"/>
            <w:vAlign w:val="bottom"/>
            <w:tcBorders>
              <w:top w:val="single" w:sz="8" w:color="0000EE"/>
            </w:tcBorders>
            <w:gridSpan w:val="7"/>
          </w:tcPr>
          <w:p>
            <w:pPr>
              <w:spacing w:after="0"/>
              <w:rPr>
                <w:sz w:val="17"/>
                <w:szCs w:val="17"/>
                <w:color w:val="auto"/>
              </w:rPr>
            </w:pPr>
          </w:p>
        </w:tc>
        <w:tc>
          <w:tcPr>
            <w:tcW w:w="340" w:type="dxa"/>
            <w:vAlign w:val="bottom"/>
            <w:gridSpan w:val="6"/>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EE"/>
            </w:tcBorders>
            <w:gridSpan w:val="2"/>
          </w:tcPr>
          <w:p>
            <w:pPr>
              <w:spacing w:after="0" w:line="196" w:lineRule="exact"/>
              <w:rPr>
                <w:rFonts w:ascii="Arial" w:cs="Arial" w:eastAsia="Arial" w:hAnsi="Arial"/>
                <w:sz w:val="19"/>
                <w:szCs w:val="19"/>
                <w:color w:val="0000EE"/>
              </w:rPr>
            </w:pPr>
            <w:hyperlink r:id="rId216">
              <w:r>
                <w:rPr>
                  <w:rFonts w:ascii="Arial" w:cs="Arial" w:eastAsia="Arial" w:hAnsi="Arial"/>
                  <w:sz w:val="19"/>
                  <w:szCs w:val="19"/>
                  <w:color w:val="0000EE"/>
                </w:rPr>
                <w:t>December 31, 2017)</w:t>
              </w:r>
            </w:hyperlink>
          </w:p>
        </w:tc>
        <w:tc>
          <w:tcPr>
            <w:tcW w:w="7520" w:type="dxa"/>
            <w:vAlign w:val="bottom"/>
            <w:gridSpan w:val="24"/>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10.62*</w:t>
            </w:r>
          </w:p>
        </w:tc>
        <w:tc>
          <w:tcPr>
            <w:tcW w:w="8700" w:type="dxa"/>
            <w:vAlign w:val="bottom"/>
            <w:tcBorders>
              <w:bottom w:val="single" w:sz="8" w:color="0000EE"/>
            </w:tcBorders>
            <w:gridSpan w:val="13"/>
          </w:tcPr>
          <w:p>
            <w:pPr>
              <w:spacing w:after="0" w:line="196" w:lineRule="exact"/>
              <w:rPr>
                <w:rFonts w:ascii="Arial" w:cs="Arial" w:eastAsia="Arial" w:hAnsi="Arial"/>
                <w:sz w:val="19"/>
                <w:szCs w:val="19"/>
                <w:color w:val="0000EE"/>
              </w:rPr>
            </w:pPr>
            <w:hyperlink r:id="rId217">
              <w:r>
                <w:rPr>
                  <w:rFonts w:ascii="Arial" w:cs="Arial" w:eastAsia="Arial" w:hAnsi="Arial"/>
                  <w:sz w:val="19"/>
                  <w:szCs w:val="19"/>
                  <w:color w:val="0000EE"/>
                </w:rPr>
                <w:t>2016 Stock Plan for Non-Employee Directors of Honeywell International Inc.—Form of Restricted Unit</w:t>
              </w:r>
            </w:hyperlink>
          </w:p>
        </w:tc>
        <w:tc>
          <w:tcPr>
            <w:tcW w:w="760" w:type="dxa"/>
            <w:vAlign w:val="bottom"/>
            <w:gridSpan w:val="1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6"/>
          </w:tcPr>
          <w:p>
            <w:pPr>
              <w:spacing w:after="0" w:line="196" w:lineRule="exact"/>
              <w:rPr>
                <w:rFonts w:ascii="Arial" w:cs="Arial" w:eastAsia="Arial" w:hAnsi="Arial"/>
                <w:sz w:val="19"/>
                <w:szCs w:val="19"/>
                <w:color w:val="0000EE"/>
              </w:rPr>
            </w:pPr>
            <w:hyperlink r:id="rId217">
              <w:r>
                <w:rPr>
                  <w:rFonts w:ascii="Arial" w:cs="Arial" w:eastAsia="Arial" w:hAnsi="Arial"/>
                  <w:sz w:val="19"/>
                  <w:szCs w:val="19"/>
                  <w:color w:val="0000EE"/>
                </w:rPr>
                <w:t>Agreement (incorporated by reference to Exhibit 10.6 to Honeywell’s Form 10-Q for the quarter ended June</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000" w:type="dxa"/>
            <w:vAlign w:val="bottom"/>
            <w:gridSpan w:val="2"/>
          </w:tcPr>
          <w:p>
            <w:pPr>
              <w:ind w:left="180"/>
              <w:spacing w:after="0" w:line="196" w:lineRule="exact"/>
              <w:rPr>
                <w:rFonts w:ascii="Arial" w:cs="Arial" w:eastAsia="Arial" w:hAnsi="Arial"/>
                <w:sz w:val="19"/>
                <w:szCs w:val="19"/>
                <w:color w:val="0000EE"/>
                <w:w w:val="99"/>
              </w:rPr>
            </w:pPr>
            <w:hyperlink r:id="rId217">
              <w:r>
                <w:rPr>
                  <w:rFonts w:ascii="Arial" w:cs="Arial" w:eastAsia="Arial" w:hAnsi="Arial"/>
                  <w:sz w:val="19"/>
                  <w:szCs w:val="19"/>
                  <w:color w:val="0000EE"/>
                  <w:w w:val="99"/>
                </w:rPr>
                <w:t>30, 2016)</w:t>
              </w:r>
            </w:hyperlink>
          </w:p>
        </w:tc>
        <w:tc>
          <w:tcPr>
            <w:tcW w:w="9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10.63*</w:t>
            </w:r>
          </w:p>
        </w:tc>
        <w:tc>
          <w:tcPr>
            <w:tcW w:w="9360" w:type="dxa"/>
            <w:vAlign w:val="bottom"/>
            <w:tcBorders>
              <w:bottom w:val="single" w:sz="8" w:color="0000EE"/>
            </w:tcBorders>
            <w:gridSpan w:val="26"/>
          </w:tcPr>
          <w:p>
            <w:pPr>
              <w:spacing w:after="0" w:line="196" w:lineRule="exact"/>
              <w:rPr>
                <w:rFonts w:ascii="Arial" w:cs="Arial" w:eastAsia="Arial" w:hAnsi="Arial"/>
                <w:sz w:val="19"/>
                <w:szCs w:val="19"/>
                <w:color w:val="0000EE"/>
              </w:rPr>
            </w:pPr>
            <w:hyperlink r:id="rId218">
              <w:r>
                <w:rPr>
                  <w:rFonts w:ascii="Arial" w:cs="Arial" w:eastAsia="Arial" w:hAnsi="Arial"/>
                  <w:sz w:val="19"/>
                  <w:szCs w:val="19"/>
                  <w:color w:val="0000EE"/>
                </w:rPr>
                <w:t>UOP LLC Supplemental Pension Plan, as amended and restated (incorporated by reference to Exhibit 10.76</w:t>
              </w:r>
            </w:hyperlink>
          </w:p>
        </w:tc>
        <w:tc>
          <w:tcPr>
            <w:tcW w:w="10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60" w:type="dxa"/>
            <w:vAlign w:val="bottom"/>
            <w:tcBorders>
              <w:bottom w:val="single" w:sz="8" w:color="0000EE"/>
            </w:tcBorders>
            <w:gridSpan w:val="5"/>
          </w:tcPr>
          <w:p>
            <w:pPr>
              <w:spacing w:after="0" w:line="196" w:lineRule="exact"/>
              <w:rPr>
                <w:rFonts w:ascii="Arial" w:cs="Arial" w:eastAsia="Arial" w:hAnsi="Arial"/>
                <w:sz w:val="19"/>
                <w:szCs w:val="19"/>
                <w:color w:val="0000EE"/>
              </w:rPr>
            </w:pPr>
            <w:hyperlink r:id="rId218">
              <w:r>
                <w:rPr>
                  <w:rFonts w:ascii="Arial" w:cs="Arial" w:eastAsia="Arial" w:hAnsi="Arial"/>
                  <w:sz w:val="19"/>
                  <w:szCs w:val="19"/>
                  <w:color w:val="0000EE"/>
                </w:rPr>
                <w:t>to Honeywell’s 10-K for the year ended December 31, 2017)</w:t>
              </w:r>
            </w:hyperlink>
          </w:p>
        </w:tc>
        <w:tc>
          <w:tcPr>
            <w:tcW w:w="4120" w:type="dxa"/>
            <w:vAlign w:val="bottom"/>
            <w:gridSpan w:val="21"/>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10.64*</w:t>
            </w:r>
          </w:p>
        </w:tc>
        <w:tc>
          <w:tcPr>
            <w:tcW w:w="9240" w:type="dxa"/>
            <w:vAlign w:val="bottom"/>
            <w:tcBorders>
              <w:bottom w:val="single" w:sz="8" w:color="0000EE"/>
            </w:tcBorders>
            <w:gridSpan w:val="24"/>
          </w:tcPr>
          <w:p>
            <w:pPr>
              <w:spacing w:after="0" w:line="196" w:lineRule="exact"/>
              <w:rPr>
                <w:rFonts w:ascii="Arial" w:cs="Arial" w:eastAsia="Arial" w:hAnsi="Arial"/>
                <w:sz w:val="19"/>
                <w:szCs w:val="19"/>
                <w:color w:val="0000EE"/>
              </w:rPr>
            </w:pPr>
            <w:hyperlink r:id="rId219">
              <w:r>
                <w:rPr>
                  <w:rFonts w:ascii="Arial" w:cs="Arial" w:eastAsia="Arial" w:hAnsi="Arial"/>
                  <w:sz w:val="19"/>
                  <w:szCs w:val="19"/>
                  <w:color w:val="0000EE"/>
                </w:rPr>
                <w:t>Letter Agreement dated April 1, 2016 between Honeywell and Rajeev Gautam (incorporated by reference to</w:t>
              </w:r>
            </w:hyperlink>
          </w:p>
        </w:tc>
        <w:tc>
          <w:tcPr>
            <w:tcW w:w="220" w:type="dxa"/>
            <w:vAlign w:val="bottom"/>
            <w:gridSpan w:val="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6"/>
          </w:tcPr>
          <w:p>
            <w:pPr>
              <w:spacing w:after="0" w:line="196" w:lineRule="exact"/>
              <w:rPr>
                <w:rFonts w:ascii="Arial" w:cs="Arial" w:eastAsia="Arial" w:hAnsi="Arial"/>
                <w:sz w:val="19"/>
                <w:szCs w:val="19"/>
                <w:color w:val="0000EE"/>
              </w:rPr>
            </w:pPr>
            <w:hyperlink r:id="rId219">
              <w:r>
                <w:rPr>
                  <w:rFonts w:ascii="Arial" w:cs="Arial" w:eastAsia="Arial" w:hAnsi="Arial"/>
                  <w:sz w:val="19"/>
                  <w:szCs w:val="19"/>
                  <w:color w:val="0000EE"/>
                </w:rPr>
                <w:t>Exhibit 10.1 to Honeywell’s Form 10-Q for the quarter ended March 31, 2018)</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10.65*</w:t>
            </w:r>
          </w:p>
        </w:tc>
        <w:tc>
          <w:tcPr>
            <w:tcW w:w="8940" w:type="dxa"/>
            <w:vAlign w:val="bottom"/>
            <w:tcBorders>
              <w:bottom w:val="single" w:sz="8" w:color="0000EE"/>
            </w:tcBorders>
            <w:gridSpan w:val="17"/>
          </w:tcPr>
          <w:p>
            <w:pPr>
              <w:spacing w:after="0" w:line="196" w:lineRule="exact"/>
              <w:rPr>
                <w:rFonts w:ascii="Arial" w:cs="Arial" w:eastAsia="Arial" w:hAnsi="Arial"/>
                <w:sz w:val="19"/>
                <w:szCs w:val="19"/>
                <w:color w:val="0000EE"/>
              </w:rPr>
            </w:pPr>
            <w:hyperlink r:id="rId220">
              <w:r>
                <w:rPr>
                  <w:rFonts w:ascii="Arial" w:cs="Arial" w:eastAsia="Arial" w:hAnsi="Arial"/>
                  <w:sz w:val="19"/>
                  <w:szCs w:val="19"/>
                  <w:color w:val="0000EE"/>
                </w:rPr>
                <w:t>Letter Agreement dated July 27, 2018 between Honeywell and Greg Lewis (incorporated by reference to</w:t>
              </w:r>
            </w:hyperlink>
          </w:p>
        </w:tc>
        <w:tc>
          <w:tcPr>
            <w:tcW w:w="520" w:type="dxa"/>
            <w:vAlign w:val="bottom"/>
            <w:gridSpan w:val="10"/>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0" w:type="dxa"/>
            <w:vAlign w:val="bottom"/>
            <w:tcBorders>
              <w:bottom w:val="single" w:sz="8" w:color="0000EE"/>
            </w:tcBorders>
            <w:gridSpan w:val="4"/>
          </w:tcPr>
          <w:p>
            <w:pPr>
              <w:spacing w:after="0" w:line="196" w:lineRule="exact"/>
              <w:rPr>
                <w:rFonts w:ascii="Arial" w:cs="Arial" w:eastAsia="Arial" w:hAnsi="Arial"/>
                <w:sz w:val="19"/>
                <w:szCs w:val="19"/>
                <w:color w:val="0000EE"/>
              </w:rPr>
            </w:pPr>
            <w:hyperlink r:id="rId220">
              <w:r>
                <w:rPr>
                  <w:rFonts w:ascii="Arial" w:cs="Arial" w:eastAsia="Arial" w:hAnsi="Arial"/>
                  <w:sz w:val="19"/>
                  <w:szCs w:val="19"/>
                  <w:color w:val="0000EE"/>
                </w:rPr>
                <w:t>Exhibit 99.1 to Honeywell’s Form 8-K filed August 2, 2018)</w:t>
              </w:r>
            </w:hyperlink>
          </w:p>
        </w:tc>
        <w:tc>
          <w:tcPr>
            <w:tcW w:w="4280" w:type="dxa"/>
            <w:vAlign w:val="bottom"/>
            <w:gridSpan w:val="22"/>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10.66*</w:t>
            </w:r>
          </w:p>
        </w:tc>
        <w:tc>
          <w:tcPr>
            <w:tcW w:w="9140" w:type="dxa"/>
            <w:vAlign w:val="bottom"/>
            <w:tcBorders>
              <w:bottom w:val="single" w:sz="8" w:color="0000EE"/>
            </w:tcBorders>
            <w:gridSpan w:val="22"/>
          </w:tcPr>
          <w:p>
            <w:pPr>
              <w:spacing w:after="0" w:line="196" w:lineRule="exact"/>
              <w:rPr>
                <w:rFonts w:ascii="Arial" w:cs="Arial" w:eastAsia="Arial" w:hAnsi="Arial"/>
                <w:sz w:val="19"/>
                <w:szCs w:val="19"/>
                <w:color w:val="0000EE"/>
              </w:rPr>
            </w:pPr>
            <w:hyperlink r:id="rId221">
              <w:r>
                <w:rPr>
                  <w:rFonts w:ascii="Arial" w:cs="Arial" w:eastAsia="Arial" w:hAnsi="Arial"/>
                  <w:sz w:val="19"/>
                  <w:szCs w:val="19"/>
                  <w:color w:val="0000EE"/>
                </w:rPr>
                <w:t>Retirement Agreement dated August 3, 2018 between Honeywell and Thomas A. Szlosek (incorporated by</w:t>
              </w:r>
            </w:hyperlink>
          </w:p>
        </w:tc>
        <w:tc>
          <w:tcPr>
            <w:tcW w:w="320" w:type="dxa"/>
            <w:vAlign w:val="bottom"/>
            <w:gridSpan w:val="5"/>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6"/>
          </w:tcPr>
          <w:p>
            <w:pPr>
              <w:spacing w:after="0" w:line="196" w:lineRule="exact"/>
              <w:rPr>
                <w:rFonts w:ascii="Arial" w:cs="Arial" w:eastAsia="Arial" w:hAnsi="Arial"/>
                <w:sz w:val="19"/>
                <w:szCs w:val="19"/>
                <w:color w:val="0000EE"/>
              </w:rPr>
            </w:pPr>
            <w:hyperlink r:id="rId221">
              <w:r>
                <w:rPr>
                  <w:rFonts w:ascii="Arial" w:cs="Arial" w:eastAsia="Arial" w:hAnsi="Arial"/>
                  <w:sz w:val="19"/>
                  <w:szCs w:val="19"/>
                  <w:color w:val="0000EE"/>
                </w:rPr>
                <w:t>reference to Exhibit 99.2 to Honeywell’s Form 8-K filed August 2, 2018)</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10.67</w:t>
            </w:r>
          </w:p>
        </w:tc>
        <w:tc>
          <w:tcPr>
            <w:tcW w:w="9460" w:type="dxa"/>
            <w:vAlign w:val="bottom"/>
            <w:gridSpan w:val="27"/>
          </w:tcPr>
          <w:p>
            <w:pPr>
              <w:spacing w:after="0" w:line="196" w:lineRule="exact"/>
              <w:rPr>
                <w:rFonts w:ascii="Arial" w:cs="Arial" w:eastAsia="Arial" w:hAnsi="Arial"/>
                <w:sz w:val="19"/>
                <w:szCs w:val="19"/>
                <w:color w:val="0000EE"/>
              </w:rPr>
            </w:pPr>
            <w:hyperlink r:id="rId222">
              <w:r>
                <w:rPr>
                  <w:rFonts w:ascii="Arial" w:cs="Arial" w:eastAsia="Arial" w:hAnsi="Arial"/>
                  <w:sz w:val="19"/>
                  <w:szCs w:val="19"/>
                  <w:color w:val="0000EE"/>
                </w:rPr>
                <w:t>364-Day Credit Agreement, dated as of February 16, 2018, among Honeywell International Inc., the banks,</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460" w:type="dxa"/>
            <w:vAlign w:val="bottom"/>
            <w:tcBorders>
              <w:top w:val="single" w:sz="8" w:color="0000EE"/>
              <w:bottom w:val="single" w:sz="8" w:color="0000EE"/>
            </w:tcBorders>
            <w:gridSpan w:val="11"/>
          </w:tcPr>
          <w:p>
            <w:pPr>
              <w:spacing w:after="0" w:line="196" w:lineRule="exact"/>
              <w:rPr>
                <w:rFonts w:ascii="Arial" w:cs="Arial" w:eastAsia="Arial" w:hAnsi="Arial"/>
                <w:sz w:val="19"/>
                <w:szCs w:val="19"/>
                <w:color w:val="0000EE"/>
              </w:rPr>
            </w:pPr>
            <w:hyperlink r:id="rId222">
              <w:r>
                <w:rPr>
                  <w:rFonts w:ascii="Arial" w:cs="Arial" w:eastAsia="Arial" w:hAnsi="Arial"/>
                  <w:sz w:val="19"/>
                  <w:szCs w:val="19"/>
                  <w:color w:val="0000EE"/>
                </w:rPr>
                <w:t>financial institutions and other institutional lenders parties thereto, JPMorgan Chase Bank, N.A., as</w:t>
              </w:r>
            </w:hyperlink>
          </w:p>
        </w:tc>
        <w:tc>
          <w:tcPr>
            <w:tcW w:w="500" w:type="dxa"/>
            <w:vAlign w:val="bottom"/>
            <w:tcBorders>
              <w:top w:val="single" w:sz="8" w:color="0000EE"/>
            </w:tcBorders>
            <w:gridSpan w:val="10"/>
          </w:tcPr>
          <w:p>
            <w:pPr>
              <w:spacing w:after="0"/>
              <w:rPr>
                <w:sz w:val="17"/>
                <w:szCs w:val="17"/>
                <w:color w:val="auto"/>
              </w:rPr>
            </w:pPr>
          </w:p>
        </w:tc>
        <w:tc>
          <w:tcPr>
            <w:tcW w:w="320" w:type="dxa"/>
            <w:vAlign w:val="bottom"/>
            <w:gridSpan w:val="5"/>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6"/>
          </w:tcPr>
          <w:p>
            <w:pPr>
              <w:spacing w:after="0" w:line="196" w:lineRule="exact"/>
              <w:rPr>
                <w:rFonts w:ascii="Arial" w:cs="Arial" w:eastAsia="Arial" w:hAnsi="Arial"/>
                <w:sz w:val="19"/>
                <w:szCs w:val="19"/>
                <w:color w:val="0000EE"/>
              </w:rPr>
            </w:pPr>
            <w:hyperlink r:id="rId222">
              <w:r>
                <w:rPr>
                  <w:rFonts w:ascii="Arial" w:cs="Arial" w:eastAsia="Arial" w:hAnsi="Arial"/>
                  <w:sz w:val="19"/>
                  <w:szCs w:val="19"/>
                  <w:color w:val="0000EE"/>
                </w:rPr>
                <w:t>administrative agent, Goldman Sachs Bank USA, as syndication agent, Bank of America, N.A., Barclays</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422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6"/>
          </w:tcPr>
          <w:p>
            <w:pPr>
              <w:spacing w:after="0" w:line="196" w:lineRule="exact"/>
              <w:rPr>
                <w:rFonts w:ascii="Arial" w:cs="Arial" w:eastAsia="Arial" w:hAnsi="Arial"/>
                <w:sz w:val="19"/>
                <w:szCs w:val="19"/>
                <w:color w:val="0000EE"/>
              </w:rPr>
            </w:pPr>
            <w:hyperlink r:id="rId222">
              <w:r>
                <w:rPr>
                  <w:rFonts w:ascii="Arial" w:cs="Arial" w:eastAsia="Arial" w:hAnsi="Arial"/>
                  <w:sz w:val="19"/>
                  <w:szCs w:val="19"/>
                  <w:color w:val="0000EE"/>
                </w:rPr>
                <w:t>Bank PLC, Citibank, N.A., Deutsche Bank AG New York Branch, as documentation agents, and JPMorgan</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60" w:type="dxa"/>
            <w:vAlign w:val="bottom"/>
            <w:tcBorders>
              <w:top w:val="single" w:sz="8" w:color="0000EE"/>
              <w:bottom w:val="single" w:sz="8" w:color="0000EE"/>
            </w:tcBorders>
            <w:gridSpan w:val="10"/>
          </w:tcPr>
          <w:p>
            <w:pPr>
              <w:spacing w:after="0" w:line="196" w:lineRule="exact"/>
              <w:rPr>
                <w:rFonts w:ascii="Arial" w:cs="Arial" w:eastAsia="Arial" w:hAnsi="Arial"/>
                <w:sz w:val="19"/>
                <w:szCs w:val="19"/>
                <w:color w:val="0000EE"/>
              </w:rPr>
            </w:pPr>
            <w:hyperlink r:id="rId222">
              <w:r>
                <w:rPr>
                  <w:rFonts w:ascii="Arial" w:cs="Arial" w:eastAsia="Arial" w:hAnsi="Arial"/>
                  <w:sz w:val="19"/>
                  <w:szCs w:val="19"/>
                  <w:color w:val="0000EE"/>
                </w:rPr>
                <w:t>Chase Bank, N.A. and Goldman Sachs Bank USA, as joint lead arrangers and co-book managers</w:t>
              </w:r>
            </w:hyperlink>
          </w:p>
        </w:tc>
        <w:tc>
          <w:tcPr>
            <w:tcW w:w="740" w:type="dxa"/>
            <w:vAlign w:val="bottom"/>
            <w:tcBorders>
              <w:top w:val="single" w:sz="8" w:color="0000EE"/>
            </w:tcBorders>
            <w:gridSpan w:val="14"/>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6"/>
          </w:tcPr>
          <w:p>
            <w:pPr>
              <w:spacing w:after="0" w:line="196" w:lineRule="exact"/>
              <w:rPr>
                <w:rFonts w:ascii="Arial" w:cs="Arial" w:eastAsia="Arial" w:hAnsi="Arial"/>
                <w:sz w:val="19"/>
                <w:szCs w:val="19"/>
                <w:color w:val="0000EE"/>
              </w:rPr>
            </w:pPr>
            <w:hyperlink r:id="rId222">
              <w:r>
                <w:rPr>
                  <w:rFonts w:ascii="Arial" w:cs="Arial" w:eastAsia="Arial" w:hAnsi="Arial"/>
                  <w:sz w:val="19"/>
                  <w:szCs w:val="19"/>
                  <w:color w:val="0000EE"/>
                </w:rPr>
                <w:t>(incorporated by reference to Exhibit 10.1 to Honeywell’s Form 8-K filed February 20, 2018)</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4220" w:type="dxa"/>
            <w:vAlign w:val="bottom"/>
            <w:gridSpan w:val="5"/>
            <w:shd w:val="clear" w:color="auto" w:fill="0000EE"/>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10.68</w:t>
            </w:r>
          </w:p>
        </w:tc>
        <w:tc>
          <w:tcPr>
            <w:tcW w:w="8760" w:type="dxa"/>
            <w:vAlign w:val="bottom"/>
            <w:tcBorders>
              <w:bottom w:val="single" w:sz="8" w:color="0000EE"/>
            </w:tcBorders>
            <w:gridSpan w:val="15"/>
          </w:tcPr>
          <w:p>
            <w:pPr>
              <w:spacing w:after="0" w:line="196" w:lineRule="exact"/>
              <w:rPr>
                <w:rFonts w:ascii="Arial" w:cs="Arial" w:eastAsia="Arial" w:hAnsi="Arial"/>
                <w:sz w:val="19"/>
                <w:szCs w:val="19"/>
                <w:color w:val="0000EE"/>
              </w:rPr>
            </w:pPr>
            <w:hyperlink r:id="rId223">
              <w:r>
                <w:rPr>
                  <w:rFonts w:ascii="Arial" w:cs="Arial" w:eastAsia="Arial" w:hAnsi="Arial"/>
                  <w:sz w:val="19"/>
                  <w:szCs w:val="19"/>
                  <w:color w:val="0000EE"/>
                </w:rPr>
                <w:t>364-Day Credit Agreement, dated as of April 27, 2018, among Honeywell International Inc., the banks,</w:t>
              </w:r>
            </w:hyperlink>
          </w:p>
        </w:tc>
        <w:tc>
          <w:tcPr>
            <w:tcW w:w="700" w:type="dxa"/>
            <w:vAlign w:val="bottom"/>
            <w:gridSpan w:val="1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6"/>
          </w:tcPr>
          <w:p>
            <w:pPr>
              <w:spacing w:after="0" w:line="196" w:lineRule="exact"/>
              <w:rPr>
                <w:rFonts w:ascii="Arial" w:cs="Arial" w:eastAsia="Arial" w:hAnsi="Arial"/>
                <w:sz w:val="19"/>
                <w:szCs w:val="19"/>
                <w:color w:val="0000EE"/>
              </w:rPr>
            </w:pPr>
            <w:hyperlink r:id="rId223">
              <w:r>
                <w:rPr>
                  <w:rFonts w:ascii="Arial" w:cs="Arial" w:eastAsia="Arial" w:hAnsi="Arial"/>
                  <w:sz w:val="19"/>
                  <w:szCs w:val="19"/>
                  <w:color w:val="0000EE"/>
                </w:rPr>
                <w:t>financial institutions and other institutional lenders parties thereto, Citibank, N.A., as administrative agent,</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5140" w:type="dxa"/>
            <w:vAlign w:val="bottom"/>
            <w:gridSpan w:val="1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6"/>
          </w:tcPr>
          <w:p>
            <w:pPr>
              <w:spacing w:after="0" w:line="196" w:lineRule="exact"/>
              <w:rPr>
                <w:rFonts w:ascii="Arial" w:cs="Arial" w:eastAsia="Arial" w:hAnsi="Arial"/>
                <w:sz w:val="19"/>
                <w:szCs w:val="19"/>
                <w:color w:val="0000EE"/>
              </w:rPr>
            </w:pPr>
            <w:hyperlink r:id="rId223">
              <w:r>
                <w:rPr>
                  <w:rFonts w:ascii="Arial" w:cs="Arial" w:eastAsia="Arial" w:hAnsi="Arial"/>
                  <w:sz w:val="19"/>
                  <w:szCs w:val="19"/>
                  <w:color w:val="0000EE"/>
                </w:rPr>
                <w:t>JPMorgan Chase Bank, N.A., as syndication agent, Bank of America, N.A., Barclays Bank PLC, Deutsche</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60" w:type="dxa"/>
            <w:vAlign w:val="bottom"/>
            <w:tcBorders>
              <w:top w:val="single" w:sz="8" w:color="0000EE"/>
            </w:tcBorders>
            <w:gridSpan w:val="23"/>
          </w:tcPr>
          <w:p>
            <w:pPr>
              <w:spacing w:after="0" w:line="196" w:lineRule="exact"/>
              <w:rPr>
                <w:rFonts w:ascii="Arial" w:cs="Arial" w:eastAsia="Arial" w:hAnsi="Arial"/>
                <w:sz w:val="19"/>
                <w:szCs w:val="19"/>
                <w:color w:val="0000EE"/>
              </w:rPr>
            </w:pPr>
            <w:hyperlink r:id="rId223">
              <w:r>
                <w:rPr>
                  <w:rFonts w:ascii="Arial" w:cs="Arial" w:eastAsia="Arial" w:hAnsi="Arial"/>
                  <w:sz w:val="19"/>
                  <w:szCs w:val="19"/>
                  <w:color w:val="0000EE"/>
                </w:rPr>
                <w:t>Bank Securities Inc., Goldman Sachs Bank USA, Morgan Stanley MUFG Loan Partners, LLC and Wells</w:t>
              </w:r>
            </w:hyperlink>
          </w:p>
        </w:tc>
        <w:tc>
          <w:tcPr>
            <w:tcW w:w="220" w:type="dxa"/>
            <w:vAlign w:val="bottom"/>
            <w:gridSpan w:val="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40" w:type="dxa"/>
            <w:vAlign w:val="bottom"/>
            <w:tcBorders>
              <w:top w:val="single" w:sz="8" w:color="0000EE"/>
              <w:bottom w:val="single" w:sz="8" w:color="0000EE"/>
            </w:tcBorders>
            <w:gridSpan w:val="15"/>
          </w:tcPr>
          <w:p>
            <w:pPr>
              <w:spacing w:after="0" w:line="196" w:lineRule="exact"/>
              <w:rPr>
                <w:rFonts w:ascii="Arial" w:cs="Arial" w:eastAsia="Arial" w:hAnsi="Arial"/>
                <w:sz w:val="19"/>
                <w:szCs w:val="19"/>
                <w:color w:val="0000EE"/>
              </w:rPr>
            </w:pPr>
            <w:hyperlink r:id="rId223">
              <w:r>
                <w:rPr>
                  <w:rFonts w:ascii="Arial" w:cs="Arial" w:eastAsia="Arial" w:hAnsi="Arial"/>
                  <w:sz w:val="19"/>
                  <w:szCs w:val="19"/>
                  <w:color w:val="0000EE"/>
                </w:rPr>
                <w:t>Fargo Bank, National Association, as documentation agents, and Citibank, N.A. and JPMorgan Chase</w:t>
              </w:r>
            </w:hyperlink>
          </w:p>
        </w:tc>
        <w:tc>
          <w:tcPr>
            <w:tcW w:w="160" w:type="dxa"/>
            <w:vAlign w:val="bottom"/>
            <w:tcBorders>
              <w:top w:val="single" w:sz="8" w:color="0000EE"/>
            </w:tcBorders>
            <w:gridSpan w:val="4"/>
          </w:tcPr>
          <w:p>
            <w:pPr>
              <w:spacing w:after="0"/>
              <w:rPr>
                <w:sz w:val="17"/>
                <w:szCs w:val="17"/>
                <w:color w:val="auto"/>
              </w:rPr>
            </w:pPr>
          </w:p>
        </w:tc>
        <w:tc>
          <w:tcPr>
            <w:tcW w:w="380" w:type="dxa"/>
            <w:vAlign w:val="bottom"/>
            <w:gridSpan w:val="7"/>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6"/>
          </w:tcPr>
          <w:p>
            <w:pPr>
              <w:spacing w:after="0" w:line="196" w:lineRule="exact"/>
              <w:rPr>
                <w:rFonts w:ascii="Arial" w:cs="Arial" w:eastAsia="Arial" w:hAnsi="Arial"/>
                <w:sz w:val="19"/>
                <w:szCs w:val="19"/>
                <w:color w:val="0000EE"/>
              </w:rPr>
            </w:pPr>
            <w:hyperlink r:id="rId223">
              <w:r>
                <w:rPr>
                  <w:rFonts w:ascii="Arial" w:cs="Arial" w:eastAsia="Arial" w:hAnsi="Arial"/>
                  <w:sz w:val="19"/>
                  <w:szCs w:val="19"/>
                  <w:color w:val="0000EE"/>
                </w:rPr>
                <w:t>Bank, N.A., as joint lead arrangers and co-book managers (incorporated by reference to Exhibit 10.1 to</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0" w:type="dxa"/>
            <w:vAlign w:val="bottom"/>
            <w:tcBorders>
              <w:top w:val="single" w:sz="8" w:color="0000EE"/>
            </w:tcBorders>
            <w:gridSpan w:val="17"/>
          </w:tcPr>
          <w:p>
            <w:pPr>
              <w:spacing w:after="0" w:line="196" w:lineRule="exact"/>
              <w:rPr>
                <w:rFonts w:ascii="Arial" w:cs="Arial" w:eastAsia="Arial" w:hAnsi="Arial"/>
                <w:sz w:val="19"/>
                <w:szCs w:val="19"/>
                <w:color w:val="0000EE"/>
              </w:rPr>
            </w:pPr>
            <w:hyperlink r:id="rId223">
              <w:r>
                <w:rPr>
                  <w:rFonts w:ascii="Arial" w:cs="Arial" w:eastAsia="Arial" w:hAnsi="Arial"/>
                  <w:sz w:val="19"/>
                  <w:szCs w:val="19"/>
                  <w:color w:val="0000EE"/>
                </w:rPr>
                <w:t>Honeywell’s Form 8-K filed April 27, 2018)</w:t>
              </w:r>
            </w:hyperlink>
          </w:p>
        </w:tc>
        <w:tc>
          <w:tcPr>
            <w:tcW w:w="480" w:type="dxa"/>
            <w:vAlign w:val="bottom"/>
            <w:gridSpan w:val="9"/>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2"/>
        </w:trPr>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gridSpan w:val="4"/>
          </w:tcPr>
          <w:p>
            <w:pPr>
              <w:ind w:left="3420"/>
              <w:spacing w:after="0"/>
              <w:rPr>
                <w:sz w:val="20"/>
                <w:szCs w:val="20"/>
                <w:color w:val="auto"/>
              </w:rPr>
            </w:pPr>
            <w:r>
              <w:rPr>
                <w:rFonts w:ascii="Arial" w:cs="Arial" w:eastAsia="Arial" w:hAnsi="Arial"/>
                <w:sz w:val="19"/>
                <w:szCs w:val="19"/>
                <w:color w:val="auto"/>
              </w:rPr>
              <w:t>106</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90"/>
        </w:trPr>
        <w:tc>
          <w:tcPr>
            <w:tcW w:w="1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240" w:type="dxa"/>
            <w:vAlign w:val="bottom"/>
            <w:tcBorders>
              <w:bottom w:val="single" w:sz="8" w:color="auto"/>
            </w:tcBorders>
            <w:gridSpan w:val="17"/>
          </w:tcPr>
          <w:p>
            <w:pPr>
              <w:ind w:left="80"/>
              <w:spacing w:after="0"/>
              <w:rPr>
                <w:sz w:val="20"/>
                <w:szCs w:val="20"/>
                <w:color w:val="auto"/>
              </w:rPr>
            </w:pPr>
            <w:r>
              <w:rPr>
                <w:rFonts w:ascii="Arial" w:cs="Arial" w:eastAsia="Arial" w:hAnsi="Arial"/>
                <w:sz w:val="16"/>
                <w:szCs w:val="16"/>
                <w:b w:val="1"/>
                <w:bCs w:val="1"/>
                <w:color w:val="auto"/>
              </w:rPr>
              <w:t>Description</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10.69</w:t>
            </w:r>
          </w:p>
        </w:tc>
        <w:tc>
          <w:tcPr>
            <w:tcW w:w="9460" w:type="dxa"/>
            <w:vAlign w:val="bottom"/>
            <w:gridSpan w:val="23"/>
          </w:tcPr>
          <w:p>
            <w:pPr>
              <w:spacing w:after="0" w:line="196" w:lineRule="exact"/>
              <w:rPr>
                <w:rFonts w:ascii="Arial" w:cs="Arial" w:eastAsia="Arial" w:hAnsi="Arial"/>
                <w:sz w:val="19"/>
                <w:szCs w:val="19"/>
                <w:color w:val="0000EE"/>
              </w:rPr>
            </w:pPr>
            <w:hyperlink r:id="rId226">
              <w:r>
                <w:rPr>
                  <w:rFonts w:ascii="Arial" w:cs="Arial" w:eastAsia="Arial" w:hAnsi="Arial"/>
                  <w:sz w:val="19"/>
                  <w:szCs w:val="19"/>
                  <w:color w:val="0000EE"/>
                </w:rPr>
                <w:t>Amended and Restated Five-Year Credit Agreement, dated as of April 27, 2018, among Honeywell</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2"/>
          </w:tcPr>
          <w:p>
            <w:pPr>
              <w:spacing w:after="0" w:line="196" w:lineRule="exact"/>
              <w:rPr>
                <w:rFonts w:ascii="Arial" w:cs="Arial" w:eastAsia="Arial" w:hAnsi="Arial"/>
                <w:sz w:val="19"/>
                <w:szCs w:val="19"/>
                <w:color w:val="0000EE"/>
              </w:rPr>
            </w:pPr>
            <w:hyperlink r:id="rId226">
              <w:r>
                <w:rPr>
                  <w:rFonts w:ascii="Arial" w:cs="Arial" w:eastAsia="Arial" w:hAnsi="Arial"/>
                  <w:sz w:val="19"/>
                  <w:szCs w:val="19"/>
                  <w:color w:val="0000EE"/>
                </w:rPr>
                <w:t>International Inc., the banks, financial institutions and other institutional lenders parties thereto, Citibank,</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0" w:type="dxa"/>
            <w:vAlign w:val="bottom"/>
            <w:tcBorders>
              <w:top w:val="single" w:sz="8" w:color="0000EE"/>
              <w:bottom w:val="single" w:sz="8" w:color="0000EE"/>
            </w:tcBorders>
            <w:gridSpan w:val="13"/>
          </w:tcPr>
          <w:p>
            <w:pPr>
              <w:spacing w:after="0" w:line="196" w:lineRule="exact"/>
              <w:rPr>
                <w:rFonts w:ascii="Arial" w:cs="Arial" w:eastAsia="Arial" w:hAnsi="Arial"/>
                <w:sz w:val="19"/>
                <w:szCs w:val="19"/>
                <w:color w:val="0000EE"/>
              </w:rPr>
            </w:pPr>
            <w:hyperlink r:id="rId226">
              <w:r>
                <w:rPr>
                  <w:rFonts w:ascii="Arial" w:cs="Arial" w:eastAsia="Arial" w:hAnsi="Arial"/>
                  <w:sz w:val="19"/>
                  <w:szCs w:val="19"/>
                  <w:color w:val="0000EE"/>
                </w:rPr>
                <w:t>N.A., as administrative agent, Citibank Europe PLC, UK Branch, as swing line agent, JPMorgan Chase</w:t>
              </w:r>
            </w:hyperlink>
          </w:p>
        </w:tc>
        <w:tc>
          <w:tcPr>
            <w:tcW w:w="100" w:type="dxa"/>
            <w:vAlign w:val="bottom"/>
            <w:tcBorders>
              <w:top w:val="single" w:sz="8" w:color="0000EE"/>
            </w:tcBorders>
          </w:tcPr>
          <w:p>
            <w:pPr>
              <w:spacing w:after="0"/>
              <w:rPr>
                <w:sz w:val="17"/>
                <w:szCs w:val="17"/>
                <w:color w:val="auto"/>
              </w:rPr>
            </w:pPr>
          </w:p>
        </w:tc>
        <w:tc>
          <w:tcPr>
            <w:tcW w:w="380" w:type="dxa"/>
            <w:vAlign w:val="bottom"/>
            <w:gridSpan w:val="8"/>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20" w:type="dxa"/>
            <w:vAlign w:val="bottom"/>
            <w:tcBorders>
              <w:bottom w:val="single" w:sz="8" w:color="0000EE"/>
            </w:tcBorders>
            <w:gridSpan w:val="15"/>
          </w:tcPr>
          <w:p>
            <w:pPr>
              <w:spacing w:after="0" w:line="196" w:lineRule="exact"/>
              <w:rPr>
                <w:rFonts w:ascii="Arial" w:cs="Arial" w:eastAsia="Arial" w:hAnsi="Arial"/>
                <w:sz w:val="19"/>
                <w:szCs w:val="19"/>
                <w:color w:val="0000EE"/>
              </w:rPr>
            </w:pPr>
            <w:hyperlink r:id="rId226">
              <w:r>
                <w:rPr>
                  <w:rFonts w:ascii="Arial" w:cs="Arial" w:eastAsia="Arial" w:hAnsi="Arial"/>
                  <w:sz w:val="19"/>
                  <w:szCs w:val="19"/>
                  <w:color w:val="0000EE"/>
                </w:rPr>
                <w:t>Bank, N.A., as syndication agent, Bank of America, N.A., Barclays Bank PLC, Deutsche Bank Securities</w:t>
              </w:r>
            </w:hyperlink>
          </w:p>
        </w:tc>
        <w:tc>
          <w:tcPr>
            <w:tcW w:w="360" w:type="dxa"/>
            <w:vAlign w:val="bottom"/>
            <w:gridSpan w:val="7"/>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80" w:type="dxa"/>
            <w:vAlign w:val="bottom"/>
            <w:tcBorders>
              <w:bottom w:val="single" w:sz="8" w:color="0000EE"/>
            </w:tcBorders>
            <w:gridSpan w:val="10"/>
          </w:tcPr>
          <w:p>
            <w:pPr>
              <w:spacing w:after="0" w:line="196" w:lineRule="exact"/>
              <w:rPr>
                <w:rFonts w:ascii="Arial" w:cs="Arial" w:eastAsia="Arial" w:hAnsi="Arial"/>
                <w:sz w:val="19"/>
                <w:szCs w:val="19"/>
                <w:color w:val="0000EE"/>
              </w:rPr>
            </w:pPr>
            <w:hyperlink r:id="rId226">
              <w:r>
                <w:rPr>
                  <w:rFonts w:ascii="Arial" w:cs="Arial" w:eastAsia="Arial" w:hAnsi="Arial"/>
                  <w:sz w:val="19"/>
                  <w:szCs w:val="19"/>
                  <w:color w:val="0000EE"/>
                </w:rPr>
                <w:t>Inc., Goldman Sachs Bank USA, Morgan Stanley MUFG Loan Partners, LLC and Wells Fargo Bank,</w:t>
              </w:r>
            </w:hyperlink>
          </w:p>
        </w:tc>
        <w:tc>
          <w:tcPr>
            <w:tcW w:w="700" w:type="dxa"/>
            <w:vAlign w:val="bottom"/>
            <w:gridSpan w:val="1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20" w:type="dxa"/>
            <w:vAlign w:val="bottom"/>
            <w:tcBorders>
              <w:bottom w:val="single" w:sz="8" w:color="0000EE"/>
            </w:tcBorders>
            <w:gridSpan w:val="19"/>
          </w:tcPr>
          <w:p>
            <w:pPr>
              <w:spacing w:after="0" w:line="196" w:lineRule="exact"/>
              <w:rPr>
                <w:rFonts w:ascii="Arial" w:cs="Arial" w:eastAsia="Arial" w:hAnsi="Arial"/>
                <w:sz w:val="19"/>
                <w:szCs w:val="19"/>
                <w:color w:val="0000EE"/>
              </w:rPr>
            </w:pPr>
            <w:hyperlink r:id="rId226">
              <w:r>
                <w:rPr>
                  <w:rFonts w:ascii="Arial" w:cs="Arial" w:eastAsia="Arial" w:hAnsi="Arial"/>
                  <w:sz w:val="19"/>
                  <w:szCs w:val="19"/>
                  <w:color w:val="0000EE"/>
                </w:rPr>
                <w:t>National Association, as documentation agents, and Citibank, N.A. and J.P. Morgan Chase Bank N.A., as</w:t>
              </w:r>
            </w:hyperlink>
          </w:p>
        </w:tc>
        <w:tc>
          <w:tcPr>
            <w:tcW w:w="260" w:type="dxa"/>
            <w:vAlign w:val="bottom"/>
            <w:gridSpan w:val="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2"/>
          </w:tcPr>
          <w:p>
            <w:pPr>
              <w:spacing w:after="0" w:line="196" w:lineRule="exact"/>
              <w:rPr>
                <w:rFonts w:ascii="Arial" w:cs="Arial" w:eastAsia="Arial" w:hAnsi="Arial"/>
                <w:sz w:val="19"/>
                <w:szCs w:val="19"/>
                <w:color w:val="0000EE"/>
              </w:rPr>
            </w:pPr>
            <w:hyperlink r:id="rId226">
              <w:r>
                <w:rPr>
                  <w:rFonts w:ascii="Arial" w:cs="Arial" w:eastAsia="Arial" w:hAnsi="Arial"/>
                  <w:sz w:val="19"/>
                  <w:szCs w:val="19"/>
                  <w:color w:val="0000EE"/>
                </w:rPr>
                <w:t>joint lead arrangers and co-bookrunners (incorporated by reference to Exhibit 10.2 to Honeywell’s Form 8-K</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0" w:type="dxa"/>
            <w:vAlign w:val="bottom"/>
            <w:tcBorders>
              <w:top w:val="single" w:sz="8" w:color="0000EE"/>
            </w:tcBorders>
            <w:gridSpan w:val="20"/>
          </w:tcPr>
          <w:p>
            <w:pPr>
              <w:spacing w:after="0" w:line="196" w:lineRule="exact"/>
              <w:rPr>
                <w:rFonts w:ascii="Arial" w:cs="Arial" w:eastAsia="Arial" w:hAnsi="Arial"/>
                <w:sz w:val="19"/>
                <w:szCs w:val="19"/>
                <w:color w:val="0000EE"/>
              </w:rPr>
            </w:pPr>
            <w:hyperlink r:id="rId226">
              <w:r>
                <w:rPr>
                  <w:rFonts w:ascii="Arial" w:cs="Arial" w:eastAsia="Arial" w:hAnsi="Arial"/>
                  <w:sz w:val="19"/>
                  <w:szCs w:val="19"/>
                  <w:color w:val="0000EE"/>
                </w:rPr>
                <w:t>filed April 27, 2018)</w:t>
              </w:r>
            </w:hyperlink>
          </w:p>
        </w:tc>
        <w:tc>
          <w:tcPr>
            <w:tcW w:w="80" w:type="dxa"/>
            <w:vAlign w:val="bottom"/>
            <w:gridSpan w:val="2"/>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10.70</w:t>
            </w:r>
          </w:p>
        </w:tc>
        <w:tc>
          <w:tcPr>
            <w:tcW w:w="9460" w:type="dxa"/>
            <w:vAlign w:val="bottom"/>
            <w:gridSpan w:val="23"/>
          </w:tcPr>
          <w:p>
            <w:pPr>
              <w:spacing w:after="0" w:line="196" w:lineRule="exact"/>
              <w:rPr>
                <w:rFonts w:ascii="Arial" w:cs="Arial" w:eastAsia="Arial" w:hAnsi="Arial"/>
                <w:sz w:val="19"/>
                <w:szCs w:val="19"/>
                <w:color w:val="0000EE"/>
              </w:rPr>
            </w:pPr>
            <w:hyperlink r:id="rId227">
              <w:r>
                <w:rPr>
                  <w:rFonts w:ascii="Arial" w:cs="Arial" w:eastAsia="Arial" w:hAnsi="Arial"/>
                  <w:sz w:val="19"/>
                  <w:szCs w:val="19"/>
                  <w:color w:val="0000EE"/>
                </w:rPr>
                <w:t>Indemnification and Reimbursement Agreement, dated September 12, 2018, by and among Honeywell</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80" w:type="dxa"/>
            <w:vAlign w:val="bottom"/>
            <w:tcBorders>
              <w:bottom w:val="single" w:sz="8" w:color="0000EE"/>
            </w:tcBorders>
            <w:gridSpan w:val="17"/>
          </w:tcPr>
          <w:p>
            <w:pPr>
              <w:spacing w:after="0" w:line="196" w:lineRule="exact"/>
              <w:rPr>
                <w:rFonts w:ascii="Arial" w:cs="Arial" w:eastAsia="Arial" w:hAnsi="Arial"/>
                <w:sz w:val="19"/>
                <w:szCs w:val="19"/>
                <w:color w:val="0000EE"/>
              </w:rPr>
            </w:pPr>
            <w:hyperlink r:id="rId227">
              <w:r>
                <w:rPr>
                  <w:rFonts w:ascii="Arial" w:cs="Arial" w:eastAsia="Arial" w:hAnsi="Arial"/>
                  <w:sz w:val="19"/>
                  <w:szCs w:val="19"/>
                  <w:color w:val="0000EE"/>
                </w:rPr>
                <w:t>ASASCO Inc., Honeywell ASASCO 2 Inc., and Honeywell International Inc. (incorporated by reference to</w:t>
              </w:r>
            </w:hyperlink>
          </w:p>
        </w:tc>
        <w:tc>
          <w:tcPr>
            <w:tcW w:w="300" w:type="dxa"/>
            <w:vAlign w:val="bottom"/>
            <w:gridSpan w:val="5"/>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2"/>
          </w:tcPr>
          <w:p>
            <w:pPr>
              <w:spacing w:after="0" w:line="196" w:lineRule="exact"/>
              <w:rPr>
                <w:rFonts w:ascii="Arial" w:cs="Arial" w:eastAsia="Arial" w:hAnsi="Arial"/>
                <w:sz w:val="19"/>
                <w:szCs w:val="19"/>
                <w:color w:val="0000EE"/>
              </w:rPr>
            </w:pPr>
            <w:hyperlink r:id="rId227">
              <w:r>
                <w:rPr>
                  <w:rFonts w:ascii="Arial" w:cs="Arial" w:eastAsia="Arial" w:hAnsi="Arial"/>
                  <w:sz w:val="19"/>
                  <w:szCs w:val="19"/>
                  <w:color w:val="0000EE"/>
                </w:rPr>
                <w:t>Exhibit 2.1 to Honeywell’s Form 8-K filed September 14, 2018)</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10.71</w:t>
            </w:r>
          </w:p>
        </w:tc>
        <w:tc>
          <w:tcPr>
            <w:tcW w:w="9180" w:type="dxa"/>
            <w:vAlign w:val="bottom"/>
            <w:tcBorders>
              <w:bottom w:val="single" w:sz="8" w:color="0000EE"/>
            </w:tcBorders>
            <w:gridSpan w:val="19"/>
          </w:tcPr>
          <w:p>
            <w:pPr>
              <w:spacing w:after="0" w:line="196" w:lineRule="exact"/>
              <w:rPr>
                <w:rFonts w:ascii="Arial" w:cs="Arial" w:eastAsia="Arial" w:hAnsi="Arial"/>
                <w:sz w:val="19"/>
                <w:szCs w:val="19"/>
                <w:color w:val="0000EE"/>
              </w:rPr>
            </w:pPr>
            <w:hyperlink r:id="rId228">
              <w:r>
                <w:rPr>
                  <w:rFonts w:ascii="Arial" w:cs="Arial" w:eastAsia="Arial" w:hAnsi="Arial"/>
                  <w:sz w:val="19"/>
                  <w:szCs w:val="19"/>
                  <w:color w:val="0000EE"/>
                </w:rPr>
                <w:t>Indemnification and Reimbursement Agreement dated October 14, 2018 by and among New HAPI Inc. and</w:t>
              </w:r>
            </w:hyperlink>
          </w:p>
        </w:tc>
        <w:tc>
          <w:tcPr>
            <w:tcW w:w="28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0" w:type="dxa"/>
            <w:vAlign w:val="bottom"/>
            <w:tcBorders>
              <w:bottom w:val="single" w:sz="8" w:color="0000EE"/>
            </w:tcBorders>
            <w:gridSpan w:val="20"/>
          </w:tcPr>
          <w:p>
            <w:pPr>
              <w:spacing w:after="0" w:line="196" w:lineRule="exact"/>
              <w:rPr>
                <w:rFonts w:ascii="Arial" w:cs="Arial" w:eastAsia="Arial" w:hAnsi="Arial"/>
                <w:sz w:val="19"/>
                <w:szCs w:val="19"/>
                <w:color w:val="0000EE"/>
              </w:rPr>
            </w:pPr>
            <w:hyperlink r:id="rId228">
              <w:r>
                <w:rPr>
                  <w:rFonts w:ascii="Arial" w:cs="Arial" w:eastAsia="Arial" w:hAnsi="Arial"/>
                  <w:sz w:val="19"/>
                  <w:szCs w:val="19"/>
                  <w:color w:val="0000EE"/>
                </w:rPr>
                <w:t>Honeywell International Inc. (incorporated by reference to Exhibit 2.1 to Honeywell’s Form 8-K filed October</w:t>
              </w:r>
            </w:hyperlink>
          </w:p>
        </w:tc>
        <w:tc>
          <w:tcPr>
            <w:tcW w:w="80" w:type="dxa"/>
            <w:vAlign w:val="bottom"/>
            <w:gridSpan w:val="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40" w:type="dxa"/>
            <w:vAlign w:val="bottom"/>
            <w:gridSpan w:val="3"/>
          </w:tcPr>
          <w:p>
            <w:pPr>
              <w:ind w:left="180"/>
              <w:spacing w:after="0" w:line="196" w:lineRule="exact"/>
              <w:rPr>
                <w:rFonts w:ascii="Arial" w:cs="Arial" w:eastAsia="Arial" w:hAnsi="Arial"/>
                <w:sz w:val="19"/>
                <w:szCs w:val="19"/>
                <w:color w:val="0000EE"/>
              </w:rPr>
            </w:pPr>
            <w:hyperlink r:id="rId228">
              <w:r>
                <w:rPr>
                  <w:rFonts w:ascii="Arial" w:cs="Arial" w:eastAsia="Arial" w:hAnsi="Arial"/>
                  <w:sz w:val="19"/>
                  <w:szCs w:val="19"/>
                  <w:color w:val="0000EE"/>
                </w:rPr>
                <w:t>15, 2018)</w:t>
              </w:r>
            </w:hyperlink>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0" w:type="dxa"/>
            <w:vAlign w:val="bottom"/>
            <w:tcBorders>
              <w:left w:val="single" w:sz="8" w:color="0000EE"/>
            </w:tcBorders>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10.72*</w:t>
            </w:r>
          </w:p>
        </w:tc>
        <w:tc>
          <w:tcPr>
            <w:tcW w:w="9120" w:type="dxa"/>
            <w:vAlign w:val="bottom"/>
            <w:tcBorders>
              <w:bottom w:val="single" w:sz="8" w:color="0000EE"/>
            </w:tcBorders>
            <w:gridSpan w:val="17"/>
          </w:tcPr>
          <w:p>
            <w:pPr>
              <w:spacing w:after="0" w:line="196" w:lineRule="exact"/>
              <w:rPr>
                <w:rFonts w:ascii="Arial" w:cs="Arial" w:eastAsia="Arial" w:hAnsi="Arial"/>
                <w:sz w:val="19"/>
                <w:szCs w:val="19"/>
                <w:color w:val="0000EE"/>
              </w:rPr>
            </w:pPr>
            <w:hyperlink w:anchor="page119">
              <w:r>
                <w:rPr>
                  <w:rFonts w:ascii="Arial" w:cs="Arial" w:eastAsia="Arial" w:hAnsi="Arial"/>
                  <w:sz w:val="19"/>
                  <w:szCs w:val="19"/>
                  <w:color w:val="0000EE"/>
                </w:rPr>
                <w:t>Retirement Agreement dated February 7, 2019 between Honeywell and Krishna Mikkilineni (filed herewith)</w:t>
              </w:r>
            </w:hyperlink>
          </w:p>
        </w:tc>
        <w:tc>
          <w:tcPr>
            <w:tcW w:w="340" w:type="dxa"/>
            <w:vAlign w:val="bottom"/>
            <w:gridSpan w:val="6"/>
          </w:tcPr>
          <w:p>
            <w:pPr>
              <w:spacing w:after="0"/>
              <w:rPr>
                <w:sz w:val="17"/>
                <w:szCs w:val="17"/>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9"/>
                <w:szCs w:val="19"/>
                <w:color w:val="auto"/>
              </w:rPr>
              <w:t>21</w:t>
            </w:r>
          </w:p>
        </w:tc>
        <w:tc>
          <w:tcPr>
            <w:tcW w:w="3860" w:type="dxa"/>
            <w:vAlign w:val="bottom"/>
            <w:tcBorders>
              <w:bottom w:val="single" w:sz="8" w:color="0000EE"/>
            </w:tcBorders>
            <w:gridSpan w:val="5"/>
          </w:tcPr>
          <w:p>
            <w:pPr>
              <w:spacing w:after="0"/>
              <w:rPr>
                <w:rFonts w:ascii="Arial" w:cs="Arial" w:eastAsia="Arial" w:hAnsi="Arial"/>
                <w:sz w:val="19"/>
                <w:szCs w:val="19"/>
                <w:color w:val="0000EE"/>
              </w:rPr>
            </w:pPr>
            <w:hyperlink w:anchor="page127">
              <w:r>
                <w:rPr>
                  <w:rFonts w:ascii="Arial" w:cs="Arial" w:eastAsia="Arial" w:hAnsi="Arial"/>
                  <w:sz w:val="19"/>
                  <w:szCs w:val="19"/>
                  <w:color w:val="0000EE"/>
                </w:rPr>
                <w:t>Subsidiaries of the Registrant (filed herewith)</w:t>
              </w:r>
            </w:hyperlink>
          </w:p>
        </w:tc>
        <w:tc>
          <w:tcPr>
            <w:tcW w:w="5600" w:type="dxa"/>
            <w:vAlign w:val="bottom"/>
            <w:gridSpan w:val="18"/>
          </w:tcPr>
          <w:p>
            <w:pPr>
              <w:spacing w:after="0"/>
              <w:rPr>
                <w:sz w:val="19"/>
                <w:szCs w:val="19"/>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9"/>
                <w:szCs w:val="19"/>
                <w:color w:val="auto"/>
              </w:rPr>
              <w:t>23.1</w:t>
            </w:r>
          </w:p>
        </w:tc>
        <w:tc>
          <w:tcPr>
            <w:tcW w:w="9460" w:type="dxa"/>
            <w:vAlign w:val="bottom"/>
            <w:gridSpan w:val="23"/>
          </w:tcPr>
          <w:p>
            <w:pPr>
              <w:spacing w:after="0"/>
              <w:rPr>
                <w:rFonts w:ascii="Arial" w:cs="Arial" w:eastAsia="Arial" w:hAnsi="Arial"/>
                <w:sz w:val="19"/>
                <w:szCs w:val="19"/>
                <w:color w:val="0000EE"/>
              </w:rPr>
            </w:pPr>
            <w:hyperlink w:anchor="page128">
              <w:r>
                <w:rPr>
                  <w:rFonts w:ascii="Arial" w:cs="Arial" w:eastAsia="Arial" w:hAnsi="Arial"/>
                  <w:sz w:val="19"/>
                  <w:szCs w:val="19"/>
                  <w:color w:val="0000EE"/>
                </w:rPr>
                <w:t>Consent of Deloitte &amp; Touche LLP (filed herewith)</w:t>
              </w:r>
            </w:hyperlink>
          </w:p>
        </w:tc>
      </w:tr>
      <w:tr>
        <w:trPr>
          <w:trHeight w:val="223"/>
        </w:trPr>
        <w:tc>
          <w:tcPr>
            <w:tcW w:w="1960" w:type="dxa"/>
            <w:vAlign w:val="bottom"/>
          </w:tcPr>
          <w:p>
            <w:pPr>
              <w:spacing w:after="0"/>
              <w:rPr>
                <w:sz w:val="20"/>
                <w:szCs w:val="20"/>
                <w:color w:val="auto"/>
              </w:rPr>
            </w:pPr>
            <w:r>
              <w:rPr>
                <w:rFonts w:ascii="Arial" w:cs="Arial" w:eastAsia="Arial" w:hAnsi="Arial"/>
                <w:sz w:val="19"/>
                <w:szCs w:val="19"/>
                <w:color w:val="auto"/>
              </w:rPr>
              <w:t>24</w:t>
            </w:r>
          </w:p>
        </w:tc>
        <w:tc>
          <w:tcPr>
            <w:tcW w:w="2960" w:type="dxa"/>
            <w:vAlign w:val="bottom"/>
            <w:tcBorders>
              <w:top w:val="single" w:sz="8" w:color="0000EE"/>
              <w:bottom w:val="single" w:sz="8" w:color="0000EE"/>
            </w:tcBorders>
            <w:gridSpan w:val="4"/>
          </w:tcPr>
          <w:p>
            <w:pPr>
              <w:spacing w:after="0"/>
              <w:rPr>
                <w:rFonts w:ascii="Arial" w:cs="Arial" w:eastAsia="Arial" w:hAnsi="Arial"/>
                <w:sz w:val="19"/>
                <w:szCs w:val="19"/>
                <w:color w:val="0000EE"/>
              </w:rPr>
            </w:pPr>
            <w:hyperlink w:anchor="page129">
              <w:r>
                <w:rPr>
                  <w:rFonts w:ascii="Arial" w:cs="Arial" w:eastAsia="Arial" w:hAnsi="Arial"/>
                  <w:sz w:val="19"/>
                  <w:szCs w:val="19"/>
                  <w:color w:val="0000EE"/>
                </w:rPr>
                <w:t>Powers of Attorney (filed herewith)</w:t>
              </w:r>
            </w:hyperlink>
          </w:p>
        </w:tc>
        <w:tc>
          <w:tcPr>
            <w:tcW w:w="1260" w:type="dxa"/>
            <w:vAlign w:val="bottom"/>
            <w:tcBorders>
              <w:top w:val="single" w:sz="8" w:color="0000EE"/>
            </w:tcBorders>
            <w:gridSpan w:val="2"/>
          </w:tcPr>
          <w:p>
            <w:pPr>
              <w:spacing w:after="0"/>
              <w:rPr>
                <w:sz w:val="19"/>
                <w:szCs w:val="19"/>
                <w:color w:val="auto"/>
              </w:rPr>
            </w:pPr>
          </w:p>
        </w:tc>
        <w:tc>
          <w:tcPr>
            <w:tcW w:w="5240" w:type="dxa"/>
            <w:vAlign w:val="bottom"/>
            <w:gridSpan w:val="17"/>
          </w:tcPr>
          <w:p>
            <w:pPr>
              <w:spacing w:after="0"/>
              <w:rPr>
                <w:sz w:val="19"/>
                <w:szCs w:val="19"/>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9"/>
                <w:szCs w:val="19"/>
                <w:color w:val="auto"/>
              </w:rPr>
              <w:t>31.1</w:t>
            </w:r>
          </w:p>
        </w:tc>
        <w:tc>
          <w:tcPr>
            <w:tcW w:w="9460" w:type="dxa"/>
            <w:vAlign w:val="bottom"/>
            <w:gridSpan w:val="23"/>
          </w:tcPr>
          <w:p>
            <w:pPr>
              <w:spacing w:after="0"/>
              <w:rPr>
                <w:rFonts w:ascii="Arial" w:cs="Arial" w:eastAsia="Arial" w:hAnsi="Arial"/>
                <w:sz w:val="19"/>
                <w:szCs w:val="19"/>
                <w:color w:val="0000EE"/>
              </w:rPr>
            </w:pPr>
            <w:hyperlink w:anchor="page138">
              <w:r>
                <w:rPr>
                  <w:rFonts w:ascii="Arial" w:cs="Arial" w:eastAsia="Arial" w:hAnsi="Arial"/>
                  <w:sz w:val="19"/>
                  <w:szCs w:val="19"/>
                  <w:color w:val="0000EE"/>
                </w:rPr>
                <w:t>Certification of Principal Executive Officer Pursuant to Section 302 of the Sarbanes-Oxley Act of 2002 (filed</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980" w:type="dxa"/>
            <w:vAlign w:val="bottom"/>
            <w:tcBorders>
              <w:top w:val="single" w:sz="8" w:color="0000EE"/>
            </w:tcBorders>
            <w:gridSpan w:val="17"/>
          </w:tcPr>
          <w:p>
            <w:pPr>
              <w:spacing w:after="0" w:line="196" w:lineRule="exact"/>
              <w:rPr>
                <w:rFonts w:ascii="Arial" w:cs="Arial" w:eastAsia="Arial" w:hAnsi="Arial"/>
                <w:sz w:val="19"/>
                <w:szCs w:val="19"/>
                <w:color w:val="0000EE"/>
              </w:rPr>
            </w:pPr>
            <w:hyperlink w:anchor="page138">
              <w:r>
                <w:rPr>
                  <w:rFonts w:ascii="Arial" w:cs="Arial" w:eastAsia="Arial" w:hAnsi="Arial"/>
                  <w:sz w:val="19"/>
                  <w:szCs w:val="19"/>
                  <w:color w:val="0000EE"/>
                </w:rPr>
                <w:t>herewith)</w:t>
              </w:r>
            </w:hyperlink>
          </w:p>
        </w:tc>
        <w:tc>
          <w:tcPr>
            <w:tcW w:w="300" w:type="dxa"/>
            <w:vAlign w:val="bottom"/>
            <w:gridSpan w:val="5"/>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31.2</w:t>
            </w:r>
          </w:p>
        </w:tc>
        <w:tc>
          <w:tcPr>
            <w:tcW w:w="9100" w:type="dxa"/>
            <w:vAlign w:val="bottom"/>
            <w:tcBorders>
              <w:bottom w:val="single" w:sz="8" w:color="0000EE"/>
            </w:tcBorders>
            <w:gridSpan w:val="16"/>
          </w:tcPr>
          <w:p>
            <w:pPr>
              <w:spacing w:after="0" w:line="196" w:lineRule="exact"/>
              <w:rPr>
                <w:rFonts w:ascii="Arial" w:cs="Arial" w:eastAsia="Arial" w:hAnsi="Arial"/>
                <w:sz w:val="19"/>
                <w:szCs w:val="19"/>
                <w:color w:val="0000EE"/>
              </w:rPr>
            </w:pPr>
            <w:hyperlink w:anchor="page139">
              <w:r>
                <w:rPr>
                  <w:rFonts w:ascii="Arial" w:cs="Arial" w:eastAsia="Arial" w:hAnsi="Arial"/>
                  <w:sz w:val="19"/>
                  <w:szCs w:val="19"/>
                  <w:color w:val="0000EE"/>
                </w:rPr>
                <w:t>Certification of Principal Financial Officer Pursuant to Section 302 of the Sarbanes-Oxley Act of 2002 (filed</w:t>
              </w:r>
            </w:hyperlink>
          </w:p>
        </w:tc>
        <w:tc>
          <w:tcPr>
            <w:tcW w:w="360" w:type="dxa"/>
            <w:vAlign w:val="bottom"/>
            <w:gridSpan w:val="7"/>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2"/>
          </w:tcPr>
          <w:p>
            <w:pPr>
              <w:spacing w:after="0" w:line="196" w:lineRule="exact"/>
              <w:rPr>
                <w:rFonts w:ascii="Arial" w:cs="Arial" w:eastAsia="Arial" w:hAnsi="Arial"/>
                <w:sz w:val="19"/>
                <w:szCs w:val="19"/>
                <w:color w:val="0000EE"/>
              </w:rPr>
            </w:pPr>
            <w:hyperlink w:anchor="page139">
              <w:r>
                <w:rPr>
                  <w:rFonts w:ascii="Arial" w:cs="Arial" w:eastAsia="Arial" w:hAnsi="Arial"/>
                  <w:sz w:val="19"/>
                  <w:szCs w:val="19"/>
                  <w:color w:val="0000EE"/>
                </w:rPr>
                <w:t>herewith)</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32.1</w:t>
            </w:r>
          </w:p>
        </w:tc>
        <w:tc>
          <w:tcPr>
            <w:tcW w:w="9460" w:type="dxa"/>
            <w:vAlign w:val="bottom"/>
            <w:gridSpan w:val="23"/>
          </w:tcPr>
          <w:p>
            <w:pPr>
              <w:spacing w:after="0" w:line="196" w:lineRule="exact"/>
              <w:rPr>
                <w:rFonts w:ascii="Arial" w:cs="Arial" w:eastAsia="Arial" w:hAnsi="Arial"/>
                <w:sz w:val="19"/>
                <w:szCs w:val="19"/>
                <w:color w:val="0000EE"/>
              </w:rPr>
            </w:pPr>
            <w:hyperlink w:anchor="page140">
              <w:r>
                <w:rPr>
                  <w:rFonts w:ascii="Arial" w:cs="Arial" w:eastAsia="Arial" w:hAnsi="Arial"/>
                  <w:sz w:val="19"/>
                  <w:szCs w:val="19"/>
                  <w:color w:val="0000EE"/>
                </w:rPr>
                <w:t>Certification of Principal Executive Officer Pursuant to 18 U.S.C. Section 1350, as Adopted Pursuant to</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360" w:type="dxa"/>
            <w:vAlign w:val="bottom"/>
            <w:tcBorders>
              <w:top w:val="single" w:sz="8" w:color="0000EE"/>
              <w:bottom w:val="single" w:sz="8" w:color="0000EE"/>
            </w:tcBorders>
            <w:gridSpan w:val="8"/>
          </w:tcPr>
          <w:p>
            <w:pPr>
              <w:spacing w:after="0" w:line="196" w:lineRule="exact"/>
              <w:rPr>
                <w:rFonts w:ascii="Arial" w:cs="Arial" w:eastAsia="Arial" w:hAnsi="Arial"/>
                <w:sz w:val="19"/>
                <w:szCs w:val="19"/>
                <w:color w:val="0000EE"/>
              </w:rPr>
            </w:pPr>
            <w:hyperlink w:anchor="page140">
              <w:r>
                <w:rPr>
                  <w:rFonts w:ascii="Arial" w:cs="Arial" w:eastAsia="Arial" w:hAnsi="Arial"/>
                  <w:sz w:val="19"/>
                  <w:szCs w:val="19"/>
                  <w:color w:val="0000EE"/>
                </w:rPr>
                <w:t>Section 906 of the Sarbanes-Oxley Act of 2002 (filed herewith)</w:t>
              </w:r>
            </w:hyperlink>
          </w:p>
        </w:tc>
        <w:tc>
          <w:tcPr>
            <w:tcW w:w="3260" w:type="dxa"/>
            <w:vAlign w:val="bottom"/>
            <w:tcBorders>
              <w:top w:val="single" w:sz="8" w:color="0000EE"/>
            </w:tcBorders>
            <w:gridSpan w:val="4"/>
          </w:tcPr>
          <w:p>
            <w:pPr>
              <w:spacing w:after="0"/>
              <w:rPr>
                <w:sz w:val="17"/>
                <w:szCs w:val="17"/>
                <w:color w:val="auto"/>
              </w:rPr>
            </w:pPr>
          </w:p>
        </w:tc>
        <w:tc>
          <w:tcPr>
            <w:tcW w:w="660" w:type="dxa"/>
            <w:vAlign w:val="bottom"/>
            <w:gridSpan w:val="10"/>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32.2</w:t>
            </w:r>
          </w:p>
        </w:tc>
        <w:tc>
          <w:tcPr>
            <w:tcW w:w="9460" w:type="dxa"/>
            <w:vAlign w:val="bottom"/>
            <w:gridSpan w:val="23"/>
          </w:tcPr>
          <w:p>
            <w:pPr>
              <w:spacing w:after="0" w:line="196" w:lineRule="exact"/>
              <w:rPr>
                <w:rFonts w:ascii="Arial" w:cs="Arial" w:eastAsia="Arial" w:hAnsi="Arial"/>
                <w:sz w:val="19"/>
                <w:szCs w:val="19"/>
                <w:color w:val="0000EE"/>
              </w:rPr>
            </w:pPr>
            <w:hyperlink w:anchor="page141">
              <w:r>
                <w:rPr>
                  <w:rFonts w:ascii="Arial" w:cs="Arial" w:eastAsia="Arial" w:hAnsi="Arial"/>
                  <w:sz w:val="19"/>
                  <w:szCs w:val="19"/>
                  <w:color w:val="0000EE"/>
                </w:rPr>
                <w:t>Certification of Principal Financial Officer Pursuant to 18 U.S.C. Section 1350, as Adopted Pursuant to Section</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660" w:type="dxa"/>
            <w:vAlign w:val="bottom"/>
            <w:tcBorders>
              <w:top w:val="single" w:sz="8" w:color="0000EE"/>
              <w:bottom w:val="single" w:sz="8" w:color="0000EE"/>
            </w:tcBorders>
            <w:gridSpan w:val="6"/>
          </w:tcPr>
          <w:p>
            <w:pPr>
              <w:spacing w:after="0" w:line="196" w:lineRule="exact"/>
              <w:rPr>
                <w:rFonts w:ascii="Arial" w:cs="Arial" w:eastAsia="Arial" w:hAnsi="Arial"/>
                <w:sz w:val="19"/>
                <w:szCs w:val="19"/>
                <w:color w:val="0000EE"/>
              </w:rPr>
            </w:pPr>
            <w:hyperlink w:anchor="page141">
              <w:r>
                <w:rPr>
                  <w:rFonts w:ascii="Arial" w:cs="Arial" w:eastAsia="Arial" w:hAnsi="Arial"/>
                  <w:sz w:val="19"/>
                  <w:szCs w:val="19"/>
                  <w:color w:val="0000EE"/>
                </w:rPr>
                <w:t>906 of the Sarbanes-Oxley Act of 2002 (filed herewith)</w:t>
              </w:r>
            </w:hyperlink>
          </w:p>
        </w:tc>
        <w:tc>
          <w:tcPr>
            <w:tcW w:w="460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241"/>
        </w:trPr>
        <w:tc>
          <w:tcPr>
            <w:tcW w:w="1960" w:type="dxa"/>
            <w:vAlign w:val="bottom"/>
          </w:tcPr>
          <w:p>
            <w:pPr>
              <w:spacing w:after="0"/>
              <w:rPr>
                <w:sz w:val="20"/>
                <w:szCs w:val="20"/>
                <w:color w:val="auto"/>
              </w:rPr>
            </w:pPr>
            <w:r>
              <w:rPr>
                <w:rFonts w:ascii="Arial" w:cs="Arial" w:eastAsia="Arial" w:hAnsi="Arial"/>
                <w:sz w:val="19"/>
                <w:szCs w:val="19"/>
                <w:color w:val="auto"/>
              </w:rPr>
              <w:t>101.INS</w:t>
            </w:r>
          </w:p>
        </w:tc>
        <w:tc>
          <w:tcPr>
            <w:tcW w:w="9460" w:type="dxa"/>
            <w:vAlign w:val="bottom"/>
            <w:gridSpan w:val="23"/>
          </w:tcPr>
          <w:p>
            <w:pPr>
              <w:spacing w:after="0"/>
              <w:rPr>
                <w:sz w:val="20"/>
                <w:szCs w:val="20"/>
                <w:color w:val="auto"/>
              </w:rPr>
            </w:pPr>
            <w:r>
              <w:rPr>
                <w:rFonts w:ascii="Arial" w:cs="Arial" w:eastAsia="Arial" w:hAnsi="Arial"/>
                <w:sz w:val="19"/>
                <w:szCs w:val="19"/>
                <w:color w:val="auto"/>
              </w:rPr>
              <w:t>XBRL Instance Document (filed herewith)</w:t>
            </w:r>
          </w:p>
        </w:tc>
      </w:tr>
      <w:tr>
        <w:trPr>
          <w:trHeight w:val="243"/>
        </w:trPr>
        <w:tc>
          <w:tcPr>
            <w:tcW w:w="1960" w:type="dxa"/>
            <w:vAlign w:val="bottom"/>
          </w:tcPr>
          <w:p>
            <w:pPr>
              <w:spacing w:after="0"/>
              <w:rPr>
                <w:sz w:val="20"/>
                <w:szCs w:val="20"/>
                <w:color w:val="auto"/>
              </w:rPr>
            </w:pPr>
            <w:r>
              <w:rPr>
                <w:rFonts w:ascii="Arial" w:cs="Arial" w:eastAsia="Arial" w:hAnsi="Arial"/>
                <w:sz w:val="19"/>
                <w:szCs w:val="19"/>
                <w:color w:val="auto"/>
              </w:rPr>
              <w:t>101.SCH</w:t>
            </w:r>
          </w:p>
        </w:tc>
        <w:tc>
          <w:tcPr>
            <w:tcW w:w="9460" w:type="dxa"/>
            <w:vAlign w:val="bottom"/>
            <w:gridSpan w:val="23"/>
          </w:tcPr>
          <w:p>
            <w:pPr>
              <w:spacing w:after="0"/>
              <w:rPr>
                <w:sz w:val="20"/>
                <w:szCs w:val="20"/>
                <w:color w:val="auto"/>
              </w:rPr>
            </w:pPr>
            <w:r>
              <w:rPr>
                <w:rFonts w:ascii="Arial" w:cs="Arial" w:eastAsia="Arial" w:hAnsi="Arial"/>
                <w:sz w:val="19"/>
                <w:szCs w:val="19"/>
                <w:color w:val="auto"/>
              </w:rPr>
              <w:t>XBRL Taxonomy Extension Schema (filed herewith)</w:t>
            </w:r>
          </w:p>
        </w:tc>
      </w:tr>
      <w:tr>
        <w:trPr>
          <w:trHeight w:val="243"/>
        </w:trPr>
        <w:tc>
          <w:tcPr>
            <w:tcW w:w="1960" w:type="dxa"/>
            <w:vAlign w:val="bottom"/>
          </w:tcPr>
          <w:p>
            <w:pPr>
              <w:spacing w:after="0"/>
              <w:rPr>
                <w:sz w:val="20"/>
                <w:szCs w:val="20"/>
                <w:color w:val="auto"/>
              </w:rPr>
            </w:pPr>
            <w:r>
              <w:rPr>
                <w:rFonts w:ascii="Arial" w:cs="Arial" w:eastAsia="Arial" w:hAnsi="Arial"/>
                <w:sz w:val="19"/>
                <w:szCs w:val="19"/>
                <w:color w:val="auto"/>
              </w:rPr>
              <w:t>101.CAL</w:t>
            </w:r>
          </w:p>
        </w:tc>
        <w:tc>
          <w:tcPr>
            <w:tcW w:w="9460" w:type="dxa"/>
            <w:vAlign w:val="bottom"/>
            <w:gridSpan w:val="23"/>
          </w:tcPr>
          <w:p>
            <w:pPr>
              <w:spacing w:after="0"/>
              <w:rPr>
                <w:sz w:val="20"/>
                <w:szCs w:val="20"/>
                <w:color w:val="auto"/>
              </w:rPr>
            </w:pPr>
            <w:r>
              <w:rPr>
                <w:rFonts w:ascii="Arial" w:cs="Arial" w:eastAsia="Arial" w:hAnsi="Arial"/>
                <w:sz w:val="19"/>
                <w:szCs w:val="19"/>
                <w:color w:val="auto"/>
              </w:rPr>
              <w:t>XBRL Taxonomy Extension Calculation Linkbase (filed herewith)</w:t>
            </w:r>
          </w:p>
        </w:tc>
      </w:tr>
      <w:tr>
        <w:trPr>
          <w:trHeight w:val="243"/>
        </w:trPr>
        <w:tc>
          <w:tcPr>
            <w:tcW w:w="1960" w:type="dxa"/>
            <w:vAlign w:val="bottom"/>
          </w:tcPr>
          <w:p>
            <w:pPr>
              <w:spacing w:after="0"/>
              <w:rPr>
                <w:sz w:val="20"/>
                <w:szCs w:val="20"/>
                <w:color w:val="auto"/>
              </w:rPr>
            </w:pPr>
            <w:r>
              <w:rPr>
                <w:rFonts w:ascii="Arial" w:cs="Arial" w:eastAsia="Arial" w:hAnsi="Arial"/>
                <w:sz w:val="19"/>
                <w:szCs w:val="19"/>
                <w:color w:val="auto"/>
              </w:rPr>
              <w:t>101.DEF</w:t>
            </w:r>
          </w:p>
        </w:tc>
        <w:tc>
          <w:tcPr>
            <w:tcW w:w="9460" w:type="dxa"/>
            <w:vAlign w:val="bottom"/>
            <w:gridSpan w:val="23"/>
          </w:tcPr>
          <w:p>
            <w:pPr>
              <w:spacing w:after="0"/>
              <w:rPr>
                <w:sz w:val="20"/>
                <w:szCs w:val="20"/>
                <w:color w:val="auto"/>
              </w:rPr>
            </w:pPr>
            <w:r>
              <w:rPr>
                <w:rFonts w:ascii="Arial" w:cs="Arial" w:eastAsia="Arial" w:hAnsi="Arial"/>
                <w:sz w:val="19"/>
                <w:szCs w:val="19"/>
                <w:color w:val="auto"/>
              </w:rPr>
              <w:t>XBRL Taxonomy Extension Definition Linkbase (filed herewith)</w:t>
            </w:r>
          </w:p>
        </w:tc>
      </w:tr>
      <w:tr>
        <w:trPr>
          <w:trHeight w:val="243"/>
        </w:trPr>
        <w:tc>
          <w:tcPr>
            <w:tcW w:w="1960" w:type="dxa"/>
            <w:vAlign w:val="bottom"/>
          </w:tcPr>
          <w:p>
            <w:pPr>
              <w:spacing w:after="0"/>
              <w:rPr>
                <w:sz w:val="20"/>
                <w:szCs w:val="20"/>
                <w:color w:val="auto"/>
              </w:rPr>
            </w:pPr>
            <w:r>
              <w:rPr>
                <w:rFonts w:ascii="Arial" w:cs="Arial" w:eastAsia="Arial" w:hAnsi="Arial"/>
                <w:sz w:val="19"/>
                <w:szCs w:val="19"/>
                <w:color w:val="auto"/>
              </w:rPr>
              <w:t>101.LAB</w:t>
            </w:r>
          </w:p>
        </w:tc>
        <w:tc>
          <w:tcPr>
            <w:tcW w:w="9460" w:type="dxa"/>
            <w:vAlign w:val="bottom"/>
            <w:gridSpan w:val="23"/>
          </w:tcPr>
          <w:p>
            <w:pPr>
              <w:spacing w:after="0"/>
              <w:rPr>
                <w:sz w:val="20"/>
                <w:szCs w:val="20"/>
                <w:color w:val="auto"/>
              </w:rPr>
            </w:pPr>
            <w:r>
              <w:rPr>
                <w:rFonts w:ascii="Arial" w:cs="Arial" w:eastAsia="Arial" w:hAnsi="Arial"/>
                <w:sz w:val="19"/>
                <w:szCs w:val="19"/>
                <w:color w:val="auto"/>
              </w:rPr>
              <w:t>XBRL Taxonomy Extension Label Linkbase (filed herewith)</w:t>
            </w:r>
          </w:p>
        </w:tc>
      </w:tr>
      <w:tr>
        <w:trPr>
          <w:trHeight w:val="243"/>
        </w:trPr>
        <w:tc>
          <w:tcPr>
            <w:tcW w:w="1960" w:type="dxa"/>
            <w:vAlign w:val="bottom"/>
          </w:tcPr>
          <w:p>
            <w:pPr>
              <w:spacing w:after="0"/>
              <w:rPr>
                <w:sz w:val="20"/>
                <w:szCs w:val="20"/>
                <w:color w:val="auto"/>
              </w:rPr>
            </w:pPr>
            <w:r>
              <w:rPr>
                <w:rFonts w:ascii="Arial" w:cs="Arial" w:eastAsia="Arial" w:hAnsi="Arial"/>
                <w:sz w:val="19"/>
                <w:szCs w:val="19"/>
                <w:color w:val="auto"/>
              </w:rPr>
              <w:t>101.PRE</w:t>
            </w:r>
          </w:p>
        </w:tc>
        <w:tc>
          <w:tcPr>
            <w:tcW w:w="9460" w:type="dxa"/>
            <w:vAlign w:val="bottom"/>
            <w:gridSpan w:val="23"/>
          </w:tcPr>
          <w:p>
            <w:pPr>
              <w:spacing w:after="0"/>
              <w:rPr>
                <w:sz w:val="20"/>
                <w:szCs w:val="20"/>
                <w:color w:val="auto"/>
              </w:rPr>
            </w:pPr>
            <w:r>
              <w:rPr>
                <w:rFonts w:ascii="Arial" w:cs="Arial" w:eastAsia="Arial" w:hAnsi="Arial"/>
                <w:sz w:val="19"/>
                <w:szCs w:val="19"/>
                <w:color w:val="auto"/>
              </w:rPr>
              <w:t>XBRL Taxonomy Extension Presentation Linkbase (filed herewith)</w:t>
            </w:r>
          </w:p>
        </w:tc>
      </w:tr>
    </w:tbl>
    <w:p>
      <w:pPr>
        <w:spacing w:after="0" w:line="33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Exhibits identified above with an asterisk (*) are management contracts or compensatory plans or arrangements.</w:t>
      </w:r>
    </w:p>
    <w:p>
      <w:pPr>
        <w:spacing w:after="0" w:line="92" w:lineRule="exact"/>
        <w:rPr>
          <w:sz w:val="20"/>
          <w:szCs w:val="20"/>
          <w:color w:val="auto"/>
        </w:rPr>
      </w:pPr>
    </w:p>
    <w:p>
      <w:pPr>
        <w:ind w:left="300" w:right="100" w:hanging="240"/>
        <w:spacing w:after="0" w:line="245" w:lineRule="auto"/>
        <w:tabs>
          <w:tab w:leader="none" w:pos="3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Certain schedules and similar attachments have been omitted pursuant to Item 601(b)(2) of Regulation S-K. The registrant hereby undertakes to furnish copies of any of the omitted schedules and similar attachments upon request by the U.S. Securities and Exchange Commission.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9"/>
          <w:szCs w:val="19"/>
          <w:b w:val="1"/>
          <w:bCs w:val="1"/>
          <w:color w:val="auto"/>
        </w:rPr>
        <w:t>SIGNATURES</w:t>
      </w:r>
    </w:p>
    <w:p>
      <w:pPr>
        <w:spacing w:after="0" w:line="130" w:lineRule="exact"/>
        <w:rPr>
          <w:sz w:val="20"/>
          <w:szCs w:val="20"/>
          <w:color w:val="auto"/>
        </w:rPr>
      </w:pPr>
    </w:p>
    <w:p>
      <w:pPr>
        <w:ind w:right="160" w:firstLine="357"/>
        <w:spacing w:after="0" w:line="249"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21"/>
          <w:szCs w:val="21"/>
          <w:color w:val="auto"/>
        </w:rPr>
        <w:t>H</w:t>
      </w:r>
      <w:r>
        <w:rPr>
          <w:rFonts w:ascii="Arial" w:cs="Arial" w:eastAsia="Arial" w:hAnsi="Arial"/>
          <w:sz w:val="15"/>
          <w:szCs w:val="15"/>
          <w:color w:val="auto"/>
        </w:rPr>
        <w:t>ONEYWELL</w:t>
      </w:r>
      <w:r>
        <w:rPr>
          <w:rFonts w:ascii="Arial" w:cs="Arial" w:eastAsia="Arial" w:hAnsi="Arial"/>
          <w:sz w:val="21"/>
          <w:szCs w:val="21"/>
          <w:color w:val="auto"/>
        </w:rPr>
        <w:t xml:space="preserve"> I</w:t>
      </w:r>
      <w:r>
        <w:rPr>
          <w:rFonts w:ascii="Arial" w:cs="Arial" w:eastAsia="Arial" w:hAnsi="Arial"/>
          <w:sz w:val="15"/>
          <w:szCs w:val="15"/>
          <w:color w:val="auto"/>
        </w:rPr>
        <w:t>NTERNATIONAL</w:t>
      </w:r>
      <w:r>
        <w:rPr>
          <w:rFonts w:ascii="Arial" w:cs="Arial" w:eastAsia="Arial" w:hAnsi="Arial"/>
          <w:sz w:val="21"/>
          <w:szCs w:val="21"/>
          <w:color w:val="auto"/>
        </w:rPr>
        <w:t xml:space="preserve"> I</w:t>
      </w:r>
      <w:r>
        <w:rPr>
          <w:rFonts w:ascii="Arial" w:cs="Arial" w:eastAsia="Arial" w:hAnsi="Arial"/>
          <w:sz w:val="15"/>
          <w:szCs w:val="15"/>
          <w:color w:val="auto"/>
        </w:rPr>
        <w:t>NC</w:t>
      </w:r>
      <w:r>
        <w:rPr>
          <w:rFonts w:ascii="Arial" w:cs="Arial" w:eastAsia="Arial" w:hAnsi="Arial"/>
          <w:sz w:val="21"/>
          <w:szCs w:val="21"/>
          <w:color w:val="auto"/>
        </w:rPr>
        <w:t>.</w:t>
      </w:r>
    </w:p>
    <w:p>
      <w:pPr>
        <w:spacing w:after="0" w:line="223" w:lineRule="exact"/>
        <w:rPr>
          <w:sz w:val="20"/>
          <w:szCs w:val="20"/>
          <w:color w:val="auto"/>
        </w:rPr>
      </w:pPr>
    </w:p>
    <w:p>
      <w:pPr>
        <w:spacing w:after="0"/>
        <w:tabs>
          <w:tab w:leader="none" w:pos="6000" w:val="left"/>
          <w:tab w:leader="none" w:pos="6740" w:val="left"/>
        </w:tabs>
        <w:rPr>
          <w:sz w:val="20"/>
          <w:szCs w:val="20"/>
          <w:color w:val="auto"/>
        </w:rPr>
      </w:pPr>
      <w:r>
        <w:rPr>
          <w:rFonts w:ascii="Arial" w:cs="Arial" w:eastAsia="Arial" w:hAnsi="Arial"/>
          <w:sz w:val="19"/>
          <w:szCs w:val="19"/>
          <w:color w:val="auto"/>
        </w:rPr>
        <w:t>Date: February 8, 2019</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John J. 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15875</wp:posOffset>
            </wp:positionV>
            <wp:extent cx="29584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John J. Tus</w:t>
      </w:r>
    </w:p>
    <w:p>
      <w:pPr>
        <w:ind w:left="6760"/>
        <w:spacing w:after="0" w:line="237" w:lineRule="auto"/>
        <w:rPr>
          <w:sz w:val="20"/>
          <w:szCs w:val="20"/>
          <w:color w:val="auto"/>
        </w:rPr>
      </w:pPr>
      <w:r>
        <w:rPr>
          <w:rFonts w:ascii="Arial" w:cs="Arial" w:eastAsia="Arial" w:hAnsi="Arial"/>
          <w:sz w:val="19"/>
          <w:szCs w:val="19"/>
          <w:color w:val="auto"/>
        </w:rPr>
        <w:t>Vice President and Controller</w:t>
      </w:r>
    </w:p>
    <w:p>
      <w:pPr>
        <w:ind w:left="6760"/>
        <w:spacing w:after="0" w:line="237" w:lineRule="auto"/>
        <w:rPr>
          <w:sz w:val="20"/>
          <w:szCs w:val="20"/>
          <w:color w:val="auto"/>
        </w:rPr>
      </w:pPr>
      <w:r>
        <w:rPr>
          <w:rFonts w:ascii="Arial" w:cs="Arial" w:eastAsia="Arial" w:hAnsi="Arial"/>
          <w:sz w:val="19"/>
          <w:szCs w:val="19"/>
          <w:color w:val="auto"/>
        </w:rPr>
        <w:t>(on behalf of the Registrant</w:t>
      </w:r>
    </w:p>
    <w:p>
      <w:pPr>
        <w:ind w:left="6760"/>
        <w:spacing w:after="0" w:line="238" w:lineRule="auto"/>
        <w:rPr>
          <w:sz w:val="20"/>
          <w:szCs w:val="20"/>
          <w:color w:val="auto"/>
        </w:rPr>
      </w:pPr>
      <w:r>
        <w:rPr>
          <w:rFonts w:ascii="Arial" w:cs="Arial" w:eastAsia="Arial" w:hAnsi="Arial"/>
          <w:sz w:val="19"/>
          <w:szCs w:val="19"/>
          <w:color w:val="auto"/>
        </w:rPr>
        <w:t>and as the Registrant’s</w:t>
      </w:r>
    </w:p>
    <w:p>
      <w:pPr>
        <w:ind w:left="6760"/>
        <w:spacing w:after="0"/>
        <w:rPr>
          <w:sz w:val="20"/>
          <w:szCs w:val="20"/>
          <w:color w:val="auto"/>
        </w:rPr>
      </w:pPr>
      <w:r>
        <w:rPr>
          <w:rFonts w:ascii="Arial" w:cs="Arial" w:eastAsia="Arial" w:hAnsi="Arial"/>
          <w:sz w:val="19"/>
          <w:szCs w:val="19"/>
          <w:color w:val="auto"/>
        </w:rPr>
        <w:t>Principal Accounting Officer)</w:t>
      </w:r>
    </w:p>
    <w:p>
      <w:pPr>
        <w:spacing w:after="0" w:line="214" w:lineRule="exact"/>
        <w:rPr>
          <w:sz w:val="20"/>
          <w:szCs w:val="20"/>
          <w:color w:val="auto"/>
        </w:rPr>
      </w:pPr>
    </w:p>
    <w:p>
      <w:pPr>
        <w:ind w:right="120" w:firstLine="357"/>
        <w:spacing w:after="0" w:line="246" w:lineRule="auto"/>
        <w:rPr>
          <w:sz w:val="20"/>
          <w:szCs w:val="20"/>
          <w:color w:val="auto"/>
        </w:rPr>
      </w:pPr>
      <w:r>
        <w:rPr>
          <w:rFonts w:ascii="Arial" w:cs="Arial" w:eastAsia="Arial" w:hAnsi="Arial"/>
          <w:sz w:val="19"/>
          <w:szCs w:val="19"/>
          <w:color w:val="auto"/>
        </w:rPr>
        <w:t>Pursuant to the requirements of the Securities Exchange Act of 1934, this annual report has been signed below by the following persons on behalf of the Registrant and in the capacities and on the date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2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jc w:val="center"/>
              <w:ind w:right="823"/>
              <w:spacing w:after="0"/>
              <w:rPr>
                <w:sz w:val="20"/>
                <w:szCs w:val="20"/>
                <w:color w:val="auto"/>
              </w:rPr>
            </w:pPr>
            <w:r>
              <w:rPr>
                <w:rFonts w:ascii="Arial" w:cs="Arial" w:eastAsia="Arial" w:hAnsi="Arial"/>
                <w:sz w:val="19"/>
                <w:szCs w:val="19"/>
                <w:b w:val="1"/>
                <w:bCs w:val="1"/>
                <w:color w:val="auto"/>
              </w:rPr>
              <w:t>Name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rPr>
              <w:t>Name</w:t>
            </w:r>
          </w:p>
        </w:tc>
      </w:tr>
      <w:tr>
        <w:trPr>
          <w:trHeight w:val="448"/>
        </w:trPr>
        <w:tc>
          <w:tcPr>
            <w:tcW w:w="920" w:type="dxa"/>
            <w:vAlign w:val="bottom"/>
          </w:tcPr>
          <w:p>
            <w:pPr>
              <w:spacing w:after="0"/>
              <w:rPr>
                <w:sz w:val="24"/>
                <w:szCs w:val="24"/>
                <w:color w:val="auto"/>
              </w:rPr>
            </w:pPr>
          </w:p>
        </w:tc>
        <w:tc>
          <w:tcPr>
            <w:tcW w:w="4640" w:type="dxa"/>
            <w:vAlign w:val="bottom"/>
          </w:tcPr>
          <w:p>
            <w:pPr>
              <w:jc w:val="center"/>
              <w:ind w:right="823"/>
              <w:spacing w:after="0"/>
              <w:rPr>
                <w:sz w:val="20"/>
                <w:szCs w:val="20"/>
                <w:color w:val="auto"/>
              </w:rPr>
            </w:pPr>
            <w:r>
              <w:rPr>
                <w:rFonts w:ascii="Arial" w:cs="Arial" w:eastAsia="Arial" w:hAnsi="Arial"/>
                <w:sz w:val="19"/>
                <w:szCs w:val="19"/>
                <w:color w:val="auto"/>
              </w:rPr>
              <w:t>*</w:t>
            </w:r>
          </w:p>
        </w:tc>
        <w:tc>
          <w:tcPr>
            <w:tcW w:w="5860" w:type="dxa"/>
            <w:vAlign w:val="bottom"/>
            <w:gridSpan w:val="3"/>
          </w:tcPr>
          <w:p>
            <w:pPr>
              <w:jc w:val="center"/>
              <w:ind w:left="203"/>
              <w:spacing w:after="0"/>
              <w:rPr>
                <w:sz w:val="20"/>
                <w:szCs w:val="20"/>
                <w:color w:val="auto"/>
              </w:rPr>
            </w:pPr>
            <w:r>
              <w:rPr>
                <w:rFonts w:ascii="Arial" w:cs="Arial" w:eastAsia="Arial" w:hAnsi="Arial"/>
                <w:sz w:val="19"/>
                <w:szCs w:val="19"/>
                <w:color w:val="auto"/>
              </w:rPr>
              <w:t>*</w:t>
            </w:r>
          </w:p>
        </w:tc>
      </w:tr>
      <w:tr>
        <w:trPr>
          <w:trHeight w:val="228"/>
        </w:trPr>
        <w:tc>
          <w:tcPr>
            <w:tcW w:w="920" w:type="dxa"/>
            <w:vAlign w:val="bottom"/>
            <w:tcBorders>
              <w:top w:val="single" w:sz="8" w:color="auto"/>
            </w:tcBorders>
          </w:tcPr>
          <w:p>
            <w:pPr>
              <w:spacing w:after="0"/>
              <w:rPr>
                <w:sz w:val="19"/>
                <w:szCs w:val="19"/>
                <w:color w:val="auto"/>
              </w:rPr>
            </w:pPr>
          </w:p>
        </w:tc>
        <w:tc>
          <w:tcPr>
            <w:tcW w:w="4640" w:type="dxa"/>
            <w:vAlign w:val="bottom"/>
            <w:tcBorders>
              <w:top w:val="single" w:sz="8" w:color="auto"/>
            </w:tcBorders>
          </w:tcPr>
          <w:p>
            <w:pPr>
              <w:jc w:val="center"/>
              <w:ind w:right="823"/>
              <w:spacing w:after="0"/>
              <w:rPr>
                <w:sz w:val="20"/>
                <w:szCs w:val="20"/>
                <w:color w:val="auto"/>
              </w:rPr>
            </w:pPr>
            <w:r>
              <w:rPr>
                <w:rFonts w:ascii="Arial" w:cs="Arial" w:eastAsia="Arial" w:hAnsi="Arial"/>
                <w:sz w:val="19"/>
                <w:szCs w:val="19"/>
                <w:color w:val="auto"/>
              </w:rPr>
              <w:t>Darius Adamczyk</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rPr>
              <w:t>Linnet F. Deily</w:t>
            </w:r>
          </w:p>
        </w:tc>
      </w:tr>
      <w:tr>
        <w:trPr>
          <w:trHeight w:val="216"/>
        </w:trPr>
        <w:tc>
          <w:tcPr>
            <w:tcW w:w="920" w:type="dxa"/>
            <w:vAlign w:val="bottom"/>
          </w:tcPr>
          <w:p>
            <w:pPr>
              <w:spacing w:after="0"/>
              <w:rPr>
                <w:sz w:val="18"/>
                <w:szCs w:val="18"/>
                <w:color w:val="auto"/>
              </w:rPr>
            </w:pPr>
          </w:p>
        </w:tc>
        <w:tc>
          <w:tcPr>
            <w:tcW w:w="4640" w:type="dxa"/>
            <w:vAlign w:val="bottom"/>
          </w:tcPr>
          <w:p>
            <w:pPr>
              <w:jc w:val="center"/>
              <w:ind w:right="823"/>
              <w:spacing w:after="0" w:line="216" w:lineRule="exact"/>
              <w:rPr>
                <w:sz w:val="20"/>
                <w:szCs w:val="20"/>
                <w:color w:val="auto"/>
              </w:rPr>
            </w:pPr>
            <w:r>
              <w:rPr>
                <w:rFonts w:ascii="Arial" w:cs="Arial" w:eastAsia="Arial" w:hAnsi="Arial"/>
                <w:sz w:val="19"/>
                <w:szCs w:val="19"/>
                <w:color w:val="auto"/>
              </w:rPr>
              <w:t>Chairman and Chief Executive Officer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60" w:type="dxa"/>
            <w:vAlign w:val="bottom"/>
          </w:tcPr>
          <w:p>
            <w:pPr>
              <w:jc w:val="center"/>
              <w:spacing w:after="0" w:line="216" w:lineRule="exact"/>
              <w:rPr>
                <w:sz w:val="20"/>
                <w:szCs w:val="20"/>
                <w:color w:val="auto"/>
              </w:rPr>
            </w:pPr>
            <w:r>
              <w:rPr>
                <w:rFonts w:ascii="Arial" w:cs="Arial" w:eastAsia="Arial" w:hAnsi="Arial"/>
                <w:sz w:val="19"/>
                <w:szCs w:val="19"/>
                <w:color w:val="auto"/>
              </w:rPr>
              <w:t>Director</w:t>
            </w:r>
          </w:p>
        </w:tc>
      </w:tr>
      <w:tr>
        <w:trPr>
          <w:trHeight w:val="234"/>
        </w:trPr>
        <w:tc>
          <w:tcPr>
            <w:tcW w:w="920" w:type="dxa"/>
            <w:vAlign w:val="bottom"/>
          </w:tcPr>
          <w:p>
            <w:pPr>
              <w:spacing w:after="0"/>
              <w:rPr>
                <w:sz w:val="20"/>
                <w:szCs w:val="20"/>
                <w:color w:val="auto"/>
              </w:rPr>
            </w:pPr>
          </w:p>
        </w:tc>
        <w:tc>
          <w:tcPr>
            <w:tcW w:w="4640" w:type="dxa"/>
            <w:vAlign w:val="bottom"/>
          </w:tcPr>
          <w:p>
            <w:pPr>
              <w:jc w:val="center"/>
              <w:ind w:right="823"/>
              <w:spacing w:after="0"/>
              <w:rPr>
                <w:sz w:val="20"/>
                <w:szCs w:val="20"/>
                <w:color w:val="auto"/>
              </w:rPr>
            </w:pPr>
            <w:r>
              <w:rPr>
                <w:rFonts w:ascii="Arial" w:cs="Arial" w:eastAsia="Arial" w:hAnsi="Arial"/>
                <w:sz w:val="19"/>
                <w:szCs w:val="19"/>
                <w:color w:val="auto"/>
              </w:rPr>
              <w:t>(Principal Executive Officer)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37"/>
        </w:trPr>
        <w:tc>
          <w:tcPr>
            <w:tcW w:w="920" w:type="dxa"/>
            <w:vAlign w:val="bottom"/>
          </w:tcPr>
          <w:p>
            <w:pPr>
              <w:spacing w:after="0"/>
              <w:rPr>
                <w:sz w:val="24"/>
                <w:szCs w:val="24"/>
                <w:color w:val="auto"/>
              </w:rPr>
            </w:pPr>
          </w:p>
        </w:tc>
        <w:tc>
          <w:tcPr>
            <w:tcW w:w="4640" w:type="dxa"/>
            <w:vAlign w:val="bottom"/>
          </w:tcPr>
          <w:p>
            <w:pPr>
              <w:jc w:val="center"/>
              <w:ind w:right="823"/>
              <w:spacing w:after="0"/>
              <w:rPr>
                <w:sz w:val="20"/>
                <w:szCs w:val="20"/>
                <w:color w:val="auto"/>
              </w:rPr>
            </w:pPr>
            <w:r>
              <w:rPr>
                <w:rFonts w:ascii="Arial" w:cs="Arial" w:eastAsia="Arial" w:hAnsi="Arial"/>
                <w:sz w:val="19"/>
                <w:szCs w:val="19"/>
                <w:color w:val="auto"/>
              </w:rPr>
              <w:t>*</w:t>
            </w:r>
          </w:p>
        </w:tc>
        <w:tc>
          <w:tcPr>
            <w:tcW w:w="5860" w:type="dxa"/>
            <w:vAlign w:val="bottom"/>
            <w:gridSpan w:val="3"/>
          </w:tcPr>
          <w:p>
            <w:pPr>
              <w:jc w:val="center"/>
              <w:ind w:left="203"/>
              <w:spacing w:after="0"/>
              <w:rPr>
                <w:sz w:val="20"/>
                <w:szCs w:val="20"/>
                <w:color w:val="auto"/>
              </w:rPr>
            </w:pPr>
            <w:r>
              <w:rPr>
                <w:rFonts w:ascii="Arial" w:cs="Arial" w:eastAsia="Arial" w:hAnsi="Arial"/>
                <w:sz w:val="19"/>
                <w:szCs w:val="19"/>
                <w:color w:val="auto"/>
              </w:rPr>
              <w:t>*</w:t>
            </w:r>
          </w:p>
        </w:tc>
      </w:tr>
      <w:tr>
        <w:trPr>
          <w:trHeight w:val="228"/>
        </w:trPr>
        <w:tc>
          <w:tcPr>
            <w:tcW w:w="920" w:type="dxa"/>
            <w:vAlign w:val="bottom"/>
            <w:tcBorders>
              <w:top w:val="single" w:sz="8" w:color="auto"/>
            </w:tcBorders>
          </w:tcPr>
          <w:p>
            <w:pPr>
              <w:spacing w:after="0"/>
              <w:rPr>
                <w:sz w:val="19"/>
                <w:szCs w:val="19"/>
                <w:color w:val="auto"/>
              </w:rPr>
            </w:pPr>
          </w:p>
        </w:tc>
        <w:tc>
          <w:tcPr>
            <w:tcW w:w="4640" w:type="dxa"/>
            <w:vAlign w:val="bottom"/>
            <w:tcBorders>
              <w:top w:val="single" w:sz="8" w:color="auto"/>
            </w:tcBorders>
          </w:tcPr>
          <w:p>
            <w:pPr>
              <w:jc w:val="center"/>
              <w:ind w:right="803"/>
              <w:spacing w:after="0"/>
              <w:rPr>
                <w:sz w:val="20"/>
                <w:szCs w:val="20"/>
                <w:color w:val="auto"/>
              </w:rPr>
            </w:pPr>
            <w:r>
              <w:rPr>
                <w:rFonts w:ascii="Arial" w:cs="Arial" w:eastAsia="Arial" w:hAnsi="Arial"/>
                <w:sz w:val="19"/>
                <w:szCs w:val="19"/>
                <w:color w:val="auto"/>
              </w:rPr>
              <w:t>Duncan B. Angove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rPr>
              <w:t>Judd Gregg</w:t>
            </w:r>
          </w:p>
        </w:tc>
      </w:tr>
      <w:tr>
        <w:trPr>
          <w:trHeight w:val="234"/>
        </w:trPr>
        <w:tc>
          <w:tcPr>
            <w:tcW w:w="920" w:type="dxa"/>
            <w:vAlign w:val="bottom"/>
          </w:tcPr>
          <w:p>
            <w:pPr>
              <w:spacing w:after="0"/>
              <w:rPr>
                <w:sz w:val="20"/>
                <w:szCs w:val="20"/>
                <w:color w:val="auto"/>
              </w:rPr>
            </w:pPr>
          </w:p>
        </w:tc>
        <w:tc>
          <w:tcPr>
            <w:tcW w:w="4640" w:type="dxa"/>
            <w:vAlign w:val="bottom"/>
          </w:tcPr>
          <w:p>
            <w:pPr>
              <w:jc w:val="center"/>
              <w:ind w:right="823"/>
              <w:spacing w:after="0"/>
              <w:rPr>
                <w:sz w:val="20"/>
                <w:szCs w:val="20"/>
                <w:color w:val="auto"/>
              </w:rPr>
            </w:pPr>
            <w:r>
              <w:rPr>
                <w:rFonts w:ascii="Arial" w:cs="Arial" w:eastAsia="Arial" w:hAnsi="Arial"/>
                <w:sz w:val="19"/>
                <w:szCs w:val="19"/>
                <w:color w:val="auto"/>
              </w:rPr>
              <w:t>Director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Arial" w:cs="Arial" w:eastAsia="Arial" w:hAnsi="Arial"/>
                <w:sz w:val="19"/>
                <w:szCs w:val="19"/>
                <w:color w:val="auto"/>
              </w:rPr>
              <w:t>Director</w:t>
            </w:r>
          </w:p>
        </w:tc>
      </w:tr>
      <w:tr>
        <w:trPr>
          <w:trHeight w:val="437"/>
        </w:trPr>
        <w:tc>
          <w:tcPr>
            <w:tcW w:w="920" w:type="dxa"/>
            <w:vAlign w:val="bottom"/>
          </w:tcPr>
          <w:p>
            <w:pPr>
              <w:spacing w:after="0"/>
              <w:rPr>
                <w:sz w:val="24"/>
                <w:szCs w:val="24"/>
                <w:color w:val="auto"/>
              </w:rPr>
            </w:pPr>
          </w:p>
        </w:tc>
        <w:tc>
          <w:tcPr>
            <w:tcW w:w="4640" w:type="dxa"/>
            <w:vAlign w:val="bottom"/>
          </w:tcPr>
          <w:p>
            <w:pPr>
              <w:jc w:val="center"/>
              <w:ind w:right="823"/>
              <w:spacing w:after="0"/>
              <w:rPr>
                <w:sz w:val="20"/>
                <w:szCs w:val="20"/>
                <w:color w:val="auto"/>
              </w:rPr>
            </w:pPr>
            <w:r>
              <w:rPr>
                <w:rFonts w:ascii="Arial" w:cs="Arial" w:eastAsia="Arial" w:hAnsi="Arial"/>
                <w:sz w:val="19"/>
                <w:szCs w:val="19"/>
                <w:color w:val="auto"/>
              </w:rPr>
              <w:t>*</w:t>
            </w:r>
          </w:p>
        </w:tc>
        <w:tc>
          <w:tcPr>
            <w:tcW w:w="5860" w:type="dxa"/>
            <w:vAlign w:val="bottom"/>
            <w:gridSpan w:val="3"/>
          </w:tcPr>
          <w:p>
            <w:pPr>
              <w:jc w:val="center"/>
              <w:ind w:left="203"/>
              <w:spacing w:after="0"/>
              <w:rPr>
                <w:sz w:val="20"/>
                <w:szCs w:val="20"/>
                <w:color w:val="auto"/>
              </w:rPr>
            </w:pPr>
            <w:r>
              <w:rPr>
                <w:rFonts w:ascii="Arial" w:cs="Arial" w:eastAsia="Arial" w:hAnsi="Arial"/>
                <w:sz w:val="19"/>
                <w:szCs w:val="19"/>
                <w:color w:val="auto"/>
              </w:rPr>
              <w:t>*</w:t>
            </w:r>
          </w:p>
        </w:tc>
      </w:tr>
      <w:tr>
        <w:trPr>
          <w:trHeight w:val="228"/>
        </w:trPr>
        <w:tc>
          <w:tcPr>
            <w:tcW w:w="920" w:type="dxa"/>
            <w:vAlign w:val="bottom"/>
            <w:tcBorders>
              <w:top w:val="single" w:sz="8" w:color="auto"/>
            </w:tcBorders>
          </w:tcPr>
          <w:p>
            <w:pPr>
              <w:spacing w:after="0"/>
              <w:rPr>
                <w:sz w:val="19"/>
                <w:szCs w:val="19"/>
                <w:color w:val="auto"/>
              </w:rPr>
            </w:pPr>
          </w:p>
        </w:tc>
        <w:tc>
          <w:tcPr>
            <w:tcW w:w="4640" w:type="dxa"/>
            <w:vAlign w:val="bottom"/>
            <w:tcBorders>
              <w:top w:val="single" w:sz="8" w:color="auto"/>
            </w:tcBorders>
          </w:tcPr>
          <w:p>
            <w:pPr>
              <w:jc w:val="center"/>
              <w:ind w:right="823"/>
              <w:spacing w:after="0"/>
              <w:rPr>
                <w:sz w:val="20"/>
                <w:szCs w:val="20"/>
                <w:color w:val="auto"/>
              </w:rPr>
            </w:pPr>
            <w:r>
              <w:rPr>
                <w:rFonts w:ascii="Arial" w:cs="Arial" w:eastAsia="Arial" w:hAnsi="Arial"/>
                <w:sz w:val="19"/>
                <w:szCs w:val="19"/>
                <w:color w:val="auto"/>
              </w:rPr>
              <w:t>William S. Ayer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rPr>
              <w:t>Clive Hollick</w:t>
            </w:r>
          </w:p>
        </w:tc>
      </w:tr>
      <w:tr>
        <w:trPr>
          <w:trHeight w:val="234"/>
        </w:trPr>
        <w:tc>
          <w:tcPr>
            <w:tcW w:w="920" w:type="dxa"/>
            <w:vAlign w:val="bottom"/>
          </w:tcPr>
          <w:p>
            <w:pPr>
              <w:spacing w:after="0"/>
              <w:rPr>
                <w:sz w:val="20"/>
                <w:szCs w:val="20"/>
                <w:color w:val="auto"/>
              </w:rPr>
            </w:pPr>
          </w:p>
        </w:tc>
        <w:tc>
          <w:tcPr>
            <w:tcW w:w="4640" w:type="dxa"/>
            <w:vAlign w:val="bottom"/>
          </w:tcPr>
          <w:p>
            <w:pPr>
              <w:jc w:val="center"/>
              <w:ind w:right="823"/>
              <w:spacing w:after="0"/>
              <w:rPr>
                <w:sz w:val="20"/>
                <w:szCs w:val="20"/>
                <w:color w:val="auto"/>
              </w:rPr>
            </w:pPr>
            <w:r>
              <w:rPr>
                <w:rFonts w:ascii="Arial" w:cs="Arial" w:eastAsia="Arial" w:hAnsi="Arial"/>
                <w:sz w:val="19"/>
                <w:szCs w:val="19"/>
                <w:color w:val="auto"/>
              </w:rPr>
              <w:t>Director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Arial" w:cs="Arial" w:eastAsia="Arial" w:hAnsi="Arial"/>
                <w:sz w:val="19"/>
                <w:szCs w:val="19"/>
                <w:color w:val="auto"/>
              </w:rPr>
              <w:t>Director</w:t>
            </w:r>
          </w:p>
        </w:tc>
      </w:tr>
      <w:tr>
        <w:trPr>
          <w:trHeight w:val="437"/>
        </w:trPr>
        <w:tc>
          <w:tcPr>
            <w:tcW w:w="920" w:type="dxa"/>
            <w:vAlign w:val="bottom"/>
          </w:tcPr>
          <w:p>
            <w:pPr>
              <w:spacing w:after="0"/>
              <w:rPr>
                <w:sz w:val="24"/>
                <w:szCs w:val="24"/>
                <w:color w:val="auto"/>
              </w:rPr>
            </w:pPr>
          </w:p>
        </w:tc>
        <w:tc>
          <w:tcPr>
            <w:tcW w:w="4640" w:type="dxa"/>
            <w:vAlign w:val="bottom"/>
          </w:tcPr>
          <w:p>
            <w:pPr>
              <w:jc w:val="center"/>
              <w:ind w:right="823"/>
              <w:spacing w:after="0"/>
              <w:rPr>
                <w:sz w:val="20"/>
                <w:szCs w:val="20"/>
                <w:color w:val="auto"/>
              </w:rPr>
            </w:pPr>
            <w:r>
              <w:rPr>
                <w:rFonts w:ascii="Arial" w:cs="Arial" w:eastAsia="Arial" w:hAnsi="Arial"/>
                <w:sz w:val="19"/>
                <w:szCs w:val="19"/>
                <w:color w:val="auto"/>
              </w:rPr>
              <w:t>*</w:t>
            </w:r>
          </w:p>
        </w:tc>
        <w:tc>
          <w:tcPr>
            <w:tcW w:w="5860" w:type="dxa"/>
            <w:vAlign w:val="bottom"/>
            <w:gridSpan w:val="3"/>
          </w:tcPr>
          <w:p>
            <w:pPr>
              <w:jc w:val="center"/>
              <w:ind w:left="203"/>
              <w:spacing w:after="0"/>
              <w:rPr>
                <w:sz w:val="20"/>
                <w:szCs w:val="20"/>
                <w:color w:val="auto"/>
              </w:rPr>
            </w:pPr>
            <w:r>
              <w:rPr>
                <w:rFonts w:ascii="Arial" w:cs="Arial" w:eastAsia="Arial" w:hAnsi="Arial"/>
                <w:sz w:val="19"/>
                <w:szCs w:val="19"/>
                <w:color w:val="auto"/>
              </w:rPr>
              <w:t>*</w:t>
            </w:r>
          </w:p>
        </w:tc>
      </w:tr>
      <w:tr>
        <w:trPr>
          <w:trHeight w:val="228"/>
        </w:trPr>
        <w:tc>
          <w:tcPr>
            <w:tcW w:w="920" w:type="dxa"/>
            <w:vAlign w:val="bottom"/>
            <w:tcBorders>
              <w:top w:val="single" w:sz="8" w:color="auto"/>
            </w:tcBorders>
          </w:tcPr>
          <w:p>
            <w:pPr>
              <w:spacing w:after="0"/>
              <w:rPr>
                <w:sz w:val="19"/>
                <w:szCs w:val="19"/>
                <w:color w:val="auto"/>
              </w:rPr>
            </w:pPr>
          </w:p>
        </w:tc>
        <w:tc>
          <w:tcPr>
            <w:tcW w:w="4640" w:type="dxa"/>
            <w:vAlign w:val="bottom"/>
            <w:tcBorders>
              <w:top w:val="single" w:sz="8" w:color="auto"/>
            </w:tcBorders>
          </w:tcPr>
          <w:p>
            <w:pPr>
              <w:jc w:val="center"/>
              <w:ind w:right="823"/>
              <w:spacing w:after="0"/>
              <w:rPr>
                <w:sz w:val="20"/>
                <w:szCs w:val="20"/>
                <w:color w:val="auto"/>
              </w:rPr>
            </w:pPr>
            <w:r>
              <w:rPr>
                <w:rFonts w:ascii="Arial" w:cs="Arial" w:eastAsia="Arial" w:hAnsi="Arial"/>
                <w:sz w:val="19"/>
                <w:szCs w:val="19"/>
                <w:color w:val="auto"/>
              </w:rPr>
              <w:t>Kevin Burke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rPr>
              <w:t>Grace D. Lieblein</w:t>
            </w:r>
          </w:p>
        </w:tc>
      </w:tr>
      <w:tr>
        <w:trPr>
          <w:trHeight w:val="234"/>
        </w:trPr>
        <w:tc>
          <w:tcPr>
            <w:tcW w:w="920" w:type="dxa"/>
            <w:vAlign w:val="bottom"/>
          </w:tcPr>
          <w:p>
            <w:pPr>
              <w:spacing w:after="0"/>
              <w:rPr>
                <w:sz w:val="20"/>
                <w:szCs w:val="20"/>
                <w:color w:val="auto"/>
              </w:rPr>
            </w:pPr>
          </w:p>
        </w:tc>
        <w:tc>
          <w:tcPr>
            <w:tcW w:w="4640" w:type="dxa"/>
            <w:vAlign w:val="bottom"/>
          </w:tcPr>
          <w:p>
            <w:pPr>
              <w:jc w:val="center"/>
              <w:ind w:right="823"/>
              <w:spacing w:after="0"/>
              <w:rPr>
                <w:sz w:val="20"/>
                <w:szCs w:val="20"/>
                <w:color w:val="auto"/>
              </w:rPr>
            </w:pPr>
            <w:r>
              <w:rPr>
                <w:rFonts w:ascii="Arial" w:cs="Arial" w:eastAsia="Arial" w:hAnsi="Arial"/>
                <w:sz w:val="19"/>
                <w:szCs w:val="19"/>
                <w:color w:val="auto"/>
              </w:rPr>
              <w:t>Director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Arial" w:cs="Arial" w:eastAsia="Arial" w:hAnsi="Arial"/>
                <w:sz w:val="19"/>
                <w:szCs w:val="19"/>
                <w:color w:val="auto"/>
              </w:rPr>
              <w:t>Director</w:t>
            </w:r>
          </w:p>
        </w:tc>
      </w:tr>
      <w:tr>
        <w:trPr>
          <w:trHeight w:val="437"/>
        </w:trPr>
        <w:tc>
          <w:tcPr>
            <w:tcW w:w="920" w:type="dxa"/>
            <w:vAlign w:val="bottom"/>
          </w:tcPr>
          <w:p>
            <w:pPr>
              <w:spacing w:after="0"/>
              <w:rPr>
                <w:sz w:val="24"/>
                <w:szCs w:val="24"/>
                <w:color w:val="auto"/>
              </w:rPr>
            </w:pPr>
          </w:p>
        </w:tc>
        <w:tc>
          <w:tcPr>
            <w:tcW w:w="4640" w:type="dxa"/>
            <w:vAlign w:val="bottom"/>
          </w:tcPr>
          <w:p>
            <w:pPr>
              <w:jc w:val="center"/>
              <w:ind w:right="823"/>
              <w:spacing w:after="0"/>
              <w:rPr>
                <w:sz w:val="20"/>
                <w:szCs w:val="20"/>
                <w:color w:val="auto"/>
              </w:rPr>
            </w:pPr>
            <w:r>
              <w:rPr>
                <w:rFonts w:ascii="Arial" w:cs="Arial" w:eastAsia="Arial" w:hAnsi="Arial"/>
                <w:sz w:val="19"/>
                <w:szCs w:val="19"/>
                <w:color w:val="auto"/>
              </w:rPr>
              <w:t>*</w:t>
            </w:r>
          </w:p>
        </w:tc>
        <w:tc>
          <w:tcPr>
            <w:tcW w:w="5860" w:type="dxa"/>
            <w:vAlign w:val="bottom"/>
            <w:gridSpan w:val="3"/>
          </w:tcPr>
          <w:p>
            <w:pPr>
              <w:jc w:val="center"/>
              <w:ind w:left="203"/>
              <w:spacing w:after="0"/>
              <w:rPr>
                <w:sz w:val="20"/>
                <w:szCs w:val="20"/>
                <w:color w:val="auto"/>
              </w:rPr>
            </w:pPr>
            <w:r>
              <w:rPr>
                <w:rFonts w:ascii="Arial" w:cs="Arial" w:eastAsia="Arial" w:hAnsi="Arial"/>
                <w:sz w:val="19"/>
                <w:szCs w:val="19"/>
                <w:color w:val="auto"/>
              </w:rPr>
              <w:t>*</w:t>
            </w:r>
          </w:p>
        </w:tc>
      </w:tr>
      <w:tr>
        <w:trPr>
          <w:trHeight w:val="228"/>
        </w:trPr>
        <w:tc>
          <w:tcPr>
            <w:tcW w:w="920" w:type="dxa"/>
            <w:vAlign w:val="bottom"/>
            <w:tcBorders>
              <w:top w:val="single" w:sz="8" w:color="auto"/>
            </w:tcBorders>
          </w:tcPr>
          <w:p>
            <w:pPr>
              <w:spacing w:after="0"/>
              <w:rPr>
                <w:sz w:val="19"/>
                <w:szCs w:val="19"/>
                <w:color w:val="auto"/>
              </w:rPr>
            </w:pPr>
          </w:p>
        </w:tc>
        <w:tc>
          <w:tcPr>
            <w:tcW w:w="4640" w:type="dxa"/>
            <w:vAlign w:val="bottom"/>
            <w:tcBorders>
              <w:top w:val="single" w:sz="8" w:color="auto"/>
            </w:tcBorders>
          </w:tcPr>
          <w:p>
            <w:pPr>
              <w:jc w:val="center"/>
              <w:ind w:right="823"/>
              <w:spacing w:after="0"/>
              <w:rPr>
                <w:sz w:val="20"/>
                <w:szCs w:val="20"/>
                <w:color w:val="auto"/>
              </w:rPr>
            </w:pPr>
            <w:r>
              <w:rPr>
                <w:rFonts w:ascii="Arial" w:cs="Arial" w:eastAsia="Arial" w:hAnsi="Arial"/>
                <w:sz w:val="19"/>
                <w:szCs w:val="19"/>
                <w:color w:val="auto"/>
              </w:rPr>
              <w:t>Jaime Chico Pardo</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rPr>
              <w:t>George Paz</w:t>
            </w:r>
          </w:p>
        </w:tc>
      </w:tr>
      <w:tr>
        <w:trPr>
          <w:trHeight w:val="234"/>
        </w:trPr>
        <w:tc>
          <w:tcPr>
            <w:tcW w:w="920" w:type="dxa"/>
            <w:vAlign w:val="bottom"/>
          </w:tcPr>
          <w:p>
            <w:pPr>
              <w:spacing w:after="0"/>
              <w:rPr>
                <w:sz w:val="20"/>
                <w:szCs w:val="20"/>
                <w:color w:val="auto"/>
              </w:rPr>
            </w:pPr>
          </w:p>
        </w:tc>
        <w:tc>
          <w:tcPr>
            <w:tcW w:w="4640" w:type="dxa"/>
            <w:vAlign w:val="bottom"/>
          </w:tcPr>
          <w:p>
            <w:pPr>
              <w:jc w:val="center"/>
              <w:ind w:right="823"/>
              <w:spacing w:after="0"/>
              <w:rPr>
                <w:sz w:val="20"/>
                <w:szCs w:val="20"/>
                <w:color w:val="auto"/>
              </w:rPr>
            </w:pPr>
            <w:r>
              <w:rPr>
                <w:rFonts w:ascii="Arial" w:cs="Arial" w:eastAsia="Arial" w:hAnsi="Arial"/>
                <w:sz w:val="19"/>
                <w:szCs w:val="19"/>
                <w:color w:val="auto"/>
              </w:rPr>
              <w:t>Director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Arial" w:cs="Arial" w:eastAsia="Arial" w:hAnsi="Arial"/>
                <w:sz w:val="19"/>
                <w:szCs w:val="19"/>
                <w:color w:val="auto"/>
              </w:rPr>
              <w:t>Director</w:t>
            </w:r>
          </w:p>
        </w:tc>
      </w:tr>
      <w:tr>
        <w:trPr>
          <w:trHeight w:val="437"/>
        </w:trPr>
        <w:tc>
          <w:tcPr>
            <w:tcW w:w="920" w:type="dxa"/>
            <w:vAlign w:val="bottom"/>
          </w:tcPr>
          <w:p>
            <w:pPr>
              <w:spacing w:after="0"/>
              <w:rPr>
                <w:sz w:val="24"/>
                <w:szCs w:val="24"/>
                <w:color w:val="auto"/>
              </w:rPr>
            </w:pPr>
          </w:p>
        </w:tc>
        <w:tc>
          <w:tcPr>
            <w:tcW w:w="4640" w:type="dxa"/>
            <w:vAlign w:val="bottom"/>
          </w:tcPr>
          <w:p>
            <w:pPr>
              <w:jc w:val="center"/>
              <w:ind w:right="823"/>
              <w:spacing w:after="0"/>
              <w:rPr>
                <w:sz w:val="20"/>
                <w:szCs w:val="20"/>
                <w:color w:val="auto"/>
              </w:rPr>
            </w:pPr>
            <w:r>
              <w:rPr>
                <w:rFonts w:ascii="Arial" w:cs="Arial" w:eastAsia="Arial" w:hAnsi="Arial"/>
                <w:sz w:val="19"/>
                <w:szCs w:val="19"/>
                <w:color w:val="auto"/>
              </w:rPr>
              <w:t>*</w:t>
            </w:r>
          </w:p>
        </w:tc>
        <w:tc>
          <w:tcPr>
            <w:tcW w:w="5860" w:type="dxa"/>
            <w:vAlign w:val="bottom"/>
            <w:gridSpan w:val="3"/>
          </w:tcPr>
          <w:p>
            <w:pPr>
              <w:jc w:val="center"/>
              <w:ind w:left="203"/>
              <w:spacing w:after="0"/>
              <w:rPr>
                <w:sz w:val="20"/>
                <w:szCs w:val="20"/>
                <w:color w:val="auto"/>
              </w:rPr>
            </w:pPr>
            <w:r>
              <w:rPr>
                <w:rFonts w:ascii="Arial" w:cs="Arial" w:eastAsia="Arial" w:hAnsi="Arial"/>
                <w:sz w:val="19"/>
                <w:szCs w:val="19"/>
                <w:color w:val="auto"/>
              </w:rPr>
              <w:t>*</w:t>
            </w:r>
          </w:p>
        </w:tc>
      </w:tr>
      <w:tr>
        <w:trPr>
          <w:trHeight w:val="228"/>
        </w:trPr>
        <w:tc>
          <w:tcPr>
            <w:tcW w:w="920" w:type="dxa"/>
            <w:vAlign w:val="bottom"/>
            <w:tcBorders>
              <w:top w:val="single" w:sz="8" w:color="auto"/>
            </w:tcBorders>
          </w:tcPr>
          <w:p>
            <w:pPr>
              <w:spacing w:after="0"/>
              <w:rPr>
                <w:sz w:val="19"/>
                <w:szCs w:val="19"/>
                <w:color w:val="auto"/>
              </w:rPr>
            </w:pPr>
          </w:p>
        </w:tc>
        <w:tc>
          <w:tcPr>
            <w:tcW w:w="4640" w:type="dxa"/>
            <w:vAlign w:val="bottom"/>
            <w:tcBorders>
              <w:top w:val="single" w:sz="8" w:color="auto"/>
            </w:tcBorders>
          </w:tcPr>
          <w:p>
            <w:pPr>
              <w:jc w:val="center"/>
              <w:ind w:right="823"/>
              <w:spacing w:after="0"/>
              <w:rPr>
                <w:sz w:val="20"/>
                <w:szCs w:val="20"/>
                <w:color w:val="auto"/>
              </w:rPr>
            </w:pPr>
            <w:r>
              <w:rPr>
                <w:rFonts w:ascii="Arial" w:cs="Arial" w:eastAsia="Arial" w:hAnsi="Arial"/>
                <w:sz w:val="19"/>
                <w:szCs w:val="19"/>
                <w:color w:val="auto"/>
              </w:rPr>
              <w:t>D. Scott Davis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rPr>
              <w:t>Robin L. Washington</w:t>
            </w:r>
          </w:p>
        </w:tc>
      </w:tr>
      <w:tr>
        <w:trPr>
          <w:trHeight w:val="234"/>
        </w:trPr>
        <w:tc>
          <w:tcPr>
            <w:tcW w:w="920" w:type="dxa"/>
            <w:vAlign w:val="bottom"/>
          </w:tcPr>
          <w:p>
            <w:pPr>
              <w:spacing w:after="0"/>
              <w:rPr>
                <w:sz w:val="20"/>
                <w:szCs w:val="20"/>
                <w:color w:val="auto"/>
              </w:rPr>
            </w:pPr>
          </w:p>
        </w:tc>
        <w:tc>
          <w:tcPr>
            <w:tcW w:w="4640" w:type="dxa"/>
            <w:vAlign w:val="bottom"/>
          </w:tcPr>
          <w:p>
            <w:pPr>
              <w:jc w:val="center"/>
              <w:ind w:right="823"/>
              <w:spacing w:after="0"/>
              <w:rPr>
                <w:sz w:val="20"/>
                <w:szCs w:val="20"/>
                <w:color w:val="auto"/>
              </w:rPr>
            </w:pPr>
            <w:r>
              <w:rPr>
                <w:rFonts w:ascii="Arial" w:cs="Arial" w:eastAsia="Arial" w:hAnsi="Arial"/>
                <w:sz w:val="19"/>
                <w:szCs w:val="19"/>
                <w:color w:val="auto"/>
              </w:rPr>
              <w:t>Director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Arial" w:cs="Arial" w:eastAsia="Arial" w:hAnsi="Arial"/>
                <w:sz w:val="19"/>
                <w:szCs w:val="19"/>
                <w:color w:val="auto"/>
              </w:rPr>
              <w:t>Director</w:t>
            </w:r>
          </w:p>
        </w:tc>
      </w:tr>
      <w:tr>
        <w:trPr>
          <w:trHeight w:val="437"/>
        </w:trPr>
        <w:tc>
          <w:tcPr>
            <w:tcW w:w="9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jc w:val="center"/>
              <w:ind w:right="823"/>
              <w:spacing w:after="0"/>
              <w:rPr>
                <w:sz w:val="20"/>
                <w:szCs w:val="20"/>
                <w:color w:val="auto"/>
              </w:rPr>
            </w:pPr>
            <w:r>
              <w:rPr>
                <w:rFonts w:ascii="Arial" w:cs="Arial" w:eastAsia="Arial" w:hAnsi="Arial"/>
                <w:sz w:val="19"/>
                <w:szCs w:val="19"/>
                <w:color w:val="auto"/>
              </w:rPr>
              <w:t>/s/ Gregory P. Lewis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/s/ John J. Tus</w:t>
            </w:r>
          </w:p>
        </w:tc>
      </w:tr>
      <w:tr>
        <w:trPr>
          <w:trHeight w:val="228"/>
        </w:trPr>
        <w:tc>
          <w:tcPr>
            <w:tcW w:w="920" w:type="dxa"/>
            <w:vAlign w:val="bottom"/>
          </w:tcPr>
          <w:p>
            <w:pPr>
              <w:spacing w:after="0"/>
              <w:rPr>
                <w:sz w:val="19"/>
                <w:szCs w:val="19"/>
                <w:color w:val="auto"/>
              </w:rPr>
            </w:pPr>
          </w:p>
        </w:tc>
        <w:tc>
          <w:tcPr>
            <w:tcW w:w="4640" w:type="dxa"/>
            <w:vAlign w:val="bottom"/>
          </w:tcPr>
          <w:p>
            <w:pPr>
              <w:jc w:val="center"/>
              <w:ind w:right="803"/>
              <w:spacing w:after="0"/>
              <w:rPr>
                <w:sz w:val="20"/>
                <w:szCs w:val="20"/>
                <w:color w:val="auto"/>
              </w:rPr>
            </w:pPr>
            <w:r>
              <w:rPr>
                <w:rFonts w:ascii="Arial" w:cs="Arial" w:eastAsia="Arial" w:hAnsi="Arial"/>
                <w:sz w:val="19"/>
                <w:szCs w:val="19"/>
                <w:color w:val="auto"/>
              </w:rPr>
              <w:t>Gregory P. Lewis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Arial" w:cs="Arial" w:eastAsia="Arial" w:hAnsi="Arial"/>
                <w:sz w:val="19"/>
                <w:szCs w:val="19"/>
                <w:color w:val="auto"/>
              </w:rPr>
              <w:t>John J. Tus</w:t>
            </w:r>
          </w:p>
        </w:tc>
      </w:tr>
      <w:tr>
        <w:trPr>
          <w:trHeight w:val="216"/>
        </w:trPr>
        <w:tc>
          <w:tcPr>
            <w:tcW w:w="920" w:type="dxa"/>
            <w:vAlign w:val="bottom"/>
          </w:tcPr>
          <w:p>
            <w:pPr>
              <w:spacing w:after="0"/>
              <w:rPr>
                <w:sz w:val="18"/>
                <w:szCs w:val="18"/>
                <w:color w:val="auto"/>
              </w:rPr>
            </w:pPr>
          </w:p>
        </w:tc>
        <w:tc>
          <w:tcPr>
            <w:tcW w:w="4640" w:type="dxa"/>
            <w:vAlign w:val="bottom"/>
          </w:tcPr>
          <w:p>
            <w:pPr>
              <w:jc w:val="center"/>
              <w:ind w:right="823"/>
              <w:spacing w:after="0" w:line="216" w:lineRule="exact"/>
              <w:rPr>
                <w:sz w:val="20"/>
                <w:szCs w:val="20"/>
                <w:color w:val="auto"/>
              </w:rPr>
            </w:pPr>
            <w:r>
              <w:rPr>
                <w:rFonts w:ascii="Arial" w:cs="Arial" w:eastAsia="Arial" w:hAnsi="Arial"/>
                <w:sz w:val="19"/>
                <w:szCs w:val="19"/>
                <w:color w:val="auto"/>
              </w:rPr>
              <w:t>Senior Vice President and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60" w:type="dxa"/>
            <w:vAlign w:val="bottom"/>
          </w:tcPr>
          <w:p>
            <w:pPr>
              <w:jc w:val="center"/>
              <w:spacing w:after="0" w:line="216" w:lineRule="exact"/>
              <w:rPr>
                <w:sz w:val="20"/>
                <w:szCs w:val="20"/>
                <w:color w:val="auto"/>
              </w:rPr>
            </w:pPr>
            <w:r>
              <w:rPr>
                <w:rFonts w:ascii="Arial" w:cs="Arial" w:eastAsia="Arial" w:hAnsi="Arial"/>
                <w:sz w:val="19"/>
                <w:szCs w:val="19"/>
                <w:color w:val="auto"/>
              </w:rPr>
              <w:t>Vice President and Controller</w:t>
            </w:r>
          </w:p>
        </w:tc>
      </w:tr>
      <w:tr>
        <w:trPr>
          <w:trHeight w:val="216"/>
        </w:trPr>
        <w:tc>
          <w:tcPr>
            <w:tcW w:w="920" w:type="dxa"/>
            <w:vAlign w:val="bottom"/>
          </w:tcPr>
          <w:p>
            <w:pPr>
              <w:spacing w:after="0"/>
              <w:rPr>
                <w:sz w:val="18"/>
                <w:szCs w:val="18"/>
                <w:color w:val="auto"/>
              </w:rPr>
            </w:pPr>
          </w:p>
        </w:tc>
        <w:tc>
          <w:tcPr>
            <w:tcW w:w="4640" w:type="dxa"/>
            <w:vAlign w:val="bottom"/>
          </w:tcPr>
          <w:p>
            <w:pPr>
              <w:jc w:val="center"/>
              <w:ind w:right="803"/>
              <w:spacing w:after="0" w:line="216" w:lineRule="exact"/>
              <w:rPr>
                <w:sz w:val="20"/>
                <w:szCs w:val="20"/>
                <w:color w:val="auto"/>
              </w:rPr>
            </w:pPr>
            <w:r>
              <w:rPr>
                <w:rFonts w:ascii="Arial" w:cs="Arial" w:eastAsia="Arial" w:hAnsi="Arial"/>
                <w:sz w:val="19"/>
                <w:szCs w:val="19"/>
                <w:color w:val="auto"/>
              </w:rPr>
              <w:t>Chief Financial Officer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60" w:type="dxa"/>
            <w:vAlign w:val="bottom"/>
          </w:tcPr>
          <w:p>
            <w:pPr>
              <w:jc w:val="center"/>
              <w:spacing w:after="0" w:line="216" w:lineRule="exact"/>
              <w:rPr>
                <w:sz w:val="20"/>
                <w:szCs w:val="20"/>
                <w:color w:val="auto"/>
              </w:rPr>
            </w:pPr>
            <w:r>
              <w:rPr>
                <w:rFonts w:ascii="Arial" w:cs="Arial" w:eastAsia="Arial" w:hAnsi="Arial"/>
                <w:sz w:val="19"/>
                <w:szCs w:val="19"/>
                <w:color w:val="auto"/>
              </w:rPr>
              <w:t>(Principal Accounting Officer)</w:t>
            </w:r>
          </w:p>
        </w:tc>
      </w:tr>
      <w:tr>
        <w:trPr>
          <w:trHeight w:val="234"/>
        </w:trPr>
        <w:tc>
          <w:tcPr>
            <w:tcW w:w="920" w:type="dxa"/>
            <w:vAlign w:val="bottom"/>
          </w:tcPr>
          <w:p>
            <w:pPr>
              <w:spacing w:after="0"/>
              <w:rPr>
                <w:sz w:val="20"/>
                <w:szCs w:val="20"/>
                <w:color w:val="auto"/>
              </w:rPr>
            </w:pPr>
          </w:p>
        </w:tc>
        <w:tc>
          <w:tcPr>
            <w:tcW w:w="4640" w:type="dxa"/>
            <w:vAlign w:val="bottom"/>
          </w:tcPr>
          <w:p>
            <w:pPr>
              <w:jc w:val="center"/>
              <w:ind w:right="823"/>
              <w:spacing w:after="0"/>
              <w:rPr>
                <w:sz w:val="20"/>
                <w:szCs w:val="20"/>
                <w:color w:val="auto"/>
              </w:rPr>
            </w:pPr>
            <w:r>
              <w:rPr>
                <w:rFonts w:ascii="Arial" w:cs="Arial" w:eastAsia="Arial" w:hAnsi="Arial"/>
                <w:sz w:val="19"/>
                <w:szCs w:val="19"/>
                <w:color w:val="auto"/>
              </w:rPr>
              <w:t>(Principal Financial Officer)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64"/>
        </w:trPr>
        <w:tc>
          <w:tcPr>
            <w:tcW w:w="920" w:type="dxa"/>
            <w:vAlign w:val="bottom"/>
          </w:tcPr>
          <w:p>
            <w:pPr>
              <w:spacing w:after="0"/>
              <w:rPr>
                <w:sz w:val="20"/>
                <w:szCs w:val="20"/>
                <w:color w:val="auto"/>
              </w:rPr>
            </w:pPr>
            <w:r>
              <w:rPr>
                <w:rFonts w:ascii="Arial" w:cs="Arial" w:eastAsia="Arial" w:hAnsi="Arial"/>
                <w:sz w:val="19"/>
                <w:szCs w:val="19"/>
                <w:color w:val="auto"/>
              </w:rPr>
              <w:t>*By:</w:t>
            </w:r>
          </w:p>
        </w:tc>
        <w:tc>
          <w:tcPr>
            <w:tcW w:w="4640" w:type="dxa"/>
            <w:vAlign w:val="bottom"/>
            <w:tcBorders>
              <w:bottom w:val="single" w:sz="8" w:color="auto"/>
            </w:tcBorders>
          </w:tcPr>
          <w:p>
            <w:pPr>
              <w:jc w:val="center"/>
              <w:ind w:left="63"/>
              <w:spacing w:after="0"/>
              <w:rPr>
                <w:sz w:val="20"/>
                <w:szCs w:val="20"/>
                <w:color w:val="auto"/>
              </w:rPr>
            </w:pPr>
            <w:r>
              <w:rPr>
                <w:rFonts w:ascii="Arial" w:cs="Arial" w:eastAsia="Arial" w:hAnsi="Arial"/>
                <w:sz w:val="19"/>
                <w:szCs w:val="19"/>
                <w:color w:val="auto"/>
              </w:rPr>
              <w:t>/s/ Gregory P. Lewis</w:t>
            </w:r>
          </w:p>
        </w:tc>
        <w:tc>
          <w:tcPr>
            <w:tcW w:w="1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28"/>
        </w:trPr>
        <w:tc>
          <w:tcPr>
            <w:tcW w:w="920" w:type="dxa"/>
            <w:vAlign w:val="bottom"/>
          </w:tcPr>
          <w:p>
            <w:pPr>
              <w:spacing w:after="0"/>
              <w:rPr>
                <w:sz w:val="19"/>
                <w:szCs w:val="19"/>
                <w:color w:val="auto"/>
              </w:rPr>
            </w:pPr>
          </w:p>
        </w:tc>
        <w:tc>
          <w:tcPr>
            <w:tcW w:w="4640" w:type="dxa"/>
            <w:vAlign w:val="bottom"/>
          </w:tcPr>
          <w:p>
            <w:pPr>
              <w:jc w:val="center"/>
              <w:ind w:left="63"/>
              <w:spacing w:after="0"/>
              <w:rPr>
                <w:sz w:val="20"/>
                <w:szCs w:val="20"/>
                <w:color w:val="auto"/>
              </w:rPr>
            </w:pPr>
            <w:r>
              <w:rPr>
                <w:rFonts w:ascii="Arial" w:cs="Arial" w:eastAsia="Arial" w:hAnsi="Arial"/>
                <w:sz w:val="19"/>
                <w:szCs w:val="19"/>
                <w:color w:val="auto"/>
                <w:w w:val="99"/>
              </w:rPr>
              <w:t>(Gregory P. Lewis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234"/>
        </w:trPr>
        <w:tc>
          <w:tcPr>
            <w:tcW w:w="920" w:type="dxa"/>
            <w:vAlign w:val="bottom"/>
          </w:tcPr>
          <w:p>
            <w:pPr>
              <w:spacing w:after="0"/>
              <w:rPr>
                <w:sz w:val="20"/>
                <w:szCs w:val="20"/>
                <w:color w:val="auto"/>
              </w:rPr>
            </w:pPr>
          </w:p>
        </w:tc>
        <w:tc>
          <w:tcPr>
            <w:tcW w:w="4640" w:type="dxa"/>
            <w:vAlign w:val="bottom"/>
          </w:tcPr>
          <w:p>
            <w:pPr>
              <w:jc w:val="center"/>
              <w:ind w:left="83"/>
              <w:spacing w:after="0"/>
              <w:rPr>
                <w:sz w:val="20"/>
                <w:szCs w:val="20"/>
                <w:color w:val="auto"/>
              </w:rPr>
            </w:pPr>
            <w:r>
              <w:rPr>
                <w:rFonts w:ascii="Arial" w:cs="Arial" w:eastAsia="Arial" w:hAnsi="Arial"/>
                <w:sz w:val="19"/>
                <w:szCs w:val="19"/>
                <w:color w:val="auto"/>
              </w:rPr>
              <w:t>Attorney-in-fact)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tcPr>
          <w:p>
            <w:pPr>
              <w:spacing w:after="0"/>
              <w:rPr>
                <w:sz w:val="20"/>
                <w:szCs w:val="20"/>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February 8, 2019</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u w:val="single" w:color="auto"/>
          <w:color w:val="auto"/>
        </w:rPr>
        <w:t>Exhibit 10.4</w:t>
      </w:r>
    </w:p>
    <w:p>
      <w:pPr>
        <w:spacing w:after="0" w:line="27" w:lineRule="exact"/>
        <w:rPr>
          <w:sz w:val="20"/>
          <w:szCs w:val="20"/>
          <w:color w:val="auto"/>
        </w:rPr>
      </w:pPr>
    </w:p>
    <w:p>
      <w:pPr>
        <w:jc w:val="center"/>
        <w:spacing w:after="0" w:line="241" w:lineRule="auto"/>
        <w:rPr>
          <w:sz w:val="20"/>
          <w:szCs w:val="20"/>
          <w:color w:val="auto"/>
        </w:rPr>
      </w:pPr>
      <w:r>
        <w:rPr>
          <w:rFonts w:ascii="Arial" w:cs="Arial" w:eastAsia="Arial" w:hAnsi="Arial"/>
          <w:sz w:val="20"/>
          <w:szCs w:val="20"/>
          <w:b w:val="1"/>
          <w:bCs w:val="1"/>
          <w:color w:val="auto"/>
        </w:rPr>
        <w:t>HONEYWELL INTERNATIONAL INC. INCENTIVE COMPENSATION PLAN FOR EXECUTIVE EMPLOYEES AMENDED AND RESTATED EFFECTIVE AS OF JANUARY 1, 2018</w:t>
      </w:r>
    </w:p>
    <w:p>
      <w:pPr>
        <w:spacing w:after="0" w:line="195"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the Honeywell International Inc. Incentive Compensation Plan for Executive Employees (the “Plan”) is to attract and retain highly qualified employees, to obtain from each the best possible performance, and to underscore the importance to such employees of achieving particular business objectives.</w:t>
      </w:r>
    </w:p>
    <w:p>
      <w:pPr>
        <w:spacing w:after="0" w:line="177"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Plan, the following terms shall have the following meanings: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“Board of Directors” means the Board of Directors of Honeywell.</w:t>
      </w:r>
    </w:p>
    <w:p>
      <w:pPr>
        <w:spacing w:after="0" w:line="225"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“Change in Control” means (i) any one person, or more than one person acting as a group (as defined under Treasury Regulation § 1.409A-3(i)(5)(v) (B)) acquires ownership of stock of Honeywell that, together with stock held by such person or group, constitutes more than 50 percent of the total fair market value or total voting power of the stock of Honeywell; or (ii) any one person, or more than one person acting as a group (as defined under Treasury Regulation § 1.409A-3(i)(5)(v)(B)) acquires (or has acquired during the 12-month period ending on the date of the most recent acquisition by such person or persons) ownership of stock of Honeywell possessing 30 percent or more of the total voting power of the stock of Honeywell; or</w:t>
      </w:r>
    </w:p>
    <w:p>
      <w:pPr>
        <w:spacing w:after="0" w:line="2" w:lineRule="exact"/>
        <w:rPr>
          <w:sz w:val="20"/>
          <w:szCs w:val="20"/>
          <w:color w:val="auto"/>
        </w:rPr>
      </w:pPr>
    </w:p>
    <w:p>
      <w:pPr>
        <w:jc w:val="both"/>
        <w:ind w:left="660" w:hanging="4"/>
        <w:spacing w:after="0" w:line="268" w:lineRule="auto"/>
        <w:tabs>
          <w:tab w:leader="none" w:pos="99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majority of members of the Board of Directors is replaced during any 12-month period by directors whose appointment or election is not endorsed by a majority of the members of the Board of Directors before the date of the appointment or election; or (iv) any one person, or more than one person acting as a group (as defined in Treasury Regulation § 1.409A-3(i)(5)(v)(B)) acquires (or has acquired during the 12-month period ending on the date of the most recent acquisition by such person or persons) assets from the Company that have a total gross fair market value equal to or more than 40 percent of the total gross fair market value of all of the assets of the Company immediately before such acquisition or acquisitions. For purposes of subsection (iv), “gross fair market value” means the value of the assets of the Company, or the value of the assets being disposed of, determined without regard to any liabilities associated with such assets. The foregoing subsections (i) through (iv) shall be interpreted in a manner that is consistent with the Treasury Regulations promulgated pursuant to Section 409A of the Code so that all, and only, such transactions or events that could qualify as a “change in control event” within the meaning of Treasury Regulation §1.409A-3(i)(5)(i) will be deemed to be a Change in Control for purposes of this Plan.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“Change in Control Date” means the date on which a Change in Control occurs.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“Chief Executive Officer” means the Chief Executive Officer of Honeywell.</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“Code” means the Internal Revenue Code of 1986, as amended from time to time, and all regulations, interpretations, and administrative guidance issued thereunder.</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“Committee” means the Management Development and Compensation Committee of the Board of Directors, or such other committee as the Board of Directors shall appoint from time to time to administer the Plan and to otherwise exercise and perform the authority and functions assigned to the Committee under the terms of the Plan. The Committee shall at all times be comprised solely of two or more outside directors and shall be “independent” pursuant to the listing requirements of the NYSE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Honeywell 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ind w:left="660"/>
        <w:spacing w:after="0"/>
        <w:rPr>
          <w:sz w:val="20"/>
          <w:szCs w:val="20"/>
          <w:color w:val="auto"/>
        </w:rPr>
      </w:pPr>
      <w:r>
        <w:rPr>
          <w:rFonts w:ascii="Arial" w:cs="Arial" w:eastAsia="Arial" w:hAnsi="Arial"/>
          <w:sz w:val="18"/>
          <w:szCs w:val="18"/>
          <w:color w:val="auto"/>
        </w:rPr>
        <w:t>(or other such exchange on which the Company’s shares may be listed for trading) as may be applicable from time to time.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“Common Stock” means the common stock of Honeywell.</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“Company” means Honeywell and its subsidiaries and affiliated entities, as well as their respective successors.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“Corporate Officer” means any Senior Executive Employee who has been elected by the Board of Directors as an officer of the Company.</w:t>
      </w:r>
    </w:p>
    <w:p>
      <w:pPr>
        <w:spacing w:after="0" w:line="225"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8"/>
          <w:szCs w:val="18"/>
          <w:color w:val="auto"/>
        </w:rPr>
        <w:t>“Employee” means any Senior Executive Employee or Executive Employee who is on the active salaried payroll of the Company at any time during the Performance Period for which an Incentive Compensation Award relates.</w:t>
      </w:r>
    </w:p>
    <w:p>
      <w:pPr>
        <w:spacing w:after="0" w:line="170"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“Executive Employee” means an Employee of the Company who is designated by the Company as an Executive level employee, other than an Employee designated by the Company as a Senior Executive Employee.</w:t>
      </w:r>
    </w:p>
    <w:p>
      <w:pPr>
        <w:spacing w:after="0" w:line="170"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“Good Reason” means, without the Employee’s consent, (a) a material reduction in the Employee’s total cash compensation opportunity in effect immediately prior to the Change in Control; (b) the permanent elimination of the Employee’s position, not including a transfer pursuant to the sale of a facility or line of business, if and only if the Employee is offered substantially comparable employment with the successor employer; (c) a material adverse change to the Employee’s position, function, responsibilities or reporting level, or in the standard of performance required of the Employee, as determined immediately prior to a Change in Control; (d) a material change in the geographic location at which the Employee must perform his or her services from the location the Employee was required to perform such services immediately prior to a Change in Control; or (e) an action by the Company that under applicable law constitutes constructive discharge. Notwithstanding the foregoing, Good Reason shall not be deemed to have occurred unless the Employee provides written notice to the Company identifying the event or omission constituting the reason for a Good Reason termination within ninety (90) days following the first occurrence of such event or omission. Within thirty (30) days after such notice has been provided to the Company, the Company shall have to opportunity, but shall have no obligation, to cure the events or conditions that give rise to a Good Reason termination. If the Company fails to cure the events or conditions giving rise to an Employee’s Good Reason termination by the end of the thirty (30) day cure period, the Employee’s employment shall be terminated effective as of the expiration of such thirty (30) day cure period unless the Employee has withdrawn such Good Reason termination notice.</w:t>
      </w:r>
    </w:p>
    <w:p>
      <w:pPr>
        <w:spacing w:after="0" w:line="17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“Gross Cause” means (i) a fraud committed against the Company, (ii) the misappropriation of the Company’s property, (iii) intentional misconduct that is damaging to the Company’s property or business, or (iv) the commission of a felony.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“Honeywell” means Honeywell International Inc., a Delaware corporation.</w:t>
      </w:r>
    </w:p>
    <w:p>
      <w:pPr>
        <w:spacing w:after="0" w:line="225"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7"/>
          <w:szCs w:val="17"/>
          <w:color w:val="auto"/>
        </w:rPr>
        <w:t>“Incentive Compensation Awards” means cash awards based on the achievement of (i) short-term business objectives for the Company, as established by the Board of Directors or the Committee for this purpose for each Performance Period, and (ii) short-term business objectives for the Company’s operating units, as established by the Chief Executive Officer for this purpose for each Performance Period.</w:t>
      </w:r>
    </w:p>
    <w:p>
      <w:pPr>
        <w:spacing w:after="0" w:line="166"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color w:val="auto"/>
        </w:rPr>
        <w:t>“Performance Period” means the Honeywell fiscal year or such other period as may be designated by the Committee (not to exceed 18-months) with respect to which Incentive Compensation Awards may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Honeywell 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3" w:name="page114"/>
    <w:bookmarkEnd w:id="113"/>
    <w:p>
      <w:pPr>
        <w:ind w:left="660"/>
        <w:spacing w:after="0"/>
        <w:rPr>
          <w:sz w:val="20"/>
          <w:szCs w:val="20"/>
          <w:color w:val="auto"/>
        </w:rPr>
      </w:pPr>
      <w:r>
        <w:rPr>
          <w:rFonts w:ascii="Arial" w:cs="Arial" w:eastAsia="Arial" w:hAnsi="Arial"/>
          <w:sz w:val="18"/>
          <w:szCs w:val="18"/>
          <w:color w:val="auto"/>
        </w:rPr>
        <w:t>be payable under the Plan; provided that no Performance Period shall begin before the previous Performance Period ends.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“Section 409A” means Section 409A of the Code.</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color w:val="auto"/>
        </w:rPr>
        <w:t>“Senior Executive Employee” means an Employee of the Company who is designated by the Company as an Executive level employee (including Corporate Officers) and who is among the 100 highest-paid Executive level employees of the Company determined solely by reference to base salary as of the end of the applicable Performance Period.</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“Stub Period” means the portion of a Performance Period that ends on the Change in Control Date.</w:t>
      </w:r>
    </w:p>
    <w:p>
      <w:pPr>
        <w:spacing w:after="0" w:line="221"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is hereby amended and restated effective as of January 1, 2018. Incentive Compensation Awards for Performance Periods that begin on or after January 1, 2018 shall be governed by this version of the Plan, subject to Section 12. Incentive Compensation Awards for Performance Periods that began before January 1, 2018 shall be governed by the predecessor versions of the Plan, as applicable.</w:t>
      </w:r>
    </w:p>
    <w:p>
      <w:pPr>
        <w:spacing w:after="0" w:line="177"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Amounts Available for Incentive Compensation Awards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maximum amount available and/or individual maximum amounts for Incentive Compensation Awards for a Performance Period may be determined by the Committee from time to time.</w:t>
      </w:r>
    </w:p>
    <w:p>
      <w:pPr>
        <w:spacing w:after="0" w:line="166"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for Incentive Compensation Awards</w:t>
      </w:r>
    </w:p>
    <w:p>
      <w:pPr>
        <w:spacing w:after="0" w:line="229"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General Eligibility Criteria</w:t>
      </w:r>
      <w:r>
        <w:rPr>
          <w:rFonts w:ascii="Arial" w:cs="Arial" w:eastAsia="Arial" w:hAnsi="Arial"/>
          <w:sz w:val="17"/>
          <w:szCs w:val="17"/>
          <w:color w:val="auto"/>
        </w:rPr>
        <w:t>. Only Senior Executive Employees and Executive Employees shall be eligible for Incentive Compensation Awards under</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Plan. Incentive Compensation Awards to Corporate Officers for any period may be granted to those Corporate Officers, if any, selected by the Committee. Such selections, except in the case of the Chief Executive Officer, shall be made after considering the recommendations of the Chief Executive Officer. The Committee shall also give consideration to the contribution made by each Corporate Officer to the achievement of the Company’s established objectives and such other matters as it shall deem relevant.</w:t>
      </w:r>
    </w:p>
    <w:p>
      <w:pPr>
        <w:spacing w:after="0" w:line="17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Incentive Compensation Awards to Senior Executive Employees (other than Corporate Officers) and Executive Employees for any period may be granted to those Senior Executive Employees (other than Corporate Officers) and Executive Employees selected by the Chief Executive Officer, to the extent the authority to determine Incentive Compensation Awards has been delegated to the Chief Executive Officer by the Committee with respect to Senior Executive Employees (other than Corporate Officers). The Chief Executive Officer shall also give consideration to the contribution made by each such Senior Executive Employee and Executive Employee to the achievement of the Company’s established objectives and such other matters as they shall deem relevant.</w:t>
      </w:r>
    </w:p>
    <w:p>
      <w:pPr>
        <w:spacing w:after="0" w:line="189"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 of Amounts of Incentive Compensation Awards</w:t>
      </w:r>
    </w:p>
    <w:p>
      <w:pPr>
        <w:spacing w:after="0" w:line="229"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Incentive Compensation Award Amounts</w:t>
      </w:r>
      <w:r>
        <w:rPr>
          <w:rFonts w:ascii="Arial" w:cs="Arial" w:eastAsia="Arial" w:hAnsi="Arial"/>
          <w:sz w:val="17"/>
          <w:szCs w:val="17"/>
          <w:color w:val="auto"/>
        </w:rPr>
        <w:t>. Subject to any maximums amounts determined by the Committee pursuant to Section 4, the amounts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individual Incentive Compensation Awards to (i) Corporate Officers shall be determined by the Committee acting in its discretion, (ii) Senior Executive Employees (other than Corporate Officers) shall be determined by the Chief Executive Officer to the extent the Committee has delegated that authority to the Chief Executive Officer, and (iii) Executive Employees shall be determined by the Chief Executive Officer. Such determinations shall be made after consideration of such matters as the Committee or the Chief Executive Officer, as applicable,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Honeywell 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4" w:name="page115"/>
    <w:bookmarkEnd w:id="114"/>
    <w:p>
      <w:pPr>
        <w:ind w:left="660"/>
        <w:spacing w:after="0" w:line="277" w:lineRule="auto"/>
        <w:rPr>
          <w:sz w:val="20"/>
          <w:szCs w:val="20"/>
          <w:color w:val="auto"/>
        </w:rPr>
      </w:pPr>
      <w:r>
        <w:rPr>
          <w:rFonts w:ascii="Arial" w:cs="Arial" w:eastAsia="Arial" w:hAnsi="Arial"/>
          <w:sz w:val="18"/>
          <w:szCs w:val="18"/>
          <w:color w:val="auto"/>
        </w:rPr>
        <w:t>shall deem relevant including, except in the case of an Incentive Compensation Award for the Chief Executive Officer, the recommendations of the Chief Executive Officer.</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Calculation of Incentive Compensation Awards</w:t>
      </w:r>
      <w:r>
        <w:rPr>
          <w:rFonts w:ascii="Arial" w:cs="Arial" w:eastAsia="Arial" w:hAnsi="Arial"/>
          <w:sz w:val="18"/>
          <w:szCs w:val="18"/>
          <w:color w:val="auto"/>
        </w:rPr>
        <w:t>. The performance goal(s) for the Performance Period shall be set by the Committee no later than 120</w:t>
      </w:r>
      <w:r>
        <w:rPr>
          <w:rFonts w:ascii="Arial" w:cs="Arial" w:eastAsia="Arial" w:hAnsi="Arial"/>
          <w:sz w:val="18"/>
          <w:szCs w:val="18"/>
          <w:u w:val="single" w:color="auto"/>
          <w:color w:val="auto"/>
        </w:rPr>
        <w:t xml:space="preserve"> </w:t>
      </w:r>
      <w:r>
        <w:rPr>
          <w:rFonts w:ascii="Arial" w:cs="Arial" w:eastAsia="Arial" w:hAnsi="Arial"/>
          <w:sz w:val="18"/>
          <w:szCs w:val="18"/>
          <w:color w:val="auto"/>
        </w:rPr>
        <w:t>days after the start of the Performance Period. If the performance goals are obtained, Incentive Compensation Awards may be determined and paid for the Performance Period in accordance with the terms of the Plan.</w:t>
      </w:r>
    </w:p>
    <w:p>
      <w:pPr>
        <w:spacing w:after="0" w:line="18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Certification</w:t>
      </w:r>
      <w:r>
        <w:rPr>
          <w:rFonts w:ascii="Arial" w:cs="Arial" w:eastAsia="Arial" w:hAnsi="Arial"/>
          <w:sz w:val="18"/>
          <w:szCs w:val="18"/>
          <w:color w:val="auto"/>
        </w:rPr>
        <w:t>. No Incentive Compensation Awards shall be paid to Employees prior to certification by the Committee of the attainment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performance goals set by the Committee for the Performance Period to which the Incentive Compensation Awards relate, and assurances from the Chief Financial Officer that the Incentive Compensation Awards to be paid do not exceed any maximum amounts of limits set by the Committee for the Performance Period.</w:t>
      </w:r>
    </w:p>
    <w:p>
      <w:pPr>
        <w:spacing w:after="0" w:line="183"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Form of Incentive Compensation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Incentive Compensation Awards under the Plan shall be paid in cash.</w:t>
      </w:r>
    </w:p>
    <w:p>
      <w:pPr>
        <w:spacing w:after="0" w:line="221"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Incentive Compensation Awards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Timing and Eligibility for Payment</w:t>
      </w:r>
      <w:r>
        <w:rPr>
          <w:rFonts w:ascii="Arial" w:cs="Arial" w:eastAsia="Arial" w:hAnsi="Arial"/>
          <w:sz w:val="16"/>
          <w:szCs w:val="16"/>
          <w:color w:val="auto"/>
        </w:rPr>
        <w:t>. Incentive Compensation Awards shall be paid in full in one lump sum as soon as practicable following the end</w:t>
      </w:r>
    </w:p>
    <w:p>
      <w:pPr>
        <w:spacing w:after="0" w:line="23" w:lineRule="exact"/>
        <w:rPr>
          <w:sz w:val="20"/>
          <w:szCs w:val="20"/>
          <w:color w:val="auto"/>
        </w:rPr>
      </w:pPr>
    </w:p>
    <w:p>
      <w:pPr>
        <w:jc w:val="both"/>
        <w:ind w:left="660"/>
        <w:spacing w:after="0" w:line="217" w:lineRule="auto"/>
        <w:rPr>
          <w:sz w:val="20"/>
          <w:szCs w:val="20"/>
          <w:color w:val="auto"/>
        </w:rPr>
      </w:pPr>
      <w:r>
        <w:rPr>
          <w:rFonts w:ascii="Arial" w:cs="Arial" w:eastAsia="Arial" w:hAnsi="Arial"/>
          <w:sz w:val="18"/>
          <w:szCs w:val="18"/>
          <w:color w:val="auto"/>
        </w:rPr>
        <w:t>of the Performance Period in which the Incentive Compensation Award was earned, but no later than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the third month following the end of the Honeywell fiscal year in which the Performance Period ended, provided that, except as otherwise provided in Section 5.2, the recipient Employee is still actively employed by the Company on the date Incentive Compensation Awards are paid.</w:t>
      </w:r>
    </w:p>
    <w:p>
      <w:pPr>
        <w:spacing w:after="0" w:line="204"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Deferrals</w:t>
      </w:r>
      <w:r>
        <w:rPr>
          <w:rFonts w:ascii="Arial" w:cs="Arial" w:eastAsia="Arial" w:hAnsi="Arial"/>
          <w:sz w:val="18"/>
          <w:szCs w:val="18"/>
          <w:color w:val="auto"/>
        </w:rPr>
        <w:t>. The Committee may, in its sole discretion, permit Employees to defer Incentive Compensation Awards in accordance with and subject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terms and conditions of the Company’s Deferred Incentive Compensation Plan (the “DIC Plan”).</w:t>
      </w:r>
    </w:p>
    <w:p>
      <w:pPr>
        <w:spacing w:after="0" w:line="166"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Recoupment of Incentive Compensation Awards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shall have the authority to condition the receipt of an Incentive Compensation Award upon the execution of an agreement that contains intellectual property, confidentiality, nonsolicitation and noncompetition covenants (“Protective Agreement”) in favor of the Company in a form determined by the Committee from time to time. If any Incentive Compensation Award recipient violates the terms of the Protective Agreement, the Board of Directors shall have the right to recoup, and the recipient shall have the obligation to repay, all or part of any Incentive Compensation Award that is subject to a Protective Agreement.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Committee shall also have the authority to recoup, and each recipient shall have the obligation to repay, all or part of any Incentive Compensation Award paid under this Plan that may be required to be subject to recoupment under federal or state laws, Company policy or the listing requirements of the NYSE (or other such exchange on which the Company’s shares may be listed for trading) as may be applicable from time to time.</w:t>
      </w:r>
    </w:p>
    <w:p>
      <w:pPr>
        <w:spacing w:after="0" w:line="162"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Transactions</w:t>
      </w:r>
    </w:p>
    <w:p>
      <w:pPr>
        <w:spacing w:after="0" w:line="229"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auto"/>
        </w:rPr>
        <w:t>Plan Termination Triggers</w:t>
      </w:r>
      <w:r>
        <w:rPr>
          <w:rFonts w:ascii="Arial" w:cs="Arial" w:eastAsia="Arial" w:hAnsi="Arial"/>
          <w:sz w:val="18"/>
          <w:szCs w:val="18"/>
          <w:color w:val="auto"/>
        </w:rPr>
        <w:t>. Notwithstanding anything to the contrary in the Plan, in the event of a Change in Control, this Plan shall terminate as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Change in Control Date.</w:t>
      </w:r>
    </w:p>
    <w:p>
      <w:pPr>
        <w:spacing w:after="0" w:line="170"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auto"/>
        </w:rPr>
        <w:t>Incentive Compensation Awards for Stub Period</w:t>
      </w:r>
      <w:r>
        <w:rPr>
          <w:rFonts w:ascii="Arial" w:cs="Arial" w:eastAsia="Arial" w:hAnsi="Arial"/>
          <w:sz w:val="18"/>
          <w:szCs w:val="18"/>
          <w:color w:val="auto"/>
        </w:rPr>
        <w:t>. If a Change in Control occurs, Employees shall be entitled to an Incentive Compensation Award for</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Stub Period. The amount of such Incentive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Honeywell 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5" w:name="page116"/>
    <w:bookmarkEnd w:id="115"/>
    <w:p>
      <w:pPr>
        <w:jc w:val="both"/>
        <w:ind w:left="660"/>
        <w:spacing w:after="0" w:line="276" w:lineRule="auto"/>
        <w:rPr>
          <w:sz w:val="20"/>
          <w:szCs w:val="20"/>
          <w:color w:val="auto"/>
        </w:rPr>
      </w:pPr>
      <w:r>
        <w:rPr>
          <w:rFonts w:ascii="Arial" w:cs="Arial" w:eastAsia="Arial" w:hAnsi="Arial"/>
          <w:sz w:val="17"/>
          <w:szCs w:val="17"/>
          <w:color w:val="auto"/>
        </w:rPr>
        <w:t>Compensation Awards shall be determined in accordance with the provisions of Section 6 and in a manner consistent with past practice by treating the Stub Period as the Performance Period and with the applicable metrics and Incentive Compensation Awards adjusted, to the extent necessary, to reflect the length of the Stub Period. The amount of the Incentive Compensation Awards shall be determined prior to the Change in Control Date and shall be based on the good faith estimates of the Company’s financial performance for the Stub Period, as determined by the Committee (as constituted immediately prior to the Change in Control) with the advice of Honeywell’s independent auditors.</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Payment of Incentive Compensation Awards</w:t>
      </w:r>
      <w:r>
        <w:rPr>
          <w:rFonts w:ascii="Arial" w:cs="Arial" w:eastAsia="Arial" w:hAnsi="Arial"/>
          <w:sz w:val="16"/>
          <w:szCs w:val="16"/>
          <w:color w:val="auto"/>
        </w:rPr>
        <w:t>. Any Incentive Compensation Award for the Stub Period shall be paid in full in one lump sum no later</w:t>
      </w:r>
    </w:p>
    <w:p>
      <w:pPr>
        <w:spacing w:after="0" w:line="23" w:lineRule="exact"/>
        <w:rPr>
          <w:sz w:val="20"/>
          <w:szCs w:val="20"/>
          <w:color w:val="auto"/>
        </w:rPr>
      </w:pPr>
    </w:p>
    <w:p>
      <w:pPr>
        <w:jc w:val="both"/>
        <w:ind w:left="660"/>
        <w:spacing w:after="0" w:line="244" w:lineRule="auto"/>
        <w:rPr>
          <w:sz w:val="20"/>
          <w:szCs w:val="20"/>
          <w:color w:val="auto"/>
        </w:rPr>
      </w:pPr>
      <w:r>
        <w:rPr>
          <w:rFonts w:ascii="Arial" w:cs="Arial" w:eastAsia="Arial" w:hAnsi="Arial"/>
          <w:sz w:val="17"/>
          <w:szCs w:val="17"/>
          <w:color w:val="auto"/>
        </w:rPr>
        <w:t>than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the third month following the end of the Honeywell fiscal year in which the Stub Period ended, provided that the recipient Employee is still actively employed by the Company on the date Incentive Compensation Awards are paid. Notwithstanding the foregoing, if an Employee is employed by the Company on the Change in Control Date but not on the date Incentive Compensation Awards are paid because (i) he or she has been involuntarily terminated other than for Gross Cause, or (ii) he or she has voluntarily resigned for Good Reason, such Employee shall be treated for this Section 10 as being employed by the Company on the date Incentive Compensation Awards are paid.</w:t>
      </w:r>
    </w:p>
    <w:p>
      <w:pPr>
        <w:spacing w:after="0" w:line="20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u w:val="single" w:color="auto"/>
          <w:color w:val="auto"/>
        </w:rPr>
        <w:t>Deferred Incentive Compensation Awards</w:t>
      </w:r>
      <w:r>
        <w:rPr>
          <w:rFonts w:ascii="Arial" w:cs="Arial" w:eastAsia="Arial" w:hAnsi="Arial"/>
          <w:sz w:val="18"/>
          <w:szCs w:val="18"/>
          <w:color w:val="auto"/>
        </w:rPr>
        <w:t>. Notwithstanding anything herein to the contrary, to the extent an Incentive Compensation Award has been</w:t>
      </w:r>
      <w:r>
        <w:rPr>
          <w:rFonts w:ascii="Arial" w:cs="Arial" w:eastAsia="Arial" w:hAnsi="Arial"/>
          <w:sz w:val="18"/>
          <w:szCs w:val="18"/>
          <w:u w:val="single" w:color="auto"/>
          <w:color w:val="auto"/>
        </w:rPr>
        <w:t xml:space="preserve"> </w:t>
      </w:r>
      <w:r>
        <w:rPr>
          <w:rFonts w:ascii="Arial" w:cs="Arial" w:eastAsia="Arial" w:hAnsi="Arial"/>
          <w:sz w:val="18"/>
          <w:szCs w:val="18"/>
          <w:color w:val="auto"/>
        </w:rPr>
        <w:t>deferred pursuant to Section 8.2, such Incentive Compensation Award shall be subject to the terms and conditions of the DIC Plan including, without limitation, with respect to change in control events.</w:t>
      </w:r>
    </w:p>
    <w:p>
      <w:pPr>
        <w:spacing w:after="0" w:line="177"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Power and Authority of the Committee and the Chief Executive Officer</w:t>
      </w:r>
    </w:p>
    <w:p>
      <w:pPr>
        <w:spacing w:after="0" w:line="229"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u w:val="single" w:color="auto"/>
          <w:color w:val="auto"/>
        </w:rPr>
        <w:t>Plan Administration</w:t>
      </w:r>
      <w:r>
        <w:rPr>
          <w:rFonts w:ascii="Arial" w:cs="Arial" w:eastAsia="Arial" w:hAnsi="Arial"/>
          <w:sz w:val="17"/>
          <w:szCs w:val="17"/>
          <w:color w:val="auto"/>
        </w:rPr>
        <w:t>. The Plan shall be administered by the Committee, which shall have full power and authority (i) to prescribe, amend and rescind</w:t>
      </w:r>
      <w:r>
        <w:rPr>
          <w:rFonts w:ascii="Arial" w:cs="Arial" w:eastAsia="Arial" w:hAnsi="Arial"/>
          <w:sz w:val="17"/>
          <w:szCs w:val="17"/>
          <w:u w:val="single" w:color="auto"/>
          <w:color w:val="auto"/>
        </w:rPr>
        <w:t xml:space="preserve"> </w:t>
      </w:r>
      <w:r>
        <w:rPr>
          <w:rFonts w:ascii="Arial" w:cs="Arial" w:eastAsia="Arial" w:hAnsi="Arial"/>
          <w:sz w:val="17"/>
          <w:szCs w:val="17"/>
          <w:color w:val="auto"/>
        </w:rPr>
        <w:t>rules and procedures relating to the Plan; (ii) subject to the provisions of this Plan, to delegate to one or more officers of the Company some or all of its authority under the Plan; (iii) to employ such legal counsel, independent auditors and consultants as it deems desirable for the administration of the Plan and to rely upon any opinion or computation received therefrom; and (iv) to make all determinations, and to formulate such procedures, as may be necessary or advisable in the opinion of the Committee for the administration of the Plan.</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Plan Construction and Interpretation</w:t>
      </w:r>
      <w:r>
        <w:rPr>
          <w:rFonts w:ascii="Arial" w:cs="Arial" w:eastAsia="Arial" w:hAnsi="Arial"/>
          <w:sz w:val="16"/>
          <w:szCs w:val="16"/>
          <w:color w:val="auto"/>
        </w:rPr>
        <w:t>. The Committee shall have full power and authority to construe and interpret the Plan.</w:t>
      </w:r>
    </w:p>
    <w:p>
      <w:pPr>
        <w:spacing w:after="0" w:line="225"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u w:val="single" w:color="auto"/>
          <w:color w:val="auto"/>
        </w:rPr>
        <w:t>Determinations of Committee and Chief Executive Officer Final and Binding</w:t>
      </w:r>
      <w:r>
        <w:rPr>
          <w:rFonts w:ascii="Arial" w:cs="Arial" w:eastAsia="Arial" w:hAnsi="Arial"/>
          <w:sz w:val="18"/>
          <w:szCs w:val="18"/>
          <w:color w:val="auto"/>
        </w:rPr>
        <w:t>. All determinations by the Committee in carrying out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administering the Plan and in construing and interpreting the Plan shall be made in the Committee’s sole discretion and shall be final, binding and conclusive for all purposes and upon all persons interested herein. The Committee or the Chief Executive Officer’s decisions regarding the amount of each Incentive Compensation Award, as applicable, shall be final, binding and conclusive for all purposes and need not be consistent among Employees.</w:t>
      </w:r>
    </w:p>
    <w:p>
      <w:pPr>
        <w:spacing w:after="0" w:line="188"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u w:val="single" w:color="auto"/>
          <w:color w:val="auto"/>
        </w:rPr>
        <w:t>Liability of Committee and Chief Executive Officer</w:t>
      </w:r>
      <w:r>
        <w:rPr>
          <w:rFonts w:ascii="Arial" w:cs="Arial" w:eastAsia="Arial" w:hAnsi="Arial"/>
          <w:sz w:val="18"/>
          <w:szCs w:val="18"/>
          <w:color w:val="auto"/>
        </w:rPr>
        <w:t>. Neither the Committee (or its delegates) nor the Chief Executive Officer shall be liable for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action or determination made in good faith with respect to the Plan or any Incentive Compensation Award, and the members of the Committee (and its delegates) and the Chief Executive Officer shall be entitled to indemnification and reimbursement in the manner provided in the Company’s Articles of Incorporation or its By-laws, as applicable, in each case as amended and in effect from time to time. In the performance of its responsibilities with respect to the Plan, the Committee and the Chief Executive Officer shall be entitled to rely upon information and advice furnished by the Company’s officers and employees, the Company’s accountants, the Company’s legal counsel or any other person the Committee and the Chief Executive Officer deem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Honeywell 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6" w:name="page117"/>
    <w:bookmarkEnd w:id="116"/>
    <w:p>
      <w:pPr>
        <w:ind w:left="660"/>
        <w:spacing w:after="0" w:line="277" w:lineRule="auto"/>
        <w:rPr>
          <w:sz w:val="20"/>
          <w:szCs w:val="20"/>
          <w:color w:val="auto"/>
        </w:rPr>
      </w:pPr>
      <w:r>
        <w:rPr>
          <w:rFonts w:ascii="Arial" w:cs="Arial" w:eastAsia="Arial" w:hAnsi="Arial"/>
          <w:sz w:val="18"/>
          <w:szCs w:val="18"/>
          <w:color w:val="auto"/>
        </w:rPr>
        <w:t>necessary, and neither the Committee nor the Chief Executive Officer shall be liable for any action taken or not taken in good faith reliance upon any such advice.</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u w:val="single" w:color="auto"/>
          <w:color w:val="auto"/>
        </w:rPr>
        <w:t>Section 409A Limitation</w:t>
      </w:r>
      <w:r>
        <w:rPr>
          <w:rFonts w:ascii="Arial" w:cs="Arial" w:eastAsia="Arial" w:hAnsi="Arial"/>
          <w:sz w:val="18"/>
          <w:szCs w:val="18"/>
          <w:color w:val="auto"/>
        </w:rPr>
        <w:t>. Notwithstanding anything contained herein to the contrary, any discretionary authority that the Board of Directors,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Committee or the Chief Executive Officer may have pursuant to the Plan shall not be applicable to an Incentive Compensation Award that is subject to Section 409A to the extent such discretionary authority will contravene Section 409A.</w:t>
      </w:r>
    </w:p>
    <w:p>
      <w:pPr>
        <w:spacing w:after="0" w:line="177"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 of the Plan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Subject to applicable laws, rules and regulations, the Board of Directors or the Committee shall have the right at any time to amend, suspend, discontinue or terminate the Plan; provided, however, that no such action shall be effective without approval by the shareowners of Honeywell to the extent necessary to comply with applicable laws, including applicable rules of a stock exchange on which the Company’s shares are traded. Moreover, (i) no amendment of the Plan shall operate to annul or diminish, without the consent of the Employee, an Incentive Compensation Award already made hereunder, and (ii) no amendment shall adversely affect an Employee’s entitlement to an Incentive Compensation Award for the Stub Period after a Change in Control.</w:t>
      </w:r>
    </w:p>
    <w:p>
      <w:pPr>
        <w:spacing w:after="0" w:line="154"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u w:val="single" w:color="auto"/>
          <w:color w:val="auto"/>
        </w:rPr>
        <w:t>Section 409A</w:t>
      </w:r>
      <w:r>
        <w:rPr>
          <w:rFonts w:ascii="Arial" w:cs="Arial" w:eastAsia="Arial" w:hAnsi="Arial"/>
          <w:sz w:val="17"/>
          <w:szCs w:val="17"/>
          <w:color w:val="auto"/>
        </w:rPr>
        <w:t>. The Plan is intended to comply with the requirements of Section 409A and the regulations promulgated thereunder, and the provisions</w:t>
      </w:r>
      <w:r>
        <w:rPr>
          <w:rFonts w:ascii="Arial" w:cs="Arial" w:eastAsia="Arial" w:hAnsi="Arial"/>
          <w:sz w:val="17"/>
          <w:szCs w:val="17"/>
          <w:u w:val="single" w:color="auto"/>
          <w:color w:val="auto"/>
        </w:rPr>
        <w:t xml:space="preserve"> </w:t>
      </w:r>
      <w:r>
        <w:rPr>
          <w:rFonts w:ascii="Arial" w:cs="Arial" w:eastAsia="Arial" w:hAnsi="Arial"/>
          <w:sz w:val="17"/>
          <w:szCs w:val="17"/>
          <w:color w:val="auto"/>
        </w:rPr>
        <w:t>hereof shall be interpreted in a manner that satisfies such requirements, to the extent permitted by law. All Incentive Compensation Awards granted hereunder are intended to be excluded from coverage under Section 409A pursuant to Treasury Regulation § 1.409A-1(b)(4)’s “short-term deferral” rule unless, and only to the extent that, a deferral election is made pursuant to Section 8.2. If any provision of the Plan would otherwise frustrate or conflict with this intent or could cause any Incentive Compensation Award to be subject to taxes, interest or penalties under Section 409A, the Board of Directors may amend the Plan to the extent necessary to (i) comply with Section 409A, (ii) avoid the imposition of taxes, interest and penalties under Section 409A, and/or (iii) maintain, to the maximum extent practicable, the original intent of the applicable provision without violating the provisions of Section 409A; provided however, that such amendment shall not result in additional cost to the Company and provided further that nothing herein shall require the Company to provide any Employee with any gross-up for any tax, interest or penalty incurred by the Employee under Section 409A.</w:t>
      </w:r>
    </w:p>
    <w:p>
      <w:pPr>
        <w:spacing w:after="0" w:line="178"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u w:val="single" w:color="auto"/>
          <w:color w:val="auto"/>
        </w:rPr>
        <w:t>Other Compensation Plans</w:t>
      </w:r>
      <w:r>
        <w:rPr>
          <w:rFonts w:ascii="Arial" w:cs="Arial" w:eastAsia="Arial" w:hAnsi="Arial"/>
          <w:sz w:val="17"/>
          <w:szCs w:val="17"/>
          <w:color w:val="auto"/>
        </w:rPr>
        <w:t>. Nothing contained in the Plan shall prohibit the Company from granting special performance or recognition awards</w:t>
      </w:r>
      <w:r>
        <w:rPr>
          <w:rFonts w:ascii="Arial" w:cs="Arial" w:eastAsia="Arial" w:hAnsi="Arial"/>
          <w:sz w:val="17"/>
          <w:szCs w:val="17"/>
          <w:u w:val="single" w:color="auto"/>
          <w:color w:val="auto"/>
        </w:rPr>
        <w:t xml:space="preserve"> </w:t>
      </w:r>
      <w:r>
        <w:rPr>
          <w:rFonts w:ascii="Arial" w:cs="Arial" w:eastAsia="Arial" w:hAnsi="Arial"/>
          <w:sz w:val="17"/>
          <w:szCs w:val="17"/>
          <w:color w:val="auto"/>
        </w:rPr>
        <w:t>under such conditions, and in such form and manner as it sees fit, to Employees (including Senior Executive Employees) for meritorious service of any nature. In addition, nothing contained in the Plan shall preclude or limit the ability of the Company to establish other incentive compensation plans providing for the payment of incentive compensation to Employees (including Senior Executive Employees). Notwithstanding the foregoing provisions of this Section 13.2, no Employee shall participate in more than one incentive compensation plan for the same Performance Period unless such participation is communicated to the Employee by the Company in writing.</w:t>
      </w:r>
    </w:p>
    <w:p>
      <w:pPr>
        <w:spacing w:after="0" w:line="178"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u w:val="single" w:color="auto"/>
          <w:color w:val="auto"/>
        </w:rPr>
        <w:t>Plan Expenses</w:t>
      </w:r>
      <w:r>
        <w:rPr>
          <w:rFonts w:ascii="Arial" w:cs="Arial" w:eastAsia="Arial" w:hAnsi="Arial"/>
          <w:sz w:val="18"/>
          <w:szCs w:val="18"/>
          <w:color w:val="auto"/>
        </w:rPr>
        <w:t>. All expenses and costs in connection with the operation of the Plan shall be borne by the Company and no part thereof shall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charged against the Incentive Compensation Awards or to the Employees.</w:t>
      </w:r>
    </w:p>
    <w:p>
      <w:pPr>
        <w:spacing w:after="0" w:line="170" w:lineRule="exact"/>
        <w:rPr>
          <w:sz w:val="20"/>
          <w:szCs w:val="20"/>
          <w:color w:val="auto"/>
        </w:rPr>
      </w:pPr>
    </w:p>
    <w:p>
      <w:pPr>
        <w:jc w:val="center"/>
        <w:ind w:right="420"/>
        <w:spacing w:after="0"/>
        <w:tabs>
          <w:tab w:leader="none" w:pos="3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u w:val="single" w:color="auto"/>
          <w:color w:val="auto"/>
        </w:rPr>
        <w:t>Withholding</w:t>
      </w:r>
      <w:r>
        <w:rPr>
          <w:rFonts w:ascii="Arial" w:cs="Arial" w:eastAsia="Arial" w:hAnsi="Arial"/>
          <w:sz w:val="16"/>
          <w:szCs w:val="16"/>
          <w:color w:val="auto"/>
        </w:rPr>
        <w:t>. All Incentive Compensation Awards under the Plan are subject to withholding, where applicable, for federal, state and local taxes.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Honeywell 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7" w:name="page118"/>
    <w:bookmarkEnd w:id="117"/>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u w:val="single" w:color="auto"/>
          <w:color w:val="auto"/>
        </w:rPr>
        <w:t>No Limitation on Corporate Actions</w:t>
      </w:r>
      <w:r>
        <w:rPr>
          <w:rFonts w:ascii="Arial" w:cs="Arial" w:eastAsia="Arial" w:hAnsi="Arial"/>
          <w:sz w:val="18"/>
          <w:szCs w:val="18"/>
          <w:color w:val="auto"/>
        </w:rPr>
        <w:t>. Nothing contained in the Plan shall be construed to prevent the Company from taking or not taking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corporate action, whether or not such action could have an adverse effect on any Incentive Compensation Awards made under the Plan. No Participant, beneficiary or other person shall have any claim against the Company as a result of any such action.</w:t>
      </w:r>
    </w:p>
    <w:p>
      <w:pPr>
        <w:spacing w:after="0" w:line="181"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u w:val="single" w:color="auto"/>
          <w:color w:val="auto"/>
        </w:rPr>
        <w:t>Unfunded Plan</w:t>
      </w:r>
      <w:r>
        <w:rPr>
          <w:rFonts w:ascii="Arial" w:cs="Arial" w:eastAsia="Arial" w:hAnsi="Arial"/>
          <w:sz w:val="16"/>
          <w:szCs w:val="16"/>
          <w:color w:val="auto"/>
        </w:rPr>
        <w:t>. The Plan is intended to constitute an unfunded plan for incentive compensation. Prior to the payment of any Incentive Compensation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Award, nothing contained herein shall give any Participant any rights that are greater than those of a general creditor of the Company.</w:t>
      </w:r>
    </w:p>
    <w:p>
      <w:pPr>
        <w:spacing w:after="0" w:line="12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Plan is held unenforceable, the remainder of the Plan shall continue in full force and effect without regard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such unenforceable provision and shall be applied as though the unenforceable provision were not contained in the Plan.</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actions taken thereunder shall be governed by and construed in accordance with and governed by the laws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State of New Jersey.</w:t>
      </w:r>
    </w:p>
    <w:p>
      <w:pPr>
        <w:spacing w:after="0" w:line="170"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7"/>
          <w:szCs w:val="17"/>
          <w:u w:val="single" w:color="auto"/>
          <w:color w:val="auto"/>
        </w:rPr>
        <w:t>No Rights to Incentive Compensation Awards or Employment</w:t>
      </w:r>
      <w:r>
        <w:rPr>
          <w:rFonts w:ascii="Arial" w:cs="Arial" w:eastAsia="Arial" w:hAnsi="Arial"/>
          <w:sz w:val="17"/>
          <w:szCs w:val="17"/>
          <w:color w:val="auto"/>
        </w:rPr>
        <w:t>. This Plan is not a contract between the Company and an Employee. No Employee</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shall have any claim or right to receive Incentive Compensation Awards under the Plan. Nothing in the Plan shall confer upon any employee of the Company any right to continued employment with the Company or interfere in any way with the right of the Company to terminate the employment of any of its employees, in accordance with the laws of the applicable jurisdiction, at any time, with or without cause, including, without limitation, any individual who is then an Executive Employee or Senior Executive Employee under the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Honeywell 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Exhibit 10.72</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RETIREMENT AGREEMENT</w:t>
      </w:r>
    </w:p>
    <w:p>
      <w:pPr>
        <w:spacing w:after="0" w:line="248" w:lineRule="exact"/>
        <w:rPr>
          <w:sz w:val="20"/>
          <w:szCs w:val="20"/>
          <w:color w:val="auto"/>
        </w:rPr>
      </w:pPr>
    </w:p>
    <w:p>
      <w:pPr>
        <w:jc w:val="both"/>
        <w:spacing w:after="0" w:line="280" w:lineRule="auto"/>
        <w:rPr>
          <w:sz w:val="20"/>
          <w:szCs w:val="20"/>
          <w:color w:val="auto"/>
        </w:rPr>
      </w:pPr>
      <w:r>
        <w:rPr>
          <w:rFonts w:ascii="Arial" w:cs="Arial" w:eastAsia="Arial" w:hAnsi="Arial"/>
          <w:sz w:val="21"/>
          <w:szCs w:val="21"/>
          <w:b w:val="1"/>
          <w:bCs w:val="1"/>
          <w:color w:val="auto"/>
        </w:rPr>
        <w:t xml:space="preserve">AGREEMENT </w:t>
      </w:r>
      <w:r>
        <w:rPr>
          <w:rFonts w:ascii="Arial" w:cs="Arial" w:eastAsia="Arial" w:hAnsi="Arial"/>
          <w:sz w:val="21"/>
          <w:szCs w:val="21"/>
          <w:color w:val="auto"/>
        </w:rPr>
        <w:t>by and between Krishna Mikkilineni (hereinafter referred to as “Retiree”), and Honeywell International Inc., a</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organized under the laws of the state of Delaware (hereinafter referred to as “Honeywell” or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Retiree has been an executive officer of the Company for approximately 9 years; and</w:t>
      </w:r>
    </w:p>
    <w:p>
      <w:pPr>
        <w:spacing w:after="0" w:line="233" w:lineRule="exact"/>
        <w:rPr>
          <w:sz w:val="20"/>
          <w:szCs w:val="20"/>
          <w:color w:val="auto"/>
        </w:rPr>
      </w:pPr>
    </w:p>
    <w:p>
      <w:pPr>
        <w:jc w:val="both"/>
        <w:spacing w:after="0" w:line="28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 the Retiree has announced his decision to step down from his role as the Company’s Senior Vice President –</w:t>
      </w:r>
      <w:r>
        <w:rPr>
          <w:rFonts w:ascii="Arial" w:cs="Arial" w:eastAsia="Arial" w:hAnsi="Arial"/>
          <w:sz w:val="21"/>
          <w:szCs w:val="21"/>
          <w:b w:val="1"/>
          <w:bCs w:val="1"/>
          <w:color w:val="auto"/>
        </w:rPr>
        <w:t xml:space="preserve"> </w:t>
      </w:r>
      <w:r>
        <w:rPr>
          <w:rFonts w:ascii="Arial" w:cs="Arial" w:eastAsia="Arial" w:hAnsi="Arial"/>
          <w:sz w:val="21"/>
          <w:szCs w:val="21"/>
          <w:color w:val="auto"/>
        </w:rPr>
        <w:t>Engineering and Information Technology, effective at the close of business on April 30, 2019 (“Retirement Date”); and</w:t>
      </w:r>
    </w:p>
    <w:p>
      <w:pPr>
        <w:spacing w:after="0" w:line="166"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Retiree is willing to provide assistance to the Company in transitioning his role and responsibilities to his</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designated successor; and</w:t>
      </w:r>
    </w:p>
    <w:p>
      <w:pPr>
        <w:spacing w:after="0" w:line="190"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Retiree is willing to provide additional transition services to the Company for six (6) months following his</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and</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is desirous of rewarding the Retiree for his long and distinguished service, as well as the</w:t>
      </w:r>
      <w:r>
        <w:rPr>
          <w:rFonts w:ascii="Arial" w:cs="Arial" w:eastAsia="Arial" w:hAnsi="Arial"/>
          <w:sz w:val="22"/>
          <w:szCs w:val="22"/>
          <w:b w:val="1"/>
          <w:bCs w:val="1"/>
          <w:color w:val="auto"/>
        </w:rPr>
        <w:t xml:space="preserve"> </w:t>
      </w:r>
      <w:r>
        <w:rPr>
          <w:rFonts w:ascii="Arial" w:cs="Arial" w:eastAsia="Arial" w:hAnsi="Arial"/>
          <w:sz w:val="22"/>
          <w:szCs w:val="22"/>
          <w:color w:val="auto"/>
        </w:rPr>
        <w:t>aforementioned transition services, by allowing him to continue to vest in certain previously granted long term incentive (“LTI”) awards; and</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is desirous of securing greater protections under its existing restrictive covenants with the Retiree;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contained herein, it is agreed as follows:</w:t>
      </w:r>
    </w:p>
    <w:p>
      <w:pPr>
        <w:spacing w:after="0" w:line="233"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SERVICES PERIOD</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From the Retirement Date through October 31, 2019 (the “Transition Services Period”), Retiree shall make himself reasonably available to the Company’s Chief Executive Officer and his designees to assist with any matters that may arise incident to the smooth and successful transition of his responsibilities to his successor (“Transition Services”). No regular compensation or consulting fees will be paid to Retiree during, or with respect to, this Transition Services Period.</w:t>
      </w:r>
    </w:p>
    <w:p>
      <w:pPr>
        <w:spacing w:after="0" w:line="195"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 STATUS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During the Transition Services Period, the Retiree is not granted, and shall not exercise, any authority to assume or create any obligation or responsibility, express or implied, on behalf of or in the name of the Company, or to bind the Company to any agreement, contract or arrangement of any nature, except as expressly provided herein. Moreover, for the duration of the Transition Services Period, Retiree shall be deemed to be and shall act strictly and exclusively as an independent</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19" w:name="page120"/>
    <w:bookmarkEnd w:id="119"/>
    <w:p>
      <w:pPr>
        <w:jc w:val="both"/>
        <w:spacing w:after="0"/>
        <w:rPr>
          <w:sz w:val="20"/>
          <w:szCs w:val="20"/>
          <w:color w:val="auto"/>
        </w:rPr>
      </w:pPr>
      <w:r>
        <w:rPr>
          <w:rFonts w:ascii="Arial" w:cs="Arial" w:eastAsia="Arial" w:hAnsi="Arial"/>
          <w:sz w:val="22"/>
          <w:szCs w:val="22"/>
          <w:color w:val="auto"/>
        </w:rPr>
        <w:t>contractor and shall not be considered under the provisions of this Agreement or otherwise as having an employee status with Honeywell, or as being eligible to participate in or receive any benefit under a benefit plan or program made available to employees of the Company.</w:t>
      </w:r>
    </w:p>
    <w:p>
      <w:pPr>
        <w:spacing w:after="0" w:line="207"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RETIREMENT PACKAGE</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(i) recognition of Retiree’s service to the Company, (ii) full and complete payment for all services to be rendered hereunder during the Transition Services Period, and (iii) consideration of the enhanced restrictive covenants described in this Agreement, the Management Development and Compensation Committee of the Board of Directors has approved the following treatment for certain outstanding LTI awards previously granted to the Retiree (the “Consideration”), notwithstanding any contrary provisions in the applicable Company compensation plans:</w:t>
      </w:r>
    </w:p>
    <w:p>
      <w:pPr>
        <w:spacing w:after="0" w:line="215" w:lineRule="exact"/>
        <w:rPr>
          <w:sz w:val="20"/>
          <w:szCs w:val="20"/>
          <w:color w:val="auto"/>
        </w:rPr>
      </w:pPr>
    </w:p>
    <w:p>
      <w:pPr>
        <w:jc w:val="both"/>
        <w:ind w:left="980" w:right="660" w:hanging="324"/>
        <w:spacing w:after="0" w:line="236" w:lineRule="auto"/>
        <w:tabs>
          <w:tab w:leader="none" w:pos="980" w:val="left"/>
        </w:tabs>
        <w:numPr>
          <w:ilvl w:val="1"/>
          <w:numId w:val="54"/>
        </w:numPr>
        <w:rPr>
          <w:rFonts w:ascii="Arial" w:cs="Arial" w:eastAsia="Arial" w:hAnsi="Arial"/>
          <w:sz w:val="22"/>
          <w:szCs w:val="22"/>
          <w:color w:val="auto"/>
        </w:rPr>
      </w:pPr>
      <w:r>
        <w:rPr>
          <w:rFonts w:ascii="Arial" w:cs="Arial" w:eastAsia="Arial" w:hAnsi="Arial"/>
          <w:sz w:val="22"/>
          <w:szCs w:val="22"/>
          <w:i w:val="1"/>
          <w:iCs w:val="1"/>
          <w:color w:val="auto"/>
        </w:rPr>
        <w:t>Restricted Stock Units</w:t>
      </w:r>
      <w:r>
        <w:rPr>
          <w:rFonts w:ascii="Arial" w:cs="Arial" w:eastAsia="Arial" w:hAnsi="Arial"/>
          <w:sz w:val="22"/>
          <w:szCs w:val="22"/>
          <w:color w:val="auto"/>
        </w:rPr>
        <w:t>. The Retiree will retain the right to continued vesting in any time-based and performance-based restricted stock units that would otherwise have vested before March 1, 2020, subject to any applicable Company performance conditions.</w:t>
      </w:r>
    </w:p>
    <w:p>
      <w:pPr>
        <w:spacing w:after="0" w:line="1" w:lineRule="exact"/>
        <w:rPr>
          <w:rFonts w:ascii="Arial" w:cs="Arial" w:eastAsia="Arial" w:hAnsi="Arial"/>
          <w:sz w:val="22"/>
          <w:szCs w:val="22"/>
          <w:color w:val="auto"/>
        </w:rPr>
      </w:pPr>
    </w:p>
    <w:p>
      <w:pPr>
        <w:ind w:left="980" w:right="660" w:hanging="324"/>
        <w:spacing w:after="0" w:line="230" w:lineRule="auto"/>
        <w:tabs>
          <w:tab w:leader="none" w:pos="980" w:val="left"/>
        </w:tabs>
        <w:numPr>
          <w:ilvl w:val="1"/>
          <w:numId w:val="54"/>
        </w:numPr>
        <w:rPr>
          <w:rFonts w:ascii="Arial" w:cs="Arial" w:eastAsia="Arial" w:hAnsi="Arial"/>
          <w:sz w:val="22"/>
          <w:szCs w:val="22"/>
          <w:color w:val="auto"/>
        </w:rPr>
      </w:pPr>
      <w:r>
        <w:rPr>
          <w:rFonts w:ascii="Arial" w:cs="Arial" w:eastAsia="Arial" w:hAnsi="Arial"/>
          <w:sz w:val="22"/>
          <w:szCs w:val="22"/>
          <w:i w:val="1"/>
          <w:iCs w:val="1"/>
          <w:color w:val="auto"/>
        </w:rPr>
        <w:t>Stock Options</w:t>
      </w:r>
      <w:r>
        <w:rPr>
          <w:rFonts w:ascii="Arial" w:cs="Arial" w:eastAsia="Arial" w:hAnsi="Arial"/>
          <w:sz w:val="22"/>
          <w:szCs w:val="22"/>
          <w:color w:val="auto"/>
        </w:rPr>
        <w:t>. The Retiree will retain the right to continued vesting in any stock options that would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have vested before March 1, 2020.</w:t>
      </w:r>
    </w:p>
    <w:p>
      <w:pPr>
        <w:spacing w:after="0" w:line="1" w:lineRule="exact"/>
        <w:rPr>
          <w:rFonts w:ascii="Arial" w:cs="Arial" w:eastAsia="Arial" w:hAnsi="Arial"/>
          <w:sz w:val="22"/>
          <w:szCs w:val="22"/>
          <w:color w:val="auto"/>
        </w:rPr>
      </w:pPr>
    </w:p>
    <w:p>
      <w:pPr>
        <w:jc w:val="both"/>
        <w:ind w:left="980" w:right="660" w:hanging="324"/>
        <w:spacing w:after="0" w:line="280" w:lineRule="auto"/>
        <w:tabs>
          <w:tab w:leader="none" w:pos="980" w:val="left"/>
        </w:tabs>
        <w:numPr>
          <w:ilvl w:val="1"/>
          <w:numId w:val="54"/>
        </w:numPr>
        <w:rPr>
          <w:rFonts w:ascii="Arial" w:cs="Arial" w:eastAsia="Arial" w:hAnsi="Arial"/>
          <w:sz w:val="19"/>
          <w:szCs w:val="19"/>
          <w:color w:val="auto"/>
        </w:rPr>
      </w:pPr>
      <w:r>
        <w:rPr>
          <w:rFonts w:ascii="Arial" w:cs="Arial" w:eastAsia="Arial" w:hAnsi="Arial"/>
          <w:sz w:val="19"/>
          <w:szCs w:val="19"/>
          <w:i w:val="1"/>
          <w:iCs w:val="1"/>
          <w:color w:val="auto"/>
        </w:rPr>
        <w:t>Performance Stock Units (“PSUs”)</w:t>
      </w:r>
      <w:r>
        <w:rPr>
          <w:rFonts w:ascii="Arial" w:cs="Arial" w:eastAsia="Arial" w:hAnsi="Arial"/>
          <w:sz w:val="19"/>
          <w:szCs w:val="19"/>
          <w:color w:val="auto"/>
        </w:rPr>
        <w:t>. You will receive a two million five hundred thousand dollar ($2,500,000)</w:t>
      </w:r>
      <w:r>
        <w:rPr>
          <w:rFonts w:ascii="Arial" w:cs="Arial" w:eastAsia="Arial" w:hAnsi="Arial"/>
          <w:sz w:val="19"/>
          <w:szCs w:val="19"/>
          <w:i w:val="1"/>
          <w:iCs w:val="1"/>
          <w:color w:val="auto"/>
        </w:rPr>
        <w:t xml:space="preserve"> </w:t>
      </w:r>
      <w:r>
        <w:rPr>
          <w:rFonts w:ascii="Arial" w:cs="Arial" w:eastAsia="Arial" w:hAnsi="Arial"/>
          <w:sz w:val="19"/>
          <w:szCs w:val="19"/>
          <w:color w:val="auto"/>
        </w:rPr>
        <w:t>payout from the 2017-19 PSU performance cycle (or the full value of your PSUs for the 2017-19 PSU performance cycle if less than $2,500,000). The payout from your PSUs hereunder shall be made at the same time such payments are made to other Company executives, which is expected to be in March of 2020.</w:t>
      </w:r>
    </w:p>
    <w:p>
      <w:pPr>
        <w:spacing w:after="0" w:line="171" w:lineRule="exact"/>
        <w:rPr>
          <w:rFonts w:ascii="Arial" w:cs="Arial" w:eastAsia="Arial" w:hAnsi="Arial"/>
          <w:sz w:val="19"/>
          <w:szCs w:val="19"/>
          <w:color w:val="auto"/>
        </w:rPr>
      </w:pPr>
    </w:p>
    <w:p>
      <w:pPr>
        <w:ind w:left="660" w:hanging="652"/>
        <w:spacing w:after="0"/>
        <w:tabs>
          <w:tab w:leader="none" w:pos="6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Any information and knowledge divulged to Retiree or developed by Retiree during the Transition Services Period (including any reports, analyses, working papers, memoranda, notebooks, data, computer programs and discs or other materials prepared by Retiree in the course of providing the Transition Services), shall be treated by the Retiree as confidential information and shall not be disclosed to third parties or to the public without prior written approval of the Company, except to the extent otherwise required by law.</w:t>
      </w:r>
    </w:p>
    <w:p>
      <w:pPr>
        <w:spacing w:after="0" w:line="209"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CONTINGENCIES</w:t>
      </w:r>
    </w:p>
    <w:p>
      <w:pPr>
        <w:spacing w:after="0" w:line="239"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In order to receive the Consideration under this Agreement, Retiree must sign and return this Agreement in the form provided no later than February 28, 2019.</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By signing this Agreement, Retiree acknowledges that he (a) has carefully read this Agreement in its entirety; (b) is hereby advised by the Company, in this writing, to consult with an attorney of his choice before signing this Agreement; (c) fully understands the significance of all of the terms and conditions of this Agreement and has discussed them with an attorney of his choice, or has had a reasonable opportunity to do so; and (d) is signing this Agreement voluntarily and of his own free will and agrees to abide by all the terms and conditions contained herein.</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20" w:name="page121"/>
    <w:bookmarkEnd w:id="120"/>
    <w:p>
      <w:pPr>
        <w:jc w:val="both"/>
        <w:spacing w:after="0" w:line="247" w:lineRule="auto"/>
        <w:rPr>
          <w:sz w:val="20"/>
          <w:szCs w:val="20"/>
          <w:color w:val="auto"/>
        </w:rPr>
      </w:pPr>
      <w:r>
        <w:rPr>
          <w:rFonts w:ascii="Arial" w:cs="Arial" w:eastAsia="Arial" w:hAnsi="Arial"/>
          <w:sz w:val="21"/>
          <w:szCs w:val="21"/>
          <w:color w:val="auto"/>
        </w:rPr>
        <w:t>If Retiree materially breaches any of the terms of this Agreement (including any intellectual property or noncompetition agreements to which he may be subject, and which are hereby incorporated by reference), he (a) shall forfeit all rights to future benefits under this Agreement; (b) must repay all benefits previously received pursuant to Section 3 of this Agreement upon the Company’s demand; and (c) must pay reasonable attorneys’ fees and all other costs incurred as a result of such breach. Provided, however, this subparagraph shall not be applicable to challenges to the validity of this Agreement under the Age Discrimination in Employment Act or Older Workers Benefit Protection Act, nor will the Company seek any damages of any sort against Retiree for having made such a challenge.</w:t>
      </w:r>
    </w:p>
    <w:p>
      <w:pPr>
        <w:spacing w:after="0" w:line="199"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GENERAL RELEASE OF CLAIMS</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exchange for entering into this Agreement and the Consideration set forth herein, Retiree does hereby waive and release, knowingly and willingly, Honeywell International Inc., its future parent corporations, its predecessor companies, its past, present and future divisions, subsidiaries, affiliates and related companies and their successors and assigns and all past, present and future directors, officers, employees and agents of these entities, personally and as directors, officers, employees and agents (collectively the “Honeywell Group”), from any and all claims of any nature whatsoever Retiree has arising out of his employment and/or the termination of employment with the Honeywell Group, known or unknown, including but not limited to any claims he may have under federal, state or local employment, labor, or anti-discrimination laws, statutes and case law and specifically claims arising under the federal Age Discrimination in Employment Act of 1967, the Civil Rights Acts of 1866 and 1964, the Americans with Disabilities Act of 1990, Executive Order 11246, the Employee Retirement Income Security Act of 1974 (“ERISA”), the Family and Medical Leave Act of 1993, the Rehabilitation Act of 1973, the Fair Labor Standards Act, the Labor-Management Relations Act, the Equal Pay Act of 1963, the Fair Credit Reporting Act, the Pregnancy Discrimination Act, the Uniformed Services Employment and Reemployment Rights Act of 1994, the Occupational Safety and Health Act, the Worker Adjustment Retraining and Notification Act (all such statutes, as amended), the New Jersey Law Against Discrimination, as amended, the New Jersey Equal Pay Act, the New Jersey Smokers’ Rights Law, the New Jersey Family Leave Act, the New Jersey Worker Freedom From Intimidation Act, the New Jersey Constitution, the New Jersey Conscientious Employee Protection Act, New Jersey common law and any and all other applicable state, county or local statutes, ordinances or regulations, including claims for attorneys’ fees; provided, however, that this release does not apply to claims under ERISA Section 502(a)(1)(B) for benefits under Honeywell Group sponsored benefit plans covered under ERISA (other than claims for severance and severance related benefits), does not apply to claims arising out of obligations expressly undertaken in this Agreement, does not apply to claims that cannot be waived as a matter of law, and does not apply to claims arising out of any act or omission occurring after the date Retiree signs this Agreement. All claims, including contingent claims, for incentive compensation awards under any Honeywell Group plan or payroll practice, along with any claims under any state wage and hour laws, are specifically subject to this release of claims. Any rights to benefits (other than severance benefits) under Honeywell Group sponsored benefit plans are governed exclusively by the written plan documents.</w:t>
      </w:r>
    </w:p>
    <w:p>
      <w:pPr>
        <w:spacing w:after="0" w:line="200" w:lineRule="exact"/>
        <w:rPr>
          <w:sz w:val="20"/>
          <w:szCs w:val="20"/>
          <w:color w:val="auto"/>
        </w:rPr>
      </w:pPr>
    </w:p>
    <w:p>
      <w:pPr>
        <w:spacing w:after="0" w:line="212" w:lineRule="exact"/>
        <w:rPr>
          <w:sz w:val="20"/>
          <w:szCs w:val="20"/>
          <w:color w:val="auto"/>
        </w:rPr>
      </w:pPr>
    </w:p>
    <w:p>
      <w:pPr>
        <w:jc w:val="both"/>
        <w:ind w:right="20"/>
        <w:spacing w:after="0" w:line="301" w:lineRule="auto"/>
        <w:rPr>
          <w:sz w:val="20"/>
          <w:szCs w:val="20"/>
          <w:color w:val="auto"/>
        </w:rPr>
      </w:pPr>
      <w:r>
        <w:rPr>
          <w:rFonts w:ascii="Arial" w:cs="Arial" w:eastAsia="Arial" w:hAnsi="Arial"/>
          <w:sz w:val="19"/>
          <w:szCs w:val="19"/>
          <w:b w:val="1"/>
          <w:bCs w:val="1"/>
          <w:color w:val="auto"/>
        </w:rPr>
        <w:t>Notwithstanding the foregoing, nothing in this Agreement (or any exhibit or attachment thereto) is intended to or shall be construed to prevent Retiree from (i) filing an administrative charge or otherwise communicating with or reporting possible violations of law to any federal, state or local government office, official or agency; or (ii) reporting any</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5" w:right="239" w:bottom="1440" w:gutter="0" w:footer="0" w:header="0"/>
        </w:sectPr>
      </w:pPr>
    </w:p>
    <w:bookmarkStart w:id="121" w:name="page122"/>
    <w:bookmarkEnd w:id="121"/>
    <w:p>
      <w:pPr>
        <w:jc w:val="both"/>
        <w:spacing w:after="0" w:line="261" w:lineRule="auto"/>
        <w:rPr>
          <w:sz w:val="20"/>
          <w:szCs w:val="20"/>
          <w:color w:val="auto"/>
        </w:rPr>
      </w:pPr>
      <w:r>
        <w:rPr>
          <w:rFonts w:ascii="Arial" w:cs="Arial" w:eastAsia="Arial" w:hAnsi="Arial"/>
          <w:sz w:val="21"/>
          <w:szCs w:val="21"/>
          <w:b w:val="1"/>
          <w:bCs w:val="1"/>
          <w:color w:val="auto"/>
        </w:rPr>
        <w:t>accounting, internal accounting control, or auditing matter to any federal regulatory agency, any federal law enforcement agency, any Member of Congress or any committee or subcommittee of Congress; and (iii) engaging in any activity protected by the Sarbanes-Oxley Act (18 U.S.C. § 1514A) or the National Labor Relations Act.</w:t>
      </w:r>
    </w:p>
    <w:p>
      <w:pPr>
        <w:spacing w:after="0" w:line="158"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By virtue of the foregoing, Retiree agrees that he has waived any damages and other relief available to him (including, without limitation, monetary damages, equitable relief and reinstatement) with respect to any claim or cause of action released in this General Release of Claims section. Therefore, Retiree agrees that he will not accept any award or settlement from any source or proceeding (including, but not limited to, any proceeding brought by any other person or by any governmental agency) with respect to any claim or right waived in this Agreement.</w:t>
      </w:r>
    </w:p>
    <w:p>
      <w:pPr>
        <w:spacing w:after="0" w:line="166"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NONSOLICITATION AND NONCOMPETITION COVENANTS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Retiree acknowledges that Honeywell has invested, and will continue to invest, significant time and money to recruit and retain its employees. Therefore, recognizing that in the course of such employment Retiree has obtained valuable and confidential information about Honeywell employees, their respective talents and areas of expertise, Retiree agrees that for a period of three (3) years following his retirement from Honeywell, Retiree will not directly or indirectly, for his own account or for others, (i) solicit or recruit (or assist another in soliciting or recruiting) for employment or for the performance of services, (ii) attempt to solicit or recruit (or assist another in attempting to solicit or recruit), for employment or for the performance of services, (iii) participate in any manner in the recruitment, employment or hiring for services of any current or former Honeywell employee with whom Retiree had any contact, about whom Retiree had knowledge, who worked in the Company’s engineering or information technology organizations at any time in the last three (3) years, or of whom Retiree became aware in his last two (2) years of Honeywell employment, unless it has been more than twelve (12) months since that individual left Honeywell. Nor will Retiree, for his own account or for others, in any way induce or encourage, or attempt to induce or encourage, such individuals to leave the employment of Honeywell or alter their relationship with Honeywell. Retiree understands that these restrictions cover all forms of communication (regardless of who initiates them), including, but not limited to, in-person discussions, telephone calls, text messages, emails, and social media posts and messages.</w:t>
      </w:r>
    </w:p>
    <w:p>
      <w:pPr>
        <w:spacing w:after="0" w:line="200" w:lineRule="exact"/>
        <w:rPr>
          <w:sz w:val="20"/>
          <w:szCs w:val="20"/>
          <w:color w:val="auto"/>
        </w:rPr>
      </w:pP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Retiree further acknowledges and agrees that in partial recompense for the Consideration, his Noncompetition Agreement with the Company shall be amended by substituting a three (3) year restriction on competition for the two (2) year period set forth in such Noncompetition Agreement.</w:t>
      </w:r>
    </w:p>
    <w:p>
      <w:pPr>
        <w:spacing w:after="0" w:line="207"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NON-DISPARAGEMENT</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At no time on or after the date hereof will Retiree make any statement (or cause someone else to make any statement), or issue or cause to be issued any communication, publicly or privately (including, without limitation, to members of the media, business press, equity analysts, industry groups or organizations, Honeywell employees, contractors, clients, customers, vendors, suppliers, business partners or competitors, investors/shareholders), that would be disparaging (as defined below) to the Honeywell Group, its businesses, strategies, prospects, condition or reputation, or that of its directors, employees, officers or members; provided, however, that nothing contained in any provision of this Agreement shall preclude Retiree from communicating with his legal advisors or</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22" w:name="page123"/>
    <w:bookmarkEnd w:id="122"/>
    <w:p>
      <w:pPr>
        <w:jc w:val="both"/>
        <w:spacing w:after="0" w:line="245" w:lineRule="auto"/>
        <w:rPr>
          <w:sz w:val="20"/>
          <w:szCs w:val="20"/>
          <w:color w:val="auto"/>
        </w:rPr>
      </w:pPr>
      <w:r>
        <w:rPr>
          <w:rFonts w:ascii="Arial" w:cs="Arial" w:eastAsia="Arial" w:hAnsi="Arial"/>
          <w:sz w:val="21"/>
          <w:szCs w:val="21"/>
          <w:color w:val="auto"/>
        </w:rPr>
        <w:t>making any statement in good faith that is required by any applicable law or regulation or pursuant to an order of a court or other governmental body. For purposes of this Agreement,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create a negative, adverse or derogatory impression, or to harm the reputation of, the subject of the statement or representation. For the avoidance of doubt, Retiree agrees that he will not write or contribute to any book, article, social media post or other media publication, whether in written or electronic format, that is in any way descriptive of the Honeywell Group or his career with the Company without submitting a draft thereof for approval, at least thirty (30) days in advance, to the Company’s Senior Vice President and General Counsel, whose judgment about whether such book, article, social media post or other media publication is disparaging (and therefore prohibited) shall be determinative.</w:t>
      </w:r>
    </w:p>
    <w:p>
      <w:pPr>
        <w:spacing w:after="0" w:line="203"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CLAIMS WARRANTIES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Retiree represents and warrants that he is not aware of any facts that would establish, tend to establish or in any way support an allegation that any member of the Honeywell Group has engaged in conduct that he believes could violate (1) any provision of federal law relating to fraud (including but not limited to the Sarbanes-Oxley Act, the Dodd-Frank Wall Street Reform and Consumer Protection Act (“Dodd-Frank Act”) and/or any state or local counterpart); (2) any rule or regulation of the Securities and Exchange Commission; (3) the federal False Claims Act and/or any state or local or municipal qui tam counterpart (which prohibit the presentation by the Company or any affiliate of false claims and statements or the creation of false records or statements in order to obtain payment of federal, state, county or municipal funds, or to avoid refunds of such government funds); and (4) any other federal, state or local law.</w:t>
      </w:r>
    </w:p>
    <w:p>
      <w:pPr>
        <w:spacing w:after="0" w:line="209"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COOPERATION AND NONDISCLOSURE</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further exchange for the Consideration under this Agreement, Retiree agrees to cooperate fully with the Company in any matters that have given or may give rise to a legal claim against the Company, and of which Retiree is knowledgeable as a result of his employment with the Company. This requires Retiree, without limitation, to (i) make himself available upon reasonable request to provide information and assistance to the Company on such matters without additional compensation, except for out of pocket costs, (ii) maintain the confidentiality of all Company privileged information including, without limitation, attorney-client privileged communications and attorney work product, unless disclosure is expressly authorized by the Company’s Law Department, and (iii) notify the Company promptly of any requests to Retiree for information from any third party (excluding government entities), related to any pending or potential legal claim or litigation involving the Company, reviewing any such request with a designated representative of the Company prior to disclosing any such information, and permitting a representative of the Company to be present during any communication of such information.</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Nothing in this Agreement prohibits Retiree from reporting possible violations of federal law or regulation to any governmental agency or entity including, but not limited to, the Department of Justice, the Securities and Exchange Commission, the Congress, and any Inspector General, or making other disclosures that are protected under the whistleblower provisions of federal law or regulation. Retiree does not need the prior authorization of the</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23" w:name="page124"/>
    <w:bookmarkEnd w:id="123"/>
    <w:p>
      <w:pPr>
        <w:spacing w:after="0" w:line="256" w:lineRule="auto"/>
        <w:rPr>
          <w:sz w:val="20"/>
          <w:szCs w:val="20"/>
          <w:color w:val="auto"/>
        </w:rPr>
      </w:pPr>
      <w:r>
        <w:rPr>
          <w:rFonts w:ascii="Arial" w:cs="Arial" w:eastAsia="Arial" w:hAnsi="Arial"/>
          <w:sz w:val="22"/>
          <w:szCs w:val="22"/>
          <w:b w:val="1"/>
          <w:bCs w:val="1"/>
          <w:color w:val="auto"/>
        </w:rPr>
        <w:t>Law Department to make any such reports or disclosures and Retiree is not required to notify the Company that he has made such reports or disclosures.</w:t>
      </w:r>
    </w:p>
    <w:p>
      <w:pPr>
        <w:spacing w:after="0" w:line="190"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CLAWBACK RIGHTS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Retiree hereby acknowledges and agrees that, notwithstanding any other provision of this Agreement to the contrary, no contractual provision or legal requirement relating to recoupment or clawback by the Company of any amount in the nature of compensation shall be affected by his retirement or the payments contemplated hereby, and all such provisions and requirements shall remain in effect and enforceable in accordance with their terms after the date hereof.</w:t>
      </w:r>
    </w:p>
    <w:p>
      <w:pPr>
        <w:spacing w:after="0" w:line="195"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NO ASSIGNMENT</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Neither party shall assign any right in or obligation arising under this Agreement without the other party’s written consent, and any such assignment shall be void. This Agreement shall be binding on and inure to the benefit of each party’s heirs, executors, legal representatives, successors and permitted assigns.</w:t>
      </w:r>
    </w:p>
    <w:p>
      <w:pPr>
        <w:spacing w:after="0" w:line="207"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Notices or communications hereunder shall be in writing, addressed as follows:</w:t>
      </w:r>
    </w:p>
    <w:p>
      <w:pPr>
        <w:sectPr>
          <w:pgSz w:w="11900" w:h="16838" w:orient="portrait"/>
          <w:cols w:equalWidth="0" w:num="1">
            <w:col w:w="11420"/>
          </w:cols>
          <w:pgMar w:left="240" w:top="396" w:right="239" w:bottom="1440" w:gutter="0" w:footer="0" w:header="0"/>
        </w:sectPr>
      </w:pPr>
    </w:p>
    <w:p>
      <w:pPr>
        <w:spacing w:after="0" w:line="233" w:lineRule="exact"/>
        <w:rPr>
          <w:sz w:val="20"/>
          <w:szCs w:val="20"/>
          <w:color w:val="auto"/>
        </w:rPr>
      </w:pPr>
    </w:p>
    <w:p>
      <w:pPr>
        <w:ind w:left="230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Honeywell International Inc.</w:t>
      </w:r>
    </w:p>
    <w:p>
      <w:pPr>
        <w:spacing w:after="0" w:line="238" w:lineRule="auto"/>
        <w:rPr>
          <w:sz w:val="20"/>
          <w:szCs w:val="20"/>
          <w:color w:val="auto"/>
        </w:rPr>
      </w:pPr>
      <w:r>
        <w:rPr>
          <w:rFonts w:ascii="Arial" w:cs="Arial" w:eastAsia="Arial" w:hAnsi="Arial"/>
          <w:sz w:val="22"/>
          <w:szCs w:val="22"/>
          <w:color w:val="auto"/>
        </w:rPr>
        <w:t>115 Tabor Road</w:t>
      </w:r>
    </w:p>
    <w:p>
      <w:pPr>
        <w:spacing w:after="0" w:line="230" w:lineRule="auto"/>
        <w:rPr>
          <w:sz w:val="20"/>
          <w:szCs w:val="20"/>
          <w:color w:val="auto"/>
        </w:rPr>
      </w:pPr>
      <w:r>
        <w:rPr>
          <w:rFonts w:ascii="Arial" w:cs="Arial" w:eastAsia="Arial" w:hAnsi="Arial"/>
          <w:sz w:val="22"/>
          <w:szCs w:val="22"/>
          <w:color w:val="auto"/>
        </w:rPr>
        <w:t>Morris Plains, New Jersey 07950</w:t>
      </w:r>
    </w:p>
    <w:p>
      <w:pPr>
        <w:spacing w:after="0" w:line="231" w:lineRule="auto"/>
        <w:tabs>
          <w:tab w:leader="none" w:pos="680" w:val="left"/>
        </w:tabs>
        <w:rPr>
          <w:sz w:val="20"/>
          <w:szCs w:val="20"/>
          <w:color w:val="auto"/>
        </w:rPr>
      </w:pPr>
      <w:r>
        <w:rPr>
          <w:rFonts w:ascii="Arial" w:cs="Arial" w:eastAsia="Arial" w:hAnsi="Arial"/>
          <w:sz w:val="22"/>
          <w:szCs w:val="22"/>
          <w:color w:val="auto"/>
        </w:rPr>
        <w:t>Attn:</w:t>
        <w:tab/>
        <w:t>Kevin M. Covert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and Deputy General Counsel</w:t>
      </w:r>
    </w:p>
    <w:p>
      <w:pPr>
        <w:spacing w:after="0" w:line="200" w:lineRule="exact"/>
        <w:rPr>
          <w:sz w:val="20"/>
          <w:szCs w:val="20"/>
          <w:color w:val="auto"/>
        </w:rPr>
      </w:pPr>
    </w:p>
    <w:p>
      <w:pPr>
        <w:sectPr>
          <w:pgSz w:w="11900" w:h="16838" w:orient="portrait"/>
          <w:cols w:equalWidth="0" w:num="2">
            <w:col w:w="5240" w:space="720"/>
            <w:col w:w="5460"/>
          </w:cols>
          <w:pgMar w:left="240" w:top="396" w:right="239" w:bottom="1440" w:gutter="0" w:footer="0" w:header="0"/>
          <w:type w:val="continuous"/>
        </w:sectPr>
      </w:pPr>
    </w:p>
    <w:p>
      <w:pPr>
        <w:spacing w:after="0" w:line="50" w:lineRule="exact"/>
        <w:rPr>
          <w:sz w:val="20"/>
          <w:szCs w:val="20"/>
          <w:color w:val="auto"/>
        </w:rPr>
      </w:pPr>
    </w:p>
    <w:p>
      <w:pPr>
        <w:jc w:val="center"/>
        <w:ind w:left="460"/>
        <w:spacing w:after="0"/>
        <w:rPr>
          <w:sz w:val="20"/>
          <w:szCs w:val="20"/>
          <w:color w:val="auto"/>
        </w:rPr>
      </w:pPr>
      <w:r>
        <w:rPr>
          <w:rFonts w:ascii="Arial" w:cs="Arial" w:eastAsia="Arial" w:hAnsi="Arial"/>
          <w:sz w:val="19"/>
          <w:szCs w:val="19"/>
          <w:color w:val="auto"/>
        </w:rPr>
        <w:t>If to Retiree: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Krishna Mikkilineni</w:t>
      </w:r>
    </w:p>
    <w:p>
      <w:pPr>
        <w:spacing w:after="0" w:line="238" w:lineRule="auto"/>
        <w:rPr>
          <w:sz w:val="20"/>
          <w:szCs w:val="20"/>
          <w:color w:val="auto"/>
        </w:rPr>
      </w:pPr>
      <w:r>
        <w:rPr>
          <w:rFonts w:ascii="Arial" w:cs="Arial" w:eastAsia="Arial" w:hAnsi="Arial"/>
          <w:sz w:val="22"/>
          <w:szCs w:val="22"/>
          <w:color w:val="auto"/>
        </w:rPr>
        <w:t>23 Footes Lane</w:t>
      </w:r>
    </w:p>
    <w:p>
      <w:pPr>
        <w:spacing w:after="0"/>
        <w:rPr>
          <w:sz w:val="20"/>
          <w:szCs w:val="20"/>
          <w:color w:val="auto"/>
        </w:rPr>
      </w:pPr>
      <w:r>
        <w:rPr>
          <w:rFonts w:ascii="Arial" w:cs="Arial" w:eastAsia="Arial" w:hAnsi="Arial"/>
          <w:sz w:val="19"/>
          <w:szCs w:val="19"/>
          <w:color w:val="auto"/>
        </w:rPr>
        <w:t>Morristown, New Jersey 07960</w:t>
      </w:r>
    </w:p>
    <w:p>
      <w:pPr>
        <w:spacing w:after="0" w:line="200" w:lineRule="exact"/>
        <w:rPr>
          <w:sz w:val="20"/>
          <w:szCs w:val="20"/>
          <w:color w:val="auto"/>
        </w:rPr>
      </w:pPr>
    </w:p>
    <w:p>
      <w:pPr>
        <w:sectPr>
          <w:pgSz w:w="11900" w:h="16838" w:orient="portrait"/>
          <w:cols w:equalWidth="0" w:num="2">
            <w:col w:w="5240" w:space="720"/>
            <w:col w:w="5460"/>
          </w:cols>
          <w:pgMar w:left="240" w:top="396" w:right="239" w:bottom="1440" w:gutter="0" w:footer="0" w:header="0"/>
          <w:type w:val="continuous"/>
        </w:sectPr>
      </w:pPr>
    </w:p>
    <w:p>
      <w:pPr>
        <w:spacing w:after="0" w:line="2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Any such notice shall be deemed to be given as of the date it is personally delivered, the next business day after the date faxed (upon confirmation of receipt of transmission), or five days after the date mailed in the manner specified.</w:t>
      </w:r>
    </w:p>
    <w:p>
      <w:pPr>
        <w:spacing w:after="0" w:line="194"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409A CONSIDERATIONS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It is intended that this Agreement be administered in compliance with Section 409A of the Code, including, but not limited to, any future amendments to Code Section 409A, and any other Internal Revenue Service (“IRS”) or other governmental rulings or interpretations issued pursuant to Section 409A (together, “Section 409A”) so as not to subject Retiree to payment of interest or any additional tax under Section 409A. The parties intend for any payments under this Agreement either to satisfy the requirements of Section 409A or to be exempt from the application of Section 409A, and this Agreement shall be construed and interpreted accordingly. In furtherance thereof, if payment or provision of any amount or benefit hereunder that is subject to Section 409A at the time specified herein would subject such amount or benefit to any additional tax under Section 409A, the payment</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124" w:name="page125"/>
    <w:bookmarkEnd w:id="124"/>
    <w:p>
      <w:pPr>
        <w:jc w:val="both"/>
        <w:spacing w:after="0" w:line="271" w:lineRule="auto"/>
        <w:rPr>
          <w:sz w:val="20"/>
          <w:szCs w:val="20"/>
          <w:color w:val="auto"/>
        </w:rPr>
      </w:pPr>
      <w:r>
        <w:rPr>
          <w:rFonts w:ascii="Arial" w:cs="Arial" w:eastAsia="Arial" w:hAnsi="Arial"/>
          <w:sz w:val="19"/>
          <w:szCs w:val="19"/>
          <w:color w:val="auto"/>
        </w:rPr>
        <w:t>or provision of such amount or benefit shall be postponed to the earliest commencement date on which the payment or provision of such amount or benefit can be made without incurring such additional tax. In addition, to the extent that Section 409A or any IRS guidance issued under Section 409A would result in Retiree being subject to the payment of interest or any additional tax under Section 409A, the parties agree, to the extent reasonably possible, to amend this Agreement to avoid the imposition of any such interest or additional tax under Section 409A, which amendment shall minimize any negative economic effect on Retiree and be reasonably determined in good faith by the Company and Retiree. As a “specified employee” as defined in Section 409A, any amounts payable under this Agreement that would be subject to the special rule regarding payments to “specified employees” under Section 409A(a)(2)(B) of the Code shall not be paid before the expiration of a period of six (6) months following the date of the termination of Retiree’s employment. In such case, Retiree shall receive all such deferred amounts retroactively in a single sum and the balance thereof as otherwise provided. In no event whatsoever shall the Company be liable for any additional tax, interest or penalties that may be imposed on Retiree by Code Section 409A or any damages for failing to comply with Section 409A; provided that, in the event that any excise tax or interest amount (“409A Amount”) is imposed on Retiree as a result of any negligent act or omission by the Company, the Company shall reimburse Retiree for any such 409A Amount, grossed-up for taxes at an assumed total tax rate of forty percent (40%).</w:t>
      </w:r>
    </w:p>
    <w:p>
      <w:pPr>
        <w:spacing w:after="0" w:line="159"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This Agreement shall be governed by, and construed in accordance with, the laws of the State of New Jersey, without reference to principles of conflict of laws. Additionally, any action to enforce the terms of this Agreement shall be commenced exclusively in the federal or state courts of the State of New Jersey. Both parties consent to the exclusive jurisdiction of the federal and state courts in the State of New Jersey and waive any claim under the doctrine of forum non conveniens.</w:t>
      </w:r>
    </w:p>
    <w:p>
      <w:pPr>
        <w:spacing w:after="0" w:line="164"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This Agreement contains the entire agreement and understanding of the parties hereto with respect to the subject matter hereof, and merges and supersedes all prior agreements, discussions and writings with respect thereto. No modification or alteration of this Agreement shall be effective unless made in writing and signed by both the Retiree and the Company.</w:t>
      </w:r>
    </w:p>
    <w:p>
      <w:pPr>
        <w:spacing w:after="0" w:line="188"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REMEDIES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Without prejudice to the rights and remedies otherwise available to the Company hereunder, the Company shall be entitled to equitable relief by way of injunction or otherwise if Retiree breaches or threatens to breach any of the provisions of this Agreement.</w:t>
      </w:r>
    </w:p>
    <w:p>
      <w:pPr>
        <w:spacing w:after="0" w:line="207"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239"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In the event any provision of this Agreement shall not be enforceable, the remainder of this Agreement shall remain in full force and effect.</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25" w:name="page126"/>
    <w:bookmarkEnd w:id="125"/>
    <w:p>
      <w:pPr>
        <w:ind w:left="660" w:hanging="652"/>
        <w:spacing w:after="0"/>
        <w:tabs>
          <w:tab w:leader="none" w:pos="66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NO WAIVER</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waiver by Company of any nonperformance or breach by Retiree of any provisions of this Agreement must be in writing and shall not be construed as waiving any such provision in the future. No delay or failure by Company in enforcing or exercising any right hereunder and no partial or single exercise thereof, shall be deemed of itself to constitute a waiver of such right or any other rights hereunder.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500" w:type="dxa"/>
            <w:vAlign w:val="bottom"/>
            <w:gridSpan w:val="3"/>
          </w:tcPr>
          <w:p>
            <w:pPr>
              <w:jc w:val="right"/>
              <w:ind w:right="540"/>
              <w:spacing w:after="0"/>
              <w:rPr>
                <w:sz w:val="20"/>
                <w:szCs w:val="20"/>
                <w:color w:val="auto"/>
              </w:rPr>
            </w:pPr>
            <w:r>
              <w:rPr>
                <w:rFonts w:ascii="Arial" w:cs="Arial" w:eastAsia="Arial" w:hAnsi="Arial"/>
                <w:sz w:val="22"/>
                <w:szCs w:val="22"/>
                <w:b w:val="1"/>
                <w:bCs w:val="1"/>
                <w:color w:val="auto"/>
              </w:rPr>
              <w:t>HONEYWELL INTERNATIONAL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Krishna Mikkilineni</w:t>
            </w:r>
          </w:p>
        </w:tc>
        <w:tc>
          <w:tcPr>
            <w:tcW w:w="640" w:type="dxa"/>
            <w:vAlign w:val="bottom"/>
          </w:tcPr>
          <w:p>
            <w:pPr>
              <w:spacing w:after="0"/>
              <w:rPr>
                <w:sz w:val="24"/>
                <w:szCs w:val="24"/>
                <w:color w:val="auto"/>
              </w:rPr>
            </w:pPr>
          </w:p>
        </w:tc>
        <w:tc>
          <w:tcPr>
            <w:tcW w:w="5500" w:type="dxa"/>
            <w:vAlign w:val="bottom"/>
            <w:gridSpan w:val="3"/>
          </w:tcPr>
          <w:p>
            <w:pPr>
              <w:jc w:val="right"/>
              <w:ind w:right="1860"/>
              <w:spacing w:after="0"/>
              <w:rPr>
                <w:sz w:val="20"/>
                <w:szCs w:val="20"/>
                <w:color w:val="auto"/>
              </w:rPr>
            </w:pPr>
            <w:r>
              <w:rPr>
                <w:rFonts w:ascii="Arial" w:cs="Arial" w:eastAsia="Arial" w:hAnsi="Arial"/>
                <w:sz w:val="22"/>
                <w:szCs w:val="22"/>
                <w:color w:val="auto"/>
              </w:rPr>
              <w:t>By: /s/ Mark R. James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line="242" w:lineRule="exact"/>
              <w:rPr>
                <w:sz w:val="20"/>
                <w:szCs w:val="20"/>
                <w:color w:val="auto"/>
              </w:rPr>
            </w:pPr>
            <w:r>
              <w:rPr>
                <w:rFonts w:ascii="Arial" w:cs="Arial" w:eastAsia="Arial" w:hAnsi="Arial"/>
                <w:sz w:val="22"/>
                <w:szCs w:val="22"/>
                <w:b w:val="1"/>
                <w:bCs w:val="1"/>
                <w:color w:val="auto"/>
              </w:rPr>
              <w:t>KRISHNA MIKKILINENI</w:t>
            </w: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20" w:type="dxa"/>
            <w:vAlign w:val="bottom"/>
            <w:tcBorders>
              <w:bottom w:val="single" w:sz="8" w:color="auto"/>
            </w:tcBorders>
            <w:gridSpan w:val="2"/>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92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420" w:type="dxa"/>
            <w:vAlign w:val="bottom"/>
            <w:gridSpan w:val="2"/>
          </w:tcPr>
          <w:p>
            <w:pPr>
              <w:jc w:val="right"/>
              <w:ind w:right="1680"/>
              <w:spacing w:after="0" w:line="202" w:lineRule="exact"/>
              <w:rPr>
                <w:sz w:val="20"/>
                <w:szCs w:val="20"/>
                <w:color w:val="auto"/>
              </w:rPr>
            </w:pPr>
            <w:r>
              <w:rPr>
                <w:rFonts w:ascii="Arial" w:cs="Arial" w:eastAsia="Arial" w:hAnsi="Arial"/>
                <w:sz w:val="22"/>
                <w:szCs w:val="22"/>
                <w:b w:val="1"/>
                <w:bCs w:val="1"/>
                <w:color w:val="auto"/>
                <w:w w:val="97"/>
              </w:rPr>
              <w:t>MARK R. JAMES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60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420" w:type="dxa"/>
            <w:vAlign w:val="bottom"/>
            <w:gridSpan w:val="2"/>
          </w:tcPr>
          <w:p>
            <w:pPr>
              <w:jc w:val="right"/>
              <w:ind w:right="1540"/>
              <w:spacing w:after="0"/>
              <w:rPr>
                <w:sz w:val="20"/>
                <w:szCs w:val="20"/>
                <w:color w:val="auto"/>
              </w:rPr>
            </w:pPr>
            <w:r>
              <w:rPr>
                <w:rFonts w:ascii="Arial" w:cs="Arial" w:eastAsia="Arial" w:hAnsi="Arial"/>
                <w:sz w:val="22"/>
                <w:szCs w:val="22"/>
                <w:color w:val="auto"/>
                <w:w w:val="87"/>
              </w:rPr>
              <w:t>Senior Vice President</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6"/>
        </w:trPr>
        <w:tc>
          <w:tcPr>
            <w:tcW w:w="3920" w:type="dxa"/>
            <w:vAlign w:val="bottom"/>
            <w:gridSpan w:val="2"/>
          </w:tcPr>
          <w:p>
            <w:pPr>
              <w:spacing w:after="0"/>
              <w:rPr>
                <w:sz w:val="20"/>
                <w:szCs w:val="20"/>
                <w:color w:val="auto"/>
              </w:rPr>
            </w:pPr>
            <w:r>
              <w:rPr>
                <w:rFonts w:ascii="Arial" w:cs="Arial" w:eastAsia="Arial" w:hAnsi="Arial"/>
                <w:sz w:val="22"/>
                <w:szCs w:val="22"/>
                <w:color w:val="auto"/>
              </w:rPr>
              <w:t>Dated: February 7, 2019</w:t>
            </w:r>
          </w:p>
        </w:tc>
        <w:tc>
          <w:tcPr>
            <w:tcW w:w="640" w:type="dxa"/>
            <w:vAlign w:val="bottom"/>
          </w:tcPr>
          <w:p>
            <w:pPr>
              <w:spacing w:after="0"/>
              <w:rPr>
                <w:sz w:val="24"/>
                <w:szCs w:val="24"/>
                <w:color w:val="auto"/>
              </w:rPr>
            </w:pPr>
          </w:p>
        </w:tc>
        <w:tc>
          <w:tcPr>
            <w:tcW w:w="5500" w:type="dxa"/>
            <w:vAlign w:val="bottom"/>
            <w:gridSpan w:val="3"/>
          </w:tcPr>
          <w:p>
            <w:pPr>
              <w:jc w:val="right"/>
              <w:ind w:right="1680"/>
              <w:spacing w:after="0"/>
              <w:rPr>
                <w:sz w:val="20"/>
                <w:szCs w:val="20"/>
                <w:color w:val="auto"/>
              </w:rPr>
            </w:pPr>
            <w:r>
              <w:rPr>
                <w:rFonts w:ascii="Arial" w:cs="Arial" w:eastAsia="Arial" w:hAnsi="Arial"/>
                <w:sz w:val="22"/>
                <w:szCs w:val="22"/>
                <w:color w:val="auto"/>
              </w:rPr>
              <w:t>Dated: February 7, 2019</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58"/>
        </w:trPr>
        <w:tc>
          <w:tcPr>
            <w:tcW w:w="8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320" w:type="dxa"/>
            <w:vAlign w:val="bottom"/>
            <w:gridSpan w:val="2"/>
          </w:tcPr>
          <w:p>
            <w:pPr>
              <w:jc w:val="center"/>
              <w:ind w:left="183"/>
              <w:spacing w:after="0"/>
              <w:rPr>
                <w:sz w:val="20"/>
                <w:szCs w:val="20"/>
                <w:color w:val="auto"/>
              </w:rPr>
            </w:pPr>
            <w:r>
              <w:rPr>
                <w:rFonts w:ascii="Arial" w:cs="Arial" w:eastAsia="Arial" w:hAnsi="Arial"/>
                <w:sz w:val="19"/>
                <w:szCs w:val="19"/>
                <w:b w:val="1"/>
                <w:bCs w:val="1"/>
                <w:color w:val="auto"/>
              </w:rPr>
              <w:t>EXHIBIT 21</w:t>
            </w:r>
          </w:p>
        </w:tc>
        <w:tc>
          <w:tcPr>
            <w:tcW w:w="0" w:type="dxa"/>
            <w:vAlign w:val="bottom"/>
          </w:tcPr>
          <w:p>
            <w:pPr>
              <w:spacing w:after="0"/>
              <w:rPr>
                <w:sz w:val="1"/>
                <w:szCs w:val="1"/>
                <w:color w:val="auto"/>
              </w:rPr>
            </w:pPr>
          </w:p>
        </w:tc>
      </w:tr>
      <w:tr>
        <w:trPr>
          <w:trHeight w:val="553"/>
        </w:trPr>
        <w:tc>
          <w:tcPr>
            <w:tcW w:w="8000" w:type="dxa"/>
            <w:vAlign w:val="bottom"/>
          </w:tcPr>
          <w:p>
            <w:pPr>
              <w:ind w:left="3760"/>
              <w:spacing w:after="0"/>
              <w:rPr>
                <w:sz w:val="20"/>
                <w:szCs w:val="20"/>
                <w:color w:val="auto"/>
              </w:rPr>
            </w:pPr>
            <w:r>
              <w:rPr>
                <w:rFonts w:ascii="Arial" w:cs="Arial" w:eastAsia="Arial" w:hAnsi="Arial"/>
                <w:sz w:val="23"/>
                <w:szCs w:val="23"/>
                <w:b w:val="1"/>
                <w:bCs w:val="1"/>
                <w:color w:val="auto"/>
              </w:rPr>
              <w:t>HONEYWELL INTERNATIONAL INC.</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000" w:type="dxa"/>
            <w:vAlign w:val="bottom"/>
          </w:tcPr>
          <w:p>
            <w:pPr>
              <w:ind w:left="3980"/>
              <w:spacing w:after="0"/>
              <w:rPr>
                <w:sz w:val="20"/>
                <w:szCs w:val="20"/>
                <w:color w:val="auto"/>
              </w:rPr>
            </w:pPr>
            <w:r>
              <w:rPr>
                <w:rFonts w:ascii="Arial" w:cs="Arial" w:eastAsia="Arial" w:hAnsi="Arial"/>
                <w:sz w:val="19"/>
                <w:szCs w:val="19"/>
                <w:b w:val="1"/>
                <w:bCs w:val="1"/>
                <w:color w:val="auto"/>
              </w:rPr>
              <w:t>SUBSIDIARIES OF THE REGISTRANT</w:t>
            </w:r>
          </w:p>
        </w:tc>
        <w:tc>
          <w:tcPr>
            <w:tcW w:w="300" w:type="dxa"/>
            <w:vAlign w:val="bottom"/>
          </w:tcPr>
          <w:p>
            <w:pPr>
              <w:spacing w:after="0"/>
              <w:rPr>
                <w:sz w:val="22"/>
                <w:szCs w:val="22"/>
                <w:color w:val="auto"/>
              </w:rPr>
            </w:pPr>
          </w:p>
        </w:tc>
        <w:tc>
          <w:tcPr>
            <w:tcW w:w="1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Country or State</w:t>
            </w:r>
          </w:p>
        </w:tc>
        <w:tc>
          <w:tcPr>
            <w:tcW w:w="30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Percent</w:t>
            </w:r>
          </w:p>
        </w:tc>
        <w:tc>
          <w:tcPr>
            <w:tcW w:w="0" w:type="dxa"/>
            <w:vAlign w:val="bottom"/>
          </w:tcPr>
          <w:p>
            <w:pPr>
              <w:spacing w:after="0"/>
              <w:rPr>
                <w:sz w:val="1"/>
                <w:szCs w:val="1"/>
                <w:color w:val="auto"/>
              </w:rPr>
            </w:pPr>
          </w:p>
        </w:tc>
      </w:tr>
      <w:tr>
        <w:trPr>
          <w:trHeight w:val="171"/>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000" w:type="dxa"/>
            <w:vAlign w:val="bottom"/>
            <w:tcBorders>
              <w:bottom w:val="single" w:sz="8" w:color="auto"/>
            </w:tcBorders>
          </w:tcPr>
          <w:p>
            <w:pPr>
              <w:ind w:left="380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of Incorporation</w:t>
            </w:r>
          </w:p>
        </w:tc>
        <w:tc>
          <w:tcPr>
            <w:tcW w:w="3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Ownership</w:t>
            </w:r>
          </w:p>
        </w:tc>
        <w:tc>
          <w:tcPr>
            <w:tcW w:w="0" w:type="dxa"/>
            <w:vAlign w:val="bottom"/>
          </w:tcPr>
          <w:p>
            <w:pPr>
              <w:spacing w:after="0"/>
              <w:rPr>
                <w:sz w:val="1"/>
                <w:szCs w:val="1"/>
                <w:color w:val="auto"/>
              </w:rPr>
            </w:pPr>
          </w:p>
        </w:tc>
      </w:tr>
      <w:tr>
        <w:trPr>
          <w:trHeight w:val="237"/>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AlliedSignal Aerospace Service LLC</w:t>
            </w:r>
          </w:p>
        </w:tc>
        <w:tc>
          <w:tcPr>
            <w:tcW w:w="300" w:type="dxa"/>
            <w:vAlign w:val="bottom"/>
            <w:shd w:val="clear" w:color="auto" w:fill="E5FFFF"/>
          </w:tcPr>
          <w:p>
            <w:pPr>
              <w:spacing w:after="0"/>
              <w:rPr>
                <w:sz w:val="20"/>
                <w:szCs w:val="20"/>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BW Technologies Partnership</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Canada</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COM DEV Ltd.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Canada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Elster American Meter Company, LLC</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Elster GmbH</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Germany</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Elster s.r.o.</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Slovakia</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EMS Technologies Canada, Ltd.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Canada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Grimes Aerospace Company</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Hand Held Products, Inc.</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(China) Co., Ltd.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China</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Aerospace Avionics Malaysia Sdn Bhd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Malaysia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Aerospace de México, S. de R.L. de C.V.</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Mexico</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Aerospace UK</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United Kingdom</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Automation India Limited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India</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75%</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Automotive Parts Services (Shanghai) Co., Ltd.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China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Co., Ltd.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Korea</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Control Systems Limited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United Kingdom</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Deutschland Holding GmbH</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Germany</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Electronic Materials (Thailand) Co., Ltd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Thailand</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Europe NV</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Belgium</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Finance LP</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Fluorine Products Europe B.V.</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Netherlands</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International (India) Private Limited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India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International Sàrl</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Switzerland</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International Sdn. Bhd.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Malaysia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Limited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Australia</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Limited / Honeywell Limitée</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Canada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Performance Materials and Technologies (China) Co Ltd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China</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Safety Products USA, Inc.</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Specialty Chemicals Seelze GmbH</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Germany</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Technology Solutions Lab Pvt. Ltd.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India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Turbo Technologies (Wuhan) Co., Ltd.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China</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UK Limited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United Kingdom</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Intelligrated Headquarters, LLC</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Intelligrated Systems, Inc.</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Intelligrated Systems, LLC</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Intermec Technologies (S) Pte Ltd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Singapore</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Life Safety Distribution GmbH</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Switzerland</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Novar ED&amp;S Limited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United Kingdom</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Novar GmbH</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Germany</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Salisbury Electrical Safety L.L.C.</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UOP CH Sàrl</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Switzerland</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UOP Limited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United Kingdom</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UOP LLC</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UOP Products LLC</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UOP Russell LLC</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Vocollect, Inc.</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Pennsylvania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26"/>
        </w:trPr>
        <w:tc>
          <w:tcPr>
            <w:tcW w:w="8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9"/>
          <w:szCs w:val="19"/>
          <w:b w:val="1"/>
          <w:bCs w:val="1"/>
          <w:color w:val="auto"/>
        </w:rPr>
        <w:t>EXHIBIT 23.1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130" w:lineRule="exact"/>
        <w:rPr>
          <w:sz w:val="20"/>
          <w:szCs w:val="20"/>
          <w:color w:val="auto"/>
        </w:rPr>
      </w:pPr>
    </w:p>
    <w:p>
      <w:pPr>
        <w:ind w:right="40"/>
        <w:spacing w:after="0" w:line="239" w:lineRule="auto"/>
        <w:rPr>
          <w:sz w:val="20"/>
          <w:szCs w:val="20"/>
          <w:color w:val="auto"/>
        </w:rPr>
      </w:pPr>
      <w:r>
        <w:rPr>
          <w:rFonts w:ascii="Arial" w:cs="Arial" w:eastAsia="Arial" w:hAnsi="Arial"/>
          <w:sz w:val="19"/>
          <w:szCs w:val="19"/>
          <w:color w:val="auto"/>
        </w:rPr>
        <w:t xml:space="preserve">We consent to the incorporation by reference in Registration Statements on Form S-3 (No. 033-55425, 333-22355, 333-101455 and 333-228729) and Form S-8 (No. 033-58347, 333-49280, 333-136083, 333-136086, 333-146932, 333-148995, 333-175260, 333-195331, 333-210889, 333-210899 and 333-228733). of our report dated February 8, 2019, relating to the consolidated financial statements of Honeywell International Inc. and subsidiaries (which report expresses an unqualified opinion and includes an explanatory paragraph regarding the adoption of Accounting Standards Update 2017-07, </w:t>
      </w:r>
      <w:r>
        <w:rPr>
          <w:rFonts w:ascii="Arial" w:cs="Arial" w:eastAsia="Arial" w:hAnsi="Arial"/>
          <w:sz w:val="19"/>
          <w:szCs w:val="19"/>
          <w:i w:val="1"/>
          <w:iCs w:val="1"/>
          <w:color w:val="auto"/>
        </w:rPr>
        <w:t>Compensation—Retirement Benefits (Topic</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715): Improving the Presentation of Net Periodic Pension Cost and Net Periodic Postretirement Benefit Cost) </w:t>
      </w:r>
      <w:r>
        <w:rPr>
          <w:rFonts w:ascii="Arial" w:cs="Arial" w:eastAsia="Arial" w:hAnsi="Arial"/>
          <w:sz w:val="19"/>
          <w:szCs w:val="19"/>
          <w:color w:val="auto"/>
        </w:rPr>
        <w:t>and the effectiveness</w:t>
      </w:r>
      <w:r>
        <w:rPr>
          <w:rFonts w:ascii="Arial" w:cs="Arial" w:eastAsia="Arial" w:hAnsi="Arial"/>
          <w:sz w:val="19"/>
          <w:szCs w:val="19"/>
          <w:i w:val="1"/>
          <w:iCs w:val="1"/>
          <w:color w:val="auto"/>
        </w:rPr>
        <w:t xml:space="preserve"> </w:t>
      </w:r>
      <w:r>
        <w:rPr>
          <w:rFonts w:ascii="Arial" w:cs="Arial" w:eastAsia="Arial" w:hAnsi="Arial"/>
          <w:sz w:val="19"/>
          <w:szCs w:val="19"/>
          <w:color w:val="auto"/>
        </w:rPr>
        <w:t>of the Honeywell International Inc.’s and subsidiaries internal control over financial reporting, appearing in this Annual Report on Form 10-K of Honeywell International Inc. for the year ended December 31, 2018.</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color w:val="auto"/>
        </w:rPr>
        <w:t>Parsippany, New Jersey</w:t>
      </w:r>
    </w:p>
    <w:p>
      <w:pPr>
        <w:spacing w:after="0"/>
        <w:rPr>
          <w:sz w:val="20"/>
          <w:szCs w:val="20"/>
          <w:color w:val="auto"/>
        </w:rPr>
      </w:pPr>
      <w:r>
        <w:rPr>
          <w:rFonts w:ascii="Arial" w:cs="Arial" w:eastAsia="Arial" w:hAnsi="Arial"/>
          <w:sz w:val="19"/>
          <w:szCs w:val="19"/>
          <w:color w:val="auto"/>
        </w:rPr>
        <w:t>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u w:val="single" w:color="auto"/>
          <w:color w:val="auto"/>
        </w:rPr>
        <w:t>Exhibit 24</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39"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Each of the undersigned, as a director of Honeywell International Inc. (the “Company”), a Delaware corporation, hereby appoints Darius Adamczyk, Gregory P. Lewis, Anne T. Madden, and John J. Tus, each with power to act without the other and with power of substitution and resubstitution, as my attorney-in-fact and agent for me and in my name, place and stead in any and all capacities,</w:t>
      </w:r>
    </w:p>
    <w:p>
      <w:pPr>
        <w:spacing w:after="0" w:line="212" w:lineRule="exact"/>
        <w:rPr>
          <w:sz w:val="20"/>
          <w:szCs w:val="20"/>
          <w:color w:val="auto"/>
        </w:rPr>
      </w:pPr>
    </w:p>
    <w:p>
      <w:pPr>
        <w:ind w:right="80" w:firstLine="656"/>
        <w:spacing w:after="0" w:line="251" w:lineRule="auto"/>
        <w:tabs>
          <w:tab w:leader="none" w:pos="1392"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sign the Company’s Annual Report on Form 10-K under the Securities Exchange Act of 1934 for the year ended December 31, 2018,</w:t>
      </w:r>
    </w:p>
    <w:p>
      <w:pPr>
        <w:spacing w:after="0" w:line="200" w:lineRule="exact"/>
        <w:rPr>
          <w:rFonts w:ascii="Arial" w:cs="Arial" w:eastAsia="Arial" w:hAnsi="Arial"/>
          <w:sz w:val="22"/>
          <w:szCs w:val="22"/>
          <w:color w:val="auto"/>
        </w:rPr>
      </w:pPr>
    </w:p>
    <w:p>
      <w:pPr>
        <w:ind w:right="220" w:firstLine="656"/>
        <w:spacing w:after="0" w:line="251" w:lineRule="auto"/>
        <w:tabs>
          <w:tab w:leader="none" w:pos="1399"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sign any amendment to the Annual Report referred to in (i) above, or to any previously filed Annual Report on Form 10-K for any prior fiscal year, and</w:t>
      </w:r>
    </w:p>
    <w:p>
      <w:pPr>
        <w:spacing w:after="0" w:line="200" w:lineRule="exact"/>
        <w:rPr>
          <w:rFonts w:ascii="Arial" w:cs="Arial" w:eastAsia="Arial" w:hAnsi="Arial"/>
          <w:sz w:val="22"/>
          <w:szCs w:val="22"/>
          <w:color w:val="auto"/>
        </w:rPr>
      </w:pPr>
    </w:p>
    <w:p>
      <w:pPr>
        <w:ind w:right="460" w:firstLine="656"/>
        <w:spacing w:after="0" w:line="251" w:lineRule="auto"/>
        <w:tabs>
          <w:tab w:leader="none" w:pos="1405"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file the documents described in (i) and (ii) above and all exhibits thereto and any and all other documents in connection therewith,</w:t>
      </w:r>
    </w:p>
    <w:p>
      <w:pPr>
        <w:spacing w:after="0" w:line="200"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212" w:lineRule="exact"/>
        <w:rPr>
          <w:sz w:val="20"/>
          <w:szCs w:val="20"/>
          <w:color w:val="auto"/>
        </w:rPr>
      </w:pPr>
    </w:p>
    <w:p>
      <w:pPr>
        <w:ind w:right="420" w:firstLine="648"/>
        <w:spacing w:after="0" w:line="251" w:lineRule="auto"/>
        <w:rPr>
          <w:sz w:val="20"/>
          <w:szCs w:val="20"/>
          <w:color w:val="auto"/>
        </w:rPr>
      </w:pPr>
      <w:r>
        <w:rPr>
          <w:rFonts w:ascii="Arial" w:cs="Arial" w:eastAsia="Arial" w:hAnsi="Arial"/>
          <w:sz w:val="22"/>
          <w:szCs w:val="22"/>
          <w:color w:val="auto"/>
        </w:rPr>
        <w:t>This Power of Attorney may be signed in any number of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5, 2018</w:t>
      </w:r>
    </w:p>
    <w:p>
      <w:pPr>
        <w:spacing w:after="0" w:line="23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Duncan Angove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Duncan Angove</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William 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William Ayer</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Kevin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Kevin Burke</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D. Scott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D. Scott Davis</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Linnet Deily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Linnet Deily</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Judd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Judd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9" w:name="page130"/>
    <w:bookmarkEnd w:id="129"/>
    <w:p>
      <w:pPr>
        <w:ind w:left="2800"/>
        <w:spacing w:after="0"/>
        <w:rPr>
          <w:sz w:val="20"/>
          <w:szCs w:val="20"/>
          <w:color w:val="auto"/>
        </w:rPr>
      </w:pPr>
      <w:r>
        <w:rPr>
          <w:rFonts w:ascii="Arial" w:cs="Arial" w:eastAsia="Arial" w:hAnsi="Arial"/>
          <w:sz w:val="22"/>
          <w:szCs w:val="22"/>
          <w:color w:val="auto"/>
        </w:rPr>
        <w:t>/s/ Clive Hollick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7620</wp:posOffset>
            </wp:positionV>
            <wp:extent cx="21780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Clive Hollick</w:t>
      </w:r>
    </w:p>
    <w:p>
      <w:pPr>
        <w:spacing w:after="0" w:line="215"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/s/ Grace Lieblein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7620</wp:posOffset>
            </wp:positionV>
            <wp:extent cx="21780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Grace Lieblein</w:t>
      </w:r>
    </w:p>
    <w:p>
      <w:pPr>
        <w:spacing w:after="0" w:line="215" w:lineRule="exact"/>
        <w:rPr>
          <w:sz w:val="20"/>
          <w:szCs w:val="20"/>
          <w:color w:val="auto"/>
        </w:rPr>
      </w:pPr>
    </w:p>
    <w:p>
      <w:pPr>
        <w:ind w:left="2800"/>
        <w:spacing w:after="0"/>
        <w:rPr>
          <w:sz w:val="20"/>
          <w:szCs w:val="20"/>
          <w:color w:val="auto"/>
        </w:rPr>
      </w:pPr>
      <w:r>
        <w:rPr>
          <w:rFonts w:ascii="Arial" w:cs="Arial" w:eastAsia="Arial" w:hAnsi="Arial"/>
          <w:sz w:val="19"/>
          <w:szCs w:val="19"/>
          <w:color w:val="auto"/>
        </w:rPr>
        <w:t>/s/ Jaime Chico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29210</wp:posOffset>
            </wp:positionV>
            <wp:extent cx="21780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6" w:lineRule="exact"/>
        <w:rPr>
          <w:sz w:val="20"/>
          <w:szCs w:val="20"/>
          <w:color w:val="auto"/>
        </w:rPr>
      </w:pPr>
    </w:p>
    <w:p>
      <w:pPr>
        <w:ind w:left="2800"/>
        <w:spacing w:after="0"/>
        <w:rPr>
          <w:sz w:val="20"/>
          <w:szCs w:val="20"/>
          <w:color w:val="auto"/>
        </w:rPr>
      </w:pPr>
      <w:r>
        <w:rPr>
          <w:rFonts w:ascii="Arial" w:cs="Arial" w:eastAsia="Arial" w:hAnsi="Arial"/>
          <w:sz w:val="21"/>
          <w:szCs w:val="21"/>
          <w:b w:val="1"/>
          <w:bCs w:val="1"/>
          <w:color w:val="auto"/>
        </w:rPr>
        <w:t>Jaime Chico Pardo</w:t>
      </w:r>
    </w:p>
    <w:p>
      <w:pPr>
        <w:spacing w:after="0" w:line="227"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/s/ George Paz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7620</wp:posOffset>
            </wp:positionV>
            <wp:extent cx="21780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George Paz</w:t>
      </w:r>
    </w:p>
    <w:p>
      <w:pPr>
        <w:spacing w:after="0" w:line="215" w:lineRule="exact"/>
        <w:rPr>
          <w:sz w:val="20"/>
          <w:szCs w:val="20"/>
          <w:color w:val="auto"/>
        </w:rPr>
      </w:pPr>
    </w:p>
    <w:p>
      <w:pPr>
        <w:ind w:left="2800"/>
        <w:spacing w:after="0"/>
        <w:rPr>
          <w:sz w:val="20"/>
          <w:szCs w:val="20"/>
          <w:color w:val="auto"/>
        </w:rPr>
      </w:pPr>
      <w:r>
        <w:rPr>
          <w:rFonts w:ascii="Arial" w:cs="Arial" w:eastAsia="Arial" w:hAnsi="Arial"/>
          <w:sz w:val="19"/>
          <w:szCs w:val="19"/>
          <w:color w:val="auto"/>
        </w:rPr>
        <w:t>/s/ Robin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29210</wp:posOffset>
            </wp:positionV>
            <wp:extent cx="21780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6" w:lineRule="exact"/>
        <w:rPr>
          <w:sz w:val="20"/>
          <w:szCs w:val="20"/>
          <w:color w:val="auto"/>
        </w:rPr>
      </w:pPr>
    </w:p>
    <w:p>
      <w:pPr>
        <w:ind w:left="2800"/>
        <w:spacing w:after="0"/>
        <w:rPr>
          <w:sz w:val="20"/>
          <w:szCs w:val="20"/>
          <w:color w:val="auto"/>
        </w:rPr>
      </w:pPr>
      <w:r>
        <w:rPr>
          <w:rFonts w:ascii="Arial" w:cs="Arial" w:eastAsia="Arial" w:hAnsi="Arial"/>
          <w:sz w:val="21"/>
          <w:szCs w:val="21"/>
          <w:b w:val="1"/>
          <w:bCs w:val="1"/>
          <w:color w:val="auto"/>
        </w:rPr>
        <w:t>Robin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157480</wp:posOffset>
            </wp:positionV>
            <wp:extent cx="724662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30" w:name="page131"/>
    <w:bookmarkEnd w:id="130"/>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39"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Each of the undersigned, as a director of Honeywell International Inc. (the “Company”), a Delaware corporation, hereby appoints Darius Adamczyk, Gregory P. Lewis, Anne T. Madden, and John J. Tus, each with power to act without the other and with power of substitution and resubstitution, as my attorney-in-fact to sign on my behalf in my capacity as a director of the Company one or more registration statements on Form S-8 or any other appropriate form during fiscal year 2019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 hereby revoke any or all prior appointments of attorneys-in-fact to sign the above-described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131" w:name="page132"/>
    <w:bookmarkEnd w:id="131"/>
    <w:p>
      <w:pPr>
        <w:ind w:firstLine="648"/>
        <w:spacing w:after="0" w:line="251" w:lineRule="auto"/>
        <w:rPr>
          <w:sz w:val="20"/>
          <w:szCs w:val="20"/>
          <w:color w:val="auto"/>
        </w:rPr>
      </w:pPr>
      <w:r>
        <w:rPr>
          <w:rFonts w:ascii="Arial" w:cs="Arial" w:eastAsia="Arial" w:hAnsi="Arial"/>
          <w:sz w:val="22"/>
          <w:szCs w:val="22"/>
          <w:color w:val="auto"/>
        </w:rPr>
        <w:t>This Power of Attorney may be signed in any number of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5, 2018</w:t>
      </w:r>
    </w:p>
    <w:p>
      <w:pPr>
        <w:spacing w:after="0" w:line="23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Duncan Angove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Duncan Angove</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William 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William Ayer</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Kevin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Kevin Burke</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D. Scott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D. Scott Davis</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Linnet Deily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Linnet Deily</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Judd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Judd Gregg</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Clive Hollick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Clive Hollick</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Grace Lieblein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Grace Lieblein</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Jaime Chico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Jaime Chico Pardo</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George Paz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George Paz</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Robin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Robin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240" w:top="618" w:right="65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39"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Each of the undersigned, as a director of Honeywell International Inc. (the “Company”), a Delaware corporation, hereby appoints Darius Adamczyk, Gregory P. Lewis, Anne T. Madden, and John J. Tus, each with power to act without the other and with power of substitution and resubstitution, as my attorney-in-fact to sign on my behalf in my capacity as a director of the Company one or more registration statements on Form S-3 or S-4 or any other appropriate form during fiscal year 2019,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178" w:lineRule="exact"/>
        <w:rPr>
          <w:sz w:val="20"/>
          <w:szCs w:val="20"/>
          <w:color w:val="auto"/>
        </w:rPr>
      </w:pPr>
    </w:p>
    <w:p>
      <w:pPr>
        <w:ind w:right="100" w:firstLine="500"/>
        <w:spacing w:after="0" w:line="328" w:lineRule="auto"/>
        <w:tabs>
          <w:tab w:leader="none" w:pos="750" w:val="left"/>
        </w:tabs>
        <w:numPr>
          <w:ilvl w:val="0"/>
          <w:numId w:val="72"/>
        </w:numPr>
        <w:rPr>
          <w:rFonts w:ascii="Arial" w:cs="Arial" w:eastAsia="Arial" w:hAnsi="Arial"/>
          <w:sz w:val="19"/>
          <w:szCs w:val="19"/>
          <w:color w:val="auto"/>
        </w:rPr>
      </w:pPr>
      <w:r>
        <w:rPr>
          <w:rFonts w:ascii="Arial" w:cs="Arial" w:eastAsia="Arial" w:hAnsi="Arial"/>
          <w:sz w:val="19"/>
          <w:szCs w:val="19"/>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32" w:lineRule="exact"/>
        <w:rPr>
          <w:rFonts w:ascii="Arial" w:cs="Arial" w:eastAsia="Arial" w:hAnsi="Arial"/>
          <w:sz w:val="19"/>
          <w:szCs w:val="19"/>
          <w:color w:val="auto"/>
        </w:rPr>
      </w:pPr>
    </w:p>
    <w:p>
      <w:pPr>
        <w:ind w:left="820" w:hanging="320"/>
        <w:spacing w:after="0"/>
        <w:tabs>
          <w:tab w:leader="none" w:pos="8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shares of the Company’s preferred stock, without par value;</w:t>
      </w:r>
    </w:p>
    <w:p>
      <w:pPr>
        <w:spacing w:after="0" w:line="233" w:lineRule="exact"/>
        <w:rPr>
          <w:rFonts w:ascii="Arial" w:cs="Arial" w:eastAsia="Arial" w:hAnsi="Arial"/>
          <w:sz w:val="22"/>
          <w:szCs w:val="22"/>
          <w:color w:val="auto"/>
        </w:rPr>
      </w:pPr>
    </w:p>
    <w:p>
      <w:pPr>
        <w:ind w:right="240" w:firstLine="500"/>
        <w:spacing w:after="0" w:line="251" w:lineRule="auto"/>
        <w:tabs>
          <w:tab w:leader="none" w:pos="870" w:val="left"/>
        </w:tabs>
        <w:numPr>
          <w:ilvl w:val="0"/>
          <w:numId w:val="72"/>
        </w:numPr>
        <w:rPr>
          <w:rFonts w:ascii="Arial" w:cs="Arial" w:eastAsia="Arial" w:hAnsi="Arial"/>
          <w:sz w:val="22"/>
          <w:szCs w:val="22"/>
          <w:color w:val="auto"/>
        </w:rPr>
      </w:pPr>
      <w:r>
        <w:rPr>
          <w:rFonts w:ascii="Arial" w:cs="Arial" w:eastAsia="Arial" w:hAnsi="Arial"/>
          <w:sz w:val="22"/>
          <w:szCs w:val="22"/>
          <w:color w:val="auto"/>
        </w:rPr>
        <w:t>debt securities of the Company, with such terms as may be from time to time specified in such registration statement or any amendment, post-effective amendment or supplement thereto; and</w:t>
      </w:r>
    </w:p>
    <w:p>
      <w:pPr>
        <w:spacing w:after="0" w:line="200" w:lineRule="exact"/>
        <w:rPr>
          <w:rFonts w:ascii="Arial" w:cs="Arial" w:eastAsia="Arial" w:hAnsi="Arial"/>
          <w:sz w:val="22"/>
          <w:szCs w:val="22"/>
          <w:color w:val="auto"/>
        </w:rPr>
      </w:pPr>
    </w:p>
    <w:p>
      <w:pPr>
        <w:ind w:right="180" w:firstLine="500"/>
        <w:spacing w:after="0"/>
        <w:tabs>
          <w:tab w:leader="none" w:pos="858" w:val="left"/>
        </w:tabs>
        <w:numPr>
          <w:ilvl w:val="0"/>
          <w:numId w:val="72"/>
        </w:numPr>
        <w:rPr>
          <w:rFonts w:ascii="Arial" w:cs="Arial" w:eastAsia="Arial" w:hAnsi="Arial"/>
          <w:sz w:val="22"/>
          <w:szCs w:val="22"/>
          <w:color w:val="auto"/>
        </w:rPr>
      </w:pPr>
      <w:r>
        <w:rPr>
          <w:rFonts w:ascii="Arial" w:cs="Arial" w:eastAsia="Arial" w:hAnsi="Arial"/>
          <w:sz w:val="22"/>
          <w:szCs w:val="22"/>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213" w:lineRule="exact"/>
        <w:rPr>
          <w:sz w:val="20"/>
          <w:szCs w:val="20"/>
          <w:color w:val="auto"/>
        </w:rPr>
      </w:pPr>
    </w:p>
    <w:p>
      <w:pPr>
        <w:ind w:right="160" w:firstLine="648"/>
        <w:spacing w:after="0" w:line="251" w:lineRule="auto"/>
        <w:rPr>
          <w:sz w:val="20"/>
          <w:szCs w:val="20"/>
          <w:color w:val="auto"/>
        </w:rPr>
      </w:pPr>
      <w:r>
        <w:rPr>
          <w:rFonts w:ascii="Arial" w:cs="Arial" w:eastAsia="Arial" w:hAnsi="Arial"/>
          <w:sz w:val="22"/>
          <w:szCs w:val="22"/>
          <w:color w:val="auto"/>
        </w:rPr>
        <w:t>I hereby revoke any or all prior appointments of attorneys-in-fact to the extent that they confer authority to sign the above-described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133" w:name="page134"/>
    <w:bookmarkEnd w:id="133"/>
    <w:p>
      <w:pPr>
        <w:ind w:firstLine="648"/>
        <w:spacing w:after="0" w:line="251" w:lineRule="auto"/>
        <w:rPr>
          <w:sz w:val="20"/>
          <w:szCs w:val="20"/>
          <w:color w:val="auto"/>
        </w:rPr>
      </w:pPr>
      <w:r>
        <w:rPr>
          <w:rFonts w:ascii="Arial" w:cs="Arial" w:eastAsia="Arial" w:hAnsi="Arial"/>
          <w:sz w:val="22"/>
          <w:szCs w:val="22"/>
          <w:color w:val="auto"/>
        </w:rPr>
        <w:t>This Power of Attorney may be signed in any number of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5, 2018</w:t>
      </w:r>
    </w:p>
    <w:p>
      <w:pPr>
        <w:spacing w:after="0" w:line="23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Duncan Angove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Duncan Angove</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William 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William Ayer</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Kevin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Kevin Burke</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D. Scott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D. Scott Davis</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Linnet Deily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Linnet Deily</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Judd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Judd Gregg</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Clive Hollick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Clive Hollick</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Grace Lieblein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Grace Lieblein</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Jaime Chico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Jaime Chico Pardo</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George Paz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George Paz</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Robin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21780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Robin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240" w:top="618" w:right="659" w:bottom="1440" w:gutter="0" w:footer="0" w:header="0"/>
        </w:sectPr>
      </w:pPr>
    </w:p>
    <w:bookmarkStart w:id="134" w:name="page135"/>
    <w:bookmarkEnd w:id="134"/>
    <w:p>
      <w:pPr>
        <w:jc w:val="center"/>
        <w:ind w:right="-5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39"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I, Darius Adamczyk, a director and the principal executive officer of Honeywell International Inc. (the “Company”), a Delaware corporation, hereby appoint Gregory P. Lewis, Anne T. Madden, and John J. Tus, each with power to act without the other and with power of substitution and resubstitution, as my attorney-in-fact and agent for me and in my name, place and stead in any and all capacities,</w:t>
      </w:r>
    </w:p>
    <w:p>
      <w:pPr>
        <w:spacing w:after="0" w:line="212" w:lineRule="exact"/>
        <w:rPr>
          <w:sz w:val="20"/>
          <w:szCs w:val="20"/>
          <w:color w:val="auto"/>
        </w:rPr>
      </w:pPr>
    </w:p>
    <w:p>
      <w:pPr>
        <w:ind w:left="1300" w:right="120" w:hanging="644"/>
        <w:spacing w:after="0" w:line="251" w:lineRule="auto"/>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to sign the Company’s Annual Report on Form 10-K under the Securities Exchange Act of 1934 for the year ended December 31, 2018,</w:t>
      </w:r>
    </w:p>
    <w:p>
      <w:pPr>
        <w:spacing w:after="0" w:line="200" w:lineRule="exact"/>
        <w:rPr>
          <w:rFonts w:ascii="Arial" w:cs="Arial" w:eastAsia="Arial" w:hAnsi="Arial"/>
          <w:sz w:val="22"/>
          <w:szCs w:val="22"/>
          <w:color w:val="auto"/>
        </w:rPr>
      </w:pPr>
    </w:p>
    <w:p>
      <w:pPr>
        <w:ind w:right="280" w:firstLine="656"/>
        <w:spacing w:after="0" w:line="251" w:lineRule="auto"/>
        <w:tabs>
          <w:tab w:leader="none" w:pos="1345" w:val="left"/>
        </w:tabs>
        <w:numPr>
          <w:ilvl w:val="0"/>
          <w:numId w:val="73"/>
        </w:numPr>
        <w:rPr>
          <w:rFonts w:ascii="Arial" w:cs="Arial" w:eastAsia="Arial" w:hAnsi="Arial"/>
          <w:sz w:val="22"/>
          <w:szCs w:val="22"/>
          <w:color w:val="auto"/>
        </w:rPr>
      </w:pPr>
      <w:r>
        <w:rPr>
          <w:rFonts w:ascii="Arial" w:cs="Arial" w:eastAsia="Arial" w:hAnsi="Arial"/>
          <w:sz w:val="22"/>
          <w:szCs w:val="22"/>
          <w:color w:val="auto"/>
        </w:rPr>
        <w:t>to sign any amendment to the Annual Report referred to in (i) above or to any previously filed Annual Report on Form 10-K for any prior fiscal year, and</w:t>
      </w:r>
    </w:p>
    <w:p>
      <w:pPr>
        <w:spacing w:after="0" w:line="200" w:lineRule="exact"/>
        <w:rPr>
          <w:rFonts w:ascii="Arial" w:cs="Arial" w:eastAsia="Arial" w:hAnsi="Arial"/>
          <w:sz w:val="22"/>
          <w:szCs w:val="22"/>
          <w:color w:val="auto"/>
        </w:rPr>
      </w:pPr>
    </w:p>
    <w:p>
      <w:pPr>
        <w:ind w:right="460" w:firstLine="656"/>
        <w:spacing w:after="0" w:line="251" w:lineRule="auto"/>
        <w:tabs>
          <w:tab w:leader="none" w:pos="1351" w:val="left"/>
        </w:tabs>
        <w:numPr>
          <w:ilvl w:val="0"/>
          <w:numId w:val="73"/>
        </w:numPr>
        <w:rPr>
          <w:rFonts w:ascii="Arial" w:cs="Arial" w:eastAsia="Arial" w:hAnsi="Arial"/>
          <w:sz w:val="22"/>
          <w:szCs w:val="22"/>
          <w:color w:val="auto"/>
        </w:rPr>
      </w:pPr>
      <w:r>
        <w:rPr>
          <w:rFonts w:ascii="Arial" w:cs="Arial" w:eastAsia="Arial" w:hAnsi="Arial"/>
          <w:sz w:val="22"/>
          <w:szCs w:val="22"/>
          <w:color w:val="auto"/>
        </w:rPr>
        <w:t>to file the documents described in (i) and (ii) above and all exhibits thereto and any and all other documents in connection therewith,</w:t>
      </w:r>
    </w:p>
    <w:p>
      <w:pPr>
        <w:spacing w:after="0" w:line="200" w:lineRule="exact"/>
        <w:rPr>
          <w:sz w:val="20"/>
          <w:szCs w:val="20"/>
          <w:color w:val="auto"/>
        </w:rPr>
      </w:pPr>
    </w:p>
    <w:p>
      <w:pPr>
        <w:ind w:right="480"/>
        <w:spacing w:after="0" w:line="238" w:lineRule="auto"/>
        <w:rPr>
          <w:sz w:val="20"/>
          <w:szCs w:val="20"/>
          <w:color w:val="auto"/>
        </w:rPr>
      </w:pPr>
      <w:r>
        <w:rPr>
          <w:rFonts w:ascii="Arial" w:cs="Arial" w:eastAsia="Arial" w:hAnsi="Arial"/>
          <w:sz w:val="22"/>
          <w:szCs w:val="22"/>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212" w:lineRule="exact"/>
        <w:rPr>
          <w:sz w:val="20"/>
          <w:szCs w:val="20"/>
          <w:color w:val="auto"/>
        </w:rPr>
      </w:pPr>
    </w:p>
    <w:p>
      <w:pPr>
        <w:ind w:left="7320"/>
        <w:spacing w:after="0"/>
        <w:rPr>
          <w:sz w:val="20"/>
          <w:szCs w:val="20"/>
          <w:color w:val="auto"/>
        </w:rPr>
      </w:pPr>
      <w:r>
        <w:rPr>
          <w:rFonts w:ascii="Arial" w:cs="Arial" w:eastAsia="Arial" w:hAnsi="Arial"/>
          <w:sz w:val="22"/>
          <w:szCs w:val="22"/>
          <w:u w:val="single" w:color="auto"/>
          <w:color w:val="auto"/>
        </w:rPr>
        <w:t>/s/ Darius Adamczyk</w:t>
      </w:r>
    </w:p>
    <w:p>
      <w:pPr>
        <w:spacing w:after="0" w:line="22" w:lineRule="exact"/>
        <w:rPr>
          <w:sz w:val="20"/>
          <w:szCs w:val="20"/>
          <w:color w:val="auto"/>
        </w:rPr>
      </w:pPr>
    </w:p>
    <w:p>
      <w:pPr>
        <w:ind w:left="7320"/>
        <w:spacing w:after="0"/>
        <w:rPr>
          <w:sz w:val="20"/>
          <w:szCs w:val="20"/>
          <w:color w:val="auto"/>
        </w:rPr>
      </w:pPr>
      <w:r>
        <w:rPr>
          <w:rFonts w:ascii="Arial" w:cs="Arial" w:eastAsia="Arial" w:hAnsi="Arial"/>
          <w:sz w:val="22"/>
          <w:szCs w:val="22"/>
          <w:color w:val="auto"/>
        </w:rPr>
        <w:t>Darius Adamczyk</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612" w:right="29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39"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I, Darius Adamczyk, a director and the principal executive officer of Honeywell International Inc. (the “Company”), a Delaware corporation, hereby appoint Gregory P. Lewis, Anne T. Madden, and John J. Tus, each with power to act without the other and with power of substitution and resubstitution, as my attorney-in-fact to sign on my behalf in my capacity as a director or as the principal executive officer of the Company one or more registration statements on Form S-8 or any other appropriate form during fiscal year 2019,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 hereby revoke any or all prior appointments of attorneys-in-fact to sign the above-described documents.</w:t>
      </w:r>
    </w:p>
    <w:p>
      <w:pPr>
        <w:spacing w:after="0" w:line="233" w:lineRule="exact"/>
        <w:rPr>
          <w:sz w:val="20"/>
          <w:szCs w:val="20"/>
          <w:color w:val="auto"/>
        </w:rPr>
      </w:pPr>
    </w:p>
    <w:p>
      <w:pPr>
        <w:ind w:left="7320"/>
        <w:spacing w:after="0"/>
        <w:rPr>
          <w:sz w:val="20"/>
          <w:szCs w:val="20"/>
          <w:color w:val="auto"/>
        </w:rPr>
      </w:pPr>
      <w:r>
        <w:rPr>
          <w:rFonts w:ascii="Arial" w:cs="Arial" w:eastAsia="Arial" w:hAnsi="Arial"/>
          <w:sz w:val="22"/>
          <w:szCs w:val="22"/>
          <w:u w:val="single" w:color="auto"/>
          <w:color w:val="auto"/>
        </w:rPr>
        <w:t>/s/ Darius Adamczyk</w:t>
      </w:r>
    </w:p>
    <w:p>
      <w:pPr>
        <w:spacing w:after="0" w:line="22" w:lineRule="exact"/>
        <w:rPr>
          <w:sz w:val="20"/>
          <w:szCs w:val="20"/>
          <w:color w:val="auto"/>
        </w:rPr>
      </w:pPr>
    </w:p>
    <w:p>
      <w:pPr>
        <w:ind w:left="7320"/>
        <w:spacing w:after="0"/>
        <w:rPr>
          <w:sz w:val="20"/>
          <w:szCs w:val="20"/>
          <w:color w:val="auto"/>
        </w:rPr>
      </w:pPr>
      <w:r>
        <w:rPr>
          <w:rFonts w:ascii="Arial" w:cs="Arial" w:eastAsia="Arial" w:hAnsi="Arial"/>
          <w:sz w:val="22"/>
          <w:szCs w:val="22"/>
          <w:color w:val="auto"/>
        </w:rPr>
        <w:t>Darius Adamczyk</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39" w:lineRule="exact"/>
        <w:rPr>
          <w:sz w:val="20"/>
          <w:szCs w:val="20"/>
          <w:color w:val="auto"/>
        </w:rPr>
      </w:pPr>
    </w:p>
    <w:p>
      <w:pPr>
        <w:ind w:right="80" w:firstLine="648"/>
        <w:spacing w:after="0" w:line="234" w:lineRule="auto"/>
        <w:rPr>
          <w:sz w:val="20"/>
          <w:szCs w:val="20"/>
          <w:color w:val="auto"/>
        </w:rPr>
      </w:pPr>
      <w:r>
        <w:rPr>
          <w:rFonts w:ascii="Arial" w:cs="Arial" w:eastAsia="Arial" w:hAnsi="Arial"/>
          <w:sz w:val="22"/>
          <w:szCs w:val="22"/>
          <w:color w:val="auto"/>
        </w:rPr>
        <w:t>I, Darius Adamczyk, a director and the principal executive officer of Honeywell International Inc. (the “Company”), a Delaware corporation, hereby appoint Gregory P. Lewis, Anne T. Madden, and John J. Tus, each with power to act without the other and with power of substitution and resubstitution, as my attorney-in-fact to sign on my behalf in my capacity as a director or as the principal executive officer of the Company one or more registration statements on Form S-3 or S-4 or any other appropriate form during fiscal year 2019,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218" w:lineRule="exact"/>
        <w:rPr>
          <w:sz w:val="20"/>
          <w:szCs w:val="20"/>
          <w:color w:val="auto"/>
        </w:rPr>
      </w:pPr>
    </w:p>
    <w:p>
      <w:pPr>
        <w:ind w:right="100" w:firstLine="500"/>
        <w:spacing w:after="0" w:line="328" w:lineRule="auto"/>
        <w:tabs>
          <w:tab w:leader="none" w:pos="750" w:val="left"/>
        </w:tabs>
        <w:numPr>
          <w:ilvl w:val="0"/>
          <w:numId w:val="74"/>
        </w:numPr>
        <w:rPr>
          <w:rFonts w:ascii="Arial" w:cs="Arial" w:eastAsia="Arial" w:hAnsi="Arial"/>
          <w:sz w:val="19"/>
          <w:szCs w:val="19"/>
          <w:color w:val="auto"/>
        </w:rPr>
      </w:pPr>
      <w:r>
        <w:rPr>
          <w:rFonts w:ascii="Arial" w:cs="Arial" w:eastAsia="Arial" w:hAnsi="Arial"/>
          <w:sz w:val="19"/>
          <w:szCs w:val="19"/>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32" w:lineRule="exact"/>
        <w:rPr>
          <w:rFonts w:ascii="Arial" w:cs="Arial" w:eastAsia="Arial" w:hAnsi="Arial"/>
          <w:sz w:val="19"/>
          <w:szCs w:val="19"/>
          <w:color w:val="auto"/>
        </w:rPr>
      </w:pPr>
    </w:p>
    <w:p>
      <w:pPr>
        <w:ind w:left="820" w:hanging="320"/>
        <w:spacing w:after="0"/>
        <w:tabs>
          <w:tab w:leader="none" w:pos="820" w:val="left"/>
        </w:tabs>
        <w:numPr>
          <w:ilvl w:val="0"/>
          <w:numId w:val="74"/>
        </w:numPr>
        <w:rPr>
          <w:rFonts w:ascii="Arial" w:cs="Arial" w:eastAsia="Arial" w:hAnsi="Arial"/>
          <w:sz w:val="22"/>
          <w:szCs w:val="22"/>
          <w:color w:val="auto"/>
        </w:rPr>
      </w:pPr>
      <w:r>
        <w:rPr>
          <w:rFonts w:ascii="Arial" w:cs="Arial" w:eastAsia="Arial" w:hAnsi="Arial"/>
          <w:sz w:val="22"/>
          <w:szCs w:val="22"/>
          <w:color w:val="auto"/>
        </w:rPr>
        <w:t>shares of the Company’s preferred stock, without par value;</w:t>
      </w:r>
    </w:p>
    <w:p>
      <w:pPr>
        <w:spacing w:after="0" w:line="233" w:lineRule="exact"/>
        <w:rPr>
          <w:rFonts w:ascii="Arial" w:cs="Arial" w:eastAsia="Arial" w:hAnsi="Arial"/>
          <w:sz w:val="22"/>
          <w:szCs w:val="22"/>
          <w:color w:val="auto"/>
        </w:rPr>
      </w:pPr>
    </w:p>
    <w:p>
      <w:pPr>
        <w:ind w:right="240" w:firstLine="500"/>
        <w:spacing w:after="0" w:line="251" w:lineRule="auto"/>
        <w:tabs>
          <w:tab w:leader="none" w:pos="870" w:val="left"/>
        </w:tabs>
        <w:numPr>
          <w:ilvl w:val="0"/>
          <w:numId w:val="74"/>
        </w:numPr>
        <w:rPr>
          <w:rFonts w:ascii="Arial" w:cs="Arial" w:eastAsia="Arial" w:hAnsi="Arial"/>
          <w:sz w:val="22"/>
          <w:szCs w:val="22"/>
          <w:color w:val="auto"/>
        </w:rPr>
      </w:pPr>
      <w:r>
        <w:rPr>
          <w:rFonts w:ascii="Arial" w:cs="Arial" w:eastAsia="Arial" w:hAnsi="Arial"/>
          <w:sz w:val="22"/>
          <w:szCs w:val="22"/>
          <w:color w:val="auto"/>
        </w:rPr>
        <w:t>debt securities of the Company, with such terms as may be from time to time specified in such registration statement or any amendment, post-effective amendment or supplement thereto; and</w:t>
      </w:r>
    </w:p>
    <w:p>
      <w:pPr>
        <w:spacing w:after="0" w:line="200" w:lineRule="exact"/>
        <w:rPr>
          <w:rFonts w:ascii="Arial" w:cs="Arial" w:eastAsia="Arial" w:hAnsi="Arial"/>
          <w:sz w:val="22"/>
          <w:szCs w:val="22"/>
          <w:color w:val="auto"/>
        </w:rPr>
      </w:pPr>
    </w:p>
    <w:p>
      <w:pPr>
        <w:ind w:right="180" w:firstLine="500"/>
        <w:spacing w:after="0"/>
        <w:tabs>
          <w:tab w:leader="none" w:pos="858" w:val="left"/>
        </w:tabs>
        <w:numPr>
          <w:ilvl w:val="0"/>
          <w:numId w:val="74"/>
        </w:numPr>
        <w:rPr>
          <w:rFonts w:ascii="Arial" w:cs="Arial" w:eastAsia="Arial" w:hAnsi="Arial"/>
          <w:sz w:val="22"/>
          <w:szCs w:val="22"/>
          <w:color w:val="auto"/>
        </w:rPr>
      </w:pPr>
      <w:r>
        <w:rPr>
          <w:rFonts w:ascii="Arial" w:cs="Arial" w:eastAsia="Arial" w:hAnsi="Arial"/>
          <w:sz w:val="22"/>
          <w:szCs w:val="22"/>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213" w:lineRule="exact"/>
        <w:rPr>
          <w:sz w:val="20"/>
          <w:szCs w:val="20"/>
          <w:color w:val="auto"/>
        </w:rPr>
      </w:pPr>
    </w:p>
    <w:p>
      <w:pPr>
        <w:ind w:right="160" w:firstLine="648"/>
        <w:spacing w:after="0" w:line="251" w:lineRule="auto"/>
        <w:rPr>
          <w:sz w:val="20"/>
          <w:szCs w:val="20"/>
          <w:color w:val="auto"/>
        </w:rPr>
      </w:pPr>
      <w:r>
        <w:rPr>
          <w:rFonts w:ascii="Arial" w:cs="Arial" w:eastAsia="Arial" w:hAnsi="Arial"/>
          <w:sz w:val="22"/>
          <w:szCs w:val="22"/>
          <w:color w:val="auto"/>
        </w:rPr>
        <w:t>I hereby revoke any or all prior appointments of attorneys-in-fact to the extent that they confer authority to sign the above-described documents.</w:t>
      </w:r>
    </w:p>
    <w:p>
      <w:pPr>
        <w:spacing w:after="0" w:line="200" w:lineRule="exact"/>
        <w:rPr>
          <w:sz w:val="20"/>
          <w:szCs w:val="20"/>
          <w:color w:val="auto"/>
        </w:rPr>
      </w:pPr>
    </w:p>
    <w:p>
      <w:pPr>
        <w:ind w:left="7320"/>
        <w:spacing w:after="0"/>
        <w:rPr>
          <w:sz w:val="20"/>
          <w:szCs w:val="20"/>
          <w:color w:val="auto"/>
        </w:rPr>
      </w:pPr>
      <w:r>
        <w:rPr>
          <w:rFonts w:ascii="Arial" w:cs="Arial" w:eastAsia="Arial" w:hAnsi="Arial"/>
          <w:sz w:val="22"/>
          <w:szCs w:val="22"/>
          <w:u w:val="single" w:color="auto"/>
          <w:color w:val="auto"/>
        </w:rPr>
        <w:t>/s/ Darius Adamczyk</w:t>
      </w:r>
    </w:p>
    <w:p>
      <w:pPr>
        <w:spacing w:after="0" w:line="22" w:lineRule="exact"/>
        <w:rPr>
          <w:sz w:val="20"/>
          <w:szCs w:val="20"/>
          <w:color w:val="auto"/>
        </w:rPr>
      </w:pPr>
    </w:p>
    <w:p>
      <w:pPr>
        <w:ind w:left="7320"/>
        <w:spacing w:after="0"/>
        <w:rPr>
          <w:sz w:val="20"/>
          <w:szCs w:val="20"/>
          <w:color w:val="auto"/>
        </w:rPr>
      </w:pPr>
      <w:r>
        <w:rPr>
          <w:rFonts w:ascii="Arial" w:cs="Arial" w:eastAsia="Arial" w:hAnsi="Arial"/>
          <w:sz w:val="22"/>
          <w:szCs w:val="22"/>
          <w:color w:val="auto"/>
        </w:rPr>
        <w:t>Darius Adamczyk</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9"/>
          <w:szCs w:val="19"/>
          <w:b w:val="1"/>
          <w:bCs w:val="1"/>
          <w:color w:val="auto"/>
        </w:rPr>
        <w:t>EXHIBIT 31.1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302</w:t>
      </w:r>
    </w:p>
    <w:p>
      <w:pPr>
        <w:jc w:val="center"/>
        <w:spacing w:after="0"/>
        <w:rPr>
          <w:sz w:val="20"/>
          <w:szCs w:val="20"/>
          <w:color w:val="auto"/>
        </w:rPr>
      </w:pPr>
      <w:r>
        <w:rPr>
          <w:rFonts w:ascii="Arial" w:cs="Arial" w:eastAsia="Arial" w:hAnsi="Arial"/>
          <w:sz w:val="19"/>
          <w:szCs w:val="19"/>
          <w:b w:val="1"/>
          <w:bCs w:val="1"/>
          <w:color w:val="auto"/>
        </w:rPr>
        <w:t>OF THE SARBANES-OXLEY ACT OF 2002</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I, Darius Adamczyk, certify that:</w:t>
      </w:r>
    </w:p>
    <w:p>
      <w:pPr>
        <w:spacing w:after="0" w:line="92" w:lineRule="exact"/>
        <w:rPr>
          <w:sz w:val="20"/>
          <w:szCs w:val="20"/>
          <w:color w:val="auto"/>
        </w:rPr>
      </w:pPr>
    </w:p>
    <w:p>
      <w:pPr>
        <w:ind w:left="340" w:hanging="264"/>
        <w:spacing w:after="0"/>
        <w:tabs>
          <w:tab w:leader="none" w:pos="3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Honeywell International Inc.;</w:t>
      </w:r>
    </w:p>
    <w:p>
      <w:pPr>
        <w:spacing w:after="0" w:line="78" w:lineRule="exact"/>
        <w:rPr>
          <w:rFonts w:ascii="Arial" w:cs="Arial" w:eastAsia="Arial" w:hAnsi="Arial"/>
          <w:sz w:val="19"/>
          <w:szCs w:val="19"/>
          <w:color w:val="auto"/>
        </w:rPr>
      </w:pPr>
    </w:p>
    <w:p>
      <w:pPr>
        <w:ind w:left="340" w:right="160" w:hanging="264"/>
        <w:spacing w:after="0" w:line="245" w:lineRule="auto"/>
        <w:tabs>
          <w:tab w:leader="none" w:pos="3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9"/>
          <w:szCs w:val="19"/>
          <w:color w:val="auto"/>
        </w:rPr>
      </w:pPr>
    </w:p>
    <w:p>
      <w:pPr>
        <w:ind w:left="340" w:right="560" w:hanging="264"/>
        <w:spacing w:after="0" w:line="245" w:lineRule="auto"/>
        <w:tabs>
          <w:tab w:leader="none" w:pos="3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9"/>
          <w:szCs w:val="19"/>
          <w:color w:val="auto"/>
        </w:rPr>
      </w:pPr>
    </w:p>
    <w:p>
      <w:pPr>
        <w:ind w:left="340" w:right="40" w:hanging="264"/>
        <w:spacing w:after="0" w:line="245" w:lineRule="auto"/>
        <w:tabs>
          <w:tab w:leader="none" w:pos="3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9"/>
          <w:szCs w:val="19"/>
          <w:color w:val="auto"/>
        </w:rPr>
      </w:pPr>
    </w:p>
    <w:p>
      <w:pPr>
        <w:ind w:left="580" w:right="160" w:hanging="258"/>
        <w:spacing w:after="0" w:line="245" w:lineRule="auto"/>
        <w:tabs>
          <w:tab w:leader="none" w:pos="580" w:val="left"/>
        </w:tabs>
        <w:numPr>
          <w:ilvl w:val="1"/>
          <w:numId w:val="75"/>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9"/>
          <w:szCs w:val="19"/>
          <w:color w:val="auto"/>
        </w:rPr>
      </w:pPr>
    </w:p>
    <w:p>
      <w:pPr>
        <w:ind w:left="580" w:right="140" w:hanging="258"/>
        <w:spacing w:after="0" w:line="245" w:lineRule="auto"/>
        <w:tabs>
          <w:tab w:leader="none" w:pos="580" w:val="left"/>
        </w:tabs>
        <w:numPr>
          <w:ilvl w:val="1"/>
          <w:numId w:val="7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9"/>
          <w:szCs w:val="19"/>
          <w:color w:val="auto"/>
        </w:rPr>
      </w:pPr>
    </w:p>
    <w:p>
      <w:pPr>
        <w:jc w:val="both"/>
        <w:ind w:left="580" w:right="60" w:hanging="247"/>
        <w:spacing w:after="0" w:line="245" w:lineRule="auto"/>
        <w:tabs>
          <w:tab w:leader="none" w:pos="580" w:val="left"/>
        </w:tabs>
        <w:numPr>
          <w:ilvl w:val="1"/>
          <w:numId w:val="75"/>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9"/>
          <w:szCs w:val="19"/>
          <w:color w:val="auto"/>
        </w:rPr>
      </w:pPr>
    </w:p>
    <w:p>
      <w:pPr>
        <w:ind w:left="580" w:right="180" w:hanging="258"/>
        <w:spacing w:after="0" w:line="245" w:lineRule="auto"/>
        <w:tabs>
          <w:tab w:leader="none" w:pos="580" w:val="left"/>
        </w:tabs>
        <w:numPr>
          <w:ilvl w:val="1"/>
          <w:numId w:val="7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9"/>
          <w:szCs w:val="19"/>
          <w:color w:val="auto"/>
        </w:rPr>
      </w:pPr>
    </w:p>
    <w:p>
      <w:pPr>
        <w:ind w:left="340" w:right="40" w:hanging="264"/>
        <w:spacing w:after="0" w:line="245" w:lineRule="auto"/>
        <w:tabs>
          <w:tab w:leader="none" w:pos="3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9"/>
          <w:szCs w:val="19"/>
          <w:color w:val="auto"/>
        </w:rPr>
      </w:pPr>
    </w:p>
    <w:p>
      <w:pPr>
        <w:ind w:left="580" w:right="60" w:hanging="258"/>
        <w:spacing w:after="0" w:line="245" w:lineRule="auto"/>
        <w:tabs>
          <w:tab w:leader="none" w:pos="580" w:val="left"/>
        </w:tabs>
        <w:numPr>
          <w:ilvl w:val="1"/>
          <w:numId w:val="75"/>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9"/>
          <w:szCs w:val="19"/>
          <w:color w:val="auto"/>
        </w:rPr>
      </w:pPr>
    </w:p>
    <w:p>
      <w:pPr>
        <w:ind w:left="580" w:right="980" w:hanging="258"/>
        <w:spacing w:after="0" w:line="252" w:lineRule="auto"/>
        <w:tabs>
          <w:tab w:leader="none" w:pos="580" w:val="left"/>
        </w:tabs>
        <w:numPr>
          <w:ilvl w:val="1"/>
          <w:numId w:val="75"/>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tabs>
          <w:tab w:leader="none" w:pos="6300" w:val="left"/>
          <w:tab w:leader="none" w:pos="7200" w:val="left"/>
        </w:tabs>
        <w:rPr>
          <w:sz w:val="20"/>
          <w:szCs w:val="20"/>
          <w:color w:val="auto"/>
        </w:rPr>
      </w:pPr>
      <w:r>
        <w:rPr>
          <w:rFonts w:ascii="Arial" w:cs="Arial" w:eastAsia="Arial" w:hAnsi="Arial"/>
          <w:sz w:val="19"/>
          <w:szCs w:val="19"/>
          <w:color w:val="auto"/>
        </w:rPr>
        <w:t>Date: February 8, 2019</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Darius Adamczyk</w:t>
      </w:r>
    </w:p>
    <w:p>
      <w:pPr>
        <w:spacing w:after="0" w:line="22"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Darius Adamczyk</w:t>
      </w:r>
    </w:p>
    <w:p>
      <w:pPr>
        <w:ind w:left="7220"/>
        <w:spacing w:after="0"/>
        <w:rPr>
          <w:sz w:val="20"/>
          <w:szCs w:val="20"/>
          <w:color w:val="auto"/>
        </w:rPr>
      </w:pPr>
      <w:r>
        <w:rPr>
          <w:rFonts w:ascii="Arial" w:cs="Arial" w:eastAsia="Arial" w:hAnsi="Arial"/>
          <w:sz w:val="19"/>
          <w:szCs w:val="19"/>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9"/>
          <w:szCs w:val="19"/>
          <w:b w:val="1"/>
          <w:bCs w:val="1"/>
          <w:color w:val="auto"/>
        </w:rPr>
        <w:t>EXHIBIT 31.2</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302</w:t>
      </w:r>
    </w:p>
    <w:p>
      <w:pPr>
        <w:jc w:val="center"/>
        <w:spacing w:after="0"/>
        <w:rPr>
          <w:sz w:val="20"/>
          <w:szCs w:val="20"/>
          <w:color w:val="auto"/>
        </w:rPr>
      </w:pPr>
      <w:r>
        <w:rPr>
          <w:rFonts w:ascii="Arial" w:cs="Arial" w:eastAsia="Arial" w:hAnsi="Arial"/>
          <w:sz w:val="19"/>
          <w:szCs w:val="19"/>
          <w:b w:val="1"/>
          <w:bCs w:val="1"/>
          <w:color w:val="auto"/>
        </w:rPr>
        <w:t>OF THE SARBANES-OXLEY ACT OF 2002</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I, Gregory P. Lewis, certify that:</w:t>
      </w:r>
    </w:p>
    <w:p>
      <w:pPr>
        <w:spacing w:after="0" w:line="92" w:lineRule="exact"/>
        <w:rPr>
          <w:sz w:val="20"/>
          <w:szCs w:val="20"/>
          <w:color w:val="auto"/>
        </w:rPr>
      </w:pPr>
    </w:p>
    <w:p>
      <w:pPr>
        <w:ind w:left="340" w:hanging="264"/>
        <w:spacing w:after="0"/>
        <w:tabs>
          <w:tab w:leader="none" w:pos="3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Honeywell International Inc.;</w:t>
      </w:r>
    </w:p>
    <w:p>
      <w:pPr>
        <w:spacing w:after="0" w:line="78" w:lineRule="exact"/>
        <w:rPr>
          <w:rFonts w:ascii="Arial" w:cs="Arial" w:eastAsia="Arial" w:hAnsi="Arial"/>
          <w:sz w:val="19"/>
          <w:szCs w:val="19"/>
          <w:color w:val="auto"/>
        </w:rPr>
      </w:pPr>
    </w:p>
    <w:p>
      <w:pPr>
        <w:ind w:left="340" w:right="160" w:hanging="264"/>
        <w:spacing w:after="0" w:line="245" w:lineRule="auto"/>
        <w:tabs>
          <w:tab w:leader="none" w:pos="3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9"/>
          <w:szCs w:val="19"/>
          <w:color w:val="auto"/>
        </w:rPr>
      </w:pPr>
    </w:p>
    <w:p>
      <w:pPr>
        <w:ind w:left="340" w:right="560" w:hanging="264"/>
        <w:spacing w:after="0" w:line="245" w:lineRule="auto"/>
        <w:tabs>
          <w:tab w:leader="none" w:pos="3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9"/>
          <w:szCs w:val="19"/>
          <w:color w:val="auto"/>
        </w:rPr>
      </w:pPr>
    </w:p>
    <w:p>
      <w:pPr>
        <w:ind w:left="340" w:right="40" w:hanging="264"/>
        <w:spacing w:after="0" w:line="245" w:lineRule="auto"/>
        <w:tabs>
          <w:tab w:leader="none" w:pos="3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9"/>
          <w:szCs w:val="19"/>
          <w:color w:val="auto"/>
        </w:rPr>
      </w:pPr>
    </w:p>
    <w:p>
      <w:pPr>
        <w:ind w:left="580" w:right="160" w:hanging="258"/>
        <w:spacing w:after="0" w:line="245" w:lineRule="auto"/>
        <w:tabs>
          <w:tab w:leader="none" w:pos="580" w:val="left"/>
        </w:tabs>
        <w:numPr>
          <w:ilvl w:val="1"/>
          <w:numId w:val="76"/>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9"/>
          <w:szCs w:val="19"/>
          <w:color w:val="auto"/>
        </w:rPr>
      </w:pPr>
    </w:p>
    <w:p>
      <w:pPr>
        <w:ind w:left="580" w:right="140" w:hanging="258"/>
        <w:spacing w:after="0" w:line="245" w:lineRule="auto"/>
        <w:tabs>
          <w:tab w:leader="none" w:pos="580" w:val="left"/>
        </w:tabs>
        <w:numPr>
          <w:ilvl w:val="1"/>
          <w:numId w:val="7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9"/>
          <w:szCs w:val="19"/>
          <w:color w:val="auto"/>
        </w:rPr>
      </w:pPr>
    </w:p>
    <w:p>
      <w:pPr>
        <w:jc w:val="both"/>
        <w:ind w:left="580" w:right="60" w:hanging="247"/>
        <w:spacing w:after="0" w:line="245" w:lineRule="auto"/>
        <w:tabs>
          <w:tab w:leader="none" w:pos="580" w:val="left"/>
        </w:tabs>
        <w:numPr>
          <w:ilvl w:val="1"/>
          <w:numId w:val="76"/>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9"/>
          <w:szCs w:val="19"/>
          <w:color w:val="auto"/>
        </w:rPr>
      </w:pPr>
    </w:p>
    <w:p>
      <w:pPr>
        <w:ind w:left="580" w:right="180" w:hanging="258"/>
        <w:spacing w:after="0" w:line="245" w:lineRule="auto"/>
        <w:tabs>
          <w:tab w:leader="none" w:pos="580" w:val="left"/>
        </w:tabs>
        <w:numPr>
          <w:ilvl w:val="1"/>
          <w:numId w:val="76"/>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9"/>
          <w:szCs w:val="19"/>
          <w:color w:val="auto"/>
        </w:rPr>
      </w:pPr>
    </w:p>
    <w:p>
      <w:pPr>
        <w:ind w:left="340" w:right="40" w:hanging="264"/>
        <w:spacing w:after="0" w:line="245" w:lineRule="auto"/>
        <w:tabs>
          <w:tab w:leader="none" w:pos="3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9"/>
          <w:szCs w:val="19"/>
          <w:color w:val="auto"/>
        </w:rPr>
      </w:pPr>
    </w:p>
    <w:p>
      <w:pPr>
        <w:ind w:left="580" w:right="60" w:hanging="258"/>
        <w:spacing w:after="0" w:line="245" w:lineRule="auto"/>
        <w:tabs>
          <w:tab w:leader="none" w:pos="580" w:val="left"/>
        </w:tabs>
        <w:numPr>
          <w:ilvl w:val="1"/>
          <w:numId w:val="76"/>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9"/>
          <w:szCs w:val="19"/>
          <w:color w:val="auto"/>
        </w:rPr>
      </w:pPr>
    </w:p>
    <w:p>
      <w:pPr>
        <w:ind w:left="580" w:right="980" w:hanging="258"/>
        <w:spacing w:after="0" w:line="252" w:lineRule="auto"/>
        <w:tabs>
          <w:tab w:leader="none" w:pos="580" w:val="left"/>
        </w:tabs>
        <w:numPr>
          <w:ilvl w:val="1"/>
          <w:numId w:val="76"/>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tabs>
          <w:tab w:leader="none" w:pos="6300" w:val="left"/>
          <w:tab w:leader="none" w:pos="7200" w:val="left"/>
        </w:tabs>
        <w:rPr>
          <w:sz w:val="20"/>
          <w:szCs w:val="20"/>
          <w:color w:val="auto"/>
        </w:rPr>
      </w:pPr>
      <w:r>
        <w:rPr>
          <w:rFonts w:ascii="Arial" w:cs="Arial" w:eastAsia="Arial" w:hAnsi="Arial"/>
          <w:sz w:val="19"/>
          <w:szCs w:val="19"/>
          <w:color w:val="auto"/>
        </w:rPr>
        <w:t>Date: February 8, 2019</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Gregory P. Lewis</w:t>
      </w:r>
    </w:p>
    <w:p>
      <w:pPr>
        <w:spacing w:after="0" w:line="22"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Gregory P. Lewis</w:t>
      </w:r>
    </w:p>
    <w:p>
      <w:pPr>
        <w:ind w:left="7220"/>
        <w:spacing w:after="0"/>
        <w:rPr>
          <w:sz w:val="20"/>
          <w:szCs w:val="20"/>
          <w:color w:val="auto"/>
        </w:rPr>
      </w:pPr>
      <w:r>
        <w:rPr>
          <w:rFonts w:ascii="Arial" w:cs="Arial" w:eastAsia="Arial" w:hAnsi="Arial"/>
          <w:sz w:val="19"/>
          <w:szCs w:val="19"/>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9"/>
          <w:szCs w:val="19"/>
          <w:b w:val="1"/>
          <w:bCs w:val="1"/>
          <w:color w:val="auto"/>
        </w:rPr>
        <w:t>EXHIBIT 32.1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jc w:val="center"/>
        <w:spacing w:after="0" w:line="237" w:lineRule="auto"/>
        <w:rPr>
          <w:sz w:val="20"/>
          <w:szCs w:val="20"/>
          <w:color w:val="auto"/>
        </w:rPr>
      </w:pPr>
      <w:r>
        <w:rPr>
          <w:rFonts w:ascii="Arial" w:cs="Arial" w:eastAsia="Arial" w:hAnsi="Arial"/>
          <w:sz w:val="19"/>
          <w:szCs w:val="19"/>
          <w:b w:val="1"/>
          <w:bCs w:val="1"/>
          <w:color w:val="auto"/>
        </w:rPr>
        <w:t>AS ADOPTED PURSUANT TO</w:t>
      </w: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106" w:lineRule="exact"/>
        <w:rPr>
          <w:sz w:val="20"/>
          <w:szCs w:val="20"/>
          <w:color w:val="auto"/>
        </w:rPr>
      </w:pPr>
    </w:p>
    <w:p>
      <w:pPr>
        <w:ind w:right="120"/>
        <w:spacing w:after="0" w:line="242" w:lineRule="auto"/>
        <w:rPr>
          <w:sz w:val="20"/>
          <w:szCs w:val="20"/>
          <w:color w:val="auto"/>
        </w:rPr>
      </w:pPr>
      <w:r>
        <w:rPr>
          <w:rFonts w:ascii="Arial" w:cs="Arial" w:eastAsia="Arial" w:hAnsi="Arial"/>
          <w:sz w:val="19"/>
          <w:szCs w:val="19"/>
          <w:color w:val="auto"/>
        </w:rPr>
        <w:t>In connection with the Annual Report of Honeywell International Inc. (the Company) on Form 10-K for the period ending December 31, 2018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78" w:lineRule="exact"/>
        <w:rPr>
          <w:sz w:val="20"/>
          <w:szCs w:val="20"/>
          <w:color w:val="auto"/>
        </w:rPr>
      </w:pPr>
    </w:p>
    <w:p>
      <w:pPr>
        <w:ind w:left="760" w:hanging="341"/>
        <w:spacing w:after="0"/>
        <w:tabs>
          <w:tab w:leader="none" w:pos="76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78" w:lineRule="exact"/>
        <w:rPr>
          <w:rFonts w:ascii="Arial" w:cs="Arial" w:eastAsia="Arial" w:hAnsi="Arial"/>
          <w:sz w:val="19"/>
          <w:szCs w:val="19"/>
          <w:color w:val="auto"/>
        </w:rPr>
      </w:pPr>
    </w:p>
    <w:p>
      <w:pPr>
        <w:ind w:left="760" w:right="780" w:hanging="341"/>
        <w:spacing w:after="0" w:line="253" w:lineRule="auto"/>
        <w:tabs>
          <w:tab w:leader="none" w:pos="76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12" w:lineRule="exact"/>
        <w:rPr>
          <w:sz w:val="20"/>
          <w:szCs w:val="20"/>
          <w:color w:val="auto"/>
        </w:rPr>
      </w:pPr>
    </w:p>
    <w:p>
      <w:pPr>
        <w:spacing w:after="0"/>
        <w:tabs>
          <w:tab w:leader="none" w:pos="6300" w:val="left"/>
          <w:tab w:leader="none" w:pos="7200" w:val="left"/>
        </w:tabs>
        <w:rPr>
          <w:sz w:val="20"/>
          <w:szCs w:val="20"/>
          <w:color w:val="auto"/>
        </w:rPr>
      </w:pPr>
      <w:r>
        <w:rPr>
          <w:rFonts w:ascii="Arial" w:cs="Arial" w:eastAsia="Arial" w:hAnsi="Arial"/>
          <w:sz w:val="19"/>
          <w:szCs w:val="19"/>
          <w:color w:val="auto"/>
        </w:rPr>
        <w:t>Date: February 8, 2019</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Darius Adamczyk</w:t>
      </w:r>
    </w:p>
    <w:p>
      <w:pPr>
        <w:spacing w:after="0" w:line="22"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Darius Adamczyk</w:t>
      </w:r>
    </w:p>
    <w:p>
      <w:pPr>
        <w:ind w:left="7220"/>
        <w:spacing w:after="0"/>
        <w:rPr>
          <w:sz w:val="20"/>
          <w:szCs w:val="20"/>
          <w:color w:val="auto"/>
        </w:rPr>
      </w:pPr>
      <w:r>
        <w:rPr>
          <w:rFonts w:ascii="Arial" w:cs="Arial" w:eastAsia="Arial" w:hAnsi="Arial"/>
          <w:sz w:val="19"/>
          <w:szCs w:val="19"/>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9"/>
          <w:szCs w:val="19"/>
          <w:b w:val="1"/>
          <w:bCs w:val="1"/>
          <w:color w:val="auto"/>
        </w:rPr>
        <w:t>EXHIBIT 32.2</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jc w:val="center"/>
        <w:spacing w:after="0" w:line="237" w:lineRule="auto"/>
        <w:rPr>
          <w:sz w:val="20"/>
          <w:szCs w:val="20"/>
          <w:color w:val="auto"/>
        </w:rPr>
      </w:pPr>
      <w:r>
        <w:rPr>
          <w:rFonts w:ascii="Arial" w:cs="Arial" w:eastAsia="Arial" w:hAnsi="Arial"/>
          <w:sz w:val="19"/>
          <w:szCs w:val="19"/>
          <w:b w:val="1"/>
          <w:bCs w:val="1"/>
          <w:color w:val="auto"/>
        </w:rPr>
        <w:t>AS ADOPTED PURSUANT TO</w:t>
      </w: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106" w:lineRule="exact"/>
        <w:rPr>
          <w:sz w:val="20"/>
          <w:szCs w:val="20"/>
          <w:color w:val="auto"/>
        </w:rPr>
      </w:pPr>
    </w:p>
    <w:p>
      <w:pPr>
        <w:ind w:right="240"/>
        <w:spacing w:after="0" w:line="242" w:lineRule="auto"/>
        <w:rPr>
          <w:sz w:val="20"/>
          <w:szCs w:val="20"/>
          <w:color w:val="auto"/>
        </w:rPr>
      </w:pPr>
      <w:r>
        <w:rPr>
          <w:rFonts w:ascii="Arial" w:cs="Arial" w:eastAsia="Arial" w:hAnsi="Arial"/>
          <w:sz w:val="19"/>
          <w:szCs w:val="19"/>
          <w:color w:val="auto"/>
        </w:rPr>
        <w:t>In connection with the Annual Report of Honeywell International Inc. (the Company) on Form 10-K for the period ending December 31, 2018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78" w:lineRule="exact"/>
        <w:rPr>
          <w:sz w:val="20"/>
          <w:szCs w:val="20"/>
          <w:color w:val="auto"/>
        </w:rPr>
      </w:pPr>
    </w:p>
    <w:p>
      <w:pPr>
        <w:ind w:left="760" w:hanging="341"/>
        <w:spacing w:after="0"/>
        <w:tabs>
          <w:tab w:leader="none" w:pos="7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78" w:lineRule="exact"/>
        <w:rPr>
          <w:rFonts w:ascii="Arial" w:cs="Arial" w:eastAsia="Arial" w:hAnsi="Arial"/>
          <w:sz w:val="19"/>
          <w:szCs w:val="19"/>
          <w:color w:val="auto"/>
        </w:rPr>
      </w:pPr>
    </w:p>
    <w:p>
      <w:pPr>
        <w:ind w:left="760" w:right="780" w:hanging="341"/>
        <w:spacing w:after="0" w:line="253" w:lineRule="auto"/>
        <w:tabs>
          <w:tab w:leader="none" w:pos="7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12" w:lineRule="exact"/>
        <w:rPr>
          <w:sz w:val="20"/>
          <w:szCs w:val="20"/>
          <w:color w:val="auto"/>
        </w:rPr>
      </w:pPr>
    </w:p>
    <w:p>
      <w:pPr>
        <w:spacing w:after="0"/>
        <w:tabs>
          <w:tab w:leader="none" w:pos="6300" w:val="left"/>
          <w:tab w:leader="none" w:pos="7200" w:val="left"/>
        </w:tabs>
        <w:rPr>
          <w:sz w:val="20"/>
          <w:szCs w:val="20"/>
          <w:color w:val="auto"/>
        </w:rPr>
      </w:pPr>
      <w:r>
        <w:rPr>
          <w:rFonts w:ascii="Arial" w:cs="Arial" w:eastAsia="Arial" w:hAnsi="Arial"/>
          <w:sz w:val="19"/>
          <w:szCs w:val="19"/>
          <w:color w:val="auto"/>
        </w:rPr>
        <w:t>Date: February 8, 2019</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Gregory P. Lewis</w:t>
      </w:r>
    </w:p>
    <w:p>
      <w:pPr>
        <w:spacing w:after="0" w:line="22"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Gregory P. Lewis</w:t>
      </w:r>
    </w:p>
    <w:p>
      <w:pPr>
        <w:ind w:left="7220"/>
        <w:spacing w:after="0"/>
        <w:rPr>
          <w:sz w:val="20"/>
          <w:szCs w:val="20"/>
          <w:color w:val="auto"/>
        </w:rPr>
      </w:pPr>
      <w:r>
        <w:rPr>
          <w:rFonts w:ascii="Arial" w:cs="Arial" w:eastAsia="Arial" w:hAnsi="Arial"/>
          <w:sz w:val="19"/>
          <w:szCs w:val="19"/>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lowerLetter"/>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1)"/>
      <w:numFmt w:val="decimal"/>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1)"/>
      <w:numFmt w:val="decimal"/>
      <w:start w:val="1"/>
    </w:lvl>
  </w:abstractNum>
  <w:abstractNum w:abstractNumId="19">
    <w:nsid w:val="684A481A"/>
    <w:multiLevelType w:val="hybridMultilevel"/>
    <w:lvl w:ilvl="0">
      <w:lvlJc w:val="left"/>
      <w:lvlText w:val="(%1)"/>
      <w:numFmt w:val="decimal"/>
      <w:start w:val="5"/>
    </w:lvl>
  </w:abstractNum>
  <w:abstractNum w:abstractNumId="20">
    <w:nsid w:val="579478FE"/>
    <w:multiLevelType w:val="hybridMultilevel"/>
    <w:lvl w:ilvl="0">
      <w:lvlJc w:val="left"/>
      <w:lvlText w:val="(%1)"/>
      <w:numFmt w:val="decimal"/>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lowerRoman"/>
      <w:start w:val="2"/>
    </w:lvl>
  </w:abstractNum>
  <w:abstractNum w:abstractNumId="25">
    <w:nsid w:val="75C6C33A"/>
    <w:multiLevelType w:val="hybridMultilevel"/>
    <w:lvl w:ilvl="0">
      <w:lvlJc w:val="left"/>
      <w:lvlText w:val="(%1)"/>
      <w:numFmt w:val="lowerRoman"/>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amp;"/>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1)"/>
      <w:numFmt w:val="decimal"/>
      <w:start w:val="1"/>
    </w:lvl>
    <w:lvl w:ilvl="1">
      <w:lvlJc w:val="left"/>
      <w:lvlText w:val="•"/>
      <w:numFmt w:val="bullet"/>
      <w:start w:val="1"/>
    </w:lvl>
  </w:abstractNum>
  <w:abstractNum w:abstractNumId="33">
    <w:nsid w:val="275AC794"/>
    <w:multiLevelType w:val="hybridMultilevel"/>
    <w:lvl w:ilvl="0">
      <w:lvlJc w:val="left"/>
      <w:lvlText w:val="(%1)"/>
      <w:numFmt w:val="decimal"/>
      <w:start w:val="4"/>
    </w:lvl>
  </w:abstractNum>
  <w:abstractNum w:abstractNumId="34">
    <w:nsid w:val="39386575"/>
    <w:multiLevelType w:val="hybridMultilevel"/>
    <w:lvl w:ilvl="0">
      <w:lvlJc w:val="left"/>
      <w:lvlText w:val="(%1)"/>
      <w:numFmt w:val="decimal"/>
      <w:start w:val="5"/>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1."/>
      <w:numFmt w:val="decimal"/>
      <w:start w:val="2"/>
    </w:lvl>
  </w:abstractNum>
  <w:abstractNum w:abstractNumId="38">
    <w:nsid w:val="47398C89"/>
    <w:multiLevelType w:val="hybridMultilevel"/>
    <w:lvl w:ilvl="0">
      <w:lvlJc w:val="left"/>
      <w:lvlText w:val="(%1)"/>
      <w:numFmt w:val="lowerRoman"/>
      <w:start w:val="3"/>
    </w:lvl>
  </w:abstractNum>
  <w:abstractNum w:abstractNumId="39">
    <w:nsid w:val="354FE9F9"/>
    <w:multiLevelType w:val="hybridMultilevel"/>
    <w:lvl w:ilvl="0">
      <w:lvlJc w:val="left"/>
      <w:lvlText w:val="%1."/>
      <w:numFmt w:val="decimal"/>
      <w:start w:val="3"/>
    </w:lvl>
  </w:abstractNum>
  <w:abstractNum w:abstractNumId="40">
    <w:nsid w:val="15B5AF5C"/>
    <w:multiLevelType w:val="hybridMultilevel"/>
    <w:lvl w:ilvl="0">
      <w:lvlJc w:val="left"/>
      <w:lvlText w:val="%1."/>
      <w:numFmt w:val="decimal"/>
      <w:start w:val="4"/>
    </w:lvl>
  </w:abstractNum>
  <w:abstractNum w:abstractNumId="41">
    <w:nsid w:val="741226BB"/>
    <w:multiLevelType w:val="hybridMultilevel"/>
    <w:lvl w:ilvl="0">
      <w:lvlJc w:val="left"/>
      <w:lvlText w:val="%1."/>
      <w:numFmt w:val="decimal"/>
      <w:start w:val="5"/>
    </w:lvl>
  </w:abstractNum>
  <w:abstractNum w:abstractNumId="42">
    <w:nsid w:val="D34B6A8"/>
    <w:multiLevelType w:val="hybridMultilevel"/>
    <w:lvl w:ilvl="0">
      <w:lvlJc w:val="left"/>
      <w:lvlText w:val="%1."/>
      <w:numFmt w:val="decimal"/>
      <w:start w:val="6"/>
    </w:lvl>
  </w:abstractNum>
  <w:abstractNum w:abstractNumId="43">
    <w:nsid w:val="10233C99"/>
    <w:multiLevelType w:val="hybridMultilevel"/>
    <w:lvl w:ilvl="0">
      <w:lvlJc w:val="left"/>
      <w:lvlText w:val="%1."/>
      <w:numFmt w:val="decimal"/>
      <w:start w:val="7"/>
    </w:lvl>
  </w:abstractNum>
  <w:abstractNum w:abstractNumId="44">
    <w:nsid w:val="3F6AB60F"/>
    <w:multiLevelType w:val="hybridMultilevel"/>
    <w:lvl w:ilvl="0">
      <w:lvlJc w:val="left"/>
      <w:lvlText w:val="%1."/>
      <w:numFmt w:val="decimal"/>
      <w:start w:val="8"/>
    </w:lvl>
  </w:abstractNum>
  <w:abstractNum w:abstractNumId="45">
    <w:nsid w:val="61574095"/>
    <w:multiLevelType w:val="hybridMultilevel"/>
    <w:lvl w:ilvl="0">
      <w:lvlJc w:val="left"/>
      <w:lvlText w:val="%1."/>
      <w:numFmt w:val="decimal"/>
      <w:start w:val="9"/>
    </w:lvl>
  </w:abstractNum>
  <w:abstractNum w:abstractNumId="46">
    <w:nsid w:val="7E0C57B1"/>
    <w:multiLevelType w:val="hybridMultilevel"/>
    <w:lvl w:ilvl="0">
      <w:lvlJc w:val="left"/>
      <w:lvlText w:val="%1."/>
      <w:numFmt w:val="decimal"/>
      <w:start w:val="10"/>
    </w:lvl>
  </w:abstractNum>
  <w:abstractNum w:abstractNumId="47">
    <w:nsid w:val="77AE35EB"/>
    <w:multiLevelType w:val="hybridMultilevel"/>
    <w:lvl w:ilvl="0">
      <w:lvlJc w:val="left"/>
      <w:lvlText w:val="%1."/>
      <w:numFmt w:val="decimal"/>
      <w:start w:val="11"/>
    </w:lvl>
  </w:abstractNum>
  <w:abstractNum w:abstractNumId="48">
    <w:nsid w:val="579BE4F1"/>
    <w:multiLevelType w:val="hybridMultilevel"/>
    <w:lvl w:ilvl="0">
      <w:lvlJc w:val="left"/>
      <w:lvlText w:val="%1."/>
      <w:numFmt w:val="decimal"/>
      <w:start w:val="12"/>
    </w:lvl>
  </w:abstractNum>
  <w:abstractNum w:abstractNumId="49">
    <w:nsid w:val="310C50B3"/>
    <w:multiLevelType w:val="hybridMultilevel"/>
    <w:lvl w:ilvl="0">
      <w:lvlJc w:val="left"/>
      <w:lvlText w:val="%1."/>
      <w:numFmt w:val="decimal"/>
      <w:start w:val="13"/>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1."/>
      <w:numFmt w:val="decimal"/>
      <w:start w:val="2"/>
    </w:lvl>
  </w:abstractNum>
  <w:abstractNum w:abstractNumId="52">
    <w:nsid w:val="25A70BF7"/>
    <w:multiLevelType w:val="hybridMultilevel"/>
    <w:lvl w:ilvl="0">
      <w:lvlJc w:val="left"/>
      <w:lvlText w:val="%1."/>
      <w:numFmt w:val="decimal"/>
      <w:start w:val="3"/>
    </w:lvl>
  </w:abstractNum>
  <w:abstractNum w:abstractNumId="53">
    <w:nsid w:val="1DBABF00"/>
    <w:multiLevelType w:val="hybridMultilevel"/>
    <w:lvl w:ilvl="0">
      <w:lvlJc w:val="left"/>
      <w:lvlText w:val="%1"/>
      <w:numFmt w:val="decimal"/>
      <w:start w:val="1"/>
    </w:lvl>
    <w:lvl w:ilvl="1">
      <w:lvlJc w:val="left"/>
      <w:lvlText w:val="%2."/>
      <w:numFmt w:val="decimal"/>
      <w:start w:val="1"/>
    </w:lvl>
  </w:abstractNum>
  <w:abstractNum w:abstractNumId="54">
    <w:nsid w:val="4AD084E9"/>
    <w:multiLevelType w:val="hybridMultilevel"/>
    <w:lvl w:ilvl="0">
      <w:lvlJc w:val="left"/>
      <w:lvlText w:val="%1."/>
      <w:numFmt w:val="decimal"/>
      <w:start w:val="4"/>
    </w:lvl>
    <w:lvl w:ilvl="1">
      <w:lvlJc w:val="left"/>
      <w:lvlText w:val="%2"/>
      <w:numFmt w:val="decimal"/>
      <w:start w:val="1"/>
    </w:lvl>
  </w:abstractNum>
  <w:abstractNum w:abstractNumId="55">
    <w:nsid w:val="1F48EAA1"/>
    <w:multiLevelType w:val="hybridMultilevel"/>
    <w:lvl w:ilvl="0">
      <w:lvlJc w:val="left"/>
      <w:lvlText w:val="%1."/>
      <w:numFmt w:val="decimal"/>
      <w:start w:val="5"/>
    </w:lvl>
  </w:abstractNum>
  <w:abstractNum w:abstractNumId="56">
    <w:nsid w:val="1381823A"/>
    <w:multiLevelType w:val="hybridMultilevel"/>
    <w:lvl w:ilvl="0">
      <w:lvlJc w:val="left"/>
      <w:lvlText w:val="%1."/>
      <w:numFmt w:val="decimal"/>
      <w:start w:val="6"/>
    </w:lvl>
  </w:abstractNum>
  <w:abstractNum w:abstractNumId="57">
    <w:nsid w:val="5DB70AE5"/>
    <w:multiLevelType w:val="hybridMultilevel"/>
    <w:lvl w:ilvl="0">
      <w:lvlJc w:val="left"/>
      <w:lvlText w:val="%1."/>
      <w:numFmt w:val="decimal"/>
      <w:start w:val="7"/>
    </w:lvl>
  </w:abstractNum>
  <w:abstractNum w:abstractNumId="58">
    <w:nsid w:val="100F8FCA"/>
    <w:multiLevelType w:val="hybridMultilevel"/>
    <w:lvl w:ilvl="0">
      <w:lvlJc w:val="left"/>
      <w:lvlText w:val="%1."/>
      <w:numFmt w:val="decimal"/>
      <w:start w:val="8"/>
    </w:lvl>
  </w:abstractNum>
  <w:abstractNum w:abstractNumId="59">
    <w:nsid w:val="6590700B"/>
    <w:multiLevelType w:val="hybridMultilevel"/>
    <w:lvl w:ilvl="0">
      <w:lvlJc w:val="left"/>
      <w:lvlText w:val="%1."/>
      <w:numFmt w:val="decimal"/>
      <w:start w:val="9"/>
    </w:lvl>
  </w:abstractNum>
  <w:abstractNum w:abstractNumId="60">
    <w:nsid w:val="15014ACB"/>
    <w:multiLevelType w:val="hybridMultilevel"/>
    <w:lvl w:ilvl="0">
      <w:lvlJc w:val="left"/>
      <w:lvlText w:val="%1."/>
      <w:numFmt w:val="decimal"/>
      <w:start w:val="10"/>
    </w:lvl>
  </w:abstractNum>
  <w:abstractNum w:abstractNumId="61">
    <w:nsid w:val="5F5E7FD0"/>
    <w:multiLevelType w:val="hybridMultilevel"/>
    <w:lvl w:ilvl="0">
      <w:lvlJc w:val="left"/>
      <w:lvlText w:val="%1."/>
      <w:numFmt w:val="decimal"/>
      <w:start w:val="11"/>
    </w:lvl>
  </w:abstractNum>
  <w:abstractNum w:abstractNumId="62">
    <w:nsid w:val="98A3148"/>
    <w:multiLevelType w:val="hybridMultilevel"/>
    <w:lvl w:ilvl="0">
      <w:lvlJc w:val="left"/>
      <w:lvlText w:val="%1."/>
      <w:numFmt w:val="decimal"/>
      <w:start w:val="12"/>
    </w:lvl>
  </w:abstractNum>
  <w:abstractNum w:abstractNumId="63">
    <w:nsid w:val="799D0247"/>
    <w:multiLevelType w:val="hybridMultilevel"/>
    <w:lvl w:ilvl="0">
      <w:lvlJc w:val="left"/>
      <w:lvlText w:val="%1."/>
      <w:numFmt w:val="decimal"/>
      <w:start w:val="13"/>
    </w:lvl>
  </w:abstractNum>
  <w:abstractNum w:abstractNumId="64">
    <w:nsid w:val="6B94764"/>
    <w:multiLevelType w:val="hybridMultilevel"/>
    <w:lvl w:ilvl="0">
      <w:lvlJc w:val="left"/>
      <w:lvlText w:val="%1."/>
      <w:numFmt w:val="decimal"/>
      <w:start w:val="14"/>
    </w:lvl>
  </w:abstractNum>
  <w:abstractNum w:abstractNumId="65">
    <w:nsid w:val="42C296BD"/>
    <w:multiLevelType w:val="hybridMultilevel"/>
    <w:lvl w:ilvl="0">
      <w:lvlJc w:val="left"/>
      <w:lvlText w:val="%1."/>
      <w:numFmt w:val="decimal"/>
      <w:start w:val="15"/>
    </w:lvl>
  </w:abstractNum>
  <w:abstractNum w:abstractNumId="66">
    <w:nsid w:val="168E121F"/>
    <w:multiLevelType w:val="hybridMultilevel"/>
    <w:lvl w:ilvl="0">
      <w:lvlJc w:val="left"/>
      <w:lvlText w:val="%1."/>
      <w:numFmt w:val="decimal"/>
      <w:start w:val="16"/>
    </w:lvl>
  </w:abstractNum>
  <w:abstractNum w:abstractNumId="67">
    <w:nsid w:val="1EBA5D23"/>
    <w:multiLevelType w:val="hybridMultilevel"/>
    <w:lvl w:ilvl="0">
      <w:lvlJc w:val="left"/>
      <w:lvlText w:val="%1."/>
      <w:numFmt w:val="decimal"/>
      <w:start w:val="17"/>
    </w:lvl>
  </w:abstractNum>
  <w:abstractNum w:abstractNumId="68">
    <w:nsid w:val="661E3F1E"/>
    <w:multiLevelType w:val="hybridMultilevel"/>
    <w:lvl w:ilvl="0">
      <w:lvlJc w:val="left"/>
      <w:lvlText w:val="%1."/>
      <w:numFmt w:val="decimal"/>
      <w:start w:val="18"/>
    </w:lvl>
  </w:abstractNum>
  <w:abstractNum w:abstractNumId="69">
    <w:nsid w:val="5DC79EA8"/>
    <w:multiLevelType w:val="hybridMultilevel"/>
    <w:lvl w:ilvl="0">
      <w:lvlJc w:val="left"/>
      <w:lvlText w:val="%1."/>
      <w:numFmt w:val="decimal"/>
      <w:start w:val="19"/>
    </w:lvl>
  </w:abstractNum>
  <w:abstractNum w:abstractNumId="70">
    <w:nsid w:val="540A471C"/>
    <w:multiLevelType w:val="hybridMultilevel"/>
    <w:lvl w:ilvl="0">
      <w:lvlJc w:val="left"/>
      <w:lvlText w:val="(%1)"/>
      <w:numFmt w:val="lowerRoman"/>
      <w:start w:val="1"/>
    </w:lvl>
  </w:abstractNum>
  <w:abstractNum w:abstractNumId="71">
    <w:nsid w:val="7BD3EE7B"/>
    <w:multiLevelType w:val="hybridMultilevel"/>
    <w:lvl w:ilvl="0">
      <w:lvlJc w:val="left"/>
      <w:lvlText w:val="(%1)"/>
      <w:numFmt w:val="lowerRoman"/>
      <w:start w:val="1"/>
    </w:lvl>
  </w:abstractNum>
  <w:abstractNum w:abstractNumId="72">
    <w:nsid w:val="51D9C564"/>
    <w:multiLevelType w:val="hybridMultilevel"/>
    <w:lvl w:ilvl="0">
      <w:lvlJc w:val="left"/>
      <w:lvlText w:val="(%1)"/>
      <w:numFmt w:val="lowerRoman"/>
      <w:start w:val="1"/>
    </w:lvl>
  </w:abstractNum>
  <w:abstractNum w:abstractNumId="73">
    <w:nsid w:val="613EFDC5"/>
    <w:multiLevelType w:val="hybridMultilevel"/>
    <w:lvl w:ilvl="0">
      <w:lvlJc w:val="left"/>
      <w:lvlText w:val="(%1)"/>
      <w:numFmt w:val="lowerRoman"/>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213" Type="http://schemas.openxmlformats.org/officeDocument/2006/relationships/image" Target="media/image147.png"/><Relationship Id="rId214" Type="http://schemas.openxmlformats.org/officeDocument/2006/relationships/image" Target="media/image148.png"/><Relationship Id="rId224" Type="http://schemas.openxmlformats.org/officeDocument/2006/relationships/image" Target="media/image149.png"/><Relationship Id="rId225" Type="http://schemas.openxmlformats.org/officeDocument/2006/relationships/image" Target="media/image150.png"/><Relationship Id="rId229" Type="http://schemas.openxmlformats.org/officeDocument/2006/relationships/image" Target="media/image151.png"/><Relationship Id="rId230" Type="http://schemas.openxmlformats.org/officeDocument/2006/relationships/image" Target="media/image152.png"/><Relationship Id="rId231" Type="http://schemas.openxmlformats.org/officeDocument/2006/relationships/image" Target="media/image153.png"/><Relationship Id="rId232" Type="http://schemas.openxmlformats.org/officeDocument/2006/relationships/image" Target="media/image154.png"/><Relationship Id="rId233" Type="http://schemas.openxmlformats.org/officeDocument/2006/relationships/image" Target="media/image155.png"/><Relationship Id="rId234" Type="http://schemas.openxmlformats.org/officeDocument/2006/relationships/image" Target="media/image156.png"/><Relationship Id="rId235" Type="http://schemas.openxmlformats.org/officeDocument/2006/relationships/image" Target="media/image157.png"/><Relationship Id="rId236" Type="http://schemas.openxmlformats.org/officeDocument/2006/relationships/image" Target="media/image158.png"/><Relationship Id="rId237" Type="http://schemas.openxmlformats.org/officeDocument/2006/relationships/image" Target="media/image159.png"/><Relationship Id="rId238" Type="http://schemas.openxmlformats.org/officeDocument/2006/relationships/image" Target="media/image160.png"/><Relationship Id="rId239" Type="http://schemas.openxmlformats.org/officeDocument/2006/relationships/image" Target="media/image161.png"/><Relationship Id="rId240" Type="http://schemas.openxmlformats.org/officeDocument/2006/relationships/image" Target="media/image162.png"/><Relationship Id="rId241" Type="http://schemas.openxmlformats.org/officeDocument/2006/relationships/image" Target="media/image163.png"/><Relationship Id="rId242" Type="http://schemas.openxmlformats.org/officeDocument/2006/relationships/image" Target="media/image164.png"/><Relationship Id="rId243" Type="http://schemas.openxmlformats.org/officeDocument/2006/relationships/image" Target="media/image165.png"/><Relationship Id="rId244" Type="http://schemas.openxmlformats.org/officeDocument/2006/relationships/image" Target="media/image166.png"/><Relationship Id="rId245" Type="http://schemas.openxmlformats.org/officeDocument/2006/relationships/image" Target="media/image167.png"/><Relationship Id="rId246" Type="http://schemas.openxmlformats.org/officeDocument/2006/relationships/image" Target="media/image168.png"/><Relationship Id="rId247" Type="http://schemas.openxmlformats.org/officeDocument/2006/relationships/image" Target="media/image169.png"/><Relationship Id="rId248" Type="http://schemas.openxmlformats.org/officeDocument/2006/relationships/image" Target="media/image170.png"/><Relationship Id="rId249" Type="http://schemas.openxmlformats.org/officeDocument/2006/relationships/image" Target="media/image171.png"/><Relationship Id="rId250" Type="http://schemas.openxmlformats.org/officeDocument/2006/relationships/image" Target="media/image172.png"/><Relationship Id="rId251" Type="http://schemas.openxmlformats.org/officeDocument/2006/relationships/image" Target="media/image173.png"/><Relationship Id="rId252" Type="http://schemas.openxmlformats.org/officeDocument/2006/relationships/image" Target="media/image174.png"/><Relationship Id="rId253" Type="http://schemas.openxmlformats.org/officeDocument/2006/relationships/image" Target="media/image175.png"/><Relationship Id="rId254" Type="http://schemas.openxmlformats.org/officeDocument/2006/relationships/image" Target="media/image176.png"/><Relationship Id="rId255" Type="http://schemas.openxmlformats.org/officeDocument/2006/relationships/image" Target="media/image177.png"/><Relationship Id="rId256" Type="http://schemas.openxmlformats.org/officeDocument/2006/relationships/image" Target="media/image178.png"/><Relationship Id="rId257" Type="http://schemas.openxmlformats.org/officeDocument/2006/relationships/image" Target="media/image179.png"/><Relationship Id="rId258" Type="http://schemas.openxmlformats.org/officeDocument/2006/relationships/image" Target="media/image180.png"/><Relationship Id="rId259" Type="http://schemas.openxmlformats.org/officeDocument/2006/relationships/image" Target="media/image181.png"/><Relationship Id="rId260" Type="http://schemas.openxmlformats.org/officeDocument/2006/relationships/image" Target="media/image182.png"/><Relationship Id="rId261" Type="http://schemas.openxmlformats.org/officeDocument/2006/relationships/image" Target="media/image183.png"/><Relationship Id="rId262" Type="http://schemas.openxmlformats.org/officeDocument/2006/relationships/image" Target="media/image184.png"/><Relationship Id="rId263" Type="http://schemas.openxmlformats.org/officeDocument/2006/relationships/image" Target="media/image185.png"/><Relationship Id="rId264" Type="http://schemas.openxmlformats.org/officeDocument/2006/relationships/image" Target="media/image186.png"/><Relationship Id="rId265" Type="http://schemas.openxmlformats.org/officeDocument/2006/relationships/image" Target="media/image187.png"/><Relationship Id="rId266" Type="http://schemas.openxmlformats.org/officeDocument/2006/relationships/image" Target="media/image188.png"/><Relationship Id="rId267" Type="http://schemas.openxmlformats.org/officeDocument/2006/relationships/image" Target="media/image189.png"/><Relationship Id="rId268" Type="http://schemas.openxmlformats.org/officeDocument/2006/relationships/image" Target="media/image190.png"/><Relationship Id="rId269" Type="http://schemas.openxmlformats.org/officeDocument/2006/relationships/image" Target="media/image191.png"/><Relationship Id="rId270" Type="http://schemas.openxmlformats.org/officeDocument/2006/relationships/image" Target="media/image192.png"/><Relationship Id="rId271" Type="http://schemas.openxmlformats.org/officeDocument/2006/relationships/image" Target="media/image193.png"/><Relationship Id="rId272" Type="http://schemas.openxmlformats.org/officeDocument/2006/relationships/image" Target="media/image194.png"/><Relationship Id="rId273" Type="http://schemas.openxmlformats.org/officeDocument/2006/relationships/image" Target="media/image195.png"/><Relationship Id="rId274" Type="http://schemas.openxmlformats.org/officeDocument/2006/relationships/image" Target="media/image196.png"/><Relationship Id="rId275" Type="http://schemas.openxmlformats.org/officeDocument/2006/relationships/image" Target="media/image197.png"/><Relationship Id="rId276" Type="http://schemas.openxmlformats.org/officeDocument/2006/relationships/image" Target="media/image198.png"/><Relationship Id="rId277" Type="http://schemas.openxmlformats.org/officeDocument/2006/relationships/image" Target="media/image199.png"/><Relationship Id="rId278" Type="http://schemas.openxmlformats.org/officeDocument/2006/relationships/image" Target="media/image200.png"/><Relationship Id="rId279" Type="http://schemas.openxmlformats.org/officeDocument/2006/relationships/image" Target="media/image201.png"/><Relationship Id="rId280" Type="http://schemas.openxmlformats.org/officeDocument/2006/relationships/image" Target="media/image202.png"/><Relationship Id="rId281" Type="http://schemas.openxmlformats.org/officeDocument/2006/relationships/image" Target="media/image203.png"/><Relationship Id="rId282" Type="http://schemas.openxmlformats.org/officeDocument/2006/relationships/image" Target="media/image204.png"/><Relationship Id="rId283" Type="http://schemas.openxmlformats.org/officeDocument/2006/relationships/image" Target="media/image205.png"/><Relationship Id="rId284" Type="http://schemas.openxmlformats.org/officeDocument/2006/relationships/image" Target="media/image206.png"/><Relationship Id="rId285" Type="http://schemas.openxmlformats.org/officeDocument/2006/relationships/image" Target="media/image207.png"/><Relationship Id="rId286" Type="http://schemas.openxmlformats.org/officeDocument/2006/relationships/image" Target="media/image208.png"/><Relationship Id="rId287" Type="http://schemas.openxmlformats.org/officeDocument/2006/relationships/image" Target="media/image209.png"/><Relationship Id="rId288" Type="http://schemas.openxmlformats.org/officeDocument/2006/relationships/image" Target="media/image210.png"/><Relationship Id="rId289" Type="http://schemas.openxmlformats.org/officeDocument/2006/relationships/image" Target="media/image211.png"/><Relationship Id="rId290" Type="http://schemas.openxmlformats.org/officeDocument/2006/relationships/image" Target="media/image212.png"/><Relationship Id="rId291" Type="http://schemas.openxmlformats.org/officeDocument/2006/relationships/image" Target="media/image213.png"/><Relationship Id="rId292" Type="http://schemas.openxmlformats.org/officeDocument/2006/relationships/image" Target="media/image214.png"/><Relationship Id="rId293" Type="http://schemas.openxmlformats.org/officeDocument/2006/relationships/image" Target="media/image215.png"/><Relationship Id="rId294" Type="http://schemas.openxmlformats.org/officeDocument/2006/relationships/image" Target="media/image216.png"/><Relationship Id="rId295" Type="http://schemas.openxmlformats.org/officeDocument/2006/relationships/image" Target="media/image217.png"/><Relationship Id="rId148" Type="http://schemas.openxmlformats.org/officeDocument/2006/relationships/hyperlink" Target="http://www.sec.gov/Archives/edgar/data/773840/000093041318002303/c91619_ex3i.htm" TargetMode="External"/><Relationship Id="rId149" Type="http://schemas.openxmlformats.org/officeDocument/2006/relationships/hyperlink" Target="http://www.sec.gov/Archives/edgar/data/773840/000093041318002303/c91619_ex3ii.htm" TargetMode="External"/><Relationship Id="rId150" Type="http://schemas.openxmlformats.org/officeDocument/2006/relationships/hyperlink" Target="http://www.sec.gov/Archives/edgar/data/773840/000095011703003488/ex10-2.txt" TargetMode="External"/><Relationship Id="rId151" Type="http://schemas.openxmlformats.org/officeDocument/2006/relationships/hyperlink" Target="http://www.sec.gov/Archives/edgar/data/773840/000095011704004532/ex10-1.htm" TargetMode="External"/><Relationship Id="rId152" Type="http://schemas.openxmlformats.org/officeDocument/2006/relationships/hyperlink" Target="http://www.sec.gov/Archives/edgar/data/773840/000095011706000980/ex10-2.htm" TargetMode="External"/><Relationship Id="rId153" Type="http://schemas.openxmlformats.org/officeDocument/2006/relationships/hyperlink" Target="http://www.sec.gov/Archives/edgar/data/773840/000093041318001371/c90468_ex10-2.htm" TargetMode="External"/><Relationship Id="rId154" Type="http://schemas.openxmlformats.org/officeDocument/2006/relationships/hyperlink" Target="http://www.sec.gov/Archives/edgar/data/773840/000093041313000907/c72130_ex10-6.htm" TargetMode="External"/><Relationship Id="rId155" Type="http://schemas.openxmlformats.org/officeDocument/2006/relationships/hyperlink" Target="http://www.sec.gov/Archives/edgar/data/773840/000093041318001371/c90468_ex10-3.htm" TargetMode="External"/><Relationship Id="rId156" Type="http://schemas.openxmlformats.org/officeDocument/2006/relationships/hyperlink" Target="http://www.sec.gov/Archives/edgar/data/773840/000093041309000801/c56028_ex10-10.htm" TargetMode="External"/><Relationship Id="rId157" Type="http://schemas.openxmlformats.org/officeDocument/2006/relationships/hyperlink" Target="http://www.sec.gov/Archives/edgar/data/773840/000093041310000784/c60039_ex10-10.htm" TargetMode="External"/><Relationship Id="rId158" Type="http://schemas.openxmlformats.org/officeDocument/2006/relationships/hyperlink" Target="http://www.sec.gov/Archives/edgar/data/773840/000093041316005457/c83288_ex10-7.htm" TargetMode="External"/><Relationship Id="rId159" Type="http://schemas.openxmlformats.org/officeDocument/2006/relationships/hyperlink" Target="http://www.sec.gov/Archives/edgar/data/773840/000093041309000801/c56028_ex10-12.htm" TargetMode="External"/><Relationship Id="rId160" Type="http://schemas.openxmlformats.org/officeDocument/2006/relationships/hyperlink" Target="http://www.sec.gov/Archives/edgar/data/773840/000093041310000784/c60039_ex10-12.htm" TargetMode="External"/><Relationship Id="rId163" Type="http://schemas.openxmlformats.org/officeDocument/2006/relationships/hyperlink" Target="http://www.sec.gov/Archives/edgar/data/773840/000093041314000634/c75936_ex10-9.htm" TargetMode="External"/><Relationship Id="rId164" Type="http://schemas.openxmlformats.org/officeDocument/2006/relationships/hyperlink" Target="http://www.sec.gov/Archives/edgar/data/773840/000093041316005457/c83288_ex10-8.htm" TargetMode="External"/><Relationship Id="rId165" Type="http://schemas.openxmlformats.org/officeDocument/2006/relationships/hyperlink" Target="http://www.sec.gov/Archives/edgar/data/773840/000093041309000801/c56028_ex10-13.htm" TargetMode="External"/><Relationship Id="rId166" Type="http://schemas.openxmlformats.org/officeDocument/2006/relationships/hyperlink" Target="http://www.sec.gov/Archives/edgar/data/773840/000093041310000784/c60039_ex10-13.htm" TargetMode="External"/><Relationship Id="rId167" Type="http://schemas.openxmlformats.org/officeDocument/2006/relationships/hyperlink" Target="http://www.sec.gov/Archives/edgar/data/773840/000093041316005457/c83288_ex10-9.htm" TargetMode="External"/><Relationship Id="rId168" Type="http://schemas.openxmlformats.org/officeDocument/2006/relationships/hyperlink" Target="http://www.sec.gov/Archives/edgar/data/773840/000093041314000634/c75936_ex10-12.htm" TargetMode="External"/><Relationship Id="rId169" Type="http://schemas.openxmlformats.org/officeDocument/2006/relationships/hyperlink" Target="http://www.sec.gov/Archives/edgar/data/773840/000095011702000462/ex10-24.txt" TargetMode="External"/><Relationship Id="rId170" Type="http://schemas.openxmlformats.org/officeDocument/2006/relationships/hyperlink" Target="http://www.sec.gov/Archives/edgar/data/773840/000093041308006051/c55291_ex10-3.htm" TargetMode="External"/><Relationship Id="rId171" Type="http://schemas.openxmlformats.org/officeDocument/2006/relationships/hyperlink" Target="http://www.sec.gov/Archives/edgar/data/773840/000093041309000801/c56028_ex10-17.htm" TargetMode="External"/><Relationship Id="rId172" Type="http://schemas.openxmlformats.org/officeDocument/2006/relationships/hyperlink" Target="http://www.sec.gov/Archives/edgar/data/773840/000093041313002334/c73358_ex10-1.htm" TargetMode="External"/><Relationship Id="rId173" Type="http://schemas.openxmlformats.org/officeDocument/2006/relationships/hyperlink" Target="http://www.sec.gov/Archives/edgar/data/773840/000093041307001369/c44492_ex10-22.htm" TargetMode="External"/><Relationship Id="rId174" Type="http://schemas.openxmlformats.org/officeDocument/2006/relationships/hyperlink" Target="http://www.sec.gov/Archives/edgar/data/773840/000093041310000784/c60039_ex10-22.htm" TargetMode="External"/><Relationship Id="rId175" Type="http://schemas.openxmlformats.org/officeDocument/2006/relationships/hyperlink" Target="http://www.sec.gov/Archives/edgar/data/773840/000093041307001369/c44492_ex10-24.htm" TargetMode="External"/><Relationship Id="rId176" Type="http://schemas.openxmlformats.org/officeDocument/2006/relationships/hyperlink" Target="http://www.sec.gov/Archives/edgar/data/773840/000093041309000801/c56028_ex10-26.htm" TargetMode="External"/><Relationship Id="rId177" Type="http://schemas.openxmlformats.org/officeDocument/2006/relationships/hyperlink" Target="http://www.sec.gov/Archives/edgar/data/773840/000093041311002923/c65159_ex10-1.htm" TargetMode="External"/><Relationship Id="rId180" Type="http://schemas.openxmlformats.org/officeDocument/2006/relationships/hyperlink" Target="http://www.sec.gov/Archives/edgar/data/773840/000093041309002177/c57151_ex10-2.htm" TargetMode="External"/><Relationship Id="rId181" Type="http://schemas.openxmlformats.org/officeDocument/2006/relationships/hyperlink" Target="http://www.sec.gov/Archives/edgar/data/773840/000093041309000801/c56028_ex10-31.htm" TargetMode="External"/><Relationship Id="rId182" Type="http://schemas.openxmlformats.org/officeDocument/2006/relationships/hyperlink" Target="http://www.sec.gov/Archives/edgar/data/773840/000093041312000976/c68029_ex10-27.htm" TargetMode="External"/><Relationship Id="rId183" Type="http://schemas.openxmlformats.org/officeDocument/2006/relationships/hyperlink" Target="http://www.sec.gov/Archives/edgar/data/773840/000093041315000621/c79276_ex10-24.htm" TargetMode="External"/><Relationship Id="rId184" Type="http://schemas.openxmlformats.org/officeDocument/2006/relationships/hyperlink" Target="http://www.sec.gov/Archives/edgar/data/773840/000093041312002323/c69322_ex10-3.htm" TargetMode="External"/><Relationship Id="rId185" Type="http://schemas.openxmlformats.org/officeDocument/2006/relationships/hyperlink" Target="http://www.sec.gov/Archives/edgar/data/773840/000093041312002323/c69322_ex10-4.htm" TargetMode="External"/><Relationship Id="rId186" Type="http://schemas.openxmlformats.org/officeDocument/2006/relationships/hyperlink" Target="http://www.sec.gov/Archives/edgar/data/773840/000093041307002180/c46936.htm" TargetMode="External"/><Relationship Id="rId187" Type="http://schemas.openxmlformats.org/officeDocument/2006/relationships/hyperlink" Target="http://www.sec.gov/Archives/edgar/data/773840/000093041311000961/c63936_ex10-37.htm" TargetMode="External"/><Relationship Id="rId188" Type="http://schemas.openxmlformats.org/officeDocument/2006/relationships/hyperlink" Target="http://www.sec.gov/Archives/edgar/data/773840/000093041311000961/c63936_ex10-38.htm" TargetMode="External"/><Relationship Id="rId189" Type="http://schemas.openxmlformats.org/officeDocument/2006/relationships/hyperlink" Target="http://www.sec.gov/Archives/edgar/data/773840/000093041311000961/c63936_ex10-39.htm" TargetMode="External"/><Relationship Id="rId190" Type="http://schemas.openxmlformats.org/officeDocument/2006/relationships/hyperlink" Target="http://www.sec.gov/Archives/edgar/data/773840/000093041311001776/c64436_def14a.htm" TargetMode="External"/><Relationship Id="rId191" Type="http://schemas.openxmlformats.org/officeDocument/2006/relationships/hyperlink" Target="http://www.sec.gov/Archives/edgar/data/773840/000093041313000907/c72130_ex10-36.htm" TargetMode="External"/><Relationship Id="rId192" Type="http://schemas.openxmlformats.org/officeDocument/2006/relationships/hyperlink" Target="http://www.sec.gov/Archives/edgar/data/773840/000093041314001831/c77214_ex10-1.htm" TargetMode="External"/><Relationship Id="rId193" Type="http://schemas.openxmlformats.org/officeDocument/2006/relationships/hyperlink" Target="http://www.sec.gov/Archives/edgar/data/773840/000093041314001831/c77214_ex10-2.htm" TargetMode="External"/><Relationship Id="rId194" Type="http://schemas.openxmlformats.org/officeDocument/2006/relationships/hyperlink" Target="http://www.sec.gov/Archives/edgar/data/773840/000093041314001831/c77214_ex10-3.htm" TargetMode="External"/><Relationship Id="rId195" Type="http://schemas.openxmlformats.org/officeDocument/2006/relationships/hyperlink" Target="http://www.sec.gov/Archives/edgar/data/773840/000093041314001831/c77214_ex10-4.htm" TargetMode="External"/><Relationship Id="rId198" Type="http://schemas.openxmlformats.org/officeDocument/2006/relationships/hyperlink" Target="http://www.sec.gov/Archives/edgar/data/773840/000093041315000621/c79276_ex10-39.htm" TargetMode="External"/><Relationship Id="rId199" Type="http://schemas.openxmlformats.org/officeDocument/2006/relationships/hyperlink" Target="http://www.sec.gov/Archives/edgar/data/773840/000093041314001831/c77214_ex10-5.htm" TargetMode="External"/><Relationship Id="rId200" Type="http://schemas.openxmlformats.org/officeDocument/2006/relationships/hyperlink" Target="http://www.sec.gov/Archives/edgar/data/773840/000093041317001646/c88130_ex10-2.htm" TargetMode="External"/><Relationship Id="rId201" Type="http://schemas.openxmlformats.org/officeDocument/2006/relationships/hyperlink" Target="http://www.sec.gov/Archives/edgar/data/773840/000093041311006765/c67090_ex10-1.htm" TargetMode="External"/><Relationship Id="rId202" Type="http://schemas.openxmlformats.org/officeDocument/2006/relationships/hyperlink" Target="http://www.sec.gov/Archives/edgar/data/773840/000093041314001831/c77214_ex10-10.htm" TargetMode="External"/><Relationship Id="rId203" Type="http://schemas.openxmlformats.org/officeDocument/2006/relationships/hyperlink" Target="http://www.sec.gov/Archives/edgar/data/773840/000093041314004838/c79482_ex99-2.htm" TargetMode="External"/><Relationship Id="rId204" Type="http://schemas.openxmlformats.org/officeDocument/2006/relationships/hyperlink" Target="http://www.sec.gov/Archives/edgar/data/773840/000093041316007513/c85452_ex99-1.htm" TargetMode="External"/><Relationship Id="rId205" Type="http://schemas.openxmlformats.org/officeDocument/2006/relationships/hyperlink" Target="http://www.sec.gov/Archives/edgar/data/773840/000093041317001646/c88130_ex10-1.htm" TargetMode="External"/><Relationship Id="rId206" Type="http://schemas.openxmlformats.org/officeDocument/2006/relationships/hyperlink" Target="http://www.sec.gov/Archives/edgar/data/773840/000093041316006542/c84644_ex10-1.htm" TargetMode="External"/><Relationship Id="rId207" Type="http://schemas.openxmlformats.org/officeDocument/2006/relationships/hyperlink" Target="http://www.sec.gov/Archives/edgar/data/773840/000093041316006322/c84617_ex99-1.htm" TargetMode="External"/><Relationship Id="rId208" Type="http://schemas.openxmlformats.org/officeDocument/2006/relationships/hyperlink" Target="http://www.sec.gov/Archives/edgar/data/773840/000093041317000893/c87598_ex99-1.htm" TargetMode="External"/><Relationship Id="rId209" Type="http://schemas.openxmlformats.org/officeDocument/2006/relationships/hyperlink" Target="http://www.sec.gov/Archives/edgar/data/773840/000093041317000391/c86783_ex10-43.htm" TargetMode="External"/><Relationship Id="rId210" Type="http://schemas.openxmlformats.org/officeDocument/2006/relationships/hyperlink" Target="http://www.sec.gov/Archives/edgar/data/773840/000093041316005948/c82838_def14a.htm" TargetMode="External"/><Relationship Id="rId211" Type="http://schemas.openxmlformats.org/officeDocument/2006/relationships/hyperlink" Target="http://www.sec.gov/Archives/edgar/data/773840/000093041316007670/c85530_ex10-1.htm" TargetMode="External"/><Relationship Id="rId212" Type="http://schemas.openxmlformats.org/officeDocument/2006/relationships/hyperlink" Target="http://www.sec.gov/Archives/edgar/data/773840/000093041316007670/c85530_ex10-2.htm" TargetMode="External"/><Relationship Id="rId215" Type="http://schemas.openxmlformats.org/officeDocument/2006/relationships/hyperlink" Target="http://www.sec.gov/Archives/edgar/data/773840/000093041316007670/c85530_ex10-3.htm" TargetMode="External"/><Relationship Id="rId216" Type="http://schemas.openxmlformats.org/officeDocument/2006/relationships/hyperlink" Target="http://www.sec.gov/Archives/edgar/data/773840/000093041318000292/c89913_ex10-74.htm" TargetMode="External"/><Relationship Id="rId217" Type="http://schemas.openxmlformats.org/officeDocument/2006/relationships/hyperlink" Target="http://www.sec.gov/Archives/edgar/data/773840/000093041316007670/c85530_ex10-6.htm" TargetMode="External"/><Relationship Id="rId218" Type="http://schemas.openxmlformats.org/officeDocument/2006/relationships/hyperlink" Target="http://www.sec.gov/Archives/edgar/data/773840/000093041318000292/c89913_ex10-76.htm" TargetMode="External"/><Relationship Id="rId219" Type="http://schemas.openxmlformats.org/officeDocument/2006/relationships/hyperlink" Target="http://www.sec.gov/Archives/edgar/data/773840/000093041318001371/c90468_ex10-1.htm" TargetMode="External"/><Relationship Id="rId220" Type="http://schemas.openxmlformats.org/officeDocument/2006/relationships/hyperlink" Target="http://www.sec.gov/Archives/edgar/data/773840/000093041318002493/c91763_ex99-1.htm" TargetMode="External"/><Relationship Id="rId221" Type="http://schemas.openxmlformats.org/officeDocument/2006/relationships/hyperlink" Target="http://www.sec.gov/Archives/edgar/data/773840/000093041318002493/c91763_ex99-2.htm" TargetMode="External"/><Relationship Id="rId222" Type="http://schemas.openxmlformats.org/officeDocument/2006/relationships/hyperlink" Target="http://www.sec.gov/Archives/edgar/data/773840/000093041318000529/c90550_ex10-1.htm" TargetMode="External"/><Relationship Id="rId223" Type="http://schemas.openxmlformats.org/officeDocument/2006/relationships/hyperlink" Target="http://www.sec.gov/Archives/edgar/data/773840/000093041318001563/c91119_ex10-1.htm" TargetMode="External"/><Relationship Id="rId226" Type="http://schemas.openxmlformats.org/officeDocument/2006/relationships/hyperlink" Target="http://www.sec.gov/Archives/edgar/data/773840/000093041318001563/c91119_ex10-2.htm" TargetMode="External"/><Relationship Id="rId227" Type="http://schemas.openxmlformats.org/officeDocument/2006/relationships/hyperlink" Target="http://www.sec.gov/Archives/edgar/data/773840/000119312518274274/d623916dex21.htm" TargetMode="External"/><Relationship Id="rId228" Type="http://schemas.openxmlformats.org/officeDocument/2006/relationships/hyperlink" Target="http://www.sec.gov/Archives/edgar/data/773840/000119312518298884/d625197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2020-01-09T19:49:54Z</dcterms:created>
  <dcterms:modified xsi:type="dcterms:W3CDTF">2020-01-09T19:49:54Z</dcterms:modified>
</cp:coreProperties>
</file>