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2016</w:t>
      </w:r>
    </w:p>
    <w:p>
      <w:pPr>
        <w:spacing w:after="0" w:line="198"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58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6440" w:type="dxa"/>
            <w:vAlign w:val="bottom"/>
            <w:gridSpan w:val="3"/>
          </w:tcPr>
          <w:p>
            <w:pPr>
              <w:jc w:val="center"/>
              <w:ind w:right="3000"/>
              <w:spacing w:after="0"/>
              <w:rPr>
                <w:sz w:val="20"/>
                <w:szCs w:val="20"/>
                <w:color w:val="auto"/>
              </w:rPr>
            </w:pPr>
            <w:r>
              <w:rPr>
                <w:rFonts w:ascii="Arial" w:cs="Arial" w:eastAsia="Arial" w:hAnsi="Arial"/>
                <w:sz w:val="18"/>
                <w:szCs w:val="18"/>
                <w:color w:val="auto"/>
                <w:w w:val="99"/>
              </w:rPr>
              <w:t>Delaware</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22-2640650</w:t>
            </w:r>
          </w:p>
        </w:tc>
        <w:tc>
          <w:tcPr>
            <w:tcW w:w="1140" w:type="dxa"/>
            <w:vAlign w:val="bottom"/>
          </w:tcPr>
          <w:p>
            <w:pPr>
              <w:spacing w:after="0"/>
              <w:rPr>
                <w:sz w:val="18"/>
                <w:szCs w:val="18"/>
                <w:color w:val="auto"/>
              </w:rPr>
            </w:pPr>
          </w:p>
        </w:tc>
      </w:tr>
      <w:tr>
        <w:trPr>
          <w:trHeight w:val="195"/>
        </w:trPr>
        <w:tc>
          <w:tcPr>
            <w:tcW w:w="1140" w:type="dxa"/>
            <w:vAlign w:val="bottom"/>
            <w:tcBorders>
              <w:top w:val="single" w:sz="8" w:color="auto"/>
            </w:tcBorders>
          </w:tcPr>
          <w:p>
            <w:pPr>
              <w:spacing w:after="0"/>
              <w:rPr>
                <w:sz w:val="16"/>
                <w:szCs w:val="16"/>
                <w:color w:val="auto"/>
              </w:rPr>
            </w:pPr>
          </w:p>
        </w:tc>
        <w:tc>
          <w:tcPr>
            <w:tcW w:w="4580" w:type="dxa"/>
            <w:vAlign w:val="bottom"/>
            <w:tcBorders>
              <w:top w:val="single" w:sz="8" w:color="auto"/>
            </w:tcBorders>
          </w:tcPr>
          <w:p>
            <w:pPr>
              <w:jc w:val="center"/>
              <w:ind w:right="1030"/>
              <w:spacing w:after="0" w:line="195" w:lineRule="exact"/>
              <w:rPr>
                <w:sz w:val="20"/>
                <w:szCs w:val="20"/>
                <w:color w:val="auto"/>
              </w:rPr>
            </w:pPr>
            <w:r>
              <w:rPr>
                <w:rFonts w:ascii="Arial" w:cs="Arial" w:eastAsia="Arial" w:hAnsi="Arial"/>
                <w:sz w:val="18"/>
                <w:szCs w:val="18"/>
                <w:color w:val="auto"/>
              </w:rPr>
              <w:t>(State or other jurisdiction of</w:t>
            </w:r>
          </w:p>
        </w:tc>
        <w:tc>
          <w:tcPr>
            <w:tcW w:w="11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2"/>
          </w:tcPr>
          <w:p>
            <w:pPr>
              <w:jc w:val="center"/>
              <w:ind w:right="74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1140" w:type="dxa"/>
            <w:vAlign w:val="bottom"/>
          </w:tcPr>
          <w:p>
            <w:pPr>
              <w:spacing w:after="0"/>
              <w:rPr>
                <w:sz w:val="18"/>
                <w:szCs w:val="18"/>
                <w:color w:val="auto"/>
              </w:rPr>
            </w:pPr>
          </w:p>
        </w:tc>
        <w:tc>
          <w:tcPr>
            <w:tcW w:w="6440" w:type="dxa"/>
            <w:vAlign w:val="bottom"/>
            <w:gridSpan w:val="3"/>
          </w:tcPr>
          <w:p>
            <w:pPr>
              <w:jc w:val="center"/>
              <w:ind w:right="2980"/>
              <w:spacing w:after="0"/>
              <w:rPr>
                <w:sz w:val="20"/>
                <w:szCs w:val="20"/>
                <w:color w:val="auto"/>
              </w:rPr>
            </w:pPr>
            <w:r>
              <w:rPr>
                <w:rFonts w:ascii="Arial" w:cs="Arial" w:eastAsia="Arial" w:hAnsi="Arial"/>
                <w:sz w:val="18"/>
                <w:szCs w:val="18"/>
                <w:color w:val="auto"/>
                <w:w w:val="99"/>
              </w:rPr>
              <w:t>incorporation or organization)</w:t>
            </w:r>
          </w:p>
        </w:tc>
        <w:tc>
          <w:tcPr>
            <w:tcW w:w="270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Identification No.)</w:t>
            </w:r>
          </w:p>
        </w:tc>
      </w:tr>
      <w:tr>
        <w:trPr>
          <w:trHeight w:val="418"/>
        </w:trPr>
        <w:tc>
          <w:tcPr>
            <w:tcW w:w="1140" w:type="dxa"/>
            <w:vAlign w:val="bottom"/>
          </w:tcPr>
          <w:p>
            <w:pPr>
              <w:spacing w:after="0"/>
              <w:rPr>
                <w:sz w:val="24"/>
                <w:szCs w:val="24"/>
                <w:color w:val="auto"/>
              </w:rPr>
            </w:pPr>
          </w:p>
        </w:tc>
        <w:tc>
          <w:tcPr>
            <w:tcW w:w="6440" w:type="dxa"/>
            <w:vAlign w:val="bottom"/>
            <w:gridSpan w:val="3"/>
          </w:tcPr>
          <w:p>
            <w:pPr>
              <w:jc w:val="center"/>
              <w:ind w:right="3000"/>
              <w:spacing w:after="0"/>
              <w:rPr>
                <w:sz w:val="20"/>
                <w:szCs w:val="20"/>
                <w:color w:val="auto"/>
              </w:rPr>
            </w:pPr>
            <w:r>
              <w:rPr>
                <w:rFonts w:ascii="Arial" w:cs="Arial" w:eastAsia="Arial" w:hAnsi="Arial"/>
                <w:sz w:val="18"/>
                <w:szCs w:val="18"/>
                <w:color w:val="auto"/>
                <w:w w:val="98"/>
              </w:rPr>
              <w:t>115 Tabor Road</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140" w:type="dxa"/>
            <w:vAlign w:val="bottom"/>
          </w:tcPr>
          <w:p>
            <w:pPr>
              <w:spacing w:after="0"/>
              <w:rPr>
                <w:sz w:val="17"/>
                <w:szCs w:val="17"/>
                <w:color w:val="auto"/>
              </w:rPr>
            </w:pPr>
          </w:p>
        </w:tc>
        <w:tc>
          <w:tcPr>
            <w:tcW w:w="6440" w:type="dxa"/>
            <w:vAlign w:val="bottom"/>
            <w:gridSpan w:val="3"/>
          </w:tcPr>
          <w:p>
            <w:pPr>
              <w:jc w:val="center"/>
              <w:ind w:right="3000"/>
              <w:spacing w:after="0" w:line="203" w:lineRule="exact"/>
              <w:rPr>
                <w:sz w:val="20"/>
                <w:szCs w:val="20"/>
                <w:color w:val="auto"/>
              </w:rPr>
            </w:pPr>
            <w:r>
              <w:rPr>
                <w:rFonts w:ascii="Arial" w:cs="Arial" w:eastAsia="Arial" w:hAnsi="Arial"/>
                <w:sz w:val="18"/>
                <w:szCs w:val="18"/>
                <w:color w:val="auto"/>
                <w:w w:val="99"/>
              </w:rPr>
              <w:t>Morris Plains, New Jersey</w:t>
            </w:r>
          </w:p>
        </w:tc>
        <w:tc>
          <w:tcPr>
            <w:tcW w:w="15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07950</w:t>
            </w:r>
          </w:p>
        </w:tc>
        <w:tc>
          <w:tcPr>
            <w:tcW w:w="1140" w:type="dxa"/>
            <w:vAlign w:val="bottom"/>
          </w:tcPr>
          <w:p>
            <w:pPr>
              <w:spacing w:after="0"/>
              <w:rPr>
                <w:sz w:val="17"/>
                <w:szCs w:val="17"/>
                <w:color w:val="auto"/>
              </w:rPr>
            </w:pPr>
          </w:p>
        </w:tc>
      </w:tr>
      <w:tr>
        <w:trPr>
          <w:trHeight w:val="210"/>
        </w:trPr>
        <w:tc>
          <w:tcPr>
            <w:tcW w:w="114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9"/>
              </w:rPr>
              <w:t>(Address of principal executive offices)</w:t>
            </w:r>
          </w:p>
        </w:tc>
        <w:tc>
          <w:tcPr>
            <w:tcW w:w="1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8"/>
              </w:rPr>
              <w:t>(Zip Code)</w:t>
            </w:r>
          </w:p>
        </w:tc>
      </w:tr>
      <w:tr>
        <w:trPr>
          <w:trHeight w:val="418"/>
        </w:trPr>
        <w:tc>
          <w:tcPr>
            <w:tcW w:w="6860" w:type="dxa"/>
            <w:vAlign w:val="bottom"/>
            <w:gridSpan w:val="3"/>
          </w:tcPr>
          <w:p>
            <w:pPr>
              <w:jc w:val="center"/>
              <w:ind w:left="3330"/>
              <w:spacing w:after="0"/>
              <w:rPr>
                <w:sz w:val="20"/>
                <w:szCs w:val="20"/>
                <w:color w:val="auto"/>
              </w:rPr>
            </w:pPr>
            <w:r>
              <w:rPr>
                <w:rFonts w:ascii="Arial" w:cs="Arial" w:eastAsia="Arial" w:hAnsi="Arial"/>
                <w:sz w:val="18"/>
                <w:szCs w:val="18"/>
                <w:color w:val="auto"/>
              </w:rPr>
              <w:t>(973) 455-2000</w:t>
            </w: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6440" w:type="dxa"/>
            <w:vAlign w:val="bottom"/>
            <w:tcBorders>
              <w:top w:val="single" w:sz="8" w:color="auto"/>
            </w:tcBorders>
            <w:gridSpan w:val="3"/>
          </w:tcPr>
          <w:p>
            <w:pPr>
              <w:jc w:val="center"/>
              <w:ind w:left="1490"/>
              <w:spacing w:after="0"/>
              <w:rPr>
                <w:sz w:val="20"/>
                <w:szCs w:val="20"/>
                <w:color w:val="auto"/>
              </w:rPr>
            </w:pPr>
            <w:r>
              <w:rPr>
                <w:rFonts w:ascii="Arial" w:cs="Arial" w:eastAsia="Arial" w:hAnsi="Arial"/>
                <w:sz w:val="18"/>
                <w:szCs w:val="18"/>
                <w:color w:val="auto"/>
                <w:w w:val="99"/>
              </w:rPr>
              <w:t>(Registrant’s telephone number, including area code)</w:t>
            </w:r>
          </w:p>
        </w:tc>
        <w:tc>
          <w:tcPr>
            <w:tcW w:w="156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418"/>
        </w:trPr>
        <w:tc>
          <w:tcPr>
            <w:tcW w:w="1140" w:type="dxa"/>
            <w:vAlign w:val="bottom"/>
          </w:tcPr>
          <w:p>
            <w:pPr>
              <w:spacing w:after="0"/>
              <w:rPr>
                <w:sz w:val="24"/>
                <w:szCs w:val="24"/>
                <w:color w:val="auto"/>
              </w:rPr>
            </w:pPr>
          </w:p>
        </w:tc>
        <w:tc>
          <w:tcPr>
            <w:tcW w:w="6440" w:type="dxa"/>
            <w:vAlign w:val="bottom"/>
            <w:tcBorders>
              <w:bottom w:val="single" w:sz="8" w:color="auto"/>
            </w:tcBorders>
            <w:gridSpan w:val="3"/>
          </w:tcPr>
          <w:p>
            <w:pPr>
              <w:jc w:val="center"/>
              <w:ind w:left="1470"/>
              <w:spacing w:after="0"/>
              <w:rPr>
                <w:sz w:val="20"/>
                <w:szCs w:val="20"/>
                <w:color w:val="auto"/>
              </w:rPr>
            </w:pPr>
            <w:r>
              <w:rPr>
                <w:rFonts w:ascii="Arial" w:cs="Arial" w:eastAsia="Arial" w:hAnsi="Arial"/>
                <w:sz w:val="18"/>
                <w:szCs w:val="18"/>
                <w:color w:val="auto"/>
                <w:w w:val="99"/>
              </w:rPr>
              <w:t>Not Applicable</w:t>
            </w:r>
          </w:p>
        </w:tc>
        <w:tc>
          <w:tcPr>
            <w:tcW w:w="15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6440" w:type="dxa"/>
            <w:vAlign w:val="bottom"/>
            <w:gridSpan w:val="3"/>
          </w:tcPr>
          <w:p>
            <w:pPr>
              <w:jc w:val="center"/>
              <w:ind w:left="147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1140" w:type="dxa"/>
            <w:vAlign w:val="bottom"/>
          </w:tcPr>
          <w:p>
            <w:pPr>
              <w:spacing w:after="0"/>
              <w:rPr>
                <w:sz w:val="18"/>
                <w:szCs w:val="18"/>
                <w:color w:val="auto"/>
              </w:rPr>
            </w:pPr>
          </w:p>
        </w:tc>
        <w:tc>
          <w:tcPr>
            <w:tcW w:w="6440" w:type="dxa"/>
            <w:vAlign w:val="bottom"/>
            <w:gridSpan w:val="3"/>
          </w:tcPr>
          <w:p>
            <w:pPr>
              <w:jc w:val="center"/>
              <w:ind w:left="1470"/>
              <w:spacing w:after="0"/>
              <w:rPr>
                <w:sz w:val="20"/>
                <w:szCs w:val="20"/>
                <w:color w:val="auto"/>
              </w:rPr>
            </w:pPr>
            <w:r>
              <w:rPr>
                <w:rFonts w:ascii="Arial" w:cs="Arial" w:eastAsia="Arial" w:hAnsi="Arial"/>
                <w:sz w:val="18"/>
                <w:szCs w:val="18"/>
                <w:color w:val="auto"/>
                <w:w w:val="99"/>
              </w:rPr>
              <w:t>if changed since last report)</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0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w:t>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760,874,673 shares of Common Stock outstanding at June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Honeywell International Inc.</w:t>
      </w:r>
    </w:p>
    <w:p>
      <w:pPr>
        <w:sectPr>
          <w:pgSz w:w="11900" w:h="16838" w:orient="portrait"/>
          <w:cols w:equalWidth="0" w:num="1">
            <w:col w:w="11420"/>
          </w:cols>
          <w:pgMar w:left="240" w:top="391" w:right="239" w:bottom="1440" w:gutter="0" w:footer="0" w:header="0"/>
        </w:sectPr>
      </w:pPr>
    </w:p>
    <w:p>
      <w:pPr>
        <w:spacing w:after="0" w:line="3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Index</w:t>
      </w:r>
    </w:p>
    <w:p>
      <w:pPr>
        <w:spacing w:after="0" w:line="176" w:lineRule="exact"/>
        <w:rPr>
          <w:sz w:val="20"/>
          <w:szCs w:val="20"/>
          <w:color w:val="auto"/>
        </w:rPr>
      </w:pPr>
    </w:p>
    <w:p>
      <w:pPr>
        <w:spacing w:after="0"/>
        <w:tabs>
          <w:tab w:leader="none" w:pos="2280" w:val="left"/>
        </w:tabs>
        <w:rPr>
          <w:rFonts w:ascii="Arial" w:cs="Arial" w:eastAsia="Arial" w:hAnsi="Arial"/>
          <w:sz w:val="17"/>
          <w:szCs w:val="17"/>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7"/>
            <w:szCs w:val="17"/>
            <w:b w:val="1"/>
            <w:bCs w:val="1"/>
            <w:u w:val="single" w:color="auto"/>
            <w:color w:val="0000EE"/>
          </w:rPr>
          <w:t>Financial Information</w:t>
        </w:r>
      </w:hyperlink>
    </w:p>
    <w:p>
      <w:pPr>
        <w:spacing w:after="0" w:line="247" w:lineRule="exact"/>
        <w:rPr>
          <w:sz w:val="20"/>
          <w:szCs w:val="20"/>
          <w:color w:val="auto"/>
        </w:rPr>
      </w:pPr>
    </w:p>
    <w:p>
      <w:pPr>
        <w:ind w:left="1160"/>
        <w:spacing w:after="0"/>
        <w:tabs>
          <w:tab w:leader="none" w:pos="2460" w:val="left"/>
        </w:tabs>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8"/>
            <w:szCs w:val="18"/>
            <w:u w:val="single" w:color="auto"/>
            <w:color w:val="0000EE"/>
          </w:rPr>
          <w:t>Financial Statements:</w:t>
        </w:r>
      </w:hyperlink>
    </w:p>
    <w:p>
      <w:pPr>
        <w:spacing w:after="0" w:line="221" w:lineRule="exact"/>
        <w:rPr>
          <w:sz w:val="20"/>
          <w:szCs w:val="20"/>
          <w:color w:val="auto"/>
        </w:rPr>
      </w:pPr>
    </w:p>
    <w:p>
      <w:pPr>
        <w:ind w:left="24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 of Operations (unaudited) –</w:t>
        </w:r>
      </w:hyperlink>
    </w:p>
    <w:p>
      <w:pPr>
        <w:ind w:left="2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Three and Six Months Ended June 30, 2016 and 2015</w:t>
        </w:r>
      </w:hyperlink>
    </w:p>
    <w:p>
      <w:pPr>
        <w:spacing w:after="0" w:line="207" w:lineRule="exact"/>
        <w:rPr>
          <w:sz w:val="20"/>
          <w:szCs w:val="20"/>
          <w:color w:val="auto"/>
        </w:rPr>
      </w:pPr>
    </w:p>
    <w:p>
      <w:pPr>
        <w:ind w:left="24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Comprehensive Income (unaudited) –</w:t>
        </w:r>
      </w:hyperlink>
    </w:p>
    <w:p>
      <w:pPr>
        <w:ind w:left="26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Three and Six Months Ended June 30, 2016 and 2015</w:t>
        </w:r>
      </w:hyperlink>
    </w:p>
    <w:p>
      <w:pPr>
        <w:spacing w:after="0" w:line="207" w:lineRule="exact"/>
        <w:rPr>
          <w:sz w:val="20"/>
          <w:szCs w:val="20"/>
          <w:color w:val="auto"/>
        </w:rPr>
      </w:pPr>
    </w:p>
    <w:p>
      <w:pPr>
        <w:ind w:left="24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 (unaudited) –</w:t>
        </w:r>
      </w:hyperlink>
    </w:p>
    <w:p>
      <w:pPr>
        <w:ind w:left="26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June 30, 2016 and December 31, 2015</w:t>
        </w:r>
      </w:hyperlink>
    </w:p>
    <w:p>
      <w:pPr>
        <w:spacing w:after="0" w:line="207" w:lineRule="exact"/>
        <w:rPr>
          <w:sz w:val="20"/>
          <w:szCs w:val="20"/>
          <w:color w:val="auto"/>
        </w:rPr>
      </w:pPr>
    </w:p>
    <w:p>
      <w:pPr>
        <w:ind w:left="24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Cash Flows (unaudited) –</w:t>
        </w:r>
      </w:hyperlink>
    </w:p>
    <w:p>
      <w:pPr>
        <w:ind w:left="26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Six Months Ended June 30, 2016 and 2015</w:t>
        </w:r>
      </w:hyperlink>
    </w:p>
    <w:p>
      <w:pPr>
        <w:spacing w:after="0" w:line="212" w:lineRule="exact"/>
        <w:rPr>
          <w:sz w:val="20"/>
          <w:szCs w:val="20"/>
          <w:color w:val="auto"/>
        </w:rPr>
      </w:pPr>
    </w:p>
    <w:p>
      <w:pPr>
        <w:ind w:left="24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Financial Statements (unaudited)</w:t>
        </w:r>
      </w:hyperlink>
    </w:p>
    <w:p>
      <w:pPr>
        <w:spacing w:after="0" w:line="225" w:lineRule="exact"/>
        <w:rPr>
          <w:sz w:val="20"/>
          <w:szCs w:val="20"/>
          <w:color w:val="auto"/>
        </w:rPr>
      </w:pPr>
    </w:p>
    <w:p>
      <w:pPr>
        <w:jc w:val="right"/>
        <w:ind w:right="180"/>
        <w:spacing w:after="0"/>
        <w:tabs>
          <w:tab w:leader="none" w:pos="7240" w:val="left"/>
        </w:tabs>
        <w:rPr>
          <w:rFonts w:ascii="Arial" w:cs="Arial" w:eastAsia="Arial" w:hAnsi="Arial"/>
          <w:sz w:val="17"/>
          <w:szCs w:val="17"/>
          <w:u w:val="single" w:color="auto"/>
          <w:color w:val="0000EE"/>
        </w:rPr>
      </w:pPr>
      <w:hyperlink w:anchor="page22">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22">
        <w:r>
          <w:rPr>
            <w:rFonts w:ascii="Arial" w:cs="Arial" w:eastAsia="Arial" w:hAnsi="Arial"/>
            <w:sz w:val="17"/>
            <w:szCs w:val="17"/>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1160"/>
        <w:spacing w:after="0"/>
        <w:tabs>
          <w:tab w:leader="none" w:pos="2460" w:val="left"/>
        </w:tabs>
        <w:rPr>
          <w:rFonts w:ascii="Arial" w:cs="Arial" w:eastAsia="Arial" w:hAnsi="Arial"/>
          <w:sz w:val="17"/>
          <w:szCs w:val="17"/>
          <w:u w:val="single" w:color="auto"/>
          <w:color w:val="0000EE"/>
        </w:rPr>
      </w:pPr>
      <w:hyperlink w:anchor="page29">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29">
        <w:r>
          <w:rPr>
            <w:rFonts w:ascii="Arial" w:cs="Arial" w:eastAsia="Arial" w:hAnsi="Arial"/>
            <w:sz w:val="17"/>
            <w:szCs w:val="17"/>
            <w:u w:val="single" w:color="auto"/>
            <w:color w:val="0000EE"/>
          </w:rPr>
          <w:t>Quantitative and Qualitative Disclosures About Market Risks</w:t>
        </w:r>
      </w:hyperlink>
    </w:p>
    <w:p>
      <w:pPr>
        <w:spacing w:after="0" w:line="225" w:lineRule="exact"/>
        <w:rPr>
          <w:sz w:val="20"/>
          <w:szCs w:val="20"/>
          <w:color w:val="auto"/>
        </w:rPr>
      </w:pPr>
    </w:p>
    <w:p>
      <w:pPr>
        <w:ind w:left="1160"/>
        <w:spacing w:after="0"/>
        <w:tabs>
          <w:tab w:leader="none" w:pos="2460" w:val="left"/>
        </w:tabs>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29">
        <w:r>
          <w:rPr>
            <w:rFonts w:ascii="Arial" w:cs="Arial" w:eastAsia="Arial" w:hAnsi="Arial"/>
            <w:sz w:val="18"/>
            <w:szCs w:val="18"/>
            <w:u w:val="single" w:color="auto"/>
            <w:color w:val="0000EE"/>
          </w:rPr>
          <w:t>Controls and Procedures</w:t>
        </w:r>
      </w:hyperlink>
    </w:p>
    <w:p>
      <w:pPr>
        <w:spacing w:after="0" w:line="203" w:lineRule="exact"/>
        <w:rPr>
          <w:sz w:val="20"/>
          <w:szCs w:val="20"/>
          <w:color w:val="auto"/>
        </w:rPr>
      </w:pPr>
    </w:p>
    <w:p>
      <w:pPr>
        <w:spacing w:after="0"/>
        <w:tabs>
          <w:tab w:leader="none" w:pos="2280" w:val="left"/>
        </w:tabs>
        <w:rPr>
          <w:rFonts w:ascii="Arial" w:cs="Arial" w:eastAsia="Arial" w:hAnsi="Arial"/>
          <w:sz w:val="17"/>
          <w:szCs w:val="17"/>
          <w:b w:val="1"/>
          <w:bCs w:val="1"/>
          <w:u w:val="single" w:color="auto"/>
          <w:color w:val="0000EE"/>
        </w:rPr>
      </w:pPr>
      <w:hyperlink w:anchor="page30">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30">
        <w:r>
          <w:rPr>
            <w:rFonts w:ascii="Arial" w:cs="Arial" w:eastAsia="Arial" w:hAnsi="Arial"/>
            <w:sz w:val="17"/>
            <w:szCs w:val="17"/>
            <w:b w:val="1"/>
            <w:bCs w:val="1"/>
            <w:u w:val="single" w:color="auto"/>
            <w:color w:val="0000EE"/>
          </w:rPr>
          <w:t>Other Information</w:t>
        </w:r>
      </w:hyperlink>
    </w:p>
    <w:p>
      <w:pPr>
        <w:spacing w:after="0" w:line="247" w:lineRule="exact"/>
        <w:rPr>
          <w:sz w:val="20"/>
          <w:szCs w:val="20"/>
          <w:color w:val="auto"/>
        </w:rPr>
      </w:pPr>
    </w:p>
    <w:p>
      <w:pPr>
        <w:ind w:left="1160"/>
        <w:spacing w:after="0"/>
        <w:tabs>
          <w:tab w:leader="none" w:pos="2460" w:val="left"/>
        </w:tabs>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0">
        <w:r>
          <w:rPr>
            <w:rFonts w:ascii="Arial" w:cs="Arial" w:eastAsia="Arial" w:hAnsi="Arial"/>
            <w:sz w:val="18"/>
            <w:szCs w:val="18"/>
            <w:u w:val="single" w:color="auto"/>
            <w:color w:val="0000EE"/>
          </w:rPr>
          <w:t>Legal Proceedings</w:t>
        </w:r>
      </w:hyperlink>
    </w:p>
    <w:p>
      <w:pPr>
        <w:spacing w:after="0" w:line="225" w:lineRule="exact"/>
        <w:rPr>
          <w:sz w:val="20"/>
          <w:szCs w:val="20"/>
          <w:color w:val="auto"/>
        </w:rPr>
      </w:pPr>
    </w:p>
    <w:p>
      <w:pPr>
        <w:ind w:left="1160"/>
        <w:spacing w:after="0"/>
        <w:tabs>
          <w:tab w:leader="none" w:pos="2460" w:val="left"/>
        </w:tabs>
        <w:rPr>
          <w:rFonts w:ascii="Arial" w:cs="Arial" w:eastAsia="Arial" w:hAnsi="Arial"/>
          <w:sz w:val="17"/>
          <w:szCs w:val="17"/>
          <w:u w:val="single" w:color="auto"/>
          <w:color w:val="0000EE"/>
        </w:rPr>
      </w:pPr>
      <w:hyperlink w:anchor="page30">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30">
        <w:r>
          <w:rPr>
            <w:rFonts w:ascii="Arial" w:cs="Arial" w:eastAsia="Arial" w:hAnsi="Arial"/>
            <w:sz w:val="17"/>
            <w:szCs w:val="17"/>
            <w:u w:val="single" w:color="auto"/>
            <w:color w:val="0000EE"/>
          </w:rPr>
          <w:t>Changes in Securities and Use of Proceeds</w:t>
        </w:r>
      </w:hyperlink>
    </w:p>
    <w:p>
      <w:pPr>
        <w:spacing w:after="0" w:line="225" w:lineRule="exact"/>
        <w:rPr>
          <w:sz w:val="20"/>
          <w:szCs w:val="20"/>
          <w:color w:val="auto"/>
        </w:rPr>
      </w:pPr>
    </w:p>
    <w:p>
      <w:pPr>
        <w:ind w:left="1160"/>
        <w:spacing w:after="0"/>
        <w:tabs>
          <w:tab w:leader="none" w:pos="2460" w:val="left"/>
        </w:tabs>
        <w:rPr>
          <w:rFonts w:ascii="Arial" w:cs="Arial" w:eastAsia="Arial" w:hAnsi="Arial"/>
          <w:sz w:val="17"/>
          <w:szCs w:val="17"/>
          <w:u w:val="single" w:color="auto"/>
          <w:color w:val="0000EE"/>
        </w:rPr>
      </w:pPr>
      <w:hyperlink w:anchor="page30">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30">
        <w:r>
          <w:rPr>
            <w:rFonts w:ascii="Arial" w:cs="Arial" w:eastAsia="Arial" w:hAnsi="Arial"/>
            <w:sz w:val="17"/>
            <w:szCs w:val="17"/>
            <w:u w:val="single" w:color="auto"/>
            <w:color w:val="0000EE"/>
          </w:rPr>
          <w:t>Other Information</w:t>
        </w:r>
      </w:hyperlink>
    </w:p>
    <w:p>
      <w:pPr>
        <w:spacing w:after="0" w:line="225" w:lineRule="exact"/>
        <w:rPr>
          <w:sz w:val="20"/>
          <w:szCs w:val="20"/>
          <w:color w:val="auto"/>
        </w:rPr>
      </w:pPr>
    </w:p>
    <w:p>
      <w:pPr>
        <w:ind w:left="1160"/>
        <w:spacing w:after="0"/>
        <w:tabs>
          <w:tab w:leader="none" w:pos="2460" w:val="left"/>
        </w:tabs>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32">
        <w:r>
          <w:rPr>
            <w:rFonts w:ascii="Arial" w:cs="Arial" w:eastAsia="Arial" w:hAnsi="Arial"/>
            <w:sz w:val="18"/>
            <w:szCs w:val="18"/>
            <w:u w:val="single" w:color="auto"/>
            <w:color w:val="0000EE"/>
          </w:rPr>
          <w:t>Exhibits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Signatures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29</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33</w:t>
      </w:r>
    </w:p>
    <w:p>
      <w:pPr>
        <w:spacing w:after="0" w:line="603" w:lineRule="exact"/>
        <w:rPr>
          <w:sz w:val="20"/>
          <w:szCs w:val="20"/>
          <w:color w:val="auto"/>
        </w:rPr>
      </w:pPr>
    </w:p>
    <w:p>
      <w:pPr>
        <w:sectPr>
          <w:pgSz w:w="11900" w:h="16838" w:orient="portrait"/>
          <w:cols w:equalWidth="0" w:num="2">
            <w:col w:w="9740" w:space="720"/>
            <w:col w:w="960"/>
          </w:cols>
          <w:pgMar w:left="240" w:top="391" w:right="239" w:bottom="1440" w:gutter="0" w:footer="0" w:header="0"/>
          <w:type w:val="continuous"/>
        </w:sectPr>
      </w:pPr>
    </w:p>
    <w:p>
      <w:pPr>
        <w:jc w:val="both"/>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2015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financial statements and related footnotes as of June 30, 2016 should be read in conjunction with the financial statements for the year ended December 31, 2015 contained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20" w:type="dxa"/>
            <w:vAlign w:val="bottom"/>
            <w:gridSpan w:val="7"/>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28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8,035</w:t>
            </w:r>
          </w:p>
        </w:tc>
        <w:tc>
          <w:tcPr>
            <w:tcW w:w="52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7,798</w:t>
            </w:r>
          </w:p>
        </w:tc>
        <w:tc>
          <w:tcPr>
            <w:tcW w:w="500" w:type="dxa"/>
            <w:vAlign w:val="bottom"/>
            <w:gridSpan w:val="2"/>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15,654</w:t>
            </w:r>
          </w:p>
        </w:tc>
        <w:tc>
          <w:tcPr>
            <w:tcW w:w="1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1,956</w:t>
            </w:r>
          </w:p>
        </w:tc>
        <w:tc>
          <w:tcPr>
            <w:tcW w:w="22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1,977</w:t>
            </w:r>
          </w:p>
        </w:tc>
        <w:tc>
          <w:tcPr>
            <w:tcW w:w="2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3,859</w:t>
            </w:r>
          </w:p>
        </w:tc>
        <w:tc>
          <w:tcPr>
            <w:tcW w:w="1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E5FFFF"/>
          </w:tcPr>
          <w:p>
            <w:pPr>
              <w:spacing w:after="0"/>
              <w:rPr>
                <w:sz w:val="17"/>
                <w:szCs w:val="17"/>
                <w:color w:val="auto"/>
              </w:rPr>
            </w:pPr>
          </w:p>
        </w:tc>
        <w:tc>
          <w:tcPr>
            <w:tcW w:w="11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9,991</w:t>
            </w:r>
          </w:p>
        </w:tc>
        <w:tc>
          <w:tcPr>
            <w:tcW w:w="22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1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9,775</w:t>
            </w:r>
          </w:p>
        </w:tc>
        <w:tc>
          <w:tcPr>
            <w:tcW w:w="22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19,513</w:t>
            </w: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399"/>
        </w:trPr>
        <w:tc>
          <w:tcPr>
            <w:tcW w:w="526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5,602</w:t>
            </w: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5,541</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10,951</w:t>
            </w: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1,219</w:t>
            </w:r>
          </w:p>
        </w:tc>
        <w:tc>
          <w:tcPr>
            <w:tcW w:w="22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1,273</w:t>
            </w:r>
          </w:p>
        </w:tc>
        <w:tc>
          <w:tcPr>
            <w:tcW w:w="2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6,821</w:t>
            </w: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6,814</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13,368</w:t>
            </w: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13,176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1,329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1,242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1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8,236</w:t>
            </w:r>
          </w:p>
        </w:tc>
        <w:tc>
          <w:tcPr>
            <w:tcW w:w="22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10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8,113</w:t>
            </w:r>
          </w:p>
        </w:tc>
        <w:tc>
          <w:tcPr>
            <w:tcW w:w="22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16,130</w:t>
            </w: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15,762</w:t>
            </w:r>
          </w:p>
        </w:tc>
        <w:tc>
          <w:tcPr>
            <w:tcW w:w="0" w:type="dxa"/>
            <w:vAlign w:val="bottom"/>
          </w:tcPr>
          <w:p>
            <w:pPr>
              <w:spacing w:after="0"/>
              <w:rPr>
                <w:sz w:val="1"/>
                <w:szCs w:val="1"/>
                <w:color w:val="auto"/>
              </w:rPr>
            </w:pPr>
          </w:p>
        </w:tc>
      </w:tr>
      <w:tr>
        <w:trPr>
          <w:trHeight w:val="196"/>
        </w:trPr>
        <w:tc>
          <w:tcPr>
            <w:tcW w:w="526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17"/>
                <w:szCs w:val="17"/>
                <w:color w:val="auto"/>
              </w:rPr>
            </w:pPr>
          </w:p>
        </w:tc>
        <w:tc>
          <w:tcPr>
            <w:tcW w:w="11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1,755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1,662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3,383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28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1,282</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1,194</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280" w:type="dxa"/>
            <w:vAlign w:val="bottom"/>
            <w:tcBorders>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E5FFFF"/>
            </w:tcBorders>
            <w:shd w:val="clear" w:color="auto" w:fill="E5FFFF"/>
          </w:tcPr>
          <w:p>
            <w:pPr>
              <w:spacing w:after="0"/>
              <w:rPr>
                <w:sz w:val="19"/>
                <w:szCs w:val="19"/>
                <w:color w:val="auto"/>
              </w:rPr>
            </w:pPr>
          </w:p>
        </w:tc>
        <w:tc>
          <w:tcPr>
            <w:tcW w:w="300" w:type="dxa"/>
            <w:vAlign w:val="bottom"/>
            <w:tcBorders>
              <w:bottom w:val="single" w:sz="8" w:color="auto"/>
            </w:tcBorders>
            <w:shd w:val="clear" w:color="auto" w:fill="E5FF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E5FFFF"/>
            </w:tcBorders>
            <w:shd w:val="clear" w:color="auto" w:fill="E5FFFF"/>
          </w:tcPr>
          <w:p>
            <w:pPr>
              <w:spacing w:after="0"/>
              <w:rPr>
                <w:sz w:val="19"/>
                <w:szCs w:val="19"/>
                <w:color w:val="auto"/>
              </w:rPr>
            </w:pPr>
          </w:p>
        </w:tc>
        <w:tc>
          <w:tcPr>
            <w:tcW w:w="80" w:type="dxa"/>
            <w:vAlign w:val="bottom"/>
            <w:tcBorders>
              <w:bottom w:val="single" w:sz="8" w:color="E5FFFF"/>
            </w:tcBorders>
            <w:shd w:val="clear" w:color="auto" w:fill="E5FFFF"/>
          </w:tcPr>
          <w:p>
            <w:pPr>
              <w:spacing w:after="0"/>
              <w:rPr>
                <w:sz w:val="19"/>
                <w:szCs w:val="19"/>
                <w:color w:val="auto"/>
              </w:rPr>
            </w:pPr>
          </w:p>
        </w:tc>
        <w:tc>
          <w:tcPr>
            <w:tcW w:w="480" w:type="dxa"/>
            <w:vAlign w:val="bottom"/>
            <w:tcBorders>
              <w:bottom w:val="single" w:sz="8" w:color="auto"/>
            </w:tcBorders>
            <w:shd w:val="clear" w:color="auto" w:fill="E5FF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E5FFFF"/>
            </w:tcBorders>
            <w:vMerge w:val="continue"/>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1.66</w:t>
            </w:r>
          </w:p>
        </w:tc>
        <w:tc>
          <w:tcPr>
            <w:tcW w:w="220" w:type="dxa"/>
            <w:vAlign w:val="bottom"/>
            <w:tcBorders>
              <w:bottom w:val="single" w:sz="8" w:color="E5FF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1"/>
              <w:spacing w:after="0" w:line="183" w:lineRule="exact"/>
              <w:rPr>
                <w:sz w:val="20"/>
                <w:szCs w:val="20"/>
                <w:color w:val="auto"/>
              </w:rPr>
            </w:pPr>
            <w:r>
              <w:rPr>
                <w:rFonts w:ascii="Arial" w:cs="Arial" w:eastAsia="Arial" w:hAnsi="Arial"/>
                <w:sz w:val="18"/>
                <w:szCs w:val="18"/>
                <w:color w:val="auto"/>
              </w:rPr>
              <w:t>1.51</w:t>
            </w:r>
          </w:p>
        </w:tc>
        <w:tc>
          <w:tcPr>
            <w:tcW w:w="220" w:type="dxa"/>
            <w:vAlign w:val="bottom"/>
            <w:tcBorders>
              <w:bottom w:val="single" w:sz="8" w:color="E5FF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3.19</w:t>
            </w:r>
          </w:p>
        </w:tc>
        <w:tc>
          <w:tcPr>
            <w:tcW w:w="120" w:type="dxa"/>
            <w:vAlign w:val="bottom"/>
            <w:tcBorders>
              <w:bottom w:val="single" w:sz="8" w:color="E5FFFF"/>
            </w:tcBorders>
          </w:tcPr>
          <w:p>
            <w:pPr>
              <w:spacing w:after="0"/>
              <w:rPr>
                <w:sz w:val="19"/>
                <w:szCs w:val="19"/>
                <w:color w:val="auto"/>
              </w:rPr>
            </w:pPr>
          </w:p>
        </w:tc>
        <w:tc>
          <w:tcPr>
            <w:tcW w:w="80" w:type="dxa"/>
            <w:vAlign w:val="bottom"/>
            <w:tcBorders>
              <w:bottom w:val="single" w:sz="8" w:color="E5FF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280" w:type="dxa"/>
            <w:vAlign w:val="bottom"/>
            <w:tcBorders>
              <w:bottom w:val="single" w:sz="8" w:color="auto"/>
            </w:tcBorders>
            <w:shd w:val="clear" w:color="auto" w:fill="E5FFFF"/>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0.5950</w:t>
            </w:r>
          </w:p>
        </w:tc>
        <w:tc>
          <w:tcPr>
            <w:tcW w:w="22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auto"/>
            </w:tcBorders>
            <w:shd w:val="clear" w:color="auto" w:fill="E5FF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5FFFF"/>
          </w:tcPr>
          <w:p>
            <w:pPr>
              <w:jc w:val="right"/>
              <w:ind w:right="31"/>
              <w:spacing w:after="0" w:line="183" w:lineRule="exact"/>
              <w:rPr>
                <w:sz w:val="20"/>
                <w:szCs w:val="20"/>
                <w:color w:val="auto"/>
              </w:rPr>
            </w:pPr>
            <w:r>
              <w:rPr>
                <w:rFonts w:ascii="Arial" w:cs="Arial" w:eastAsia="Arial" w:hAnsi="Arial"/>
                <w:sz w:val="18"/>
                <w:szCs w:val="18"/>
                <w:color w:val="auto"/>
              </w:rPr>
              <w:t>0.5175</w:t>
            </w:r>
          </w:p>
        </w:tc>
        <w:tc>
          <w:tcPr>
            <w:tcW w:w="22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auto"/>
            </w:tcBorders>
            <w:shd w:val="clear" w:color="auto" w:fill="E5FFFF"/>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1.1900</w:t>
            </w:r>
          </w:p>
        </w:tc>
        <w:tc>
          <w:tcPr>
            <w:tcW w:w="120" w:type="dxa"/>
            <w:vAlign w:val="bottom"/>
            <w:tcBorders>
              <w:bottom w:val="single" w:sz="8" w:color="E5FFFF"/>
            </w:tcBorders>
            <w:shd w:val="clear" w:color="auto" w:fill="E5FFFF"/>
          </w:tcPr>
          <w:p>
            <w:pPr>
              <w:spacing w:after="0"/>
              <w:rPr>
                <w:sz w:val="15"/>
                <w:szCs w:val="15"/>
                <w:color w:val="auto"/>
              </w:rPr>
            </w:pPr>
          </w:p>
        </w:tc>
        <w:tc>
          <w:tcPr>
            <w:tcW w:w="80" w:type="dxa"/>
            <w:vAlign w:val="bottom"/>
            <w:tcBorders>
              <w:bottom w:val="single" w:sz="8" w:color="E5FFFF"/>
            </w:tcBorders>
            <w:shd w:val="clear" w:color="auto" w:fill="E5FFFF"/>
          </w:tcPr>
          <w:p>
            <w:pPr>
              <w:spacing w:after="0"/>
              <w:rPr>
                <w:sz w:val="15"/>
                <w:szCs w:val="15"/>
                <w:color w:val="auto"/>
              </w:rPr>
            </w:pPr>
          </w:p>
        </w:tc>
        <w:tc>
          <w:tcPr>
            <w:tcW w:w="480" w:type="dxa"/>
            <w:vAlign w:val="bottom"/>
            <w:tcBorders>
              <w:bottom w:val="single" w:sz="8" w:color="auto"/>
            </w:tcBorders>
            <w:shd w:val="clear" w:color="auto" w:fill="E5FFFF"/>
          </w:tcPr>
          <w:p>
            <w:pPr>
              <w:jc w:val="right"/>
              <w:ind w:right="29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020" w:type="dxa"/>
            <w:vAlign w:val="bottom"/>
            <w:gridSpan w:val="5"/>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shd w:val="clear" w:color="auto" w:fill="E5FFFF"/>
          </w:tcPr>
          <w:p>
            <w:pPr>
              <w:jc w:val="right"/>
              <w:ind w:right="619"/>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1,290</w:t>
            </w:r>
          </w:p>
        </w:tc>
        <w:tc>
          <w:tcPr>
            <w:tcW w:w="52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1,222</w:t>
            </w:r>
          </w:p>
        </w:tc>
        <w:tc>
          <w:tcPr>
            <w:tcW w:w="68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2,486</w:t>
            </w:r>
          </w:p>
        </w:tc>
        <w:tc>
          <w:tcPr>
            <w:tcW w:w="20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800" w:type="dxa"/>
            <w:vAlign w:val="bottom"/>
            <w:shd w:val="clear" w:color="auto" w:fill="E5FFFF"/>
          </w:tcPr>
          <w:p>
            <w:pPr>
              <w:spacing w:after="0"/>
              <w:rPr>
                <w:sz w:val="17"/>
                <w:szCs w:val="17"/>
                <w:color w:val="auto"/>
              </w:rPr>
            </w:pPr>
          </w:p>
        </w:tc>
        <w:tc>
          <w:tcPr>
            <w:tcW w:w="6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211</w:t>
            </w:r>
          </w:p>
        </w:tc>
        <w:tc>
          <w:tcPr>
            <w:tcW w:w="2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48</w:t>
            </w:r>
          </w:p>
        </w:tc>
        <w:tc>
          <w:tcPr>
            <w:tcW w:w="2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40" w:type="dxa"/>
            <w:vAlign w:val="bottom"/>
          </w:tcPr>
          <w:p>
            <w:pPr>
              <w:ind w:left="520"/>
              <w:spacing w:after="0"/>
              <w:rPr>
                <w:sz w:val="20"/>
                <w:szCs w:val="20"/>
                <w:color w:val="auto"/>
              </w:rPr>
            </w:pPr>
            <w:r>
              <w:rPr>
                <w:rFonts w:ascii="Arial" w:cs="Arial" w:eastAsia="Arial" w:hAnsi="Arial"/>
                <w:sz w:val="18"/>
                <w:szCs w:val="18"/>
                <w:color w:val="auto"/>
              </w:rPr>
              <w:t>Actuarial losses</w:t>
            </w:r>
          </w:p>
        </w:tc>
        <w:tc>
          <w:tcPr>
            <w:tcW w:w="80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Actuarial losses recognized</w:t>
            </w:r>
          </w:p>
        </w:tc>
        <w:tc>
          <w:tcPr>
            <w:tcW w:w="800" w:type="dxa"/>
            <w:vAlign w:val="bottom"/>
            <w:shd w:val="clear" w:color="auto" w:fill="E5FFFF"/>
          </w:tcPr>
          <w:p>
            <w:pPr>
              <w:spacing w:after="0"/>
              <w:rPr>
                <w:sz w:val="17"/>
                <w:szCs w:val="17"/>
                <w:color w:val="auto"/>
              </w:rPr>
            </w:pPr>
          </w:p>
        </w:tc>
        <w:tc>
          <w:tcPr>
            <w:tcW w:w="60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Prior service credits recognized</w:t>
            </w: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Pension and other postretirement benefits adjustments</w:t>
            </w:r>
          </w:p>
        </w:tc>
        <w:tc>
          <w:tcPr>
            <w:tcW w:w="800" w:type="dxa"/>
            <w:vAlign w:val="bottom"/>
            <w:shd w:val="clear" w:color="auto" w:fill="E5FFFF"/>
          </w:tcPr>
          <w:p>
            <w:pPr>
              <w:spacing w:after="0"/>
              <w:rPr>
                <w:sz w:val="17"/>
                <w:szCs w:val="17"/>
                <w:color w:val="auto"/>
              </w:rPr>
            </w:pPr>
          </w:p>
        </w:tc>
        <w:tc>
          <w:tcPr>
            <w:tcW w:w="6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(15)</w:t>
            </w: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w:t>
            </w:r>
          </w:p>
        </w:tc>
        <w:tc>
          <w:tcPr>
            <w:tcW w:w="2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w:t>
            </w:r>
          </w:p>
        </w:tc>
        <w:tc>
          <w:tcPr>
            <w:tcW w:w="2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240" w:type="dxa"/>
            <w:vAlign w:val="bottom"/>
          </w:tcPr>
          <w:p>
            <w:pPr>
              <w:ind w:left="520"/>
              <w:spacing w:after="0"/>
              <w:rPr>
                <w:sz w:val="20"/>
                <w:szCs w:val="20"/>
                <w:color w:val="auto"/>
              </w:rPr>
            </w:pPr>
            <w:r>
              <w:rPr>
                <w:rFonts w:ascii="Arial" w:cs="Arial" w:eastAsia="Arial" w:hAnsi="Arial"/>
                <w:sz w:val="18"/>
                <w:szCs w:val="18"/>
                <w:color w:val="auto"/>
              </w:rPr>
              <w:t>Effective portion of cash flow hedges recognized</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ind w:left="700"/>
              <w:spacing w:after="0" w:line="203" w:lineRule="exact"/>
              <w:rPr>
                <w:sz w:val="20"/>
                <w:szCs w:val="20"/>
                <w:color w:val="auto"/>
              </w:rPr>
            </w:pPr>
            <w:r>
              <w:rPr>
                <w:rFonts w:ascii="Arial" w:cs="Arial" w:eastAsia="Arial" w:hAnsi="Arial"/>
                <w:sz w:val="18"/>
                <w:szCs w:val="18"/>
                <w:color w:val="auto"/>
              </w:rPr>
              <w:t>in other comprehensive income (loss)</w:t>
            </w:r>
          </w:p>
        </w:tc>
        <w:tc>
          <w:tcPr>
            <w:tcW w:w="800" w:type="dxa"/>
            <w:vAlign w:val="bottom"/>
          </w:tcPr>
          <w:p>
            <w:pPr>
              <w:spacing w:after="0"/>
              <w:rPr>
                <w:sz w:val="17"/>
                <w:szCs w:val="17"/>
                <w:color w:val="auto"/>
              </w:rPr>
            </w:pPr>
          </w:p>
        </w:tc>
        <w:tc>
          <w:tcPr>
            <w:tcW w:w="6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3"/>
              <w:spacing w:after="0" w:line="203"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Less: Reclassification adjustment for gains</w:t>
            </w:r>
          </w:p>
        </w:tc>
        <w:tc>
          <w:tcPr>
            <w:tcW w:w="8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E5FFFF"/>
          </w:tcPr>
          <w:p>
            <w:pPr>
              <w:ind w:left="700"/>
              <w:spacing w:after="0"/>
              <w:rPr>
                <w:sz w:val="20"/>
                <w:szCs w:val="20"/>
                <w:color w:val="auto"/>
              </w:rPr>
            </w:pPr>
            <w:r>
              <w:rPr>
                <w:rFonts w:ascii="Arial" w:cs="Arial" w:eastAsia="Arial" w:hAnsi="Arial"/>
                <w:sz w:val="18"/>
                <w:szCs w:val="18"/>
                <w:color w:val="auto"/>
              </w:rPr>
              <w:t>(losses) included in net income</w:t>
            </w:r>
          </w:p>
        </w:tc>
        <w:tc>
          <w:tcPr>
            <w:tcW w:w="800" w:type="dxa"/>
            <w:vAlign w:val="bottom"/>
            <w:tcBorders>
              <w:bottom w:val="single" w:sz="8" w:color="auto"/>
            </w:tcBorders>
            <w:shd w:val="clear" w:color="auto" w:fill="E5FFFF"/>
          </w:tcPr>
          <w:p>
            <w:pPr>
              <w:spacing w:after="0"/>
              <w:rPr>
                <w:sz w:val="18"/>
                <w:szCs w:val="18"/>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31</w:t>
            </w:r>
          </w:p>
        </w:tc>
        <w:tc>
          <w:tcPr>
            <w:tcW w:w="22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Changes in fair value of effective cash flow hedges</w:t>
            </w:r>
          </w:p>
        </w:tc>
        <w:tc>
          <w:tcPr>
            <w:tcW w:w="8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800" w:type="dxa"/>
            <w:vAlign w:val="bottom"/>
            <w:tcBorders>
              <w:bottom w:val="single" w:sz="8" w:color="auto"/>
            </w:tcBorders>
            <w:shd w:val="clear" w:color="auto" w:fill="E5FFFF"/>
          </w:tcPr>
          <w:p>
            <w:pPr>
              <w:spacing w:after="0"/>
              <w:rPr>
                <w:sz w:val="17"/>
                <w:szCs w:val="17"/>
                <w:color w:val="auto"/>
              </w:rPr>
            </w:pPr>
          </w:p>
        </w:tc>
        <w:tc>
          <w:tcPr>
            <w:tcW w:w="6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(44)</w:t>
            </w:r>
          </w:p>
        </w:tc>
        <w:tc>
          <w:tcPr>
            <w:tcW w:w="22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10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130</w:t>
            </w:r>
          </w:p>
        </w:tc>
        <w:tc>
          <w:tcPr>
            <w:tcW w:w="220" w:type="dxa"/>
            <w:vAlign w:val="bottom"/>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36</w:t>
            </w:r>
          </w:p>
        </w:tc>
        <w:tc>
          <w:tcPr>
            <w:tcW w:w="20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399"/>
        </w:trPr>
        <w:tc>
          <w:tcPr>
            <w:tcW w:w="52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1,352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2,522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Less: Comprehensive income attributable to the</w:t>
            </w:r>
          </w:p>
        </w:tc>
        <w:tc>
          <w:tcPr>
            <w:tcW w:w="8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E5FFFF"/>
          </w:tcPr>
          <w:p>
            <w:pPr>
              <w:ind w:left="700"/>
              <w:spacing w:after="0"/>
              <w:rPr>
                <w:sz w:val="20"/>
                <w:szCs w:val="20"/>
                <w:color w:val="auto"/>
              </w:rPr>
            </w:pPr>
            <w:r>
              <w:rPr>
                <w:rFonts w:ascii="Arial" w:cs="Arial" w:eastAsia="Arial" w:hAnsi="Arial"/>
                <w:sz w:val="18"/>
                <w:szCs w:val="18"/>
                <w:color w:val="auto"/>
              </w:rPr>
              <w:t>noncontrolling interest</w:t>
            </w:r>
          </w:p>
        </w:tc>
        <w:tc>
          <w:tcPr>
            <w:tcW w:w="800" w:type="dxa"/>
            <w:vAlign w:val="bottom"/>
            <w:tcBorders>
              <w:bottom w:val="single" w:sz="8" w:color="auto"/>
            </w:tcBorders>
            <w:shd w:val="clear" w:color="auto" w:fill="E5FFFF"/>
          </w:tcPr>
          <w:p>
            <w:pPr>
              <w:spacing w:after="0"/>
              <w:rPr>
                <w:sz w:val="18"/>
                <w:szCs w:val="18"/>
                <w:color w:val="auto"/>
              </w:rPr>
            </w:pPr>
          </w:p>
        </w:tc>
        <w:tc>
          <w:tcPr>
            <w:tcW w:w="60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1,241</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1,324</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2,507</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40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5,045</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Accounts, notes and other receivables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8,730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Inventories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4,678</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Investments and other current assets</w:t>
            </w:r>
          </w:p>
        </w:tc>
        <w:tc>
          <w:tcPr>
            <w:tcW w:w="8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1,927</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20,380</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405"/>
        </w:trPr>
        <w:tc>
          <w:tcPr>
            <w:tcW w:w="7020" w:type="dxa"/>
            <w:vAlign w:val="bottom"/>
            <w:gridSpan w:val="2"/>
          </w:tcPr>
          <w:p>
            <w:pPr>
              <w:spacing w:after="0"/>
              <w:rPr>
                <w:sz w:val="20"/>
                <w:szCs w:val="20"/>
                <w:color w:val="auto"/>
              </w:rPr>
            </w:pPr>
            <w:r>
              <w:rPr>
                <w:rFonts w:ascii="Arial" w:cs="Arial" w:eastAsia="Arial" w:hAnsi="Arial"/>
                <w:sz w:val="18"/>
                <w:szCs w:val="18"/>
                <w:color w:val="auto"/>
              </w:rPr>
              <w:t>Investments and long-term receivables</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6,086</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16,688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4,557</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328</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2,153</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51,181</w:t>
            </w: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E5FFFF"/>
          </w:tcPr>
          <w:p>
            <w:pPr>
              <w:spacing w:after="0" w:line="20" w:lineRule="exact"/>
              <w:rPr>
                <w:sz w:val="1"/>
                <w:szCs w:val="1"/>
                <w:color w:val="auto"/>
              </w:rPr>
            </w:pPr>
          </w:p>
        </w:tc>
        <w:tc>
          <w:tcPr>
            <w:tcW w:w="880" w:type="dxa"/>
            <w:vAlign w:val="bottom"/>
            <w:shd w:val="clear" w:color="auto" w:fill="E5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Current liabilities: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5,598</w:t>
            </w:r>
          </w:p>
        </w:tc>
        <w:tc>
          <w:tcPr>
            <w:tcW w:w="3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3,788</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618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5,907</w:t>
            </w:r>
          </w:p>
        </w:tc>
        <w:tc>
          <w:tcPr>
            <w:tcW w:w="3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15,911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18,371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9,607</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767</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489</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4,203</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419"/>
        </w:trPr>
        <w:tc>
          <w:tcPr>
            <w:tcW w:w="702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580"/>
              <w:spacing w:after="0" w:line="202" w:lineRule="exact"/>
              <w:rPr>
                <w:sz w:val="20"/>
                <w:szCs w:val="20"/>
                <w:color w:val="auto"/>
              </w:rPr>
            </w:pPr>
            <w:r>
              <w:rPr>
                <w:rFonts w:ascii="Arial" w:cs="Arial" w:eastAsia="Arial" w:hAnsi="Arial"/>
                <w:sz w:val="18"/>
                <w:szCs w:val="18"/>
                <w:color w:val="auto"/>
              </w:rPr>
              <w:t>- additional paid-in capital</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5,681</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(13,071)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(2,499)</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Retained earnings</w:t>
            </w:r>
          </w:p>
        </w:tc>
        <w:tc>
          <w:tcPr>
            <w:tcW w:w="8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27,702</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8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18,771</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Noncontrolling interest</w:t>
            </w:r>
          </w:p>
        </w:tc>
        <w:tc>
          <w:tcPr>
            <w:tcW w:w="8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88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18,942</w:t>
            </w:r>
          </w:p>
        </w:tc>
        <w:tc>
          <w:tcPr>
            <w:tcW w:w="34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51,181</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59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2,486</w:t>
            </w:r>
          </w:p>
        </w:tc>
        <w:tc>
          <w:tcPr>
            <w:tcW w:w="34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44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18</w:t>
            </w:r>
          </w:p>
        </w:tc>
        <w:tc>
          <w:tcPr>
            <w:tcW w:w="34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2,468</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364</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Amortization</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149</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265</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(266)</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(81)</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96</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182</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notes and other receivables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(513)</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520"/>
              <w:spacing w:after="0" w:line="202" w:lineRule="exact"/>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ind w:left="5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E5FF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1,801</w:t>
            </w:r>
          </w:p>
        </w:tc>
        <w:tc>
          <w:tcPr>
            <w:tcW w:w="34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(1,821)</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1,785</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34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440" w:type="dxa"/>
            <w:vAlign w:val="bottom"/>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spacing w:after="0"/>
              <w:rPr>
                <w:sz w:val="17"/>
                <w:szCs w:val="17"/>
                <w:color w:val="auto"/>
              </w:rPr>
            </w:pP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(1,542)</w:t>
            </w:r>
          </w:p>
        </w:tc>
        <w:tc>
          <w:tcPr>
            <w:tcW w:w="34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(decrease) increase in commercial paper and other short-term borrowings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(2,224)</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243</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4,473</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68</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(1,633)</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dividends paid</w:t>
            </w:r>
          </w:p>
        </w:tc>
        <w:tc>
          <w:tcPr>
            <w:tcW w:w="4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(957)</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Payments to purchase the noncontrolling interest</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18</w:t>
            </w:r>
          </w:p>
        </w:tc>
        <w:tc>
          <w:tcPr>
            <w:tcW w:w="34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4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(720)</w:t>
            </w: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4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51</w:t>
            </w:r>
          </w:p>
        </w:tc>
        <w:tc>
          <w:tcPr>
            <w:tcW w:w="34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6"/>
        </w:trPr>
        <w:tc>
          <w:tcPr>
            <w:tcW w:w="7460" w:type="dxa"/>
            <w:vAlign w:val="bottom"/>
            <w:gridSpan w:val="2"/>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(410)</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5,455</w:t>
            </w:r>
          </w:p>
        </w:tc>
        <w:tc>
          <w:tcPr>
            <w:tcW w:w="34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5,045</w:t>
            </w:r>
          </w:p>
        </w:tc>
        <w:tc>
          <w:tcPr>
            <w:tcW w:w="3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June 30, 2016, the results of operations for the quarter and six months ended June 30, 2016 and 2015 and the cash flows for the six months ended June 30, 2016 and 2015. The results of operations for the three and six months ended June 30, 2016 should not necessarily be taken as indicative of the results of operations expected for the entire year.</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six months ended June 30, 2016 and 2015 were July 2, 2016 and June 27,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Accounting pronouncements not listed below were assessed and determined to be either not applicable or are expected to have minimal impact on our consolidated financial position or results of operations.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and in subsequent related updates and amendments, the Financial Accounting Standards Board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the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was deferred for one year to the interim and annual periods beginning on or after December 15, 2017. Early adoption is permitted as of the original effective date – interim and annual periods beginning on or after December 15, 2016.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and will be effective for interim and annual periods beginning after December 15, 2018. Early adoption is permitted. The guidance requires the use of a modified retrospective approach. We are evaluating the impact of the guidance on our consolidated financial position, results of operations and related disclosures.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March 2016, the FASB issued amended guidance related to employee share-based payment accounting. The guidance requires all income tax effects of awards to be recognized in the income statement on a prospective basis. The guidance also requires presentation of excess tax benefits as an operating activity on the statement of cash flows rather than as a financing activity, and can be applied retrospectively or prospectively. The guidance increases the amount companies can withhold to pay income taxes on awards without triggering liability classification for shares used to satisfy statutory income tax withholding obligations and requires application of a modified retrospective transition method. The amended guidance will be effective for interim and annual periods beginning after December 15, 2016; early adoption is permitted if all provisions are adopted in the same period. We are evaluating the impact of the amended guidance on our consolidated financial position, results of operations and related disclosures.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During the six months ended June 30, 2016, we acquired businesses for an aggregate cost (net of cash acquired and debt assumed) of $1,053 million.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July 2016, the Company entered into a definitive agreement to acquire Intelligrated, a leading provider of supply chain and warehouse automation technologies, for approximately $1.5 billion. The transaction is expected to close in the third quarter of 2016, pending regulatory approval. Intelligrated will be integrated into the Safety and Productivity Solutions segment. See Note 14 Subsequent Event of Notes to Financial Statements for further discussion of the Automation and Control Solutions (ACS) realignment announced in July 2016.</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In December 2015, the Company acquired the Elster Division of Melrose Industries plc (Elster) for an aggregate value, net of cash acquired, of approximately $4,899 million. Elster is part of ACS and Performance Materials and Technologies (PMT). The following table summarizes the updated fair value estimates of the Elster assets and liabilities acquired as of the acquisition date:</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8"/>
                <w:szCs w:val="18"/>
                <w:color w:val="auto"/>
              </w:rPr>
              <w:t>Current assets</w:t>
            </w:r>
          </w:p>
        </w:tc>
        <w:tc>
          <w:tcPr>
            <w:tcW w:w="33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525</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2,255</w:t>
            </w: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noncurrent assets</w:t>
            </w:r>
          </w:p>
        </w:tc>
        <w:tc>
          <w:tcPr>
            <w:tcW w:w="30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207</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8"/>
                <w:szCs w:val="18"/>
                <w:color w:val="auto"/>
              </w:rPr>
              <w:t>Noncurrent liabilities</w:t>
            </w:r>
          </w:p>
        </w:tc>
        <w:tc>
          <w:tcPr>
            <w:tcW w:w="306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(988)</w:t>
            </w:r>
          </w:p>
        </w:tc>
      </w:tr>
      <w:tr>
        <w:trPr>
          <w:trHeight w:val="196"/>
        </w:trPr>
        <w:tc>
          <w:tcPr>
            <w:tcW w:w="20" w:type="dxa"/>
            <w:vAlign w:val="bottom"/>
          </w:tcPr>
          <w:p>
            <w:pPr>
              <w:spacing w:after="0"/>
              <w:rPr>
                <w:sz w:val="17"/>
                <w:szCs w:val="17"/>
                <w:color w:val="auto"/>
              </w:rPr>
            </w:pPr>
          </w:p>
        </w:tc>
        <w:tc>
          <w:tcPr>
            <w:tcW w:w="4980" w:type="dxa"/>
            <w:vAlign w:val="bottom"/>
          </w:tcPr>
          <w:p>
            <w:pPr>
              <w:ind w:left="160"/>
              <w:spacing w:after="0" w:line="196" w:lineRule="exact"/>
              <w:rPr>
                <w:sz w:val="20"/>
                <w:szCs w:val="20"/>
                <w:color w:val="auto"/>
              </w:rPr>
            </w:pPr>
            <w:r>
              <w:rPr>
                <w:rFonts w:ascii="Arial" w:cs="Arial" w:eastAsia="Arial" w:hAnsi="Arial"/>
                <w:sz w:val="18"/>
                <w:szCs w:val="18"/>
                <w:color w:val="auto"/>
              </w:rPr>
              <w:t>Net assets acquired</w:t>
            </w:r>
          </w:p>
        </w:tc>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1,562</w:t>
            </w: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Noncontrolling interest</w:t>
            </w:r>
          </w:p>
        </w:tc>
        <w:tc>
          <w:tcPr>
            <w:tcW w:w="30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3,340</w:t>
            </w: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E5FFFF"/>
          </w:tcPr>
          <w:p>
            <w:pPr>
              <w:spacing w:after="0" w:line="20" w:lineRule="exact"/>
              <w:rPr>
                <w:sz w:val="1"/>
                <w:szCs w:val="1"/>
                <w:color w:val="auto"/>
              </w:rPr>
            </w:pPr>
          </w:p>
        </w:tc>
        <w:tc>
          <w:tcPr>
            <w:tcW w:w="3060" w:type="dxa"/>
            <w:vAlign w:val="bottom"/>
            <w:shd w:val="clear" w:color="auto" w:fill="E5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Purchase Price</w:t>
            </w:r>
          </w:p>
        </w:tc>
        <w:tc>
          <w:tcPr>
            <w:tcW w:w="33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4,899</w:t>
            </w: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E5FFFF"/>
            </w:tcBorders>
          </w:tcPr>
          <w:p>
            <w:pPr>
              <w:spacing w:after="0" w:line="20" w:lineRule="exact"/>
              <w:rPr>
                <w:sz w:val="1"/>
                <w:szCs w:val="1"/>
                <w:color w:val="auto"/>
              </w:rPr>
            </w:pPr>
          </w:p>
        </w:tc>
        <w:tc>
          <w:tcPr>
            <w:tcW w:w="30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purchase accounting for Elster is subject to final adjustment, primarily for the valuation of intangible assets, amounts allocated to goodwill, tax balances and certain pre-acquisition contingencies.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May 2016, the Company announced its intention to spin off its Resins and Chemicals business into a standalone, publicly-traded company (to be named AdvanSix) to Honeywell shareowners. The transaction is expected to be completed by the end of 2016 and is subject to certain customary conditions, including, among others, assurance that the spin-off will be tax-free to Honeywell shareowners, the effectiveness of appropriate filings with the U.S. Securities and Exchange Commission, and final approval by Honeywell’s Board of Directors. The Resins and Chemicals business is part of PMT.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75"/>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r>
      <w:tr>
        <w:trPr>
          <w:trHeight w:val="196"/>
        </w:trPr>
        <w:tc>
          <w:tcPr>
            <w:tcW w:w="45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196"/>
        </w:trPr>
        <w:tc>
          <w:tcPr>
            <w:tcW w:w="45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4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70</w:t>
            </w:r>
          </w:p>
        </w:tc>
        <w:tc>
          <w:tcPr>
            <w:tcW w:w="36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38</w:t>
            </w:r>
          </w:p>
        </w:tc>
        <w:tc>
          <w:tcPr>
            <w:tcW w:w="34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98</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75</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w:t>
            </w:r>
          </w:p>
        </w:tc>
      </w:tr>
      <w:tr>
        <w:trPr>
          <w:trHeight w:val="203"/>
        </w:trPr>
        <w:tc>
          <w:tcPr>
            <w:tcW w:w="45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4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w:t>
            </w:r>
          </w:p>
        </w:tc>
      </w:tr>
      <w:tr>
        <w:trPr>
          <w:trHeight w:val="203"/>
        </w:trPr>
        <w:tc>
          <w:tcPr>
            <w:tcW w:w="454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Reserve adjustments</w:t>
            </w:r>
          </w:p>
        </w:tc>
        <w:tc>
          <w:tcPr>
            <w:tcW w:w="40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36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32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96"/>
        </w:trPr>
        <w:tc>
          <w:tcPr>
            <w:tcW w:w="454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40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53</w:t>
            </w:r>
          </w:p>
        </w:tc>
        <w:tc>
          <w:tcPr>
            <w:tcW w:w="36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34</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73</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73</w:t>
            </w:r>
          </w:p>
        </w:tc>
      </w:tr>
      <w:tr>
        <w:trPr>
          <w:trHeight w:val="399"/>
        </w:trPr>
        <w:tc>
          <w:tcPr>
            <w:tcW w:w="454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02"/>
        </w:trPr>
        <w:tc>
          <w:tcPr>
            <w:tcW w:w="45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Probable and reasonably estimable environmental</w:t>
            </w:r>
          </w:p>
        </w:tc>
        <w:tc>
          <w:tcPr>
            <w:tcW w:w="4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r>
      <w:tr>
        <w:trPr>
          <w:trHeight w:val="203"/>
        </w:trPr>
        <w:tc>
          <w:tcPr>
            <w:tcW w:w="454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liabilities</w:t>
            </w:r>
          </w:p>
        </w:tc>
        <w:tc>
          <w:tcPr>
            <w:tcW w:w="40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jc w:val="right"/>
              <w:ind w:right="32"/>
              <w:spacing w:after="0" w:line="203" w:lineRule="exact"/>
              <w:rPr>
                <w:sz w:val="20"/>
                <w:szCs w:val="20"/>
                <w:color w:val="auto"/>
              </w:rPr>
            </w:pPr>
            <w:r>
              <w:rPr>
                <w:rFonts w:ascii="Arial" w:cs="Arial" w:eastAsia="Arial" w:hAnsi="Arial"/>
                <w:sz w:val="18"/>
                <w:szCs w:val="18"/>
                <w:color w:val="auto"/>
              </w:rPr>
              <w:t>31</w:t>
            </w:r>
          </w:p>
        </w:tc>
        <w:tc>
          <w:tcPr>
            <w:tcW w:w="36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49</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5"/>
              <w:spacing w:after="0" w:line="203" w:lineRule="exact"/>
              <w:rPr>
                <w:sz w:val="20"/>
                <w:szCs w:val="20"/>
                <w:color w:val="auto"/>
              </w:rPr>
            </w:pPr>
            <w:r>
              <w:rPr>
                <w:rFonts w:ascii="Arial" w:cs="Arial" w:eastAsia="Arial" w:hAnsi="Arial"/>
                <w:sz w:val="18"/>
                <w:szCs w:val="18"/>
                <w:color w:val="auto"/>
              </w:rPr>
              <w:t>83</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12"/>
              <w:spacing w:after="0" w:line="203" w:lineRule="exact"/>
              <w:rPr>
                <w:sz w:val="20"/>
                <w:szCs w:val="20"/>
                <w:color w:val="auto"/>
              </w:rPr>
            </w:pPr>
            <w:r>
              <w:rPr>
                <w:rFonts w:ascii="Arial" w:cs="Arial" w:eastAsia="Arial" w:hAnsi="Arial"/>
                <w:sz w:val="18"/>
                <w:szCs w:val="18"/>
                <w:color w:val="auto"/>
              </w:rPr>
              <w:t>95</w:t>
            </w:r>
          </w:p>
        </w:tc>
      </w:tr>
      <w:tr>
        <w:trPr>
          <w:trHeight w:val="426"/>
        </w:trPr>
        <w:tc>
          <w:tcPr>
            <w:tcW w:w="4540" w:type="dxa"/>
            <w:vAlign w:val="bottom"/>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13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2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24"/>
                <w:szCs w:val="24"/>
                <w:color w:val="auto"/>
              </w:rPr>
            </w:pP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260</w:t>
            </w:r>
          </w:p>
        </w:tc>
      </w:tr>
      <w:tr>
        <w:trPr>
          <w:trHeight w:val="20"/>
        </w:trPr>
        <w:tc>
          <w:tcPr>
            <w:tcW w:w="4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201"/>
        </w:trPr>
        <w:tc>
          <w:tcPr>
            <w:tcW w:w="4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4260" w:type="dxa"/>
            <w:vAlign w:val="bottom"/>
            <w:tcBorders>
              <w:bottom w:val="single" w:sz="8" w:color="E5FFFF"/>
            </w:tcBorders>
          </w:tcPr>
          <w:p>
            <w:pPr>
              <w:spacing w:after="0"/>
              <w:rPr>
                <w:sz w:val="17"/>
                <w:szCs w:val="17"/>
                <w:color w:val="auto"/>
              </w:rPr>
            </w:pPr>
          </w:p>
        </w:tc>
        <w:tc>
          <w:tcPr>
            <w:tcW w:w="68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112</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184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234</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37</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w:t>
            </w:r>
          </w:p>
        </w:tc>
      </w:tr>
      <w:tr>
        <w:trPr>
          <w:trHeight w:val="203"/>
        </w:trPr>
        <w:tc>
          <w:tcPr>
            <w:tcW w:w="4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24</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spacing w:after="0"/>
              <w:rPr>
                <w:sz w:val="19"/>
                <w:szCs w:val="19"/>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140</w:t>
            </w:r>
          </w:p>
        </w:tc>
        <w:tc>
          <w:tcPr>
            <w:tcW w:w="8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9"/>
                <w:szCs w:val="19"/>
                <w:color w:val="auto"/>
              </w:rPr>
            </w:pP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260</w:t>
            </w:r>
          </w:p>
        </w:tc>
      </w:tr>
      <w:tr>
        <w:trPr>
          <w:trHeight w:val="20"/>
        </w:trPr>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201"/>
        </w:trPr>
        <w:tc>
          <w:tcPr>
            <w:tcW w:w="4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4100" w:type="dxa"/>
            <w:vAlign w:val="bottom"/>
            <w:tcBorders>
              <w:bottom w:val="single" w:sz="8" w:color="E5FFFF"/>
            </w:tcBorders>
          </w:tcPr>
          <w:p>
            <w:pPr>
              <w:spacing w:after="0"/>
              <w:rPr>
                <w:sz w:val="17"/>
                <w:szCs w:val="17"/>
                <w:color w:val="auto"/>
              </w:rPr>
            </w:pPr>
          </w:p>
        </w:tc>
        <w:tc>
          <w:tcPr>
            <w:tcW w:w="8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196"/>
        </w:trPr>
        <w:tc>
          <w:tcPr>
            <w:tcW w:w="41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72</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48</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121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96</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w:t>
            </w:r>
          </w:p>
        </w:tc>
      </w:tr>
      <w:tr>
        <w:trPr>
          <w:trHeight w:val="203"/>
        </w:trPr>
        <w:tc>
          <w:tcPr>
            <w:tcW w:w="41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27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21</w:t>
            </w:r>
          </w:p>
        </w:tc>
      </w:tr>
      <w:tr>
        <w:trPr>
          <w:trHeight w:val="203"/>
        </w:trPr>
        <w:tc>
          <w:tcPr>
            <w:tcW w:w="410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Corporate</w:t>
            </w:r>
          </w:p>
        </w:tc>
        <w:tc>
          <w:tcPr>
            <w:tcW w:w="8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42</w:t>
            </w:r>
          </w:p>
        </w:tc>
        <w:tc>
          <w:tcPr>
            <w:tcW w:w="36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52</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102</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104</w:t>
            </w:r>
          </w:p>
        </w:tc>
      </w:tr>
      <w:tr>
        <w:trPr>
          <w:trHeight w:val="196"/>
        </w:trPr>
        <w:tc>
          <w:tcPr>
            <w:tcW w:w="4100" w:type="dxa"/>
            <w:vAlign w:val="bottom"/>
            <w:tcBorders>
              <w:bottom w:val="single" w:sz="8" w:color="E5FFFF"/>
            </w:tcBorders>
            <w:shd w:val="clear" w:color="auto" w:fill="E5FFFF"/>
          </w:tcPr>
          <w:p>
            <w:pPr>
              <w:spacing w:after="0"/>
              <w:rPr>
                <w:sz w:val="17"/>
                <w:szCs w:val="17"/>
                <w:color w:val="auto"/>
              </w:rPr>
            </w:pPr>
          </w:p>
        </w:tc>
        <w:tc>
          <w:tcPr>
            <w:tcW w:w="8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140</w:t>
            </w:r>
          </w:p>
        </w:tc>
        <w:tc>
          <w:tcPr>
            <w:tcW w:w="360" w:type="dxa"/>
            <w:vAlign w:val="bottom"/>
            <w:tcBorders>
              <w:bottom w:val="single" w:sz="8" w:color="E5FFFF"/>
            </w:tcBorders>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129</w:t>
            </w:r>
          </w:p>
        </w:tc>
        <w:tc>
          <w:tcPr>
            <w:tcW w:w="3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265</w:t>
            </w:r>
          </w:p>
        </w:tc>
        <w:tc>
          <w:tcPr>
            <w:tcW w:w="320" w:type="dxa"/>
            <w:vAlign w:val="bottom"/>
            <w:tcBorders>
              <w:bottom w:val="single" w:sz="8" w:color="E5FFFF"/>
            </w:tcBorders>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260</w:t>
            </w:r>
          </w:p>
        </w:tc>
      </w:tr>
      <w:tr>
        <w:trPr>
          <w:trHeight w:val="20"/>
        </w:trPr>
        <w:tc>
          <w:tcPr>
            <w:tcW w:w="4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quarter ended June 30, 2016, we recognized a repositioning charge totaling $97 million including severance costs of $70 million related to workforce reductions of 2,578 manufacturing and administrative positions in ACS, Aerospace and PMT. The workforce reductions were primarily related to cost savings actions taken in connection with our productivity and ongoing functional transformation initiatives. The repositioning charge included asset impairments of $24 million principally related to the write-off of certain intangible assets in connection with the planned sale of a PMT business. Also, $44 million of previously established accruals for severance in ACS, Aerospace and PMT were returned to income as a result of higher attrition than anticipated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prior severance programs resulting in lower required severance payments, lower than expected severance costs in certain repositioning actions, and changes in the scope of previously announced repositioning actions.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quarter ended June 30, 2015, we recognized a repositioning charge totaling $39 million primarily for severance costs related to workforce reductions of 940 manufacturing and administrative positions primarily in ACS and PMT. The workforce reductions were primarily related to cost savings actions taken in connection with our productivity and ongoing functional transformation initiatives.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six months ended June 30, 2016, we recognized a repositioning charge totaling $ 134 million including severance costs of $98 million related to workforce reductions of 2,871 manufacturing and administrative positions in ACS, Aerospace and PMT. The workforce reductions were primarily related to cost savings actions taken in connection with our productivity and ongoing functional transformation initiatives, achieving acquisition-related synergies and outsourcing of certain packaging operations. The repositioning charge included asset impairments of $ 31 million principally related to the write-off of certain intangible assets in connection with the planned sale of a PMT business. Also, $61 million of previously established accruals, primarily for severance, in ACS, Aerospace and PMT, were returned to income as a result of higher attrition than anticipated in prior severance programs resulting in lower required severance payments, lower than expected severance costs in certain repositioning actions, and changes in the scope of previously announced repositioning actions.</w:t>
      </w:r>
    </w:p>
    <w:p>
      <w:pPr>
        <w:spacing w:after="0" w:line="19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six months ended June 30, 2015, we recognized a repositioning charge totaling $85 million including severance costs of $75 million related to workforce reductions of 3,980 manufacturing and administrative positions across our segments. The workforce reductions were primarily related to cost savings actions taken in connection with our productivity and ongoing functional transformation initiatives and outsourcing of certain component manufacturing in ACS. Also, $12 million of previously established accruals, primarily for severance, mainly in ACS, were returned to income as a result of higher attrition than anticipated in prior severance programs resulting in lower required severance payments.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Severance</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Asset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3680" w:type="dxa"/>
            <w:vAlign w:val="bottom"/>
            <w:tcBorders>
              <w:bottom w:val="single" w:sz="8" w:color="E5FFFF"/>
            </w:tcBorders>
          </w:tcPr>
          <w:p>
            <w:pPr>
              <w:spacing w:after="0"/>
              <w:rPr>
                <w:sz w:val="16"/>
                <w:szCs w:val="16"/>
                <w:color w:val="auto"/>
              </w:rPr>
            </w:pPr>
          </w:p>
        </w:tc>
        <w:tc>
          <w:tcPr>
            <w:tcW w:w="1260" w:type="dxa"/>
            <w:vAlign w:val="bottom"/>
            <w:tcBorders>
              <w:bottom w:val="single" w:sz="8" w:color="E5FF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E5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340" w:type="dxa"/>
            <w:vAlign w:val="bottom"/>
            <w:tcBorders>
              <w:bottom w:val="single" w:sz="8" w:color="E5FF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320" w:type="dxa"/>
            <w:vAlign w:val="bottom"/>
            <w:tcBorders>
              <w:bottom w:val="single" w:sz="8" w:color="E5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196"/>
        </w:trPr>
        <w:tc>
          <w:tcPr>
            <w:tcW w:w="368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color w:val="auto"/>
              </w:rPr>
              <w:t>December 31, 2015</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329</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21</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350</w:t>
            </w:r>
          </w:p>
        </w:tc>
      </w:tr>
      <w:tr>
        <w:trPr>
          <w:trHeight w:val="203"/>
        </w:trPr>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134</w:t>
            </w:r>
          </w:p>
        </w:tc>
      </w:tr>
      <w:tr>
        <w:trPr>
          <w:trHeight w:val="203"/>
        </w:trPr>
        <w:tc>
          <w:tcPr>
            <w:tcW w:w="3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(96)</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3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w:t>
            </w:r>
          </w:p>
        </w:tc>
      </w:tr>
      <w:tr>
        <w:trPr>
          <w:trHeight w:val="203"/>
        </w:trPr>
        <w:tc>
          <w:tcPr>
            <w:tcW w:w="3680" w:type="dxa"/>
            <w:vAlign w:val="bottom"/>
            <w:tcBorders>
              <w:bottom w:val="single" w:sz="8" w:color="E5FFFF"/>
            </w:tcBorders>
          </w:tcPr>
          <w:p>
            <w:pPr>
              <w:ind w:left="180"/>
              <w:spacing w:after="0" w:line="202" w:lineRule="exact"/>
              <w:rPr>
                <w:sz w:val="20"/>
                <w:szCs w:val="20"/>
                <w:color w:val="auto"/>
              </w:rPr>
            </w:pPr>
            <w:r>
              <w:rPr>
                <w:rFonts w:ascii="Arial" w:cs="Arial" w:eastAsia="Arial" w:hAnsi="Arial"/>
                <w:sz w:val="18"/>
                <w:szCs w:val="18"/>
                <w:color w:val="auto"/>
              </w:rPr>
              <w:t>Adjustments</w:t>
            </w:r>
          </w:p>
        </w:tc>
        <w:tc>
          <w:tcPr>
            <w:tcW w:w="126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36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10"/>
        </w:trPr>
        <w:tc>
          <w:tcPr>
            <w:tcW w:w="3680" w:type="dxa"/>
            <w:vAlign w:val="bottom"/>
            <w:tcBorders>
              <w:bottom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June 30, 2016</w:t>
            </w:r>
          </w:p>
        </w:tc>
        <w:tc>
          <w:tcPr>
            <w:tcW w:w="126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276</w:t>
            </w:r>
          </w:p>
        </w:tc>
        <w:tc>
          <w:tcPr>
            <w:tcW w:w="360" w:type="dxa"/>
            <w:vAlign w:val="bottom"/>
            <w:tcBorders>
              <w:bottom w:val="single" w:sz="8" w:color="E5FFFF"/>
            </w:tcBorders>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E5FFFF"/>
            </w:tcBorders>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298</w:t>
            </w:r>
          </w:p>
        </w:tc>
      </w:tr>
      <w:tr>
        <w:trPr>
          <w:trHeight w:val="20"/>
        </w:trPr>
        <w:tc>
          <w:tcPr>
            <w:tcW w:w="3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2016 and 2015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w:t>
            </w:r>
          </w:p>
        </w:tc>
        <w:tc>
          <w:tcPr>
            <w:tcW w:w="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38"/>
              <w:spacing w:after="0" w:line="129"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34"/>
              <w:spacing w:after="0" w:line="129"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39"/>
              <w:spacing w:after="0" w:line="129"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34"/>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Net income attributable to Honeywell</w:t>
            </w:r>
          </w:p>
        </w:tc>
        <w:tc>
          <w:tcPr>
            <w:tcW w:w="12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1,282</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1,194</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2,468</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432"/>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763.3</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765.5</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E5FFFF"/>
          </w:tcPr>
          <w:p>
            <w:pPr>
              <w:ind w:left="40"/>
              <w:spacing w:after="0" w:line="202" w:lineRule="exact"/>
              <w:rPr>
                <w:sz w:val="20"/>
                <w:szCs w:val="20"/>
                <w:color w:val="auto"/>
              </w:rPr>
            </w:pPr>
            <w:r>
              <w:rPr>
                <w:rFonts w:ascii="Arial" w:cs="Arial" w:eastAsia="Arial" w:hAnsi="Arial"/>
                <w:sz w:val="18"/>
                <w:szCs w:val="18"/>
                <w:color w:val="auto"/>
              </w:rPr>
              <w:t>Earnings per share of common stock</w:t>
            </w:r>
          </w:p>
        </w:tc>
        <w:tc>
          <w:tcPr>
            <w:tcW w:w="12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1.68</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1.52</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3.22</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405"/>
        </w:trPr>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18"/>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C0C0C0"/>
            </w:tcBorders>
          </w:tcPr>
          <w:p>
            <w:pPr>
              <w:spacing w:after="0"/>
              <w:rPr>
                <w:sz w:val="20"/>
                <w:szCs w:val="20"/>
                <w:color w:val="auto"/>
              </w:rPr>
            </w:pPr>
          </w:p>
        </w:tc>
        <w:tc>
          <w:tcPr>
            <w:tcW w:w="360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37"/>
              <w:spacing w:after="0" w:line="129"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33"/>
              <w:spacing w:after="0" w:line="129"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37"/>
              <w:spacing w:after="0" w:line="129"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33"/>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4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E5FFFF"/>
          </w:tcPr>
          <w:p>
            <w:pPr>
              <w:spacing w:after="0"/>
              <w:rPr>
                <w:sz w:val="17"/>
                <w:szCs w:val="17"/>
                <w:color w:val="auto"/>
              </w:rPr>
            </w:pPr>
          </w:p>
        </w:tc>
        <w:tc>
          <w:tcPr>
            <w:tcW w:w="416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Net income attributable to Honeywell</w:t>
            </w:r>
          </w:p>
        </w:tc>
        <w:tc>
          <w:tcPr>
            <w:tcW w:w="10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1,282</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1,194</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2,468</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Average Shares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shd w:val="clear" w:color="auto" w:fill="E5FFFF"/>
          </w:tcPr>
          <w:p>
            <w:pPr>
              <w:spacing w:after="0"/>
              <w:rPr>
                <w:sz w:val="17"/>
                <w:szCs w:val="17"/>
                <w:color w:val="auto"/>
              </w:rPr>
            </w:pPr>
          </w:p>
        </w:tc>
        <w:tc>
          <w:tcPr>
            <w:tcW w:w="416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7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763.3</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783.3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765.5</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16"/>
        </w:trPr>
        <w:tc>
          <w:tcPr>
            <w:tcW w:w="40" w:type="dxa"/>
            <w:vAlign w:val="bottom"/>
            <w:tcBorders>
              <w:bottom w:val="single" w:sz="8" w:color="E5FFFF"/>
            </w:tcBorders>
          </w:tcPr>
          <w:p>
            <w:pPr>
              <w:spacing w:after="0"/>
              <w:rPr>
                <w:sz w:val="18"/>
                <w:szCs w:val="18"/>
                <w:color w:val="auto"/>
              </w:rPr>
            </w:pPr>
          </w:p>
        </w:tc>
        <w:tc>
          <w:tcPr>
            <w:tcW w:w="416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Dilutive securities issuable - stock plans</w:t>
            </w:r>
          </w:p>
        </w:tc>
        <w:tc>
          <w:tcPr>
            <w:tcW w:w="7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9.1</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9.1</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40" w:type="dxa"/>
            <w:vAlign w:val="bottom"/>
            <w:tcBorders>
              <w:bottom w:val="single" w:sz="8" w:color="E5FFFF"/>
            </w:tcBorders>
            <w:shd w:val="clear" w:color="auto" w:fill="E5FFFF"/>
          </w:tcPr>
          <w:p>
            <w:pPr>
              <w:spacing w:after="0"/>
              <w:rPr>
                <w:sz w:val="17"/>
                <w:szCs w:val="17"/>
                <w:color w:val="auto"/>
              </w:rPr>
            </w:pPr>
          </w:p>
        </w:tc>
        <w:tc>
          <w:tcPr>
            <w:tcW w:w="4160" w:type="dxa"/>
            <w:vAlign w:val="bottom"/>
            <w:tcBorders>
              <w:bottom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Total weighted average shares outstanding</w:t>
            </w:r>
          </w:p>
        </w:tc>
        <w:tc>
          <w:tcPr>
            <w:tcW w:w="7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772.4</w:t>
            </w:r>
          </w:p>
        </w:tc>
        <w:tc>
          <w:tcPr>
            <w:tcW w:w="360" w:type="dxa"/>
            <w:vAlign w:val="bottom"/>
            <w:tcBorders>
              <w:bottom w:val="single" w:sz="8" w:color="E5FFFF"/>
            </w:tcBorders>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792.9</w:t>
            </w:r>
          </w:p>
        </w:tc>
        <w:tc>
          <w:tcPr>
            <w:tcW w:w="3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774.6</w:t>
            </w:r>
          </w:p>
        </w:tc>
        <w:tc>
          <w:tcPr>
            <w:tcW w:w="320" w:type="dxa"/>
            <w:vAlign w:val="bottom"/>
            <w:tcBorders>
              <w:bottom w:val="single" w:sz="8" w:color="E5FFFF"/>
            </w:tcBorders>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Earnings per share of common stock</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3.19</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six months ended June 30, 2016, the weighted average number of stock options excluded from the computations were 6.7 million and 7.6 million. For the three and six months ended June 30, 2015, the weighted average number of stock options excluded from the computations were 7.0 million and 7.4 million. These stock options were outstanding at the end of each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Accounts, Notes and Other Receivables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180" w:type="dxa"/>
            <w:vAlign w:val="bottom"/>
            <w:tcBorders>
              <w:bottom w:val="single" w:sz="8" w:color="E5FF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E5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r>
      <w:tr>
        <w:trPr>
          <w:trHeight w:val="196"/>
        </w:trPr>
        <w:tc>
          <w:tcPr>
            <w:tcW w:w="51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Trade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8,338</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7,901</w:t>
            </w:r>
          </w:p>
        </w:tc>
      </w:tr>
      <w:tr>
        <w:trPr>
          <w:trHeight w:val="216"/>
        </w:trPr>
        <w:tc>
          <w:tcPr>
            <w:tcW w:w="518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436</w:t>
            </w:r>
          </w:p>
        </w:tc>
      </w:tr>
      <w:tr>
        <w:trPr>
          <w:trHeight w:val="196"/>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9,005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8,337</w:t>
            </w:r>
          </w:p>
        </w:tc>
      </w:tr>
      <w:tr>
        <w:trPr>
          <w:trHeight w:val="216"/>
        </w:trPr>
        <w:tc>
          <w:tcPr>
            <w:tcW w:w="5180" w:type="dxa"/>
            <w:vAlign w:val="bottom"/>
            <w:shd w:val="clear" w:color="auto" w:fill="E5FFFF"/>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(262)</w:t>
            </w:r>
          </w:p>
        </w:tc>
      </w:tr>
      <w:tr>
        <w:trPr>
          <w:trHeight w:val="196"/>
        </w:trPr>
        <w:tc>
          <w:tcPr>
            <w:tcW w:w="5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8,730</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8,075</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Trade receivables include $ 1,648 and $1,590 million of unbilled balances under long-term contracts as of June 30, 2016 and December 31, 2015. These amounts are billed in accordance with the terms of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w:t>
            </w:r>
          </w:p>
        </w:tc>
        <w:tc>
          <w:tcPr>
            <w:tcW w:w="286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860" w:type="dxa"/>
            <w:vAlign w:val="bottom"/>
          </w:tcPr>
          <w:p>
            <w:pPr>
              <w:spacing w:after="0"/>
              <w:rPr>
                <w:sz w:val="16"/>
                <w:szCs w:val="16"/>
                <w:color w:val="auto"/>
              </w:rPr>
            </w:pPr>
          </w:p>
        </w:tc>
      </w:tr>
      <w:tr>
        <w:trPr>
          <w:trHeight w:val="156"/>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3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Raw materials</w:t>
            </w:r>
          </w:p>
        </w:tc>
        <w:tc>
          <w:tcPr>
            <w:tcW w:w="174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1,179</w:t>
            </w: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1,120</w:t>
            </w:r>
          </w:p>
        </w:tc>
        <w:tc>
          <w:tcPr>
            <w:tcW w:w="28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854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826</w:t>
            </w:r>
          </w:p>
        </w:tc>
        <w:tc>
          <w:tcPr>
            <w:tcW w:w="28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68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15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2,590</w:t>
            </w:r>
          </w:p>
        </w:tc>
        <w:tc>
          <w:tcPr>
            <w:tcW w:w="28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4,769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4,536</w:t>
            </w:r>
          </w:p>
        </w:tc>
        <w:tc>
          <w:tcPr>
            <w:tcW w:w="28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68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15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(116)</w:t>
            </w:r>
          </w:p>
        </w:tc>
        <w:tc>
          <w:tcPr>
            <w:tcW w:w="28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4,678</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4,420</w:t>
            </w:r>
          </w:p>
        </w:tc>
        <w:tc>
          <w:tcPr>
            <w:tcW w:w="28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7"/>
        </w:trPr>
        <w:tc>
          <w:tcPr>
            <w:tcW w:w="580" w:type="dxa"/>
            <w:vAlign w:val="bottom"/>
            <w:tcBorders>
              <w:bottom w:val="single" w:sz="8" w:color="C0C0C0"/>
            </w:tcBorders>
          </w:tcPr>
          <w:p>
            <w:pPr>
              <w:spacing w:after="0"/>
              <w:rPr>
                <w:sz w:val="20"/>
                <w:szCs w:val="20"/>
                <w:color w:val="auto"/>
              </w:rPr>
            </w:pPr>
          </w:p>
        </w:tc>
        <w:tc>
          <w:tcPr>
            <w:tcW w:w="368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28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and Credit Agreements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5.40% notes due 2016</w:t>
            </w:r>
          </w:p>
        </w:tc>
        <w:tc>
          <w:tcPr>
            <w:tcW w:w="56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20" w:type="dxa"/>
            <w:vAlign w:val="bottom"/>
            <w:gridSpan w:val="2"/>
            <w:shd w:val="clear" w:color="auto" w:fill="E5FFFF"/>
          </w:tcPr>
          <w:p>
            <w:pPr>
              <w:jc w:val="right"/>
              <w:ind w:right="45"/>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5.30% notes due 2017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Euro notes due 2018</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1,112</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5.30% notes due 2018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5.00% notes due 2019</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1,112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1.30% Euro notes due 2023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1,389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3.35% notes due 2023</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0.6%-9.5% maturing at various</w:t>
            </w:r>
          </w:p>
        </w:tc>
        <w:tc>
          <w:tcPr>
            <w:tcW w:w="2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dates through 2023</w:t>
            </w:r>
          </w:p>
        </w:tc>
        <w:tc>
          <w:tcPr>
            <w:tcW w:w="26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ind w:right="12"/>
              <w:spacing w:after="0" w:line="203" w:lineRule="exact"/>
              <w:rPr>
                <w:sz w:val="20"/>
                <w:szCs w:val="20"/>
                <w:color w:val="auto"/>
              </w:rPr>
            </w:pPr>
            <w:r>
              <w:rPr>
                <w:rFonts w:ascii="Arial" w:cs="Arial" w:eastAsia="Arial" w:hAnsi="Arial"/>
                <w:sz w:val="18"/>
                <w:szCs w:val="18"/>
                <w:color w:val="auto"/>
              </w:rPr>
              <w:t>431</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ind w:right="12"/>
              <w:spacing w:after="0" w:line="203"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10,225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E5FFFF"/>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9,607</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Company issued €1,000 million Floating Rate Senior Notes due 2018, €1,000 million 0.65% Senior Notes due 2020, €1,250 million 1.30% Senior Notes due 2023 and €750 million 2.25% Senior Notes due 2028 (collectively, the “Euro Notes”). The Euro Notes are senior unsecured and unsubordinated obligations of Honeywell and rank equally with all of Honeywell’s existing and future senior unsecured debt and senior to all of Honeywell’s subordinated debt. The offering resulted in gross proceeds of $4,438 million, offset by $17 million in discount and closing costs related to the offering.</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April 29, 2016, the Company entered into Amendment No. 2 (Amendment) to the Amended and Restated $4 billion Credit Agreement dated as of July 10, 2015, as amended by the certain Amendment No. 1 dated as of September 30, 2015 (as so amended, the “Credit Agreement”), with a syndicate of banks. The Credit Agreement is maintained for general corporate purposes. Commitments under the Credit Agreement can be increased pursuant to the terms of the Credit Agreement to an aggregate amount not to exceed $4.5 billion. The Amendment, among other things, extends the Credit Agreement’s termination date from July 10, 2020 to July 10, 2021.</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29, 2016, the Company entered into a $1.5 billion 364-Day Credit Agreement (364-Day Credit Agreement) with a syndicate of banks. The 364-Day Credit Agreement is maintained for general corporate purposes.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29, 2016, the Company terminated all commitments under the $3 billion credit agreement dated as of September 30, 2015, among the Company, the lenders party thereto and Citibank, N.A., as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 full description of the Credit Agreement and the 364-day Credit Agreement can be found in the Company’s Current Report on Form 8-K, dated April 29, 2016.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borrowings under any of the credit agreements previously described.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 and Fair Value Measures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Financial Statements in our 2015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24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7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96"/>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4700" w:type="dxa"/>
            <w:vAlign w:val="bottom"/>
            <w:tcBorders>
              <w:bottom w:val="single" w:sz="8" w:color="E5FFFF"/>
            </w:tcBorders>
          </w:tcPr>
          <w:p>
            <w:pPr>
              <w:spacing w:after="0"/>
              <w:rPr>
                <w:sz w:val="18"/>
                <w:szCs w:val="18"/>
                <w:color w:val="auto"/>
              </w:rPr>
            </w:pPr>
          </w:p>
        </w:tc>
        <w:tc>
          <w:tcPr>
            <w:tcW w:w="158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10"/>
        </w:trPr>
        <w:tc>
          <w:tcPr>
            <w:tcW w:w="47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152</w:t>
            </w:r>
          </w:p>
        </w:tc>
        <w:tc>
          <w:tcPr>
            <w:tcW w:w="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47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5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1,432</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1,501</w:t>
            </w:r>
          </w:p>
        </w:tc>
      </w:tr>
      <w:tr>
        <w:trPr>
          <w:trHeight w:val="217"/>
        </w:trPr>
        <w:tc>
          <w:tcPr>
            <w:tcW w:w="470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2"/>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7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17"/>
        </w:trPr>
        <w:tc>
          <w:tcPr>
            <w:tcW w:w="4700" w:type="dxa"/>
            <w:vAlign w:val="bottom"/>
          </w:tcPr>
          <w:p>
            <w:pPr>
              <w:ind w:left="160"/>
              <w:spacing w:after="0"/>
              <w:rPr>
                <w:sz w:val="20"/>
                <w:szCs w:val="20"/>
                <w:color w:val="auto"/>
              </w:rPr>
            </w:pPr>
            <w:r>
              <w:rPr>
                <w:rFonts w:ascii="Arial" w:cs="Arial" w:eastAsia="Arial" w:hAnsi="Arial"/>
                <w:sz w:val="18"/>
                <w:szCs w:val="18"/>
                <w:color w:val="auto"/>
              </w:rPr>
              <w:t>Foreign currency exchange contracts</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The Company holds investments in certificates of deposits, time deposits and commercial paper that are designated as available for sale and are valued using published prices based on observable market data.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 2016</w:t>
            </w:r>
          </w:p>
        </w:tc>
        <w:tc>
          <w:tcPr>
            <w:tcW w:w="9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2015</w:t>
            </w:r>
          </w:p>
        </w:tc>
        <w:tc>
          <w:tcPr>
            <w:tcW w:w="860" w:type="dxa"/>
            <w:vAlign w:val="bottom"/>
            <w:tcBorders>
              <w:bottom w:val="single" w:sz="8" w:color="auto"/>
            </w:tcBorders>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21"/>
              <w:spacing w:after="0" w:line="14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459"/>
              <w:spacing w:after="0" w:line="14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01"/>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9"/>
              <w:spacing w:after="0" w:line="143" w:lineRule="exact"/>
              <w:rPr>
                <w:sz w:val="20"/>
                <w:szCs w:val="20"/>
                <w:color w:val="auto"/>
              </w:rPr>
            </w:pPr>
            <w:r>
              <w:rPr>
                <w:rFonts w:ascii="Arial" w:cs="Arial" w:eastAsia="Arial" w:hAnsi="Arial"/>
                <w:sz w:val="14"/>
                <w:szCs w:val="14"/>
                <w:b w:val="1"/>
                <w:bCs w:val="1"/>
                <w:color w:val="auto"/>
              </w:rPr>
              <w:t>Fair</w:t>
            </w:r>
          </w:p>
        </w:tc>
      </w:tr>
      <w:tr>
        <w:trPr>
          <w:trHeight w:val="175"/>
        </w:trPr>
        <w:tc>
          <w:tcPr>
            <w:tcW w:w="436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E5FF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Value</w:t>
            </w:r>
          </w:p>
        </w:tc>
      </w:tr>
      <w:tr>
        <w:trPr>
          <w:trHeight w:val="237"/>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12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500" w:type="dxa"/>
            <w:vAlign w:val="bottom"/>
            <w:shd w:val="clear" w:color="auto" w:fill="E5FFFF"/>
          </w:tcPr>
          <w:p>
            <w:pPr>
              <w:spacing w:after="0"/>
              <w:rPr>
                <w:sz w:val="20"/>
                <w:szCs w:val="20"/>
                <w:color w:val="auto"/>
              </w:rPr>
            </w:pPr>
          </w:p>
        </w:tc>
        <w:tc>
          <w:tcPr>
            <w:tcW w:w="860" w:type="dxa"/>
            <w:vAlign w:val="bottom"/>
            <w:shd w:val="clear" w:color="auto" w:fill="E5FFFF"/>
          </w:tcPr>
          <w:p>
            <w:pPr>
              <w:spacing w:after="0"/>
              <w:rPr>
                <w:sz w:val="20"/>
                <w:szCs w:val="20"/>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275</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273</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292</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283</w:t>
            </w:r>
          </w:p>
        </w:tc>
      </w:tr>
      <w:tr>
        <w:trPr>
          <w:trHeight w:val="243"/>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14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9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10,225</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11,359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6,131</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6,721</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The fair value of these receivables is considered level 2. The Company determined the fair value of the long-term debt and related current maturities utilizing transactions in the listed markets for identical or similar liabilities. The fair value of the long-term debt and related current maturities is also considered level 2.</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six months ended June 30, 2016, we recognized $8 million and $37 million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gains in earnings on interest rate swap agreements. For the three and six months ended June 30, 2015, we recognized $29 million and $13 million of losses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$122 million and $90 million of income in Other (Income) Expense for the three and six months ended June 30, 2016. We recognized $24 million of income and $138 million of expense in Other (Income) Expense for the three and six months ended June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2015</w:t>
            </w:r>
          </w:p>
        </w:tc>
        <w:tc>
          <w:tcPr>
            <w:tcW w:w="4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(1,892)</w:t>
            </w:r>
          </w:p>
        </w:tc>
        <w:tc>
          <w:tcPr>
            <w:tcW w:w="5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(644)</w:t>
            </w:r>
          </w:p>
        </w:tc>
        <w:tc>
          <w:tcPr>
            <w:tcW w:w="5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1</w:t>
            </w:r>
          </w:p>
        </w:tc>
        <w:tc>
          <w:tcPr>
            <w:tcW w:w="6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38"/>
              <w:spacing w:after="0" w:line="203" w:lineRule="exact"/>
              <w:rPr>
                <w:sz w:val="20"/>
                <w:szCs w:val="20"/>
                <w:color w:val="auto"/>
              </w:rPr>
            </w:pPr>
            <w:r>
              <w:rPr>
                <w:rFonts w:ascii="Arial" w:cs="Arial" w:eastAsia="Arial" w:hAnsi="Arial"/>
                <w:sz w:val="18"/>
                <w:szCs w:val="18"/>
                <w:color w:val="auto"/>
              </w:rPr>
              <w:t>48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9"/>
              <w:spacing w:after="0" w:line="203"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48</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19</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2016</w:t>
            </w:r>
          </w:p>
        </w:tc>
        <w:tc>
          <w:tcPr>
            <w:tcW w:w="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(1,844)</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(675)</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80" w:type="dxa"/>
            <w:vAlign w:val="bottom"/>
            <w:shd w:val="clear" w:color="auto" w:fill="E5FFFF"/>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shd w:val="clear" w:color="auto" w:fill="E5FFFF"/>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60" w:type="dxa"/>
            <w:vAlign w:val="bottom"/>
            <w:shd w:val="clear" w:color="auto" w:fill="E5FFFF"/>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80" w:type="dxa"/>
            <w:vAlign w:val="bottom"/>
            <w:shd w:val="clear" w:color="auto" w:fill="E5FFFF"/>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shd w:val="clear" w:color="auto" w:fill="E5FFFF"/>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60" w:type="dxa"/>
            <w:vAlign w:val="bottom"/>
            <w:shd w:val="clear" w:color="auto" w:fill="E5FFFF"/>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4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(740)</w:t>
            </w:r>
          </w:p>
        </w:tc>
        <w:tc>
          <w:tcPr>
            <w:tcW w:w="5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(728)</w:t>
            </w:r>
          </w:p>
        </w:tc>
        <w:tc>
          <w:tcPr>
            <w:tcW w:w="5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9</w:t>
            </w:r>
          </w:p>
        </w:tc>
        <w:tc>
          <w:tcPr>
            <w:tcW w:w="6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(510)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9"/>
              <w:spacing w:after="0" w:line="203" w:lineRule="exact"/>
              <w:rPr>
                <w:sz w:val="20"/>
                <w:szCs w:val="20"/>
                <w:color w:val="auto"/>
              </w:rPr>
            </w:pPr>
            <w:r>
              <w:rPr>
                <w:rFonts w:ascii="Arial" w:cs="Arial" w:eastAsia="Arial" w:hAnsi="Arial"/>
                <w:sz w:val="18"/>
                <w:szCs w:val="18"/>
                <w:color w:val="auto"/>
              </w:rPr>
              <w:t>68</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8"/>
                <w:szCs w:val="18"/>
                <w:color w:val="auto"/>
              </w:rPr>
              <w:t>7</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10</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2015</w:t>
            </w:r>
          </w:p>
        </w:tc>
        <w:tc>
          <w:tcPr>
            <w:tcW w:w="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(1,250)</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(738)</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18"/>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C0C0C0"/>
            </w:tcBorders>
          </w:tcPr>
          <w:p>
            <w:pPr>
              <w:spacing w:after="0"/>
              <w:rPr>
                <w:sz w:val="17"/>
                <w:szCs w:val="17"/>
                <w:color w:val="auto"/>
              </w:rPr>
            </w:pPr>
          </w:p>
        </w:tc>
        <w:tc>
          <w:tcPr>
            <w:tcW w:w="240" w:type="dxa"/>
            <w:vAlign w:val="bottom"/>
            <w:tcBorders>
              <w:bottom w:val="single" w:sz="8" w:color="C0C0C0"/>
            </w:tcBorders>
          </w:tcPr>
          <w:p>
            <w:pPr>
              <w:spacing w:after="0"/>
              <w:rPr>
                <w:sz w:val="17"/>
                <w:szCs w:val="17"/>
                <w:color w:val="auto"/>
              </w:rPr>
            </w:pPr>
          </w:p>
        </w:tc>
        <w:tc>
          <w:tcPr>
            <w:tcW w:w="200" w:type="dxa"/>
            <w:vAlign w:val="bottom"/>
            <w:tcBorders>
              <w:bottom w:val="single" w:sz="8" w:color="C0C0C0"/>
            </w:tcBorders>
          </w:tcPr>
          <w:p>
            <w:pPr>
              <w:spacing w:after="0"/>
              <w:rPr>
                <w:sz w:val="17"/>
                <w:szCs w:val="17"/>
                <w:color w:val="auto"/>
              </w:rPr>
            </w:pPr>
          </w:p>
        </w:tc>
        <w:tc>
          <w:tcPr>
            <w:tcW w:w="1180" w:type="dxa"/>
            <w:vAlign w:val="bottom"/>
            <w:tcBorders>
              <w:bottom w:val="single" w:sz="8" w:color="C0C0C0"/>
            </w:tcBorders>
          </w:tcPr>
          <w:p>
            <w:pPr>
              <w:spacing w:after="0"/>
              <w:rPr>
                <w:sz w:val="17"/>
                <w:szCs w:val="17"/>
                <w:color w:val="auto"/>
              </w:rPr>
            </w:pPr>
          </w:p>
        </w:tc>
        <w:tc>
          <w:tcPr>
            <w:tcW w:w="360" w:type="dxa"/>
            <w:vAlign w:val="bottom"/>
            <w:tcBorders>
              <w:bottom w:val="single" w:sz="8" w:color="C0C0C0"/>
            </w:tcBorders>
          </w:tcPr>
          <w:p>
            <w:pPr>
              <w:spacing w:after="0"/>
              <w:rPr>
                <w:sz w:val="17"/>
                <w:szCs w:val="17"/>
                <w:color w:val="auto"/>
              </w:rPr>
            </w:pPr>
          </w:p>
        </w:tc>
        <w:tc>
          <w:tcPr>
            <w:tcW w:w="140" w:type="dxa"/>
            <w:vAlign w:val="bottom"/>
            <w:tcBorders>
              <w:bottom w:val="single" w:sz="8" w:color="C0C0C0"/>
            </w:tcBorders>
          </w:tcPr>
          <w:p>
            <w:pPr>
              <w:spacing w:after="0"/>
              <w:rPr>
                <w:sz w:val="17"/>
                <w:szCs w:val="17"/>
                <w:color w:val="auto"/>
              </w:rPr>
            </w:pPr>
          </w:p>
        </w:tc>
        <w:tc>
          <w:tcPr>
            <w:tcW w:w="1220" w:type="dxa"/>
            <w:vAlign w:val="bottom"/>
            <w:tcBorders>
              <w:bottom w:val="single" w:sz="8" w:color="C0C0C0"/>
            </w:tcBorders>
          </w:tcPr>
          <w:p>
            <w:pPr>
              <w:spacing w:after="0"/>
              <w:rPr>
                <w:sz w:val="17"/>
                <w:szCs w:val="17"/>
                <w:color w:val="auto"/>
              </w:rPr>
            </w:pPr>
          </w:p>
        </w:tc>
        <w:tc>
          <w:tcPr>
            <w:tcW w:w="340" w:type="dxa"/>
            <w:vAlign w:val="bottom"/>
            <w:tcBorders>
              <w:bottom w:val="single" w:sz="8" w:color="C0C0C0"/>
            </w:tcBorders>
          </w:tcPr>
          <w:p>
            <w:pPr>
              <w:spacing w:after="0"/>
              <w:rPr>
                <w:sz w:val="17"/>
                <w:szCs w:val="17"/>
                <w:color w:val="auto"/>
              </w:rPr>
            </w:pPr>
          </w:p>
        </w:tc>
        <w:tc>
          <w:tcPr>
            <w:tcW w:w="200" w:type="dxa"/>
            <w:vAlign w:val="bottom"/>
            <w:tcBorders>
              <w:bottom w:val="single" w:sz="8" w:color="C0C0C0"/>
            </w:tcBorders>
          </w:tcPr>
          <w:p>
            <w:pPr>
              <w:spacing w:after="0"/>
              <w:rPr>
                <w:sz w:val="17"/>
                <w:szCs w:val="17"/>
                <w:color w:val="auto"/>
              </w:rPr>
            </w:pPr>
          </w:p>
        </w:tc>
        <w:tc>
          <w:tcPr>
            <w:tcW w:w="1160" w:type="dxa"/>
            <w:vAlign w:val="bottom"/>
            <w:tcBorders>
              <w:bottom w:val="single" w:sz="8" w:color="C0C0C0"/>
            </w:tcBorders>
          </w:tcPr>
          <w:p>
            <w:pPr>
              <w:spacing w:after="0"/>
              <w:rPr>
                <w:sz w:val="17"/>
                <w:szCs w:val="17"/>
                <w:color w:val="auto"/>
              </w:rPr>
            </w:pPr>
          </w:p>
        </w:tc>
        <w:tc>
          <w:tcPr>
            <w:tcW w:w="320" w:type="dxa"/>
            <w:vAlign w:val="bottom"/>
            <w:tcBorders>
              <w:bottom w:val="single" w:sz="8" w:color="C0C0C0"/>
            </w:tcBorders>
          </w:tcPr>
          <w:p>
            <w:pPr>
              <w:spacing w:after="0"/>
              <w:rPr>
                <w:sz w:val="17"/>
                <w:szCs w:val="17"/>
                <w:color w:val="auto"/>
              </w:rPr>
            </w:pPr>
          </w:p>
        </w:tc>
        <w:tc>
          <w:tcPr>
            <w:tcW w:w="320" w:type="dxa"/>
            <w:vAlign w:val="bottom"/>
            <w:tcBorders>
              <w:bottom w:val="single" w:sz="8" w:color="C0C0C0"/>
            </w:tcBorders>
          </w:tcPr>
          <w:p>
            <w:pPr>
              <w:spacing w:after="0"/>
              <w:rPr>
                <w:sz w:val="17"/>
                <w:szCs w:val="17"/>
                <w:color w:val="auto"/>
              </w:rPr>
            </w:pPr>
          </w:p>
        </w:tc>
        <w:tc>
          <w:tcPr>
            <w:tcW w:w="1040" w:type="dxa"/>
            <w:vAlign w:val="bottom"/>
            <w:tcBorders>
              <w:bottom w:val="single" w:sz="8" w:color="C0C0C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-2186305</wp:posOffset>
            </wp:positionV>
            <wp:extent cx="724662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Financial Data</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globally manage our business operations through three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bottom w:val="single" w:sz="8" w:color="E5FFFF"/>
            </w:tcBorders>
          </w:tcPr>
          <w:p>
            <w:pPr>
              <w:spacing w:after="0"/>
              <w:rPr>
                <w:sz w:val="18"/>
                <w:szCs w:val="18"/>
                <w:color w:val="auto"/>
              </w:rPr>
            </w:pPr>
          </w:p>
        </w:tc>
        <w:tc>
          <w:tcPr>
            <w:tcW w:w="420" w:type="dxa"/>
            <w:vAlign w:val="bottom"/>
            <w:tcBorders>
              <w:bottom w:val="single" w:sz="8" w:color="E5FFFF"/>
            </w:tcBorders>
          </w:tcPr>
          <w:p>
            <w:pPr>
              <w:spacing w:after="0"/>
              <w:rPr>
                <w:sz w:val="18"/>
                <w:szCs w:val="18"/>
                <w:color w:val="auto"/>
              </w:rPr>
            </w:pPr>
          </w:p>
        </w:tc>
        <w:tc>
          <w:tcPr>
            <w:tcW w:w="2940" w:type="dxa"/>
            <w:vAlign w:val="bottom"/>
            <w:tcBorders>
              <w:bottom w:val="single" w:sz="8" w:color="E5FFFF"/>
            </w:tcBorders>
          </w:tcPr>
          <w:p>
            <w:pPr>
              <w:spacing w:after="0"/>
              <w:rPr>
                <w:sz w:val="18"/>
                <w:szCs w:val="18"/>
                <w:color w:val="auto"/>
              </w:rPr>
            </w:pP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80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8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50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294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60" w:type="dxa"/>
            <w:vAlign w:val="bottom"/>
            <w:shd w:val="clear" w:color="auto" w:fill="E5FFFF"/>
          </w:tcPr>
          <w:p>
            <w:pPr>
              <w:spacing w:after="0"/>
              <w:rPr>
                <w:sz w:val="2"/>
                <w:szCs w:val="2"/>
                <w:color w:val="auto"/>
              </w:rPr>
            </w:pPr>
          </w:p>
        </w:tc>
        <w:tc>
          <w:tcPr>
            <w:tcW w:w="520" w:type="dxa"/>
            <w:vAlign w:val="bottom"/>
            <w:shd w:val="clear" w:color="auto" w:fill="E5FFFF"/>
          </w:tcPr>
          <w:p>
            <w:pPr>
              <w:spacing w:after="0"/>
              <w:rPr>
                <w:sz w:val="2"/>
                <w:szCs w:val="2"/>
                <w:color w:val="auto"/>
              </w:rPr>
            </w:pPr>
          </w:p>
        </w:tc>
        <w:tc>
          <w:tcPr>
            <w:tcW w:w="84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500" w:type="dxa"/>
            <w:vAlign w:val="bottom"/>
            <w:shd w:val="clear" w:color="auto" w:fill="E5FFFF"/>
          </w:tcPr>
          <w:p>
            <w:pPr>
              <w:spacing w:after="0"/>
              <w:rPr>
                <w:sz w:val="2"/>
                <w:szCs w:val="2"/>
                <w:color w:val="auto"/>
              </w:rPr>
            </w:pPr>
          </w:p>
        </w:tc>
        <w:tc>
          <w:tcPr>
            <w:tcW w:w="86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Aerospace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11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2,556</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2,623</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5,046</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1,223</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1,204</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2,438</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3,779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3,827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7,484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Automation and Control Solutions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3,574</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3,243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6,960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310</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603</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3,886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3,553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7,563</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1,905</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1,932</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3,648</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421</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463</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818</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2,326</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2,395</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4,466</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9,991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9,775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19,513</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7"/>
              </w:rPr>
              <w:t>Segment Profit</w:t>
            </w:r>
          </w:p>
        </w:tc>
        <w:tc>
          <w:tcPr>
            <w:tcW w:w="2940" w:type="dxa"/>
            <w:vAlign w:val="bottom"/>
            <w:tcBorders>
              <w:bottom w:val="single" w:sz="8" w:color="E5FFFF"/>
            </w:tcBorders>
            <w:shd w:val="clear" w:color="auto" w:fill="E5FFFF"/>
          </w:tcPr>
          <w:p>
            <w:pPr>
              <w:spacing w:after="0"/>
              <w:rPr>
                <w:sz w:val="15"/>
                <w:szCs w:val="15"/>
                <w:color w:val="auto"/>
              </w:rPr>
            </w:pPr>
          </w:p>
        </w:tc>
        <w:tc>
          <w:tcPr>
            <w:tcW w:w="80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86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791</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777</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1,589</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615</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1,145</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490</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509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931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1,847</w:t>
            </w:r>
          </w:p>
        </w:tc>
        <w:tc>
          <w:tcPr>
            <w:tcW w:w="3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1,803</w:t>
            </w: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3,567</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2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income (expense)</w:t>
            </w:r>
            <w:r>
              <w:rPr>
                <w:rFonts w:ascii="Arial" w:cs="Arial" w:eastAsia="Arial" w:hAnsi="Arial"/>
                <w:sz w:val="28"/>
                <w:szCs w:val="28"/>
                <w:color w:val="auto"/>
                <w:vertAlign w:val="superscript"/>
              </w:rPr>
              <w:t>(a)</w:t>
            </w:r>
          </w:p>
        </w:tc>
        <w:tc>
          <w:tcPr>
            <w:tcW w:w="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(b)</w:t>
            </w:r>
          </w:p>
        </w:tc>
        <w:tc>
          <w:tcPr>
            <w:tcW w:w="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8</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17</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tcBorders>
              <w:bottom w:val="single" w:sz="8" w:color="E5FFFF"/>
            </w:tcBorders>
            <w:gridSpan w:val="3"/>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800" w:type="dxa"/>
            <w:vAlign w:val="bottom"/>
            <w:tcBorders>
              <w:bottom w:val="single" w:sz="8" w:color="E5FF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Borders>
              <w:bottom w:val="single" w:sz="8" w:color="E5FF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Borders>
              <w:bottom w:val="single" w:sz="8" w:color="E5FF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Borders>
              <w:bottom w:val="single" w:sz="8" w:color="E5FF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3"/>
            <w:shd w:val="clear" w:color="auto" w:fill="E5FFFF"/>
          </w:tcPr>
          <w:p>
            <w:pPr>
              <w:spacing w:after="0" w:line="197" w:lineRule="exact"/>
              <w:rPr>
                <w:sz w:val="20"/>
                <w:szCs w:val="20"/>
                <w:color w:val="auto"/>
              </w:rPr>
            </w:pPr>
            <w:r>
              <w:rPr>
                <w:rFonts w:ascii="Arial" w:cs="Arial" w:eastAsia="Arial" w:hAnsi="Arial"/>
                <w:sz w:val="18"/>
                <w:szCs w:val="18"/>
                <w:color w:val="auto"/>
              </w:rPr>
              <w:t>Income before taxes</w:t>
            </w: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1,755</w:t>
            </w:r>
          </w:p>
        </w:tc>
        <w:tc>
          <w:tcPr>
            <w:tcW w:w="88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1,662</w:t>
            </w:r>
          </w:p>
        </w:tc>
        <w:tc>
          <w:tcPr>
            <w:tcW w:w="6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3,383</w:t>
            </w:r>
          </w:p>
        </w:tc>
        <w:tc>
          <w:tcPr>
            <w:tcW w:w="82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94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income for our significant defined benefit plans include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U.S. Plans</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740" w:type="dxa"/>
            <w:vAlign w:val="bottom"/>
            <w:gridSpan w:val="2"/>
            <w:shd w:val="clear" w:color="auto" w:fill="E5FFFF"/>
          </w:tcPr>
          <w:p>
            <w:pPr>
              <w:jc w:val="right"/>
              <w:ind w:right="708"/>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47</w:t>
            </w:r>
          </w:p>
        </w:tc>
        <w:tc>
          <w:tcPr>
            <w:tcW w:w="1220" w:type="dxa"/>
            <w:vAlign w:val="bottom"/>
            <w:gridSpan w:val="2"/>
            <w:shd w:val="clear" w:color="auto" w:fill="E5FF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57</w:t>
            </w:r>
          </w:p>
        </w:tc>
        <w:tc>
          <w:tcPr>
            <w:tcW w:w="1200" w:type="dxa"/>
            <w:vAlign w:val="bottom"/>
            <w:gridSpan w:val="2"/>
            <w:shd w:val="clear" w:color="auto" w:fill="E5FF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95</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150</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300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8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(306)</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(321)</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(612)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 cost</w:t>
            </w:r>
          </w:p>
        </w:tc>
        <w:tc>
          <w:tcPr>
            <w:tcW w:w="86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E5FFFF"/>
          </w:tcPr>
          <w:p>
            <w:pPr>
              <w:spacing w:after="0"/>
              <w:rPr>
                <w:sz w:val="19"/>
                <w:szCs w:val="19"/>
                <w:color w:val="auto"/>
              </w:rPr>
            </w:pPr>
          </w:p>
        </w:tc>
        <w:tc>
          <w:tcPr>
            <w:tcW w:w="1740" w:type="dxa"/>
            <w:vAlign w:val="bottom"/>
            <w:gridSpan w:val="2"/>
            <w:shd w:val="clear" w:color="auto" w:fill="E5FFFF"/>
          </w:tcPr>
          <w:p>
            <w:pPr>
              <w:jc w:val="right"/>
              <w:ind w:right="708"/>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(120)</w:t>
            </w:r>
          </w:p>
        </w:tc>
        <w:tc>
          <w:tcPr>
            <w:tcW w:w="1220" w:type="dxa"/>
            <w:vAlign w:val="bottom"/>
            <w:gridSpan w:val="2"/>
            <w:shd w:val="clear" w:color="auto" w:fill="E5FFFF"/>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(80)</w:t>
            </w:r>
          </w:p>
        </w:tc>
        <w:tc>
          <w:tcPr>
            <w:tcW w:w="1200" w:type="dxa"/>
            <w:vAlign w:val="bottom"/>
            <w:gridSpan w:val="2"/>
            <w:shd w:val="clear" w:color="auto" w:fill="E5FFFF"/>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(239)</w:t>
            </w:r>
          </w:p>
        </w:tc>
        <w:tc>
          <w:tcPr>
            <w:tcW w:w="82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0" w:type="dxa"/>
            <w:vAlign w:val="bottom"/>
            <w:gridSpan w:val="4"/>
          </w:tcPr>
          <w:p>
            <w:pPr>
              <w:jc w:val="right"/>
              <w:ind w:right="340"/>
              <w:spacing w:after="0" w:line="156"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740" w:type="dxa"/>
            <w:vAlign w:val="bottom"/>
            <w:gridSpan w:val="2"/>
            <w:shd w:val="clear" w:color="auto" w:fill="E5FFFF"/>
          </w:tcPr>
          <w:p>
            <w:pPr>
              <w:jc w:val="right"/>
              <w:ind w:right="708"/>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13</w:t>
            </w:r>
          </w:p>
        </w:tc>
        <w:tc>
          <w:tcPr>
            <w:tcW w:w="1220" w:type="dxa"/>
            <w:vAlign w:val="bottom"/>
            <w:gridSpan w:val="2"/>
            <w:shd w:val="clear" w:color="auto" w:fill="E5FF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1200" w:type="dxa"/>
            <w:vAlign w:val="bottom"/>
            <w:gridSpan w:val="2"/>
            <w:shd w:val="clear" w:color="auto" w:fill="E5FF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25</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47</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8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(100)</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(199)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w:t>
            </w:r>
          </w:p>
        </w:tc>
        <w:tc>
          <w:tcPr>
            <w:tcW w:w="86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E5FFFF"/>
          </w:tcPr>
          <w:p>
            <w:pPr>
              <w:spacing w:after="0"/>
              <w:rPr>
                <w:sz w:val="19"/>
                <w:szCs w:val="19"/>
                <w:color w:val="auto"/>
              </w:rPr>
            </w:pPr>
          </w:p>
        </w:tc>
        <w:tc>
          <w:tcPr>
            <w:tcW w:w="1740" w:type="dxa"/>
            <w:vAlign w:val="bottom"/>
            <w:gridSpan w:val="2"/>
            <w:shd w:val="clear" w:color="auto" w:fill="E5FFFF"/>
          </w:tcPr>
          <w:p>
            <w:pPr>
              <w:jc w:val="right"/>
              <w:ind w:right="708"/>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E5FFFF"/>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w:t>
            </w:r>
          </w:p>
        </w:tc>
        <w:tc>
          <w:tcPr>
            <w:tcW w:w="1200" w:type="dxa"/>
            <w:vAlign w:val="bottom"/>
            <w:gridSpan w:val="2"/>
            <w:shd w:val="clear" w:color="auto" w:fill="E5FFFF"/>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Financial Statements in our 2015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5780" w:type="dxa"/>
            <w:vAlign w:val="bottom"/>
            <w:tcBorders>
              <w:right w:val="single" w:sz="8" w:color="E5FFFF"/>
            </w:tcBorders>
            <w:shd w:val="clear" w:color="auto" w:fill="E5FFFF"/>
          </w:tcPr>
          <w:p>
            <w:pPr>
              <w:spacing w:after="0"/>
              <w:rPr>
                <w:sz w:val="20"/>
                <w:szCs w:val="20"/>
                <w:color w:val="auto"/>
              </w:rPr>
            </w:pPr>
            <w:r>
              <w:rPr>
                <w:rFonts w:ascii="Arial" w:cs="Arial" w:eastAsia="Arial" w:hAnsi="Arial"/>
                <w:sz w:val="18"/>
                <w:szCs w:val="18"/>
                <w:color w:val="auto"/>
              </w:rPr>
              <w:t>December 31, 2015</w:t>
            </w:r>
          </w:p>
        </w:tc>
        <w:tc>
          <w:tcPr>
            <w:tcW w:w="1100" w:type="dxa"/>
            <w:vAlign w:val="bottom"/>
            <w:shd w:val="clear" w:color="auto" w:fill="E5FF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780" w:type="dxa"/>
            <w:vAlign w:val="bottom"/>
          </w:tcPr>
          <w:p>
            <w:pPr>
              <w:ind w:left="180"/>
              <w:spacing w:after="0" w:line="201" w:lineRule="exact"/>
              <w:rPr>
                <w:sz w:val="20"/>
                <w:szCs w:val="20"/>
                <w:color w:val="auto"/>
              </w:rPr>
            </w:pPr>
            <w:r>
              <w:rPr>
                <w:rFonts w:ascii="Arial" w:cs="Arial" w:eastAsia="Arial" w:hAnsi="Arial"/>
                <w:sz w:val="18"/>
                <w:szCs w:val="18"/>
                <w:color w:val="auto"/>
              </w:rPr>
              <w:t>Accruals for environmental matters deemed probable and</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5780" w:type="dxa"/>
            <w:vAlign w:val="bottom"/>
          </w:tcPr>
          <w:p>
            <w:pPr>
              <w:ind w:left="360"/>
              <w:spacing w:after="0" w:line="203" w:lineRule="exact"/>
              <w:rPr>
                <w:sz w:val="20"/>
                <w:szCs w:val="20"/>
                <w:color w:val="auto"/>
              </w:rPr>
            </w:pPr>
            <w:r>
              <w:rPr>
                <w:rFonts w:ascii="Arial" w:cs="Arial" w:eastAsia="Arial" w:hAnsi="Arial"/>
                <w:sz w:val="18"/>
                <w:szCs w:val="18"/>
                <w:color w:val="auto"/>
              </w:rPr>
              <w:t>reasonably estimable</w:t>
            </w:r>
          </w:p>
        </w:tc>
        <w:tc>
          <w:tcPr>
            <w:tcW w:w="1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5780" w:type="dxa"/>
            <w:vAlign w:val="bottom"/>
            <w:tcBorders>
              <w:right w:val="single" w:sz="8" w:color="E5FFFF"/>
            </w:tcBorders>
            <w:shd w:val="clear" w:color="auto" w:fill="E5FFFF"/>
          </w:tcPr>
          <w:p>
            <w:pPr>
              <w:ind w:left="180"/>
              <w:spacing w:after="0" w:line="202" w:lineRule="exact"/>
              <w:rPr>
                <w:sz w:val="20"/>
                <w:szCs w:val="20"/>
                <w:color w:val="auto"/>
              </w:rPr>
            </w:pPr>
            <w:r>
              <w:rPr>
                <w:rFonts w:ascii="Arial" w:cs="Arial" w:eastAsia="Arial" w:hAnsi="Arial"/>
                <w:sz w:val="18"/>
                <w:szCs w:val="18"/>
                <w:color w:val="auto"/>
              </w:rPr>
              <w:t>Environmental liability payments</w:t>
            </w:r>
          </w:p>
        </w:tc>
        <w:tc>
          <w:tcPr>
            <w:tcW w:w="1100" w:type="dxa"/>
            <w:vAlign w:val="bottom"/>
            <w:shd w:val="clear" w:color="auto" w:fill="E5FFFF"/>
          </w:tcPr>
          <w:p>
            <w:pPr>
              <w:spacing w:after="0"/>
              <w:rPr>
                <w:sz w:val="17"/>
                <w:szCs w:val="17"/>
                <w:color w:val="auto"/>
              </w:rPr>
            </w:pPr>
          </w:p>
        </w:tc>
        <w:tc>
          <w:tcPr>
            <w:tcW w:w="460" w:type="dxa"/>
            <w:vAlign w:val="bottom"/>
            <w:tcBorders>
              <w:right w:val="single" w:sz="8" w:color="E5FFFF"/>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(77)</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60" w:type="dxa"/>
            <w:vAlign w:val="bottom"/>
            <w:tcBorders>
              <w:bottom w:val="single" w:sz="8" w:color="E5FFFF"/>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780" w:type="dxa"/>
            <w:vAlign w:val="bottom"/>
            <w:tcBorders>
              <w:right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June 30, 2016</w:t>
            </w:r>
          </w:p>
        </w:tc>
        <w:tc>
          <w:tcPr>
            <w:tcW w:w="1100" w:type="dxa"/>
            <w:vAlign w:val="bottom"/>
            <w:shd w:val="clear" w:color="auto" w:fill="E5FFFF"/>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80" w:type="dxa"/>
            <w:vAlign w:val="bottom"/>
            <w:tcBorders>
              <w:right w:val="single" w:sz="8" w:color="E5FFFF"/>
            </w:tcBorders>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360" w:type="dxa"/>
            <w:vAlign w:val="bottom"/>
            <w:shd w:val="clear" w:color="auto" w:fill="E5FF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8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3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5780" w:type="dxa"/>
            <w:vAlign w:val="bottom"/>
            <w:tcBorders>
              <w:bottom w:val="single" w:sz="8" w:color="E5FFFF"/>
            </w:tcBorders>
          </w:tcPr>
          <w:p>
            <w:pPr>
              <w:spacing w:after="0"/>
              <w:rPr>
                <w:sz w:val="17"/>
                <w:szCs w:val="17"/>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5780" w:type="dxa"/>
            <w:vAlign w:val="bottom"/>
            <w:tcBorders>
              <w:right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E5FFFF"/>
          </w:tcPr>
          <w:p>
            <w:pPr>
              <w:jc w:val="right"/>
              <w:ind w:right="941"/>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E5FFFF"/>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252</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253</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w:t>
            </w:r>
          </w:p>
        </w:tc>
        <w:tc>
          <w:tcPr>
            <w:tcW w:w="2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780" w:type="dxa"/>
            <w:vAlign w:val="bottom"/>
            <w:tcBorders>
              <w:bottom w:val="single" w:sz="8" w:color="E5FFFF"/>
              <w:right w:val="single" w:sz="8" w:color="E5FFFF"/>
            </w:tcBorders>
            <w:shd w:val="clear" w:color="auto" w:fill="E5FFFF"/>
          </w:tcPr>
          <w:p>
            <w:pPr>
              <w:spacing w:after="0"/>
              <w:rPr>
                <w:sz w:val="19"/>
                <w:szCs w:val="19"/>
                <w:color w:val="auto"/>
              </w:rPr>
            </w:pPr>
          </w:p>
        </w:tc>
        <w:tc>
          <w:tcPr>
            <w:tcW w:w="1100" w:type="dxa"/>
            <w:vAlign w:val="bottom"/>
            <w:tcBorders>
              <w:bottom w:val="single" w:sz="8" w:color="auto"/>
            </w:tcBorders>
            <w:shd w:val="clear" w:color="auto" w:fill="E5FFFF"/>
          </w:tcPr>
          <w:p>
            <w:pPr>
              <w:jc w:val="right"/>
              <w:ind w:right="941"/>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right w:val="single" w:sz="8" w:color="E5FFFF"/>
            </w:tcBorders>
            <w:shd w:val="clear" w:color="auto" w:fill="E5FFFF"/>
          </w:tcPr>
          <w:p>
            <w:pPr>
              <w:jc w:val="right"/>
              <w:ind w:right="30"/>
              <w:spacing w:after="0"/>
              <w:rPr>
                <w:sz w:val="20"/>
                <w:szCs w:val="20"/>
                <w:color w:val="auto"/>
              </w:rPr>
            </w:pPr>
            <w:r>
              <w:rPr>
                <w:rFonts w:ascii="Arial" w:cs="Arial" w:eastAsia="Arial" w:hAnsi="Arial"/>
                <w:sz w:val="18"/>
                <w:szCs w:val="18"/>
                <w:color w:val="auto"/>
              </w:rPr>
              <w:t>523</w:t>
            </w:r>
          </w:p>
        </w:tc>
        <w:tc>
          <w:tcPr>
            <w:tcW w:w="24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117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8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C0C0C0"/>
            </w:tcBorders>
          </w:tcPr>
          <w:p>
            <w:pPr>
              <w:spacing w:after="0"/>
              <w:rPr>
                <w:sz w:val="17"/>
                <w:szCs w:val="17"/>
                <w:color w:val="auto"/>
              </w:rPr>
            </w:pPr>
          </w:p>
        </w:tc>
        <w:tc>
          <w:tcPr>
            <w:tcW w:w="5780" w:type="dxa"/>
            <w:vAlign w:val="bottom"/>
            <w:tcBorders>
              <w:bottom w:val="single" w:sz="8" w:color="C0C0C0"/>
            </w:tcBorders>
          </w:tcPr>
          <w:p>
            <w:pPr>
              <w:spacing w:after="0"/>
              <w:rPr>
                <w:sz w:val="17"/>
                <w:szCs w:val="17"/>
                <w:color w:val="auto"/>
              </w:rPr>
            </w:pPr>
          </w:p>
        </w:tc>
        <w:tc>
          <w:tcPr>
            <w:tcW w:w="1100" w:type="dxa"/>
            <w:vAlign w:val="bottom"/>
            <w:tcBorders>
              <w:bottom w:val="single" w:sz="8" w:color="C0C0C0"/>
            </w:tcBorders>
          </w:tcPr>
          <w:p>
            <w:pPr>
              <w:spacing w:after="0"/>
              <w:rPr>
                <w:sz w:val="17"/>
                <w:szCs w:val="17"/>
                <w:color w:val="auto"/>
              </w:rPr>
            </w:pPr>
          </w:p>
        </w:tc>
        <w:tc>
          <w:tcPr>
            <w:tcW w:w="460" w:type="dxa"/>
            <w:vAlign w:val="bottom"/>
            <w:tcBorders>
              <w:bottom w:val="single" w:sz="8" w:color="C0C0C0"/>
            </w:tcBorders>
          </w:tcPr>
          <w:p>
            <w:pPr>
              <w:spacing w:after="0"/>
              <w:rPr>
                <w:sz w:val="17"/>
                <w:szCs w:val="17"/>
                <w:color w:val="auto"/>
              </w:rPr>
            </w:pPr>
          </w:p>
        </w:tc>
        <w:tc>
          <w:tcPr>
            <w:tcW w:w="240" w:type="dxa"/>
            <w:vAlign w:val="bottom"/>
            <w:tcBorders>
              <w:bottom w:val="single" w:sz="8" w:color="C0C0C0"/>
            </w:tcBorders>
          </w:tcPr>
          <w:p>
            <w:pPr>
              <w:spacing w:after="0"/>
              <w:rPr>
                <w:sz w:val="17"/>
                <w:szCs w:val="17"/>
                <w:color w:val="auto"/>
              </w:rPr>
            </w:pPr>
          </w:p>
        </w:tc>
        <w:tc>
          <w:tcPr>
            <w:tcW w:w="200" w:type="dxa"/>
            <w:vAlign w:val="bottom"/>
            <w:tcBorders>
              <w:bottom w:val="single" w:sz="8" w:color="C0C0C0"/>
            </w:tcBorders>
          </w:tcPr>
          <w:p>
            <w:pPr>
              <w:spacing w:after="0"/>
              <w:rPr>
                <w:sz w:val="17"/>
                <w:szCs w:val="17"/>
                <w:color w:val="auto"/>
              </w:rPr>
            </w:pPr>
          </w:p>
        </w:tc>
        <w:tc>
          <w:tcPr>
            <w:tcW w:w="1360" w:type="dxa"/>
            <w:vAlign w:val="bottom"/>
            <w:tcBorders>
              <w:bottom w:val="single" w:sz="8" w:color="C0C0C0"/>
            </w:tcBorders>
          </w:tcPr>
          <w:p>
            <w:pPr>
              <w:spacing w:after="0"/>
              <w:rPr>
                <w:sz w:val="17"/>
                <w:szCs w:val="17"/>
                <w:color w:val="auto"/>
              </w:rPr>
            </w:pPr>
          </w:p>
        </w:tc>
        <w:tc>
          <w:tcPr>
            <w:tcW w:w="980" w:type="dxa"/>
            <w:vAlign w:val="bottom"/>
            <w:tcBorders>
              <w:bottom w:val="single" w:sz="8" w:color="C0C0C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-2340610</wp:posOffset>
            </wp:positionV>
            <wp:extent cx="114046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0460" cy="12890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-1954530</wp:posOffset>
            </wp:positionV>
            <wp:extent cx="114046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0460" cy="12890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-1689100</wp:posOffset>
            </wp:positionV>
            <wp:extent cx="11404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0460" cy="15430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the accounting policy described above.</w:t>
      </w:r>
    </w:p>
    <w:p>
      <w:pPr>
        <w:spacing w:after="0" w:line="13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44" w:lineRule="exact"/>
        <w:rPr>
          <w:sz w:val="20"/>
          <w:szCs w:val="20"/>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121"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summarize information concerning NARCO and Bendix asbestos related balances: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5"/>
          </w:tcPr>
          <w:p>
            <w:pPr>
              <w:ind w:left="580"/>
              <w:spacing w:after="0"/>
              <w:rPr>
                <w:sz w:val="20"/>
                <w:szCs w:val="20"/>
                <w:color w:val="auto"/>
              </w:rPr>
            </w:pPr>
            <w:r>
              <w:rPr>
                <w:rFonts w:ascii="Arial" w:cs="Arial" w:eastAsia="Arial" w:hAnsi="Arial"/>
                <w:sz w:val="14"/>
                <w:szCs w:val="14"/>
                <w:b w:val="1"/>
                <w:bCs w:val="1"/>
                <w:color w:val="auto"/>
              </w:rPr>
              <w:t>Asbestos Related Liabilities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1260" w:type="dxa"/>
            <w:vAlign w:val="bottom"/>
            <w:tcBorders>
              <w:bottom w:val="single" w:sz="8" w:color="E5FFFF"/>
            </w:tcBorders>
          </w:tcPr>
          <w:p>
            <w:pPr>
              <w:spacing w:after="0"/>
              <w:rPr>
                <w:sz w:val="17"/>
                <w:szCs w:val="17"/>
                <w:color w:val="auto"/>
              </w:rPr>
            </w:pPr>
          </w:p>
        </w:tc>
        <w:tc>
          <w:tcPr>
            <w:tcW w:w="10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Bendix</w:t>
            </w:r>
          </w:p>
        </w:tc>
        <w:tc>
          <w:tcPr>
            <w:tcW w:w="30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NARCO</w:t>
            </w:r>
          </w:p>
        </w:tc>
        <w:tc>
          <w:tcPr>
            <w:tcW w:w="30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2015</w:t>
            </w: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622</w:t>
            </w:r>
          </w:p>
        </w:tc>
        <w:tc>
          <w:tcPr>
            <w:tcW w:w="30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921</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1,543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gridSpan w:val="3"/>
            <w:shd w:val="clear" w:color="auto" w:fill="E5FFFF"/>
          </w:tcPr>
          <w:p>
            <w:pPr>
              <w:ind w:left="160"/>
              <w:spacing w:after="0"/>
              <w:rPr>
                <w:sz w:val="20"/>
                <w:szCs w:val="20"/>
                <w:color w:val="auto"/>
              </w:rPr>
            </w:pPr>
            <w:r>
              <w:rPr>
                <w:rFonts w:ascii="Arial" w:cs="Arial" w:eastAsia="Arial" w:hAnsi="Arial"/>
                <w:sz w:val="18"/>
                <w:szCs w:val="18"/>
                <w:color w:val="auto"/>
              </w:rPr>
              <w:t>Asbestos related liability payments</w:t>
            </w:r>
          </w:p>
        </w:tc>
        <w:tc>
          <w:tcPr>
            <w:tcW w:w="10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gridSpan w:val="3"/>
          </w:tcPr>
          <w:p>
            <w:pPr>
              <w:spacing w:after="0" w:line="197" w:lineRule="exact"/>
              <w:rPr>
                <w:sz w:val="20"/>
                <w:szCs w:val="20"/>
                <w:color w:val="auto"/>
              </w:rPr>
            </w:pPr>
            <w:r>
              <w:rPr>
                <w:rFonts w:ascii="Arial" w:cs="Arial" w:eastAsia="Arial" w:hAnsi="Arial"/>
                <w:sz w:val="18"/>
                <w:szCs w:val="18"/>
                <w:color w:val="auto"/>
              </w:rPr>
              <w:t>June 30, 2016</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628</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923</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20" w:type="dxa"/>
            <w:vAlign w:val="bottom"/>
            <w:gridSpan w:val="5"/>
            <w:vMerge w:val="continue"/>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900" w:type="dxa"/>
            <w:vAlign w:val="bottom"/>
            <w:tcBorders>
              <w:top w:val="single" w:sz="8" w:color="auto"/>
              <w:bottom w:val="single" w:sz="8" w:color="E5FFFF"/>
            </w:tcBorders>
          </w:tcPr>
          <w:p>
            <w:pPr>
              <w:spacing w:after="0"/>
              <w:rPr>
                <w:sz w:val="17"/>
                <w:szCs w:val="17"/>
                <w:color w:val="auto"/>
              </w:rPr>
            </w:pPr>
          </w:p>
        </w:tc>
        <w:tc>
          <w:tcPr>
            <w:tcW w:w="1760" w:type="dxa"/>
            <w:vAlign w:val="bottom"/>
            <w:tcBorders>
              <w:top w:val="single" w:sz="8" w:color="auto"/>
              <w:bottom w:val="single" w:sz="8" w:color="E5FFFF"/>
            </w:tcBorders>
          </w:tcPr>
          <w:p>
            <w:pPr>
              <w:spacing w:after="0"/>
              <w:rPr>
                <w:sz w:val="17"/>
                <w:szCs w:val="17"/>
                <w:color w:val="auto"/>
              </w:rPr>
            </w:pPr>
          </w:p>
        </w:tc>
        <w:tc>
          <w:tcPr>
            <w:tcW w:w="1260" w:type="dxa"/>
            <w:vAlign w:val="bottom"/>
            <w:tcBorders>
              <w:bottom w:val="single" w:sz="8" w:color="E5FFFF"/>
            </w:tcBorders>
          </w:tcPr>
          <w:p>
            <w:pPr>
              <w:spacing w:after="0"/>
              <w:rPr>
                <w:sz w:val="17"/>
                <w:szCs w:val="17"/>
                <w:color w:val="auto"/>
              </w:rPr>
            </w:pPr>
          </w:p>
        </w:tc>
        <w:tc>
          <w:tcPr>
            <w:tcW w:w="10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Bendix</w:t>
            </w:r>
          </w:p>
        </w:tc>
        <w:tc>
          <w:tcPr>
            <w:tcW w:w="30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NARCO</w:t>
            </w:r>
          </w:p>
        </w:tc>
        <w:tc>
          <w:tcPr>
            <w:tcW w:w="30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2015</w:t>
            </w: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124</w:t>
            </w:r>
          </w:p>
        </w:tc>
        <w:tc>
          <w:tcPr>
            <w:tcW w:w="30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325</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449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gridSpan w:val="3"/>
            <w:shd w:val="clear" w:color="auto" w:fill="E5FFFF"/>
          </w:tcPr>
          <w:p>
            <w:pPr>
              <w:ind w:left="160"/>
              <w:spacing w:after="0" w:line="202" w:lineRule="exact"/>
              <w:rPr>
                <w:sz w:val="20"/>
                <w:szCs w:val="20"/>
                <w:color w:val="auto"/>
              </w:rPr>
            </w:pPr>
            <w:r>
              <w:rPr>
                <w:rFonts w:ascii="Arial" w:cs="Arial" w:eastAsia="Arial" w:hAnsi="Arial"/>
                <w:sz w:val="18"/>
                <w:szCs w:val="18"/>
                <w:color w:val="auto"/>
              </w:rPr>
              <w:t>Insurance receivables settlements</w:t>
            </w: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Insurance receipts for asbestos related liabilities</w:t>
            </w:r>
          </w:p>
        </w:tc>
        <w:tc>
          <w:tcPr>
            <w:tcW w:w="1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92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June 30, 2016</w:t>
            </w:r>
          </w:p>
        </w:tc>
        <w:tc>
          <w:tcPr>
            <w:tcW w:w="128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129</w:t>
            </w:r>
          </w:p>
        </w:tc>
        <w:tc>
          <w:tcPr>
            <w:tcW w:w="52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322</w:t>
            </w:r>
          </w:p>
        </w:tc>
        <w:tc>
          <w:tcPr>
            <w:tcW w:w="58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451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top w:val="single" w:sz="8" w:color="E5FFFF"/>
            </w:tcBorders>
          </w:tcPr>
          <w:p>
            <w:pPr>
              <w:spacing w:after="0" w:line="20" w:lineRule="exact"/>
              <w:rPr>
                <w:sz w:val="1"/>
                <w:szCs w:val="1"/>
                <w:color w:val="auto"/>
              </w:rPr>
            </w:pPr>
          </w:p>
        </w:tc>
        <w:tc>
          <w:tcPr>
            <w:tcW w:w="1760" w:type="dxa"/>
            <w:vAlign w:val="bottom"/>
            <w:tcBorders>
              <w:top w:val="single" w:sz="8" w:color="E5FFFF"/>
            </w:tcBorders>
          </w:tcPr>
          <w:p>
            <w:pPr>
              <w:spacing w:after="0" w:line="20" w:lineRule="exact"/>
              <w:rPr>
                <w:sz w:val="1"/>
                <w:szCs w:val="1"/>
                <w:color w:val="auto"/>
              </w:rPr>
            </w:pPr>
          </w:p>
        </w:tc>
        <w:tc>
          <w:tcPr>
            <w:tcW w:w="126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E5FFFF"/>
              <w:bottom w:val="single" w:sz="8" w:color="E5FFFF"/>
            </w:tcBorders>
            <w:vMerge w:val="restart"/>
          </w:tcPr>
          <w:p>
            <w:pPr>
              <w:jc w:val="right"/>
              <w:ind w:right="65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C0C0C0"/>
            </w:tcBorders>
          </w:tcPr>
          <w:p>
            <w:pPr>
              <w:spacing w:after="0"/>
              <w:rPr>
                <w:sz w:val="17"/>
                <w:szCs w:val="17"/>
                <w:color w:val="auto"/>
              </w:rPr>
            </w:pPr>
          </w:p>
        </w:tc>
        <w:tc>
          <w:tcPr>
            <w:tcW w:w="20" w:type="dxa"/>
            <w:vAlign w:val="bottom"/>
            <w:tcBorders>
              <w:bottom w:val="single" w:sz="8" w:color="C0C0C0"/>
            </w:tcBorders>
          </w:tcPr>
          <w:p>
            <w:pPr>
              <w:spacing w:after="0"/>
              <w:rPr>
                <w:sz w:val="17"/>
                <w:szCs w:val="17"/>
                <w:color w:val="auto"/>
              </w:rPr>
            </w:pPr>
          </w:p>
        </w:tc>
        <w:tc>
          <w:tcPr>
            <w:tcW w:w="1900" w:type="dxa"/>
            <w:vAlign w:val="bottom"/>
            <w:tcBorders>
              <w:bottom w:val="single" w:sz="8" w:color="C0C0C0"/>
            </w:tcBorders>
          </w:tcPr>
          <w:p>
            <w:pPr>
              <w:spacing w:after="0"/>
              <w:rPr>
                <w:sz w:val="17"/>
                <w:szCs w:val="17"/>
                <w:color w:val="auto"/>
              </w:rPr>
            </w:pPr>
          </w:p>
        </w:tc>
        <w:tc>
          <w:tcPr>
            <w:tcW w:w="1760" w:type="dxa"/>
            <w:vAlign w:val="bottom"/>
            <w:tcBorders>
              <w:bottom w:val="single" w:sz="8" w:color="C0C0C0"/>
            </w:tcBorders>
          </w:tcPr>
          <w:p>
            <w:pPr>
              <w:spacing w:after="0"/>
              <w:rPr>
                <w:sz w:val="17"/>
                <w:szCs w:val="17"/>
                <w:color w:val="auto"/>
              </w:rPr>
            </w:pPr>
          </w:p>
        </w:tc>
        <w:tc>
          <w:tcPr>
            <w:tcW w:w="1260" w:type="dxa"/>
            <w:vAlign w:val="bottom"/>
            <w:tcBorders>
              <w:bottom w:val="single" w:sz="8" w:color="C0C0C0"/>
            </w:tcBorders>
          </w:tcPr>
          <w:p>
            <w:pPr>
              <w:spacing w:after="0"/>
              <w:rPr>
                <w:sz w:val="17"/>
                <w:szCs w:val="17"/>
                <w:color w:val="auto"/>
              </w:rPr>
            </w:pPr>
          </w:p>
        </w:tc>
        <w:tc>
          <w:tcPr>
            <w:tcW w:w="1040" w:type="dxa"/>
            <w:vAlign w:val="bottom"/>
            <w:tcBorders>
              <w:bottom w:val="single" w:sz="8" w:color="C0C0C0"/>
            </w:tcBorders>
          </w:tcPr>
          <w:p>
            <w:pPr>
              <w:spacing w:after="0"/>
              <w:rPr>
                <w:sz w:val="17"/>
                <w:szCs w:val="17"/>
                <w:color w:val="auto"/>
              </w:rPr>
            </w:pPr>
          </w:p>
        </w:tc>
        <w:tc>
          <w:tcPr>
            <w:tcW w:w="240" w:type="dxa"/>
            <w:vAlign w:val="bottom"/>
            <w:tcBorders>
              <w:bottom w:val="single" w:sz="8" w:color="C0C0C0"/>
            </w:tcBorders>
          </w:tcPr>
          <w:p>
            <w:pPr>
              <w:spacing w:after="0"/>
              <w:rPr>
                <w:sz w:val="17"/>
                <w:szCs w:val="17"/>
                <w:color w:val="auto"/>
              </w:rPr>
            </w:pPr>
          </w:p>
        </w:tc>
        <w:tc>
          <w:tcPr>
            <w:tcW w:w="1000" w:type="dxa"/>
            <w:vAlign w:val="bottom"/>
            <w:tcBorders>
              <w:bottom w:val="single" w:sz="8" w:color="C0C0C0"/>
            </w:tcBorders>
          </w:tcPr>
          <w:p>
            <w:pPr>
              <w:spacing w:after="0"/>
              <w:rPr>
                <w:sz w:val="17"/>
                <w:szCs w:val="17"/>
                <w:color w:val="auto"/>
              </w:rPr>
            </w:pPr>
          </w:p>
        </w:tc>
        <w:tc>
          <w:tcPr>
            <w:tcW w:w="300" w:type="dxa"/>
            <w:vAlign w:val="bottom"/>
            <w:tcBorders>
              <w:bottom w:val="single" w:sz="8" w:color="C0C0C0"/>
            </w:tcBorders>
          </w:tcPr>
          <w:p>
            <w:pPr>
              <w:spacing w:after="0"/>
              <w:rPr>
                <w:sz w:val="17"/>
                <w:szCs w:val="17"/>
                <w:color w:val="auto"/>
              </w:rPr>
            </w:pPr>
          </w:p>
        </w:tc>
        <w:tc>
          <w:tcPr>
            <w:tcW w:w="220" w:type="dxa"/>
            <w:vAlign w:val="bottom"/>
            <w:tcBorders>
              <w:bottom w:val="single" w:sz="8" w:color="C0C0C0"/>
            </w:tcBorders>
          </w:tcPr>
          <w:p>
            <w:pPr>
              <w:spacing w:after="0"/>
              <w:rPr>
                <w:sz w:val="17"/>
                <w:szCs w:val="17"/>
                <w:color w:val="auto"/>
              </w:rPr>
            </w:pPr>
          </w:p>
        </w:tc>
        <w:tc>
          <w:tcPr>
            <w:tcW w:w="1000" w:type="dxa"/>
            <w:vAlign w:val="bottom"/>
            <w:tcBorders>
              <w:bottom w:val="single" w:sz="8" w:color="C0C0C0"/>
            </w:tcBorders>
          </w:tcPr>
          <w:p>
            <w:pPr>
              <w:spacing w:after="0"/>
              <w:rPr>
                <w:sz w:val="17"/>
                <w:szCs w:val="17"/>
                <w:color w:val="auto"/>
              </w:rPr>
            </w:pPr>
          </w:p>
        </w:tc>
        <w:tc>
          <w:tcPr>
            <w:tcW w:w="300" w:type="dxa"/>
            <w:vAlign w:val="bottom"/>
            <w:tcBorders>
              <w:bottom w:val="single" w:sz="8" w:color="C0C0C0"/>
            </w:tcBorders>
          </w:tcPr>
          <w:p>
            <w:pPr>
              <w:spacing w:after="0"/>
              <w:rPr>
                <w:sz w:val="17"/>
                <w:szCs w:val="17"/>
                <w:color w:val="auto"/>
              </w:rPr>
            </w:pPr>
          </w:p>
        </w:tc>
        <w:tc>
          <w:tcPr>
            <w:tcW w:w="280" w:type="dxa"/>
            <w:vAlign w:val="bottom"/>
            <w:tcBorders>
              <w:bottom w:val="single" w:sz="8" w:color="C0C0C0"/>
            </w:tcBorders>
          </w:tcPr>
          <w:p>
            <w:pPr>
              <w:spacing w:after="0"/>
              <w:rPr>
                <w:sz w:val="17"/>
                <w:szCs w:val="17"/>
                <w:color w:val="auto"/>
              </w:rPr>
            </w:pPr>
          </w:p>
        </w:tc>
        <w:tc>
          <w:tcPr>
            <w:tcW w:w="960" w:type="dxa"/>
            <w:vAlign w:val="bottom"/>
            <w:tcBorders>
              <w:bottom w:val="single" w:sz="8" w:color="C0C0C0"/>
            </w:tcBorders>
          </w:tcPr>
          <w:p>
            <w:pPr>
              <w:spacing w:after="0"/>
              <w:rPr>
                <w:sz w:val="17"/>
                <w:szCs w:val="17"/>
                <w:color w:val="auto"/>
              </w:rPr>
            </w:pPr>
          </w:p>
        </w:tc>
        <w:tc>
          <w:tcPr>
            <w:tcW w:w="560" w:type="dxa"/>
            <w:vAlign w:val="bottom"/>
            <w:tcBorders>
              <w:bottom w:val="single" w:sz="8" w:color="C0C0C0"/>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560" w:type="dxa"/>
            <w:vAlign w:val="bottom"/>
            <w:tcBorders>
              <w:bottom w:val="single" w:sz="8" w:color="E5FFFF"/>
            </w:tcBorders>
          </w:tcPr>
          <w:p>
            <w:pPr>
              <w:spacing w:after="0"/>
              <w:rPr>
                <w:sz w:val="16"/>
                <w:szCs w:val="16"/>
                <w:color w:val="auto"/>
              </w:rPr>
            </w:pPr>
          </w:p>
        </w:tc>
        <w:tc>
          <w:tcPr>
            <w:tcW w:w="1540" w:type="dxa"/>
            <w:vAlign w:val="bottom"/>
            <w:tcBorders>
              <w:bottom w:val="single" w:sz="8" w:color="E5FF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6"/>
                <w:szCs w:val="16"/>
                <w:color w:val="auto"/>
              </w:rPr>
            </w:pPr>
          </w:p>
        </w:tc>
        <w:tc>
          <w:tcPr>
            <w:tcW w:w="20" w:type="dxa"/>
            <w:vAlign w:val="bottom"/>
            <w:tcBorders>
              <w:bottom w:val="single" w:sz="8" w:color="E5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196"/>
        </w:trPr>
        <w:tc>
          <w:tcPr>
            <w:tcW w:w="5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r>
      <w:tr>
        <w:trPr>
          <w:trHeight w:val="216"/>
        </w:trPr>
        <w:tc>
          <w:tcPr>
            <w:tcW w:w="55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15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428</w:t>
            </w:r>
          </w:p>
        </w:tc>
        <w:tc>
          <w:tcPr>
            <w:tcW w:w="30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426</w:t>
            </w:r>
          </w:p>
        </w:tc>
      </w:tr>
      <w:tr>
        <w:trPr>
          <w:trHeight w:val="210"/>
        </w:trPr>
        <w:tc>
          <w:tcPr>
            <w:tcW w:w="5560" w:type="dxa"/>
            <w:vAlign w:val="bottom"/>
            <w:shd w:val="clear" w:color="auto" w:fill="E5FFFF"/>
          </w:tcPr>
          <w:p>
            <w:pPr>
              <w:spacing w:after="0"/>
              <w:rPr>
                <w:sz w:val="18"/>
                <w:szCs w:val="18"/>
                <w:color w:val="auto"/>
              </w:rPr>
            </w:pPr>
          </w:p>
        </w:tc>
        <w:tc>
          <w:tcPr>
            <w:tcW w:w="18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449</w:t>
            </w:r>
          </w:p>
        </w:tc>
      </w:tr>
      <w:tr>
        <w:trPr>
          <w:trHeight w:val="20"/>
        </w:trPr>
        <w:tc>
          <w:tcPr>
            <w:tcW w:w="5560" w:type="dxa"/>
            <w:vAlign w:val="bottom"/>
            <w:tcBorders>
              <w:top w:val="single" w:sz="8" w:color="E5FFFF"/>
            </w:tcBorders>
          </w:tcPr>
          <w:p>
            <w:pPr>
              <w:spacing w:after="0" w:line="20" w:lineRule="exact"/>
              <w:rPr>
                <w:sz w:val="1"/>
                <w:szCs w:val="1"/>
                <w:color w:val="auto"/>
              </w:rPr>
            </w:pPr>
          </w:p>
        </w:tc>
        <w:tc>
          <w:tcPr>
            <w:tcW w:w="15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8"/>
                <w:szCs w:val="18"/>
                <w:color w:val="auto"/>
              </w:rPr>
              <w:t>Accrued liabilities</w:t>
            </w:r>
          </w:p>
        </w:tc>
        <w:tc>
          <w:tcPr>
            <w:tcW w:w="1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292</w:t>
            </w: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15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1,259</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1,251</w:t>
            </w:r>
          </w:p>
        </w:tc>
      </w:tr>
      <w:tr>
        <w:trPr>
          <w:trHeight w:val="210"/>
        </w:trPr>
        <w:tc>
          <w:tcPr>
            <w:tcW w:w="5560" w:type="dxa"/>
            <w:vAlign w:val="bottom"/>
          </w:tcPr>
          <w:p>
            <w:pPr>
              <w:spacing w:after="0"/>
              <w:rPr>
                <w:sz w:val="18"/>
                <w:szCs w:val="18"/>
                <w:color w:val="auto"/>
              </w:rPr>
            </w:pPr>
          </w:p>
        </w:tc>
        <w:tc>
          <w:tcPr>
            <w:tcW w:w="1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1,543</w:t>
            </w:r>
          </w:p>
        </w:tc>
      </w:tr>
      <w:tr>
        <w:trPr>
          <w:trHeight w:val="20"/>
        </w:trPr>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2016 through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Claims processing will continue during this period subject to a defined dispute resolution process. As of June 30, 2016, Honeywell has not made any payments to the NARCO Trust for Annual Contribution Claims.</w:t>
      </w:r>
    </w:p>
    <w:p>
      <w:pPr>
        <w:spacing w:after="0" w:line="14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unsettled claims pending as of the time NARCO filed for bankruptcy protection ($35 million) and for the estimated value of future NARCO asbestos claims expected to be asserted against the NARCO Trust through 2018 ($743 million). In the absence of actual trust experience on which to base the estimate, Honeywell projected the probable value of asbestos related future liabilities, including trust claim handling costs, based on a 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 liability of $743 million to $961 million. We believe that no amount within this range is a better estimate than any other amount and accordingly, we have recorded the minimum amount in the range. In light of the uncertainties inherent in making long-term projections and in connection with the recent implementation of the Trust Distribution Procedures by the NARCO Trust, as well as the stay of all NARCO asbestos claims which remained in place throughout NARCO’s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Chapter 11 case, we do not believe that we have a reasonable basis for estimating NARCO asbestos claims beyond 2018.</w:t>
      </w:r>
    </w:p>
    <w:p>
      <w:pPr>
        <w:spacing w:after="0" w:line="14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3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color w:val="auto"/>
        </w:rPr>
        <w:t>—the following tables present information regarding Bendix related asbestos claims activity: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Activity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period</w:t>
      </w:r>
    </w:p>
    <w:p>
      <w:pPr>
        <w:spacing w:after="0"/>
        <w:rPr>
          <w:sz w:val="20"/>
          <w:szCs w:val="20"/>
          <w:color w:val="auto"/>
        </w:rPr>
      </w:pPr>
      <w:r>
        <w:rPr>
          <w:rFonts w:ascii="Arial" w:cs="Arial" w:eastAsia="Arial" w:hAnsi="Arial"/>
          <w:sz w:val="18"/>
          <w:szCs w:val="18"/>
          <w:color w:val="auto"/>
        </w:rPr>
        <w:t>Claims Filed</w:t>
      </w:r>
    </w:p>
    <w:p>
      <w:pPr>
        <w:spacing w:after="0" w:line="181" w:lineRule="auto"/>
        <w:rPr>
          <w:sz w:val="20"/>
          <w:szCs w:val="20"/>
          <w:color w:val="auto"/>
        </w:rPr>
      </w:pPr>
      <w:r>
        <w:rPr>
          <w:rFonts w:ascii="Arial" w:cs="Arial" w:eastAsia="Arial" w:hAnsi="Arial"/>
          <w:sz w:val="18"/>
          <w:szCs w:val="18"/>
          <w:color w:val="auto"/>
        </w:rPr>
        <w:t xml:space="preserve">Claims Resolved </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end of period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2620" w:type="dxa"/>
            <w:vAlign w:val="bottom"/>
            <w:gridSpan w:val="3"/>
          </w:tcPr>
          <w:p>
            <w:pPr>
              <w:jc w:val="center"/>
              <w:ind w:left="1198"/>
              <w:spacing w:after="0"/>
              <w:rPr>
                <w:sz w:val="20"/>
                <w:szCs w:val="20"/>
                <w:color w:val="auto"/>
              </w:rPr>
            </w:pPr>
            <w:r>
              <w:rPr>
                <w:rFonts w:ascii="Arial" w:cs="Arial" w:eastAsia="Arial" w:hAnsi="Arial"/>
                <w:sz w:val="14"/>
                <w:szCs w:val="14"/>
                <w:b w:val="1"/>
                <w:bCs w:val="1"/>
                <w:color w:val="auto"/>
              </w:rPr>
              <w:t>Years Ended</w:t>
            </w:r>
          </w:p>
        </w:tc>
        <w:tc>
          <w:tcPr>
            <w:tcW w:w="1280" w:type="dxa"/>
            <w:vAlign w:val="bottom"/>
          </w:tcPr>
          <w:p>
            <w:pPr>
              <w:spacing w:after="0"/>
              <w:rPr>
                <w:sz w:val="16"/>
                <w:szCs w:val="16"/>
                <w:color w:val="auto"/>
              </w:rPr>
            </w:pPr>
          </w:p>
        </w:tc>
      </w:tr>
      <w:tr>
        <w:trPr>
          <w:trHeight w:val="188"/>
        </w:trPr>
        <w:tc>
          <w:tcPr>
            <w:tcW w:w="2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2620" w:type="dxa"/>
            <w:vAlign w:val="bottom"/>
            <w:tcBorders>
              <w:bottom w:val="single" w:sz="8" w:color="auto"/>
            </w:tcBorders>
            <w:gridSpan w:val="3"/>
          </w:tcPr>
          <w:p>
            <w:pPr>
              <w:jc w:val="center"/>
              <w:ind w:left="1198"/>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r>
      <w:tr>
        <w:trPr>
          <w:trHeight w:val="196"/>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7"/>
                <w:szCs w:val="17"/>
                <w:color w:val="auto"/>
              </w:rPr>
            </w:pPr>
          </w:p>
        </w:tc>
        <w:tc>
          <w:tcPr>
            <w:tcW w:w="18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195"/>
        </w:trPr>
        <w:tc>
          <w:tcPr>
            <w:tcW w:w="2160" w:type="dxa"/>
            <w:vAlign w:val="bottom"/>
          </w:tcPr>
          <w:p>
            <w:pPr>
              <w:jc w:val="right"/>
              <w:ind w:right="38"/>
              <w:spacing w:after="0" w:line="195" w:lineRule="exact"/>
              <w:rPr>
                <w:sz w:val="20"/>
                <w:szCs w:val="20"/>
                <w:color w:val="auto"/>
              </w:rPr>
            </w:pPr>
            <w:r>
              <w:rPr>
                <w:rFonts w:ascii="Arial" w:cs="Arial" w:eastAsia="Arial" w:hAnsi="Arial"/>
                <w:sz w:val="18"/>
                <w:szCs w:val="18"/>
                <w:color w:val="auto"/>
              </w:rPr>
              <w:t>7,779</w:t>
            </w:r>
          </w:p>
        </w:tc>
        <w:tc>
          <w:tcPr>
            <w:tcW w:w="200" w:type="dxa"/>
            <w:vAlign w:val="bottom"/>
          </w:tcPr>
          <w:p>
            <w:pPr>
              <w:spacing w:after="0"/>
              <w:rPr>
                <w:sz w:val="16"/>
                <w:szCs w:val="16"/>
                <w:color w:val="auto"/>
              </w:rPr>
            </w:pPr>
          </w:p>
        </w:tc>
        <w:tc>
          <w:tcPr>
            <w:tcW w:w="1840" w:type="dxa"/>
            <w:vAlign w:val="bottom"/>
          </w:tcPr>
          <w:p>
            <w:pPr>
              <w:jc w:val="right"/>
              <w:ind w:right="18"/>
              <w:spacing w:after="0" w:line="195" w:lineRule="exact"/>
              <w:rPr>
                <w:sz w:val="20"/>
                <w:szCs w:val="20"/>
                <w:color w:val="auto"/>
              </w:rPr>
            </w:pPr>
            <w:r>
              <w:rPr>
                <w:rFonts w:ascii="Arial" w:cs="Arial" w:eastAsia="Arial" w:hAnsi="Arial"/>
                <w:sz w:val="18"/>
                <w:szCs w:val="18"/>
                <w:color w:val="auto"/>
              </w:rPr>
              <w:t>9,267</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jc w:val="right"/>
              <w:ind w:right="14"/>
              <w:spacing w:after="0" w:line="195" w:lineRule="exact"/>
              <w:rPr>
                <w:sz w:val="20"/>
                <w:szCs w:val="20"/>
                <w:color w:val="auto"/>
              </w:rPr>
            </w:pPr>
            <w:r>
              <w:rPr>
                <w:rFonts w:ascii="Arial" w:cs="Arial" w:eastAsia="Arial" w:hAnsi="Arial"/>
                <w:sz w:val="18"/>
                <w:szCs w:val="18"/>
                <w:color w:val="auto"/>
              </w:rPr>
              <w:t>12,302</w:t>
            </w:r>
          </w:p>
        </w:tc>
      </w:tr>
      <w:tr>
        <w:trPr>
          <w:trHeight w:val="217"/>
        </w:trPr>
        <w:tc>
          <w:tcPr>
            <w:tcW w:w="2160" w:type="dxa"/>
            <w:vAlign w:val="bottom"/>
          </w:tcPr>
          <w:p>
            <w:pPr>
              <w:jc w:val="right"/>
              <w:ind w:right="38"/>
              <w:spacing w:after="0"/>
              <w:rPr>
                <w:sz w:val="20"/>
                <w:szCs w:val="20"/>
                <w:color w:val="auto"/>
              </w:rPr>
            </w:pPr>
            <w:r>
              <w:rPr>
                <w:rFonts w:ascii="Arial" w:cs="Arial" w:eastAsia="Arial" w:hAnsi="Arial"/>
                <w:sz w:val="18"/>
                <w:szCs w:val="18"/>
                <w:color w:val="auto"/>
              </w:rPr>
              <w:t>1,421</w:t>
            </w:r>
          </w:p>
        </w:tc>
        <w:tc>
          <w:tcPr>
            <w:tcW w:w="200" w:type="dxa"/>
            <w:vAlign w:val="bottom"/>
          </w:tcPr>
          <w:p>
            <w:pPr>
              <w:spacing w:after="0"/>
              <w:rPr>
                <w:sz w:val="18"/>
                <w:szCs w:val="18"/>
                <w:color w:val="auto"/>
              </w:rPr>
            </w:pPr>
          </w:p>
        </w:tc>
        <w:tc>
          <w:tcPr>
            <w:tcW w:w="1840" w:type="dxa"/>
            <w:vAlign w:val="bottom"/>
          </w:tcPr>
          <w:p>
            <w:pPr>
              <w:jc w:val="right"/>
              <w:ind w:right="18"/>
              <w:spacing w:after="0"/>
              <w:rPr>
                <w:sz w:val="20"/>
                <w:szCs w:val="20"/>
                <w:color w:val="auto"/>
              </w:rPr>
            </w:pPr>
            <w:r>
              <w:rPr>
                <w:rFonts w:ascii="Arial" w:cs="Arial" w:eastAsia="Arial" w:hAnsi="Arial"/>
                <w:sz w:val="18"/>
                <w:szCs w:val="18"/>
                <w:color w:val="auto"/>
              </w:rPr>
              <w:t>2,862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3,694</w:t>
            </w:r>
          </w:p>
        </w:tc>
      </w:tr>
      <w:tr>
        <w:trPr>
          <w:trHeight w:val="24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2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r>
      <w:tr>
        <w:trPr>
          <w:trHeight w:val="210"/>
        </w:trPr>
        <w:tc>
          <w:tcPr>
            <w:tcW w:w="2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8,017</w:t>
            </w:r>
          </w:p>
        </w:tc>
        <w:tc>
          <w:tcPr>
            <w:tcW w:w="200" w:type="dxa"/>
            <w:vAlign w:val="bottom"/>
          </w:tcPr>
          <w:p>
            <w:pPr>
              <w:spacing w:after="0"/>
              <w:rPr>
                <w:sz w:val="18"/>
                <w:szCs w:val="18"/>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7,779</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9,267</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-599440</wp:posOffset>
            </wp:positionV>
            <wp:extent cx="68776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-334010</wp:posOffset>
            </wp:positionV>
            <wp:extent cx="687768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400" w:right="239" w:bottom="1440" w:gutter="0" w:footer="0" w:header="0"/>
          <w:type w:val="continuous"/>
        </w:sectPr>
      </w:pPr>
    </w:p>
    <w:p>
      <w:pPr>
        <w:spacing w:after="0" w:line="218" w:lineRule="exact"/>
        <w:rPr>
          <w:sz w:val="20"/>
          <w:szCs w:val="20"/>
          <w:color w:val="auto"/>
        </w:rPr>
      </w:pPr>
    </w:p>
    <w:p>
      <w:pPr>
        <w:ind w:right="44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resolved in 2014 include 2,110 cancer claims which were determined to have no value. Also, claims resolved in 2015 and 2014 include significantly aged (i.e., pending for more than six years) claims totaling 153 and 1,266.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Disease Distribution of Unresolved Claims</w:t>
            </w:r>
          </w:p>
        </w:tc>
        <w:tc>
          <w:tcPr>
            <w:tcW w:w="940" w:type="dxa"/>
            <w:vAlign w:val="bottom"/>
          </w:tcPr>
          <w:p>
            <w:pPr>
              <w:spacing w:after="0"/>
              <w:rPr>
                <w:sz w:val="19"/>
                <w:szCs w:val="19"/>
                <w:color w:val="auto"/>
              </w:rPr>
            </w:pPr>
          </w:p>
        </w:tc>
        <w:tc>
          <w:tcPr>
            <w:tcW w:w="1480" w:type="dxa"/>
            <w:vAlign w:val="bottom"/>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3"/>
          </w:tcPr>
          <w:p>
            <w:pPr>
              <w:ind w:left="148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bottom w:val="single" w:sz="8" w:color="E5FFFF"/>
            </w:tcBorders>
          </w:tcPr>
          <w:p>
            <w:pPr>
              <w:spacing w:after="0"/>
              <w:rPr>
                <w:sz w:val="17"/>
                <w:szCs w:val="17"/>
                <w:color w:val="auto"/>
              </w:rPr>
            </w:pPr>
          </w:p>
        </w:tc>
        <w:tc>
          <w:tcPr>
            <w:tcW w:w="940" w:type="dxa"/>
            <w:vAlign w:val="bottom"/>
            <w:tcBorders>
              <w:bottom w:val="single" w:sz="8" w:color="E5FFFF"/>
            </w:tcBorders>
          </w:tcPr>
          <w:p>
            <w:pPr>
              <w:spacing w:after="0"/>
              <w:rPr>
                <w:sz w:val="17"/>
                <w:szCs w:val="17"/>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8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48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3,791</w:t>
            </w:r>
          </w:p>
        </w:tc>
        <w:tc>
          <w:tcPr>
            <w:tcW w:w="200" w:type="dxa"/>
            <w:vAlign w:val="bottom"/>
            <w:shd w:val="clear" w:color="auto" w:fill="E5FFFF"/>
          </w:tcPr>
          <w:p>
            <w:pPr>
              <w:spacing w:after="0"/>
              <w:rPr>
                <w:sz w:val="17"/>
                <w:szCs w:val="17"/>
                <w:color w:val="auto"/>
              </w:rPr>
            </w:pPr>
          </w:p>
        </w:tc>
        <w:tc>
          <w:tcPr>
            <w:tcW w:w="184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3,772</w:t>
            </w:r>
          </w:p>
        </w:tc>
        <w:tc>
          <w:tcPr>
            <w:tcW w:w="22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3,933</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Nonmalignant Claims</w:t>
            </w:r>
          </w:p>
        </w:tc>
        <w:tc>
          <w:tcPr>
            <w:tcW w:w="1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4,226</w:t>
            </w:r>
          </w:p>
        </w:tc>
        <w:tc>
          <w:tcPr>
            <w:tcW w:w="200" w:type="dxa"/>
            <w:vAlign w:val="bottom"/>
            <w:tcBorders>
              <w:bottom w:val="single" w:sz="8" w:color="E5FFFF"/>
            </w:tcBorders>
          </w:tcPr>
          <w:p>
            <w:pPr>
              <w:spacing w:after="0"/>
              <w:rPr>
                <w:sz w:val="18"/>
                <w:szCs w:val="18"/>
                <w:color w:val="auto"/>
              </w:rPr>
            </w:pPr>
          </w:p>
        </w:tc>
        <w:tc>
          <w:tcPr>
            <w:tcW w:w="1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4,007</w:t>
            </w:r>
          </w:p>
        </w:tc>
        <w:tc>
          <w:tcPr>
            <w:tcW w:w="220" w:type="dxa"/>
            <w:vAlign w:val="bottom"/>
            <w:tcBorders>
              <w:bottom w:val="single" w:sz="8" w:color="E5FF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5,334</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E5FFFF"/>
            </w:tcBorders>
            <w:gridSpan w:val="2"/>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Claims</w:t>
            </w:r>
          </w:p>
        </w:tc>
        <w:tc>
          <w:tcPr>
            <w:tcW w:w="148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8,017</w:t>
            </w:r>
          </w:p>
        </w:tc>
        <w:tc>
          <w:tcPr>
            <w:tcW w:w="200" w:type="dxa"/>
            <w:vAlign w:val="bottom"/>
            <w:tcBorders>
              <w:bottom w:val="single" w:sz="8" w:color="E5FFFF"/>
            </w:tcBorders>
            <w:shd w:val="clear" w:color="auto" w:fill="E5FFFF"/>
          </w:tcPr>
          <w:p>
            <w:pPr>
              <w:spacing w:after="0"/>
              <w:rPr>
                <w:sz w:val="18"/>
                <w:szCs w:val="18"/>
                <w:color w:val="auto"/>
              </w:rPr>
            </w:pPr>
          </w:p>
        </w:tc>
        <w:tc>
          <w:tcPr>
            <w:tcW w:w="184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7,779</w:t>
            </w:r>
          </w:p>
        </w:tc>
        <w:tc>
          <w:tcPr>
            <w:tcW w:w="220" w:type="dxa"/>
            <w:vAlign w:val="bottom"/>
            <w:tcBorders>
              <w:bottom w:val="single" w:sz="8" w:color="E5FFFF"/>
            </w:tcBorders>
            <w:shd w:val="clear" w:color="auto" w:fill="E5FFFF"/>
          </w:tcPr>
          <w:p>
            <w:pPr>
              <w:spacing w:after="0"/>
              <w:rPr>
                <w:sz w:val="18"/>
                <w:szCs w:val="18"/>
                <w:color w:val="auto"/>
              </w:rPr>
            </w:pPr>
          </w:p>
        </w:tc>
        <w:tc>
          <w:tcPr>
            <w:tcW w:w="560" w:type="dxa"/>
            <w:vAlign w:val="bottom"/>
            <w:tcBorders>
              <w:bottom w:val="single" w:sz="8" w:color="auto"/>
            </w:tcBorders>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9,267</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96"/>
        </w:trPr>
        <w:tc>
          <w:tcPr>
            <w:tcW w:w="4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r>
      <w:tr>
        <w:trPr>
          <w:trHeight w:val="182"/>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whole dollars)</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44,000</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53,500</w:t>
            </w:r>
          </w:p>
        </w:tc>
        <w:tc>
          <w:tcPr>
            <w:tcW w:w="6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51,000</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49,000</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48,000</w:t>
            </w: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Nonmalignant claims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100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850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1,400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4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3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6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Tackett </w:t>
      </w:r>
      <w:r>
        <w:rPr>
          <w:rFonts w:ascii="Arial" w:cs="Arial" w:eastAsia="Arial" w:hAnsi="Arial"/>
          <w:sz w:val="18"/>
          <w:szCs w:val="18"/>
          <w:color w:val="auto"/>
        </w:rPr>
        <w:t>case.</w:t>
      </w:r>
      <w:r>
        <w:rPr>
          <w:rFonts w:ascii="Arial" w:cs="Arial" w:eastAsia="Arial" w:hAnsi="Arial"/>
          <w:sz w:val="18"/>
          <w:szCs w:val="18"/>
          <w:i w:val="1"/>
          <w:iCs w:val="1"/>
          <w:color w:val="auto"/>
        </w:rPr>
        <w:t xml:space="preserve"> </w:t>
      </w:r>
      <w:r>
        <w:rPr>
          <w:rFonts w:ascii="Arial" w:cs="Arial" w:eastAsia="Arial" w:hAnsi="Arial"/>
          <w:sz w:val="18"/>
          <w:szCs w:val="18"/>
          <w:color w:val="auto"/>
        </w:rPr>
        <w:t>In a ruling on January 26, 2015, the Supreme Court held that retiree health insurance benefits provided in collective bargaining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do not carry an inference that they are vested or guaranteed to continue for life and that the “vesting” issue must be decided pursuant to ordinary principles of contract law. The stay of the proceedings has been lifted and the case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is again proceeding.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$176 million, reflecting the estimated value of these CAPS.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$110 million, reflecting the estimated value of these CAPS.</w:t>
      </w:r>
    </w:p>
    <w:p>
      <w:pPr>
        <w:spacing w:after="0" w:line="1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2016, the Company announced that it is realigning the business units comprising its Automation and Control Solutions business segment by forming two new business segments: Home and Building Technologies (HBT) and Safety and Productivity Solutions (SPS). HBT will include Environmental &amp; Energy Solutions, Security and Fire, and Building Solutions and Distribution. Additionally, the Industrial Combustion/Thermal business, previously part of Environmental &amp; Energy Solutions in ACS, will become part of Performance Materials and Technologies. SPS will include Sensing &amp; Productivity Solutions and Industrial Safety, as well as the Intelligrated acquisition after it closes. Under the realigned segment reporting structure, the Company will have four business segments: Aerospace, Performance Materials and Technologies, HBT, and SPS. The Company intends to report its financial performance based on this realignment effective with the reporting of third quarter 2016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38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000" w:type="dxa"/>
            <w:vAlign w:val="bottom"/>
          </w:tcPr>
          <w:p>
            <w:pPr>
              <w:spacing w:after="0"/>
              <w:rPr>
                <w:sz w:val="17"/>
                <w:szCs w:val="17"/>
                <w:color w:val="auto"/>
              </w:rPr>
            </w:pPr>
          </w:p>
        </w:tc>
        <w:tc>
          <w:tcPr>
            <w:tcW w:w="6960" w:type="dxa"/>
            <w:vAlign w:val="bottom"/>
            <w:gridSpan w:val="2"/>
          </w:tcPr>
          <w:p>
            <w:pPr>
              <w:jc w:val="center"/>
              <w:ind w:left="129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7"/>
        </w:trPr>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and six months ended June 30, 2016. The financial information as of June 30, 2016 should be read in conjunction with the financial statements for the year ended December 31, 2015 contained in our 2015 Annual Report on Form 10-K.</w:t>
      </w:r>
    </w:p>
    <w:p>
      <w:pPr>
        <w:spacing w:after="0" w:line="1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2016, the Company announced that it is realigning the business units comprising its Automation and Control Solutions (ACS) business segment by forming two new business segments: Home and Building Technologies (HBT) and Safety and Productivity Solutions (SPS). HBT will include Environmental &amp; Energy Solutions, Security and Fire, and Building Solutions and Distribution. Additionally, the Industrial Combustion/Thermal business, previously part of Environmental &amp; Energy Solutions in ACS, will become part of Performance Materials and Technologies (PMT). SPS will include Sensing &amp; Productivity Solutions and Industrial Safety, as well as the Intelligrated acquisition after it closes. Under the realigned segment reporting structure, the Company will have four business segments: Aerospace, PMT, HBT, and SPS. The Company intends to report its financial performance based on this realignment effective with the reporting of results for the third quarter 2016.</w:t>
      </w:r>
    </w:p>
    <w:p>
      <w:pPr>
        <w:spacing w:after="0" w:line="17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six months ended June 30, 2016 compared with the three and six months ended June 30,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
              <w:spacing w:after="0"/>
              <w:rPr>
                <w:sz w:val="20"/>
                <w:szCs w:val="20"/>
                <w:color w:val="auto"/>
              </w:rPr>
            </w:pPr>
            <w:r>
              <w:rPr>
                <w:rFonts w:ascii="Arial" w:cs="Arial" w:eastAsia="Arial" w:hAnsi="Arial"/>
                <w:sz w:val="18"/>
                <w:szCs w:val="18"/>
                <w:color w:val="auto"/>
              </w:rPr>
              <w:t>9,775</w:t>
            </w:r>
          </w:p>
        </w:tc>
        <w:tc>
          <w:tcPr>
            <w:tcW w:w="3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19,513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980" w:type="dxa"/>
            <w:vAlign w:val="bottom"/>
            <w:gridSpan w:val="9"/>
          </w:tcPr>
          <w:p>
            <w:pPr>
              <w:ind w:left="6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24"/>
                <w:szCs w:val="24"/>
                <w:color w:val="auto"/>
              </w:rPr>
            </w:pPr>
          </w:p>
        </w:tc>
        <w:tc>
          <w:tcPr>
            <w:tcW w:w="14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to Date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7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32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spacing w:after="0"/>
              <w:rPr>
                <w:sz w:val="17"/>
                <w:szCs w:val="17"/>
                <w:color w:val="auto"/>
              </w:rPr>
            </w:pPr>
          </w:p>
        </w:tc>
        <w:tc>
          <w:tcPr>
            <w:tcW w:w="84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spacing w:after="0"/>
              <w:rPr>
                <w:sz w:val="17"/>
                <w:szCs w:val="17"/>
                <w:color w:val="auto"/>
              </w:rPr>
            </w:pPr>
          </w:p>
        </w:tc>
        <w:tc>
          <w:tcPr>
            <w:tcW w:w="700" w:type="dxa"/>
            <w:vAlign w:val="bottom"/>
            <w:tcBorders>
              <w:top w:val="single" w:sz="8" w:color="auto"/>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E5FFFF"/>
          </w:tcPr>
          <w:p>
            <w:pPr>
              <w:spacing w:after="0"/>
              <w:rPr>
                <w:sz w:val="20"/>
                <w:szCs w:val="20"/>
                <w:color w:val="auto"/>
              </w:rPr>
            </w:pPr>
            <w:r>
              <w:rPr>
                <w:rFonts w:ascii="Arial" w:cs="Arial" w:eastAsia="Arial" w:hAnsi="Arial"/>
                <w:sz w:val="18"/>
                <w:szCs w:val="18"/>
                <w:color w:val="auto"/>
              </w:rPr>
              <w:t>Acquisitions/Divestitures</w:t>
            </w:r>
          </w:p>
        </w:tc>
        <w:tc>
          <w:tcPr>
            <w:tcW w:w="32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36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for the quarter ended June 30, 2016 is principally driven by the weakening of the British Pound, Chinese Renminbi and Canadian Dollar, partially offset by the strengthening of the Euro against the U.S. Dollar. The foreign currency translation impact for the six months ended June 30, 2016 is principally driven by the weakening of the Canadian Dollar, British Pound and Chinese Renminbi against the U.S. Dollar.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6,821</w:t>
            </w:r>
          </w:p>
        </w:tc>
        <w:tc>
          <w:tcPr>
            <w:tcW w:w="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6,814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13,368</w:t>
            </w:r>
          </w:p>
        </w:tc>
        <w:tc>
          <w:tcPr>
            <w:tcW w:w="34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13,176</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31.7%</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30.3%</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31.5%</w:t>
            </w:r>
          </w:p>
        </w:tc>
        <w:tc>
          <w:tcPr>
            <w:tcW w:w="3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were flat in the quarter ended June 30, 2016 principally due to an increase in direct material and labor costs of approximately $90 million (driven primarily by acquisitions, partially offset by the favorable impact from productivity, net of inflation, lower sales volumes and foreign currency), offset by increased pension and other postretirement benefits income of approximately $55 million and lower repositioning and other charges of approximately $35 million.</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increased in the six months ended June 30, 2016 principally due to an increase in direct material and labor costs of approximately $310 million (driven primarily by acquisitions, partially offset by the favorable impact from productivity, net of inflation, foreign currency and lower sales volumes), partially offset by increased pension and other postretirement benefits income of approximately $110 million and lower repositioning and other charges of approximately $50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 w:name="page23"/>
    <w:bookmarkEnd w:id="22"/>
    <w:p>
      <w:pPr>
        <w:jc w:val="both"/>
        <w:ind w:firstLine="648"/>
        <w:spacing w:after="0" w:line="238" w:lineRule="auto"/>
        <w:rPr>
          <w:sz w:val="20"/>
          <w:szCs w:val="20"/>
          <w:color w:val="auto"/>
        </w:rPr>
      </w:pPr>
      <w:r>
        <w:rPr>
          <w:rFonts w:ascii="Arial" w:cs="Arial" w:eastAsia="Arial" w:hAnsi="Arial"/>
          <w:sz w:val="18"/>
          <w:szCs w:val="18"/>
          <w:color w:val="auto"/>
        </w:rPr>
        <w:t>Gross margin percentage increased in the quarter and six months ended June 30, 2016 primarily due to higher segment gross margin in Aerospace and PMT (approximately 0.6 and 0.5 percentage point impact for the quarter and six month periods), increased pension and other postretirement benefits income (approximately 0.6 percentage point impact for the quarter and six month periods) and lower repositioning and other charges (approximately 0.3 percentage point impact for the quarter and six month periods), partially offset by lower segment gross margin in ACS (approximately 0.2 and 0.5 percentage point impact for the quarter and six month periods), principally attributed to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95"/>
        </w:trPr>
        <w:tc>
          <w:tcPr>
            <w:tcW w:w="3740" w:type="dxa"/>
            <w:vAlign w:val="bottom"/>
            <w:vMerge w:val="continue"/>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1,329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76"/>
              <w:spacing w:after="0" w:line="195" w:lineRule="exact"/>
              <w:rPr>
                <w:sz w:val="20"/>
                <w:szCs w:val="20"/>
                <w:color w:val="auto"/>
              </w:rPr>
            </w:pPr>
            <w:r>
              <w:rPr>
                <w:rFonts w:ascii="Arial" w:cs="Arial" w:eastAsia="Arial" w:hAnsi="Arial"/>
                <w:sz w:val="18"/>
                <w:szCs w:val="18"/>
                <w:color w:val="auto"/>
              </w:rPr>
              <w:t>1,242</w:t>
            </w:r>
          </w:p>
        </w:tc>
        <w:tc>
          <w:tcPr>
            <w:tcW w:w="26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2,609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76"/>
              <w:spacing w:after="0" w:line="195" w:lineRule="exact"/>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7"/>
        </w:trPr>
        <w:tc>
          <w:tcPr>
            <w:tcW w:w="4000" w:type="dxa"/>
            <w:vAlign w:val="bottom"/>
            <w:gridSpan w:val="2"/>
          </w:tcPr>
          <w:p>
            <w:pPr>
              <w:spacing w:after="0"/>
              <w:rPr>
                <w:sz w:val="20"/>
                <w:szCs w:val="20"/>
                <w:color w:val="auto"/>
              </w:rPr>
            </w:pPr>
            <w:r>
              <w:rPr>
                <w:rFonts w:ascii="Arial" w:cs="Arial" w:eastAsia="Arial" w:hAnsi="Arial"/>
                <w:sz w:val="18"/>
                <w:szCs w:val="18"/>
                <w:color w:val="auto"/>
              </w:rPr>
              <w:t>Percent of sales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Selling, general and administrative expenses (SG&amp;A) increased in the quarter ended June 30, 2016 primarily due to an increase in labor costs, principally attributed to acquisitions.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SG&amp;A increased in the six months ended June 30, 2016 primarily due to an increase in labor costs (principally attributed to acquisitions and merit increases, partially offset by a reduction in incentive compensation), partially offset by the favorable impact from foreign currency translation.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r>
      <w:tr>
        <w:trPr>
          <w:trHeight w:val="201"/>
        </w:trPr>
        <w:tc>
          <w:tcPr>
            <w:tcW w:w="2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196"/>
        </w:trPr>
        <w:tc>
          <w:tcPr>
            <w:tcW w:w="2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2015</w:t>
            </w:r>
          </w:p>
        </w:tc>
      </w:tr>
      <w:tr>
        <w:trPr>
          <w:trHeight w:val="411"/>
        </w:trPr>
        <w:tc>
          <w:tcPr>
            <w:tcW w:w="2540" w:type="dxa"/>
            <w:vAlign w:val="bottom"/>
          </w:tcPr>
          <w:p>
            <w:pPr>
              <w:spacing w:after="0"/>
              <w:rPr>
                <w:sz w:val="20"/>
                <w:szCs w:val="20"/>
                <w:color w:val="auto"/>
              </w:rPr>
            </w:pPr>
            <w:r>
              <w:rPr>
                <w:rFonts w:ascii="Arial" w:cs="Arial" w:eastAsia="Arial" w:hAnsi="Arial"/>
                <w:sz w:val="18"/>
                <w:szCs w:val="18"/>
                <w:color w:val="auto"/>
              </w:rPr>
              <w:t>Tax expense</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465</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897</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858</w:t>
            </w: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Effective tax rate</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w:t>
            </w:r>
          </w:p>
        </w:tc>
      </w:tr>
    </w:tbl>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rates for the quarter and six months ended June 30, 2016 were lower than the U.S. federal statutory rate of 35% due, in part, to non-U.S. earnings taxed at lower rates, the vast majority of which we intend to permanently reinvest outside the United States, and benefits from manufacturing incentives.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currently expects the effective tax rate for 2016 to be approximately 26.5%. The effective tax rate can vary from quarter to quarter due to unusual or infrequently occurring items, the resolution of income tax audits, changes in tax laws or other items such as pension mark-to-market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3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r>
      <w:tr>
        <w:trPr>
          <w:trHeight w:val="412"/>
        </w:trPr>
        <w:tc>
          <w:tcPr>
            <w:tcW w:w="3960" w:type="dxa"/>
            <w:vAlign w:val="bottom"/>
          </w:tcPr>
          <w:p>
            <w:pPr>
              <w:spacing w:after="0"/>
              <w:rPr>
                <w:sz w:val="20"/>
                <w:szCs w:val="20"/>
                <w:color w:val="auto"/>
              </w:rPr>
            </w:pPr>
            <w:r>
              <w:rPr>
                <w:rFonts w:ascii="Arial" w:cs="Arial" w:eastAsia="Arial" w:hAnsi="Arial"/>
                <w:sz w:val="18"/>
                <w:szCs w:val="18"/>
                <w:color w:val="auto"/>
              </w:rPr>
              <w:t>Net income attributable to Honeywell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1,282</w:t>
            </w:r>
          </w:p>
        </w:tc>
        <w:tc>
          <w:tcPr>
            <w:tcW w:w="2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2,468</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404"/>
        </w:trPr>
        <w:tc>
          <w:tcPr>
            <w:tcW w:w="3960" w:type="dxa"/>
            <w:vAlign w:val="bottom"/>
          </w:tcPr>
          <w:p>
            <w:pPr>
              <w:spacing w:after="0"/>
              <w:rPr>
                <w:sz w:val="20"/>
                <w:szCs w:val="20"/>
                <w:color w:val="auto"/>
              </w:rPr>
            </w:pPr>
            <w:r>
              <w:rPr>
                <w:rFonts w:ascii="Arial" w:cs="Arial" w:eastAsia="Arial" w:hAnsi="Arial"/>
                <w:sz w:val="18"/>
                <w:szCs w:val="18"/>
                <w:color w:val="auto"/>
              </w:rPr>
              <w:t>Earnings per share of common stock –</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7"/>
        </w:trPr>
        <w:tc>
          <w:tcPr>
            <w:tcW w:w="3960" w:type="dxa"/>
            <w:vAlign w:val="bottom"/>
          </w:tcPr>
          <w:p>
            <w:pPr>
              <w:ind w:left="240"/>
              <w:spacing w:after="0"/>
              <w:rPr>
                <w:sz w:val="20"/>
                <w:szCs w:val="20"/>
                <w:color w:val="auto"/>
              </w:rPr>
            </w:pPr>
            <w:r>
              <w:rPr>
                <w:rFonts w:ascii="Arial" w:cs="Arial" w:eastAsia="Arial" w:hAnsi="Arial"/>
                <w:sz w:val="18"/>
                <w:szCs w:val="18"/>
                <w:color w:val="auto"/>
              </w:rPr>
              <w:t>assuming dilution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3.19</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2.91</w:t>
            </w:r>
          </w:p>
        </w:tc>
      </w:tr>
    </w:tbl>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Earnings per share of common stock – assuming dilution increased in the quarter and six months ended June 30, 2016 primarily driven by higher pension and other postretirement income, increased segment profit in Aerospace and ACS, partially offset by decreased segment profit in PMT, and a decrease in the weighted average shares outstanding.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color w:val="auto"/>
              </w:rPr>
              <w:t>Aerospace Sales</w:t>
            </w:r>
          </w:p>
        </w:tc>
        <w:tc>
          <w:tcPr>
            <w:tcW w:w="20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20" w:type="dxa"/>
            <w:vAlign w:val="bottom"/>
            <w:shd w:val="clear" w:color="auto" w:fill="E5FFFF"/>
          </w:tcPr>
          <w:p>
            <w:pPr>
              <w:spacing w:after="0"/>
              <w:rPr>
                <w:sz w:val="2"/>
                <w:szCs w:val="2"/>
                <w:color w:val="auto"/>
              </w:rPr>
            </w:pPr>
          </w:p>
        </w:tc>
        <w:tc>
          <w:tcPr>
            <w:tcW w:w="58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60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140" w:type="dxa"/>
            <w:vAlign w:val="bottom"/>
            <w:shd w:val="clear" w:color="auto" w:fill="E5FFFF"/>
          </w:tcPr>
          <w:p>
            <w:pPr>
              <w:spacing w:after="0"/>
              <w:rPr>
                <w:sz w:val="2"/>
                <w:szCs w:val="2"/>
                <w:color w:val="auto"/>
              </w:rPr>
            </w:pPr>
          </w:p>
        </w:tc>
        <w:tc>
          <w:tcPr>
            <w:tcW w:w="660" w:type="dxa"/>
            <w:vAlign w:val="bottom"/>
            <w:shd w:val="clear" w:color="auto" w:fill="E5FFFF"/>
          </w:tcPr>
          <w:p>
            <w:pPr>
              <w:spacing w:after="0"/>
              <w:rPr>
                <w:sz w:val="2"/>
                <w:szCs w:val="2"/>
                <w:color w:val="auto"/>
              </w:rPr>
            </w:pPr>
          </w:p>
        </w:tc>
        <w:tc>
          <w:tcPr>
            <w:tcW w:w="12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94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4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20" w:type="dxa"/>
            <w:vAlign w:val="bottom"/>
            <w:shd w:val="clear" w:color="auto" w:fill="E5FFFF"/>
          </w:tcPr>
          <w:p>
            <w:pPr>
              <w:spacing w:after="0"/>
              <w:rPr>
                <w:sz w:val="2"/>
                <w:szCs w:val="2"/>
                <w:color w:val="auto"/>
              </w:rPr>
            </w:pPr>
          </w:p>
        </w:tc>
        <w:tc>
          <w:tcPr>
            <w:tcW w:w="660" w:type="dxa"/>
            <w:vAlign w:val="bottom"/>
            <w:shd w:val="clear" w:color="auto" w:fill="E5FFFF"/>
          </w:tcPr>
          <w:p>
            <w:pPr>
              <w:spacing w:after="0"/>
              <w:rPr>
                <w:sz w:val="2"/>
                <w:szCs w:val="2"/>
                <w:color w:val="auto"/>
              </w:rPr>
            </w:pPr>
          </w:p>
        </w:tc>
        <w:tc>
          <w:tcPr>
            <w:tcW w:w="12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90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Commercial Aviation Original Equipment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676</w:t>
            </w:r>
          </w:p>
        </w:tc>
        <w:tc>
          <w:tcPr>
            <w:tcW w:w="20" w:type="dxa"/>
            <w:vAlign w:val="bottom"/>
          </w:tcPr>
          <w:p>
            <w:pPr>
              <w:spacing w:after="0"/>
              <w:rPr>
                <w:sz w:val="17"/>
                <w:szCs w:val="17"/>
                <w:color w:val="auto"/>
              </w:rPr>
            </w:pPr>
          </w:p>
        </w:tc>
        <w:tc>
          <w:tcPr>
            <w:tcW w:w="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1,377</w:t>
            </w:r>
          </w:p>
        </w:tc>
        <w:tc>
          <w:tcPr>
            <w:tcW w:w="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1,424</w:t>
            </w:r>
          </w:p>
        </w:tc>
        <w:tc>
          <w:tcPr>
            <w:tcW w:w="20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Aviation Aftermarket</w:t>
            </w:r>
          </w:p>
        </w:tc>
        <w:tc>
          <w:tcPr>
            <w:tcW w:w="20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1,207</w:t>
            </w: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1,143</w:t>
            </w: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2,355</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2,225</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Defense and Space</w:t>
            </w:r>
          </w:p>
        </w:tc>
        <w:tc>
          <w:tcPr>
            <w:tcW w:w="20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1,178</w:t>
            </w:r>
          </w:p>
        </w:tc>
        <w:tc>
          <w:tcPr>
            <w:tcW w:w="24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2,165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2,253</w:t>
            </w:r>
          </w:p>
        </w:tc>
        <w:tc>
          <w:tcPr>
            <w:tcW w:w="20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Transportation Systems</w:t>
            </w:r>
          </w:p>
        </w:tc>
        <w:tc>
          <w:tcPr>
            <w:tcW w:w="200" w:type="dxa"/>
            <w:vAlign w:val="bottom"/>
            <w:tcBorders>
              <w:bottom w:val="single" w:sz="8" w:color="auto"/>
            </w:tcBorders>
            <w:shd w:val="clear" w:color="auto" w:fill="E5FFFF"/>
          </w:tcPr>
          <w:p>
            <w:pPr>
              <w:spacing w:after="0"/>
              <w:rPr>
                <w:sz w:val="18"/>
                <w:szCs w:val="18"/>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bottom w:val="single" w:sz="8" w:color="auto"/>
            </w:tcBorders>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1,587</w:t>
            </w:r>
          </w:p>
        </w:tc>
        <w:tc>
          <w:tcPr>
            <w:tcW w:w="6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1,532</w:t>
            </w: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4"/>
          </w:tcPr>
          <w:p>
            <w:pPr>
              <w:ind w:left="340"/>
              <w:spacing w:after="0"/>
              <w:rPr>
                <w:sz w:val="20"/>
                <w:szCs w:val="20"/>
                <w:color w:val="auto"/>
              </w:rPr>
            </w:pPr>
            <w:r>
              <w:rPr>
                <w:rFonts w:ascii="Arial" w:cs="Arial" w:eastAsia="Arial" w:hAnsi="Arial"/>
                <w:sz w:val="18"/>
                <w:szCs w:val="18"/>
                <w:color w:val="auto"/>
              </w:rPr>
              <w:t>Total Aerospace Sales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3,827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7,434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0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color w:val="auto"/>
              </w:rPr>
              <w:t>Automation and Control Solutions Sales</w:t>
            </w:r>
          </w:p>
        </w:tc>
        <w:tc>
          <w:tcPr>
            <w:tcW w:w="20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9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top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Energy Safety &amp; Security</w:t>
            </w:r>
          </w:p>
        </w:tc>
        <w:tc>
          <w:tcPr>
            <w:tcW w:w="1640" w:type="dxa"/>
            <w:vAlign w:val="bottom"/>
            <w:tcBorders>
              <w:top w:val="single" w:sz="8" w:color="E5FFFF"/>
            </w:tcBorders>
            <w:gridSpan w:val="2"/>
          </w:tcPr>
          <w:p>
            <w:pPr>
              <w:spacing w:after="0"/>
              <w:rPr>
                <w:sz w:val="17"/>
                <w:szCs w:val="17"/>
                <w:color w:val="auto"/>
              </w:rPr>
            </w:pPr>
          </w:p>
        </w:tc>
        <w:tc>
          <w:tcPr>
            <w:tcW w:w="200" w:type="dxa"/>
            <w:vAlign w:val="bottom"/>
            <w:tcBorders>
              <w:top w:val="single" w:sz="8" w:color="E5FFFF"/>
            </w:tcBorders>
          </w:tcPr>
          <w:p>
            <w:pPr>
              <w:spacing w:after="0"/>
              <w:rPr>
                <w:sz w:val="17"/>
                <w:szCs w:val="17"/>
                <w:color w:val="auto"/>
              </w:rPr>
            </w:pPr>
          </w:p>
        </w:tc>
        <w:tc>
          <w:tcPr>
            <w:tcW w:w="620" w:type="dxa"/>
            <w:vAlign w:val="bottom"/>
            <w:tcBorders>
              <w:top w:val="single" w:sz="8" w:color="E5FFFF"/>
            </w:tcBorders>
            <w:gridSpan w:val="2"/>
          </w:tcPr>
          <w:p>
            <w:pPr>
              <w:jc w:val="right"/>
              <w:ind w:right="20"/>
              <w:spacing w:after="0" w:line="202" w:lineRule="exact"/>
              <w:rPr>
                <w:sz w:val="20"/>
                <w:szCs w:val="20"/>
                <w:color w:val="auto"/>
              </w:rPr>
            </w:pPr>
            <w:r>
              <w:rPr>
                <w:rFonts w:ascii="Arial" w:cs="Arial" w:eastAsia="Arial" w:hAnsi="Arial"/>
                <w:sz w:val="18"/>
                <w:szCs w:val="18"/>
                <w:color w:val="auto"/>
              </w:rPr>
              <w:t>2,709</w:t>
            </w:r>
          </w:p>
        </w:tc>
        <w:tc>
          <w:tcPr>
            <w:tcW w:w="100" w:type="dxa"/>
            <w:vAlign w:val="bottom"/>
            <w:tcBorders>
              <w:top w:val="single" w:sz="8" w:color="E5FFFF"/>
            </w:tcBorders>
          </w:tcPr>
          <w:p>
            <w:pPr>
              <w:spacing w:after="0"/>
              <w:rPr>
                <w:sz w:val="17"/>
                <w:szCs w:val="17"/>
                <w:color w:val="auto"/>
              </w:rPr>
            </w:pPr>
          </w:p>
        </w:tc>
        <w:tc>
          <w:tcPr>
            <w:tcW w:w="240" w:type="dxa"/>
            <w:vAlign w:val="bottom"/>
            <w:tcBorders>
              <w:top w:val="single" w:sz="8" w:color="E5FFFF"/>
            </w:tcBorders>
          </w:tcPr>
          <w:p>
            <w:pPr>
              <w:spacing w:after="0"/>
              <w:rPr>
                <w:sz w:val="17"/>
                <w:szCs w:val="17"/>
                <w:color w:val="auto"/>
              </w:rPr>
            </w:pPr>
          </w:p>
        </w:tc>
        <w:tc>
          <w:tcPr>
            <w:tcW w:w="140" w:type="dxa"/>
            <w:vAlign w:val="bottom"/>
            <w:tcBorders>
              <w:top w:val="single" w:sz="8" w:color="E5FFFF"/>
            </w:tcBorders>
          </w:tcPr>
          <w:p>
            <w:pPr>
              <w:spacing w:after="0"/>
              <w:rPr>
                <w:sz w:val="17"/>
                <w:szCs w:val="17"/>
                <w:color w:val="auto"/>
              </w:rPr>
            </w:pPr>
          </w:p>
        </w:tc>
        <w:tc>
          <w:tcPr>
            <w:tcW w:w="780" w:type="dxa"/>
            <w:vAlign w:val="bottom"/>
            <w:tcBorders>
              <w:top w:val="single" w:sz="8" w:color="E5FFFF"/>
            </w:tcBorders>
            <w:gridSpan w:val="2"/>
          </w:tcPr>
          <w:p>
            <w:pPr>
              <w:jc w:val="right"/>
              <w:ind w:right="120"/>
              <w:spacing w:after="0" w:line="202" w:lineRule="exact"/>
              <w:rPr>
                <w:sz w:val="20"/>
                <w:szCs w:val="20"/>
                <w:color w:val="auto"/>
              </w:rPr>
            </w:pPr>
            <w:r>
              <w:rPr>
                <w:rFonts w:ascii="Arial" w:cs="Arial" w:eastAsia="Arial" w:hAnsi="Arial"/>
                <w:sz w:val="18"/>
                <w:szCs w:val="18"/>
                <w:color w:val="auto"/>
              </w:rPr>
              <w:t>2,389</w:t>
            </w:r>
          </w:p>
        </w:tc>
        <w:tc>
          <w:tcPr>
            <w:tcW w:w="240" w:type="dxa"/>
            <w:vAlign w:val="bottom"/>
            <w:tcBorders>
              <w:top w:val="single" w:sz="8" w:color="E5FFFF"/>
            </w:tcBorders>
          </w:tcPr>
          <w:p>
            <w:pPr>
              <w:spacing w:after="0"/>
              <w:rPr>
                <w:sz w:val="17"/>
                <w:szCs w:val="17"/>
                <w:color w:val="auto"/>
              </w:rPr>
            </w:pPr>
          </w:p>
        </w:tc>
        <w:tc>
          <w:tcPr>
            <w:tcW w:w="94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13%</w:t>
            </w:r>
          </w:p>
        </w:tc>
        <w:tc>
          <w:tcPr>
            <w:tcW w:w="220" w:type="dxa"/>
            <w:vAlign w:val="bottom"/>
            <w:tcBorders>
              <w:top w:val="single" w:sz="8" w:color="E5FFFF"/>
            </w:tcBorders>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660" w:type="dxa"/>
            <w:vAlign w:val="bottom"/>
            <w:tcBorders>
              <w:top w:val="single" w:sz="8" w:color="E5FFFF"/>
            </w:tcBorders>
            <w:gridSpan w:val="2"/>
          </w:tcPr>
          <w:p>
            <w:pPr>
              <w:jc w:val="right"/>
              <w:ind w:right="40"/>
              <w:spacing w:after="0" w:line="202" w:lineRule="exact"/>
              <w:rPr>
                <w:sz w:val="20"/>
                <w:szCs w:val="20"/>
                <w:color w:val="auto"/>
              </w:rPr>
            </w:pPr>
            <w:r>
              <w:rPr>
                <w:rFonts w:ascii="Arial" w:cs="Arial" w:eastAsia="Arial" w:hAnsi="Arial"/>
                <w:sz w:val="18"/>
                <w:szCs w:val="18"/>
                <w:color w:val="auto"/>
              </w:rPr>
              <w:t>5,307</w:t>
            </w:r>
          </w:p>
        </w:tc>
        <w:tc>
          <w:tcPr>
            <w:tcW w:w="6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120" w:type="dxa"/>
            <w:vAlign w:val="bottom"/>
            <w:tcBorders>
              <w:top w:val="single" w:sz="8" w:color="E5FFFF"/>
            </w:tcBorders>
          </w:tcPr>
          <w:p>
            <w:pPr>
              <w:spacing w:after="0"/>
              <w:rPr>
                <w:sz w:val="17"/>
                <w:szCs w:val="17"/>
                <w:color w:val="auto"/>
              </w:rPr>
            </w:pPr>
          </w:p>
        </w:tc>
        <w:tc>
          <w:tcPr>
            <w:tcW w:w="780" w:type="dxa"/>
            <w:vAlign w:val="bottom"/>
            <w:tcBorders>
              <w:top w:val="single" w:sz="8" w:color="E5FFFF"/>
            </w:tcBorders>
            <w:gridSpan w:val="2"/>
          </w:tcPr>
          <w:p>
            <w:pPr>
              <w:jc w:val="right"/>
              <w:ind w:right="120"/>
              <w:spacing w:after="0" w:line="202" w:lineRule="exact"/>
              <w:rPr>
                <w:sz w:val="20"/>
                <w:szCs w:val="20"/>
                <w:color w:val="auto"/>
              </w:rPr>
            </w:pPr>
            <w:r>
              <w:rPr>
                <w:rFonts w:ascii="Arial" w:cs="Arial" w:eastAsia="Arial" w:hAnsi="Arial"/>
                <w:sz w:val="18"/>
                <w:szCs w:val="18"/>
                <w:color w:val="auto"/>
              </w:rPr>
              <w:t>4,623</w:t>
            </w:r>
          </w:p>
        </w:tc>
        <w:tc>
          <w:tcPr>
            <w:tcW w:w="200" w:type="dxa"/>
            <w:vAlign w:val="bottom"/>
            <w:tcBorders>
              <w:top w:val="single" w:sz="8" w:color="E5FFFF"/>
            </w:tcBorders>
          </w:tcPr>
          <w:p>
            <w:pPr>
              <w:spacing w:after="0"/>
              <w:rPr>
                <w:sz w:val="17"/>
                <w:szCs w:val="17"/>
                <w:color w:val="auto"/>
              </w:rPr>
            </w:pPr>
          </w:p>
        </w:tc>
        <w:tc>
          <w:tcPr>
            <w:tcW w:w="900" w:type="dxa"/>
            <w:vAlign w:val="bottom"/>
            <w:tcBorders>
              <w:top w:val="single" w:sz="8" w:color="E5FFFF"/>
            </w:tcBorders>
          </w:tcPr>
          <w:p>
            <w:pPr>
              <w:jc w:val="center"/>
              <w:spacing w:after="0" w:line="202" w:lineRule="exact"/>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Building Solutions &amp; Distribution</w:t>
            </w:r>
          </w:p>
        </w:tc>
        <w:tc>
          <w:tcPr>
            <w:tcW w:w="20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1,164</w:t>
            </w:r>
          </w:p>
        </w:tc>
        <w:tc>
          <w:tcPr>
            <w:tcW w:w="240" w:type="dxa"/>
            <w:vAlign w:val="bottom"/>
            <w:shd w:val="clear" w:color="auto" w:fill="E5FFFF"/>
          </w:tcPr>
          <w:p>
            <w:pPr>
              <w:spacing w:after="0"/>
              <w:rPr>
                <w:sz w:val="18"/>
                <w:szCs w:val="18"/>
                <w:color w:val="auto"/>
              </w:rPr>
            </w:pPr>
          </w:p>
        </w:tc>
        <w:tc>
          <w:tcPr>
            <w:tcW w:w="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2,256</w:t>
            </w:r>
          </w:p>
        </w:tc>
        <w:tc>
          <w:tcPr>
            <w:tcW w:w="6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2,194</w:t>
            </w: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4"/>
          </w:tcPr>
          <w:p>
            <w:pPr>
              <w:ind w:left="340"/>
              <w:spacing w:after="0" w:line="196" w:lineRule="exact"/>
              <w:rPr>
                <w:sz w:val="20"/>
                <w:szCs w:val="20"/>
                <w:color w:val="auto"/>
              </w:rPr>
            </w:pPr>
            <w:r>
              <w:rPr>
                <w:rFonts w:ascii="Arial" w:cs="Arial" w:eastAsia="Arial" w:hAnsi="Arial"/>
                <w:sz w:val="18"/>
                <w:szCs w:val="18"/>
                <w:color w:val="auto"/>
              </w:rPr>
              <w:t>Total Automation and Control</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520"/>
              <w:spacing w:after="0" w:line="202" w:lineRule="exact"/>
              <w:rPr>
                <w:sz w:val="20"/>
                <w:szCs w:val="20"/>
                <w:color w:val="auto"/>
              </w:rPr>
            </w:pPr>
            <w:r>
              <w:rPr>
                <w:rFonts w:ascii="Arial" w:cs="Arial" w:eastAsia="Arial" w:hAnsi="Arial"/>
                <w:sz w:val="18"/>
                <w:szCs w:val="18"/>
                <w:color w:val="auto"/>
              </w:rPr>
              <w:t>Solutions Sales</w:t>
            </w:r>
          </w:p>
        </w:tc>
        <w:tc>
          <w:tcPr>
            <w:tcW w:w="20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3,886</w:t>
            </w: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3,553</w:t>
            </w: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7,563</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6,817</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820" w:type="dxa"/>
            <w:vAlign w:val="bottom"/>
            <w:gridSpan w:val="5"/>
          </w:tcPr>
          <w:p>
            <w:pPr>
              <w:spacing w:after="0"/>
              <w:rPr>
                <w:sz w:val="20"/>
                <w:szCs w:val="20"/>
                <w:color w:val="auto"/>
              </w:rPr>
            </w:pPr>
            <w:r>
              <w:rPr>
                <w:rFonts w:ascii="Arial" w:cs="Arial" w:eastAsia="Arial" w:hAnsi="Arial"/>
                <w:sz w:val="18"/>
                <w:szCs w:val="18"/>
                <w:color w:val="auto"/>
              </w:rPr>
              <w:t>Performance Materials and Technologies Sales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top w:val="single" w:sz="8" w:color="auto"/>
            </w:tcBorders>
            <w:gridSpan w:val="3"/>
            <w:shd w:val="clear" w:color="auto" w:fill="E5FFFF"/>
          </w:tcPr>
          <w:p>
            <w:pPr>
              <w:ind w:left="160"/>
              <w:spacing w:after="0" w:line="202" w:lineRule="exact"/>
              <w:rPr>
                <w:sz w:val="20"/>
                <w:szCs w:val="20"/>
                <w:color w:val="auto"/>
              </w:rPr>
            </w:pPr>
            <w:r>
              <w:rPr>
                <w:rFonts w:ascii="Arial" w:cs="Arial" w:eastAsia="Arial" w:hAnsi="Arial"/>
                <w:sz w:val="18"/>
                <w:szCs w:val="18"/>
                <w:color w:val="auto"/>
              </w:rPr>
              <w:t>UOP</w:t>
            </w:r>
          </w:p>
        </w:tc>
        <w:tc>
          <w:tcPr>
            <w:tcW w:w="10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6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614</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745</w:t>
            </w:r>
          </w:p>
        </w:tc>
        <w:tc>
          <w:tcPr>
            <w:tcW w:w="1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1,182</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1,659</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Process Solutions</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1,474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1,319</w:t>
            </w:r>
          </w:p>
        </w:tc>
        <w:tc>
          <w:tcPr>
            <w:tcW w:w="20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Advanced Materials</w:t>
            </w:r>
          </w:p>
        </w:tc>
        <w:tc>
          <w:tcPr>
            <w:tcW w:w="200" w:type="dxa"/>
            <w:vAlign w:val="bottom"/>
            <w:tcBorders>
              <w:bottom w:val="single" w:sz="8" w:color="auto"/>
            </w:tcBorders>
            <w:shd w:val="clear" w:color="auto" w:fill="E5FFFF"/>
          </w:tcPr>
          <w:p>
            <w:pPr>
              <w:spacing w:after="0"/>
              <w:rPr>
                <w:sz w:val="18"/>
                <w:szCs w:val="18"/>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934</w:t>
            </w:r>
          </w:p>
        </w:tc>
        <w:tc>
          <w:tcPr>
            <w:tcW w:w="20" w:type="dxa"/>
            <w:vAlign w:val="bottom"/>
            <w:tcBorders>
              <w:bottom w:val="single" w:sz="8" w:color="auto"/>
            </w:tcBorders>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1,810</w:t>
            </w:r>
          </w:p>
        </w:tc>
        <w:tc>
          <w:tcPr>
            <w:tcW w:w="60" w:type="dxa"/>
            <w:vAlign w:val="bottom"/>
            <w:tcBorders>
              <w:bottom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4"/>
          </w:tcPr>
          <w:p>
            <w:pPr>
              <w:ind w:left="160"/>
              <w:spacing w:after="0" w:line="196" w:lineRule="exact"/>
              <w:rPr>
                <w:sz w:val="20"/>
                <w:szCs w:val="20"/>
                <w:color w:val="auto"/>
              </w:rPr>
            </w:pPr>
            <w:r>
              <w:rPr>
                <w:rFonts w:ascii="Arial" w:cs="Arial" w:eastAsia="Arial" w:hAnsi="Arial"/>
                <w:sz w:val="18"/>
                <w:szCs w:val="18"/>
                <w:color w:val="auto"/>
              </w:rPr>
              <w:t>Total Performance Materials and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340"/>
              <w:spacing w:after="0" w:line="202" w:lineRule="exact"/>
              <w:rPr>
                <w:sz w:val="20"/>
                <w:szCs w:val="20"/>
                <w:color w:val="auto"/>
              </w:rPr>
            </w:pPr>
            <w:r>
              <w:rPr>
                <w:rFonts w:ascii="Arial" w:cs="Arial" w:eastAsia="Arial" w:hAnsi="Arial"/>
                <w:sz w:val="18"/>
                <w:szCs w:val="18"/>
                <w:color w:val="auto"/>
              </w:rPr>
              <w:t>Technologies Sales</w:t>
            </w:r>
          </w:p>
        </w:tc>
        <w:tc>
          <w:tcPr>
            <w:tcW w:w="20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2,326</w:t>
            </w: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2,395</w:t>
            </w: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4,466</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4,737</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5"/>
            <w:vMerge w:val="restart"/>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5"/>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9,991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9,775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19,513</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18,988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Aerospace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3,779</w:t>
            </w:r>
          </w:p>
        </w:tc>
        <w:tc>
          <w:tcPr>
            <w:tcW w:w="48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3,827</w:t>
            </w: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w:t>
            </w:r>
          </w:p>
        </w:tc>
        <w:tc>
          <w:tcPr>
            <w:tcW w:w="4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7,484</w:t>
            </w:r>
          </w:p>
        </w:tc>
        <w:tc>
          <w:tcPr>
            <w:tcW w:w="400" w:type="dxa"/>
            <w:vAlign w:val="bottom"/>
            <w:gridSpan w:val="3"/>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7,434</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4"/>
          </w:tcPr>
          <w:p>
            <w:pPr>
              <w:ind w:left="16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2,818</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5,439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5,437</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E5FFFF"/>
            </w:tcBorders>
            <w:gridSpan w:val="4"/>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791</w:t>
            </w:r>
          </w:p>
        </w:tc>
        <w:tc>
          <w:tcPr>
            <w:tcW w:w="2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gridSpan w:val="2"/>
            <w:shd w:val="clear" w:color="auto" w:fill="E5FFFF"/>
          </w:tcPr>
          <w:p>
            <w:pPr>
              <w:spacing w:after="0"/>
              <w:rPr>
                <w:sz w:val="17"/>
                <w:szCs w:val="17"/>
                <w:color w:val="auto"/>
              </w:rPr>
            </w:pPr>
          </w:p>
        </w:tc>
        <w:tc>
          <w:tcPr>
            <w:tcW w:w="1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777</w:t>
            </w:r>
          </w:p>
        </w:tc>
        <w:tc>
          <w:tcPr>
            <w:tcW w:w="1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E5FFFF"/>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1,589</w:t>
            </w: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gridSpan w:val="2"/>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1,529</w:t>
            </w:r>
          </w:p>
        </w:tc>
        <w:tc>
          <w:tcPr>
            <w:tcW w:w="1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E5FFFF"/>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182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Organic growth/ Operational segment profit</w:t>
      </w:r>
    </w:p>
    <w:p>
      <w:pPr>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ind w:left="2440"/>
        <w:spacing w:after="0"/>
        <w:rPr>
          <w:sz w:val="20"/>
          <w:szCs w:val="20"/>
          <w:color w:val="auto"/>
        </w:rPr>
      </w:pPr>
      <w:r>
        <w:rPr>
          <w:rFonts w:ascii="Arial" w:cs="Arial" w:eastAsia="Arial" w:hAnsi="Arial"/>
          <w:sz w:val="14"/>
          <w:szCs w:val="14"/>
          <w:b w:val="1"/>
          <w:bCs w:val="1"/>
          <w:color w:val="auto"/>
        </w:rPr>
        <w:t>2016 vs.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3687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176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left="89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42"/>
        </w:trPr>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56"/>
              <w:spacing w:after="0" w:line="143" w:lineRule="exact"/>
              <w:rPr>
                <w:sz w:val="20"/>
                <w:szCs w:val="20"/>
                <w:color w:val="auto"/>
              </w:rPr>
            </w:pPr>
            <w:r>
              <w:rPr>
                <w:rFonts w:ascii="Arial" w:cs="Arial" w:eastAsia="Arial" w:hAnsi="Arial"/>
                <w:sz w:val="14"/>
                <w:szCs w:val="14"/>
                <w:b w:val="1"/>
                <w:bCs w:val="1"/>
                <w:color w:val="auto"/>
              </w:rPr>
              <w:t>Segment</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19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760" w:type="dxa"/>
            <w:vAlign w:val="bottom"/>
            <w:gridSpan w:val="3"/>
          </w:tcPr>
          <w:p>
            <w:pPr>
              <w:ind w:left="460"/>
              <w:spacing w:after="0"/>
              <w:rPr>
                <w:sz w:val="20"/>
                <w:szCs w:val="20"/>
                <w:color w:val="auto"/>
              </w:rPr>
            </w:pPr>
            <w:r>
              <w:rPr>
                <w:rFonts w:ascii="Arial" w:cs="Arial" w:eastAsia="Arial" w:hAnsi="Arial"/>
                <w:sz w:val="14"/>
                <w:szCs w:val="14"/>
                <w:b w:val="1"/>
                <w:bCs w:val="1"/>
                <w:color w:val="auto"/>
              </w:rPr>
              <w:t>Sales</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Profit</w:t>
            </w:r>
          </w:p>
        </w:tc>
        <w:tc>
          <w:tcPr>
            <w:tcW w:w="1760" w:type="dxa"/>
            <w:vAlign w:val="bottom"/>
            <w:gridSpan w:val="3"/>
          </w:tcPr>
          <w:p>
            <w:pPr>
              <w:ind w:left="440"/>
              <w:spacing w:after="0"/>
              <w:rPr>
                <w:sz w:val="20"/>
                <w:szCs w:val="20"/>
                <w:color w:val="auto"/>
              </w:rPr>
            </w:pPr>
            <w:r>
              <w:rPr>
                <w:rFonts w:ascii="Arial" w:cs="Arial" w:eastAsia="Arial" w:hAnsi="Arial"/>
                <w:sz w:val="14"/>
                <w:szCs w:val="14"/>
                <w:b w:val="1"/>
                <w:bCs w:val="1"/>
                <w:color w:val="auto"/>
              </w:rPr>
              <w:t>Sales</w:t>
            </w:r>
          </w:p>
        </w:tc>
        <w:tc>
          <w:tcPr>
            <w:tcW w:w="980" w:type="dxa"/>
            <w:vAlign w:val="bottom"/>
          </w:tcPr>
          <w:p>
            <w:pPr>
              <w:jc w:val="right"/>
              <w:ind w:right="296"/>
              <w:spacing w:after="0"/>
              <w:rPr>
                <w:sz w:val="20"/>
                <w:szCs w:val="20"/>
                <w:color w:val="auto"/>
              </w:rPr>
            </w:pPr>
            <w:r>
              <w:rPr>
                <w:rFonts w:ascii="Arial" w:cs="Arial" w:eastAsia="Arial" w:hAnsi="Arial"/>
                <w:sz w:val="14"/>
                <w:szCs w:val="14"/>
                <w:b w:val="1"/>
                <w:bCs w:val="1"/>
                <w:color w:val="auto"/>
              </w:rPr>
              <w:t>Profit</w:t>
            </w:r>
          </w:p>
        </w:tc>
      </w:tr>
      <w:tr>
        <w:trPr>
          <w:trHeight w:val="195"/>
        </w:trPr>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6"/>
                <w:szCs w:val="16"/>
                <w:color w:val="auto"/>
              </w:rPr>
            </w:pPr>
          </w:p>
        </w:tc>
        <w:tc>
          <w:tcPr>
            <w:tcW w:w="1160" w:type="dxa"/>
            <w:vAlign w:val="bottom"/>
            <w:tcBorders>
              <w:top w:val="single" w:sz="8" w:color="auto"/>
            </w:tcBorders>
          </w:tcPr>
          <w:p>
            <w:pPr>
              <w:jc w:val="right"/>
              <w:ind w:right="78"/>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w:t>
            </w:r>
          </w:p>
        </w:tc>
      </w:tr>
      <w:tr>
        <w:trPr>
          <w:trHeight w:val="210"/>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-307975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-574040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464" w:right="239" w:bottom="1440" w:gutter="0" w:footer="0" w:header="0"/>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Aerospace sales decreased in the quarter ended June 30, 2016 primarily due to a decrease in organic sales volumes, partially offset by growth from acquisitions, net of divestitures.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Aerospace sales increased in the six months ended June 30, 2016 primarily driven by growth from acquisitions, net of divestitures.</w:t>
      </w:r>
    </w:p>
    <w:p>
      <w:pPr>
        <w:spacing w:after="0" w:line="198" w:lineRule="exact"/>
        <w:rPr>
          <w:sz w:val="20"/>
          <w:szCs w:val="20"/>
          <w:color w:val="auto"/>
        </w:rPr>
      </w:pPr>
    </w:p>
    <w:p>
      <w:pPr>
        <w:jc w:val="both"/>
        <w:ind w:left="980" w:hanging="324"/>
        <w:spacing w:after="0" w:line="23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Original Equipment sales decreased 9% (decreased 8% organic) in the quarter ended June 30, 2016 and decreased 3% (decreased 2% organic) in the six months ended June 30, 2016 primarily due to lower shipments to business and general aviation original equipment manufacturers (OEMs) and higher incentives to air transport and regional OEMs (OEM incentives), partially offset by higher shipments to air transport and regional OEMs. Consistent with broader aerospace industry trends, we expect the continuation of lower business and general aviation OEM sales volumes, similar to our experience during the quarter and six months ended June 30, 2016.</w:t>
      </w:r>
    </w:p>
    <w:p>
      <w:pPr>
        <w:spacing w:after="0" w:line="205"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Aftermarket sales increased 6% (increased 6% organic) in the quarter ended June 30, 2016 and increased 6% (increased 6% organic) in the six months ended June 30, 2016 primarily driven by higher repair and overhaul activities and increased spares shipments.</w:t>
      </w:r>
    </w:p>
    <w:p>
      <w:pPr>
        <w:spacing w:after="0" w:line="202"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Defense and Space sales decreased 7% (decreased 10% organic) in the quarter ended June 30, 2016 and decreased 4% (decreased 6% organic) in the six months ended June 30, 2016 primarily due to declines in international programs and lower U.S. government services revenue, partially offset by sales from the COM DEV acquisition.</w:t>
      </w:r>
    </w:p>
    <w:p>
      <w:pPr>
        <w:spacing w:after="0" w:line="202"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Systems sales increased 5% (increased 3% organic) in the quarter ended June 30, 2016 and increased 4% (increased 5% organic) in the six months ended June 30, 2016 primarily driven by new platform launches and higher global turbo penetration.</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Aerospace segment profit increased in the quarter ended June 30, 2016 primarily driven by higher operational segment profit and acquisitions, net of divestitures. The increase in operational segment profit is primarily driven by productivity, net of inflation, and favorable pricing, partially offset by continued investments for growth and higher OEM incentives. Cost of products and services sold decreased in the quarter ended June 30, 2016 primarily driven by productivity, net of inflation and lower organic sales volumes, partially offset by continued investments for growth and acquisitions, net of divestitures.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segment profit increased in the six months ended June 30, 2016 primarily driven by an increase in operational segment profit, partially offset by the unfavorable impact of foreign currency translation. The increase in operational segment profit is primarily driven by productivity, net of inflation, and favorable pricing, partially offset by continued investments for growth and higher OEM incentives. Cost of products and services sold was approximately flat in the six months ended June 30, 2016.</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Automation and Control Solutions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188"/>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48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E5FFFF"/>
            </w:tcBorders>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E5FFFF"/>
            </w:tcBorders>
          </w:tcPr>
          <w:p>
            <w:pPr>
              <w:spacing w:after="0"/>
              <w:rPr>
                <w:sz w:val="15"/>
                <w:szCs w:val="15"/>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3,886</w:t>
            </w: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3,553</w:t>
            </w: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56"/>
              <w:spacing w:after="0" w:line="196" w:lineRule="exact"/>
              <w:rPr>
                <w:sz w:val="20"/>
                <w:szCs w:val="20"/>
                <w:color w:val="auto"/>
              </w:rPr>
            </w:pPr>
            <w:r>
              <w:rPr>
                <w:rFonts w:ascii="Arial" w:cs="Arial" w:eastAsia="Arial" w:hAnsi="Arial"/>
                <w:sz w:val="18"/>
                <w:szCs w:val="18"/>
                <w:color w:val="auto"/>
              </w:rPr>
              <w:t>9%</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7,563</w:t>
            </w: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6,817</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11%</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2,314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4,403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1,263</w:t>
            </w:r>
          </w:p>
        </w:tc>
        <w:tc>
          <w:tcPr>
            <w:tcW w:w="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30"/>
        </w:trPr>
        <w:tc>
          <w:tcPr>
            <w:tcW w:w="4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E5FFFF"/>
            </w:tcBorders>
          </w:tcPr>
          <w:p>
            <w:pPr>
              <w:spacing w:after="0"/>
              <w:rPr>
                <w:sz w:val="19"/>
                <w:szCs w:val="19"/>
                <w:color w:val="auto"/>
              </w:rPr>
            </w:pPr>
          </w:p>
        </w:tc>
        <w:tc>
          <w:tcPr>
            <w:tcW w:w="94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E5FFFF"/>
            </w:tcBorders>
          </w:tcPr>
          <w:p>
            <w:pPr>
              <w:spacing w:after="0"/>
              <w:rPr>
                <w:sz w:val="19"/>
                <w:szCs w:val="19"/>
                <w:color w:val="auto"/>
              </w:rPr>
            </w:pPr>
          </w:p>
        </w:tc>
        <w:tc>
          <w:tcPr>
            <w:tcW w:w="900" w:type="dxa"/>
            <w:vAlign w:val="bottom"/>
            <w:tcBorders>
              <w:bottom w:val="single" w:sz="8" w:color="E5FFFF"/>
            </w:tcBorders>
          </w:tcPr>
          <w:p>
            <w:pPr>
              <w:spacing w:after="0"/>
              <w:rPr>
                <w:sz w:val="19"/>
                <w:szCs w:val="19"/>
                <w:color w:val="auto"/>
              </w:rPr>
            </w:pP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615</w:t>
            </w:r>
          </w:p>
        </w:tc>
        <w:tc>
          <w:tcPr>
            <w:tcW w:w="10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567</w:t>
            </w: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56"/>
              <w:spacing w:after="0" w:line="196" w:lineRule="exact"/>
              <w:rPr>
                <w:sz w:val="20"/>
                <w:szCs w:val="20"/>
                <w:color w:val="auto"/>
              </w:rPr>
            </w:pPr>
            <w:r>
              <w:rPr>
                <w:rFonts w:ascii="Arial" w:cs="Arial" w:eastAsia="Arial" w:hAnsi="Arial"/>
                <w:sz w:val="18"/>
                <w:szCs w:val="18"/>
                <w:color w:val="auto"/>
              </w:rPr>
              <w:t>8%</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1,145</w:t>
            </w:r>
          </w:p>
        </w:tc>
        <w:tc>
          <w:tcPr>
            <w:tcW w:w="60" w:type="dxa"/>
            <w:vAlign w:val="bottom"/>
            <w:tcBorders>
              <w:bottom w:val="single" w:sz="8" w:color="auto"/>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1,083</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6%</w:t>
            </w:r>
          </w:p>
        </w:tc>
      </w:tr>
    </w:tbl>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2016 vs. 2015</w:t>
            </w:r>
          </w:p>
        </w:tc>
        <w:tc>
          <w:tcPr>
            <w:tcW w:w="1820" w:type="dxa"/>
            <w:vAlign w:val="bottom"/>
            <w:tcBorders>
              <w:bottom w:val="single" w:sz="8" w:color="auto"/>
            </w:tcBorders>
          </w:tcPr>
          <w:p>
            <w:pPr>
              <w:spacing w:after="0"/>
              <w:rPr>
                <w:sz w:val="15"/>
                <w:szCs w:val="15"/>
                <w:color w:val="auto"/>
              </w:rPr>
            </w:pPr>
          </w:p>
        </w:tc>
      </w:tr>
      <w:tr>
        <w:trPr>
          <w:trHeight w:val="211"/>
        </w:trPr>
        <w:tc>
          <w:tcPr>
            <w:tcW w:w="4560" w:type="dxa"/>
            <w:vAlign w:val="bottom"/>
          </w:tcPr>
          <w:p>
            <w:pPr>
              <w:spacing w:after="0"/>
              <w:rPr>
                <w:sz w:val="18"/>
                <w:szCs w:val="18"/>
                <w:color w:val="auto"/>
              </w:rPr>
            </w:pPr>
          </w:p>
        </w:tc>
        <w:tc>
          <w:tcPr>
            <w:tcW w:w="246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45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548"/>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jc w:val="center"/>
              <w:ind w:left="828"/>
              <w:spacing w:after="0" w:line="143" w:lineRule="exact"/>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20" w:type="dxa"/>
            <w:vAlign w:val="bottom"/>
          </w:tcPr>
          <w:p>
            <w:pPr>
              <w:jc w:val="center"/>
              <w:ind w:left="508"/>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4560" w:type="dxa"/>
            <w:vAlign w:val="bottom"/>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940" w:type="dxa"/>
            <w:vAlign w:val="bottom"/>
          </w:tcPr>
          <w:p>
            <w:pPr>
              <w:ind w:left="420"/>
              <w:spacing w:after="0"/>
              <w:rPr>
                <w:sz w:val="20"/>
                <w:szCs w:val="20"/>
                <w:color w:val="auto"/>
              </w:rPr>
            </w:pPr>
            <w:r>
              <w:rPr>
                <w:rFonts w:ascii="Arial" w:cs="Arial" w:eastAsia="Arial" w:hAnsi="Arial"/>
                <w:sz w:val="14"/>
                <w:szCs w:val="14"/>
                <w:b w:val="1"/>
                <w:bCs w:val="1"/>
                <w:color w:val="auto"/>
              </w:rPr>
              <w:t>Sales</w:t>
            </w:r>
          </w:p>
        </w:tc>
        <w:tc>
          <w:tcPr>
            <w:tcW w:w="1520" w:type="dxa"/>
            <w:vAlign w:val="bottom"/>
          </w:tcPr>
          <w:p>
            <w:pPr>
              <w:jc w:val="center"/>
              <w:ind w:left="828"/>
              <w:spacing w:after="0"/>
              <w:rPr>
                <w:sz w:val="20"/>
                <w:szCs w:val="20"/>
                <w:color w:val="auto"/>
              </w:rPr>
            </w:pPr>
            <w:r>
              <w:rPr>
                <w:rFonts w:ascii="Arial" w:cs="Arial" w:eastAsia="Arial" w:hAnsi="Arial"/>
                <w:sz w:val="14"/>
                <w:szCs w:val="14"/>
                <w:b w:val="1"/>
                <w:bCs w:val="1"/>
                <w:color w:val="auto"/>
              </w:rPr>
              <w:t>Profit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4"/>
                <w:szCs w:val="14"/>
                <w:b w:val="1"/>
                <w:bCs w:val="1"/>
                <w:color w:val="auto"/>
              </w:rPr>
              <w:t>Sales</w:t>
            </w:r>
          </w:p>
        </w:tc>
        <w:tc>
          <w:tcPr>
            <w:tcW w:w="1820" w:type="dxa"/>
            <w:vAlign w:val="bottom"/>
          </w:tcPr>
          <w:p>
            <w:pPr>
              <w:jc w:val="center"/>
              <w:ind w:left="528"/>
              <w:spacing w:after="0"/>
              <w:rPr>
                <w:sz w:val="20"/>
                <w:szCs w:val="20"/>
                <w:color w:val="auto"/>
              </w:rPr>
            </w:pPr>
            <w:r>
              <w:rPr>
                <w:rFonts w:ascii="Arial" w:cs="Arial" w:eastAsia="Arial" w:hAnsi="Arial"/>
                <w:sz w:val="14"/>
                <w:szCs w:val="14"/>
                <w:b w:val="1"/>
                <w:bCs w:val="1"/>
                <w:color w:val="auto"/>
              </w:rPr>
              <w:t>Profit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6"/>
                <w:szCs w:val="16"/>
                <w:color w:val="auto"/>
              </w:rPr>
            </w:pP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3"/>
        </w:trPr>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r>
      <w:tr>
        <w:trPr>
          <w:trHeight w:val="21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-307975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860"/>
          </w:cols>
          <w:pgMar w:left="240" w:top="400" w:right="239" w:bottom="1440" w:gutter="0" w:footer="0" w:header="0"/>
          <w:type w:val="continuous"/>
        </w:sectPr>
      </w:pPr>
    </w:p>
    <w:p>
      <w:pPr>
        <w:spacing w:after="0" w:line="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ACS sales increased in the quarter and six months ended June 30, 2016 primarily due to growth from acquisitions partially offset by the unfavorable impact of foreign currency translation.</w:t>
      </w:r>
    </w:p>
    <w:p>
      <w:pPr>
        <w:spacing w:after="0" w:line="183" w:lineRule="exact"/>
        <w:rPr>
          <w:sz w:val="20"/>
          <w:szCs w:val="20"/>
          <w:color w:val="auto"/>
        </w:rPr>
      </w:pPr>
    </w:p>
    <w:p>
      <w:pPr>
        <w:jc w:val="both"/>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Energy, Safety &amp; Security increased 13% (decreased 2% organic) in the quarter ended June 30, 2016 and increased 15% (flat organic) in the six months ended June 30, 2016 principally due to acquisitions partially offset by the unfavorable impact of foreign currency translation and decreased sales volume in Sensing &amp; Productivity Solutions.</w:t>
      </w:r>
    </w:p>
    <w:p>
      <w:pPr>
        <w:spacing w:after="0" w:line="202" w:lineRule="exact"/>
        <w:rPr>
          <w:rFonts w:ascii="Arial" w:cs="Arial" w:eastAsia="Arial" w:hAnsi="Arial"/>
          <w:sz w:val="18"/>
          <w:szCs w:val="18"/>
          <w:color w:val="auto"/>
        </w:rPr>
      </w:pPr>
    </w:p>
    <w:p>
      <w:pPr>
        <w:jc w:val="both"/>
        <w:ind w:left="980" w:hanging="324"/>
        <w:spacing w:after="0" w:line="23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Building Solutions &amp; Distribution increased 1% (increased 3% organic) in the quarter ended June 30, 2016 and increased 3% (increased 5% organic) in the six months ended June 30, 2016 principally due to organic sales growth partially offset by the unfavorable impact of foreign currency translation. Organic sales growth was primarily due to increased sales volume in the Americas Distribution business and growth in the project installation and services businesses partially offset by the unfavorable impact of foreign currency translation.</w:t>
      </w:r>
    </w:p>
    <w:p>
      <w:pPr>
        <w:spacing w:after="0" w:line="20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ACS segment profit increased in the quarter and six months ended June 30, 2016 due to acquisitions and higher operational segment profit, partially offset by the unfavorable impact of foreign currency translation. The increase in operational segment profit is primarily due to the positive impact of price and productivity, net of inflation, partially offset by continued investments for growth. Cost of products and services sold increased in the quarter and six months ended June 30, 2016 primarily due to acquisitions and higher organic sales volumes partially offset by the favorable impact of foreign currency translation and productivity, net of inflation.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ind w:right="262"/>
              <w:spacing w:after="0" w:line="143"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ind w:left="400"/>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40" w:type="dxa"/>
            <w:vAlign w:val="bottom"/>
            <w:tcBorders>
              <w:bottom w:val="single" w:sz="8" w:color="E5FF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2,326</w:t>
            </w: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2,395</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60" w:type="dxa"/>
            <w:vAlign w:val="bottom"/>
            <w:shd w:val="clear" w:color="auto" w:fill="E5FFFF"/>
          </w:tcPr>
          <w:p>
            <w:pPr>
              <w:jc w:val="center"/>
              <w:ind w:left="282"/>
              <w:spacing w:after="0" w:line="196" w:lineRule="exact"/>
              <w:rPr>
                <w:sz w:val="20"/>
                <w:szCs w:val="20"/>
                <w:color w:val="auto"/>
              </w:rPr>
            </w:pPr>
            <w:r>
              <w:rPr>
                <w:rFonts w:ascii="Arial" w:cs="Arial" w:eastAsia="Arial" w:hAnsi="Arial"/>
                <w:sz w:val="18"/>
                <w:szCs w:val="18"/>
                <w:color w:val="auto"/>
                <w:w w:val="99"/>
              </w:rPr>
              <w:t>(3)%</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4,466</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4,737</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ind w:left="4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3,218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62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80" w:type="dxa"/>
            <w:vAlign w:val="bottom"/>
            <w:gridSpan w:val="3"/>
            <w:shd w:val="clear" w:color="auto" w:fill="E5FFFF"/>
          </w:tcPr>
          <w:p>
            <w:pPr>
              <w:jc w:val="right"/>
              <w:ind w:right="120"/>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E5FFFF"/>
            </w:tcBorders>
          </w:tcPr>
          <w:p>
            <w:pPr>
              <w:spacing w:after="0"/>
              <w:rPr>
                <w:sz w:val="19"/>
                <w:szCs w:val="19"/>
                <w:color w:val="auto"/>
              </w:rPr>
            </w:pPr>
          </w:p>
        </w:tc>
        <w:tc>
          <w:tcPr>
            <w:tcW w:w="40" w:type="dxa"/>
            <w:vAlign w:val="bottom"/>
            <w:tcBorders>
              <w:bottom w:val="single" w:sz="8" w:color="E5FFFF"/>
            </w:tcBorders>
          </w:tcPr>
          <w:p>
            <w:pPr>
              <w:spacing w:after="0"/>
              <w:rPr>
                <w:sz w:val="19"/>
                <w:szCs w:val="19"/>
                <w:color w:val="auto"/>
              </w:rPr>
            </w:pPr>
          </w:p>
        </w:tc>
        <w:tc>
          <w:tcPr>
            <w:tcW w:w="860" w:type="dxa"/>
            <w:vAlign w:val="bottom"/>
            <w:tcBorders>
              <w:bottom w:val="single" w:sz="8" w:color="E5FFFF"/>
            </w:tcBorders>
          </w:tcPr>
          <w:p>
            <w:pPr>
              <w:spacing w:after="0"/>
              <w:rPr>
                <w:sz w:val="19"/>
                <w:szCs w:val="19"/>
                <w:color w:val="auto"/>
              </w:rPr>
            </w:pPr>
          </w:p>
        </w:tc>
        <w:tc>
          <w:tcPr>
            <w:tcW w:w="8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E5FFFF"/>
            </w:tcBorders>
          </w:tcPr>
          <w:p>
            <w:pPr>
              <w:spacing w:after="0"/>
              <w:rPr>
                <w:sz w:val="19"/>
                <w:szCs w:val="19"/>
                <w:color w:val="auto"/>
              </w:rPr>
            </w:pPr>
          </w:p>
        </w:tc>
        <w:tc>
          <w:tcPr>
            <w:tcW w:w="9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490</w:t>
            </w:r>
          </w:p>
        </w:tc>
        <w:tc>
          <w:tcPr>
            <w:tcW w:w="10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509</w:t>
            </w: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860" w:type="dxa"/>
            <w:vAlign w:val="bottom"/>
            <w:shd w:val="clear" w:color="auto" w:fill="E5FFFF"/>
          </w:tcPr>
          <w:p>
            <w:pPr>
              <w:jc w:val="center"/>
              <w:ind w:left="282"/>
              <w:spacing w:after="0" w:line="196" w:lineRule="exact"/>
              <w:rPr>
                <w:sz w:val="20"/>
                <w:szCs w:val="20"/>
                <w:color w:val="auto"/>
              </w:rPr>
            </w:pPr>
            <w:r>
              <w:rPr>
                <w:rFonts w:ascii="Arial" w:cs="Arial" w:eastAsia="Arial" w:hAnsi="Arial"/>
                <w:sz w:val="18"/>
                <w:szCs w:val="18"/>
                <w:color w:val="auto"/>
                <w:w w:val="99"/>
              </w:rPr>
              <w:t>(4)%</w:t>
            </w: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E5FFFF"/>
          </w:tcPr>
          <w:p>
            <w:pPr>
              <w:jc w:val="right"/>
              <w:ind w:right="20"/>
              <w:spacing w:after="0" w:line="196" w:lineRule="exact"/>
              <w:rPr>
                <w:sz w:val="20"/>
                <w:szCs w:val="20"/>
                <w:color w:val="auto"/>
              </w:rPr>
            </w:pPr>
            <w:r>
              <w:rPr>
                <w:rFonts w:ascii="Arial" w:cs="Arial" w:eastAsia="Arial" w:hAnsi="Arial"/>
                <w:sz w:val="18"/>
                <w:szCs w:val="18"/>
                <w:color w:val="auto"/>
              </w:rPr>
              <w:t>931</w:t>
            </w:r>
          </w:p>
        </w:tc>
        <w:tc>
          <w:tcPr>
            <w:tcW w:w="80" w:type="dxa"/>
            <w:vAlign w:val="bottom"/>
            <w:tcBorders>
              <w:bottom w:val="single" w:sz="8" w:color="auto"/>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1,012</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ind w:left="4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26"/>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2016 vs. 2015</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14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7"/>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142"/>
              <w:spacing w:after="0"/>
              <w:rPr>
                <w:sz w:val="20"/>
                <w:szCs w:val="20"/>
                <w:color w:val="auto"/>
              </w:rPr>
            </w:pPr>
            <w:r>
              <w:rPr>
                <w:rFonts w:ascii="Arial" w:cs="Arial" w:eastAsia="Arial" w:hAnsi="Arial"/>
                <w:sz w:val="14"/>
                <w:szCs w:val="14"/>
                <w:b w:val="1"/>
                <w:bCs w:val="1"/>
                <w:color w:val="auto"/>
              </w:rPr>
              <w:t>June 30, 2016</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June 30, 2016</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Factors Contributing to Year-Over-Year Change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82"/>
              <w:spacing w:after="0" w:line="143"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Sales</w:t>
            </w:r>
          </w:p>
        </w:tc>
        <w:tc>
          <w:tcPr>
            <w:tcW w:w="32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rPr>
              <w:t>Profit</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Sales</w:t>
            </w:r>
          </w:p>
        </w:tc>
        <w:tc>
          <w:tcPr>
            <w:tcW w:w="3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8"/>
              </w:rPr>
              <w:t>Profit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3"/>
        </w:trPr>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r>
      <w:tr>
        <w:trPr>
          <w:trHeight w:val="21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-565150</wp:posOffset>
            </wp:positionV>
            <wp:extent cx="72466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-307975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860"/>
          </w:cols>
          <w:pgMar w:left="240" w:top="400" w:right="239" w:bottom="1440" w:gutter="0" w:footer="0" w:header="0"/>
          <w:type w:val="continuous"/>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PMT sales decreased in the quarter and six months ended June 30, 2016 due to a decrease in organic sales volumes and the unfavorable impact of foreign currency translation, partially offset by growth from acquisitions.</w:t>
      </w:r>
    </w:p>
    <w:p>
      <w:pPr>
        <w:spacing w:after="0" w:line="183" w:lineRule="exact"/>
        <w:rPr>
          <w:sz w:val="20"/>
          <w:szCs w:val="20"/>
          <w:color w:val="auto"/>
        </w:rPr>
      </w:pPr>
    </w:p>
    <w:p>
      <w:pPr>
        <w:jc w:val="both"/>
        <w:ind w:left="660" w:hanging="328"/>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decreased 18% (decreased 17% organic) in the quarter ended June 30, 2016 and decreased 29% (decreased 28% organic) in the six months ended June 30, 2016 primarily driven by lower gas processing revenues due to a significant slowdown in customer projects, which is expected to continue, decreased equipment sales, decreased licensing sales in the second quarter, and decreased catalyst volumes. Catalyst volumes are expected to increase in the second half of 2016.</w:t>
      </w:r>
    </w:p>
    <w:p>
      <w:pPr>
        <w:spacing w:after="0" w:line="201" w:lineRule="exact"/>
        <w:rPr>
          <w:rFonts w:ascii="Arial" w:cs="Arial" w:eastAsia="Arial" w:hAnsi="Arial"/>
          <w:sz w:val="18"/>
          <w:szCs w:val="18"/>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Solutions sales increased 13% (increased 8% organic) in the quarter ended June 30, 2016 and increased 12% (increased 9% organic) in the six months ended June 30, 2016 primarily driven by higher revenues in projects, increased volumes in field products driven by the Elster acquisition, and increased software and services revenues.</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decreased 3% (decreased 5% organic) in the quarter ended June 30, 2016 primarily driven by lower market pricing as well as lower raw material pass-through pricing in Resins and Chemicals, partially offset by increased volumes in Specialty Products and Fluorine Products.</w:t>
      </w:r>
    </w:p>
    <w:p>
      <w:pPr>
        <w:spacing w:after="0" w:line="202"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Advanced Materials sales increased 3% (flat organic) in the six months ended June 30, 2016 primarily driven by increased volumes in Fluorine Products and Specialty Products, partially offset by lower market pricing as well as lower raw material pass-through pricing in Resins and Chemicals.</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PMT segment profit decreased in the quarter and six months ended June 30, 2016 due to a decrease in operational segment profit and the unfavorable impact of foreign currency translation, partially offset by acquisitions. The decrease in operational segment profit is primarily due to lower organic sales volume, particularly in UOP as described above. Cost of products and services sold decreased in the quarter and six months ended June 30, 2016 primarily due to lower organic sales volumes, favorable foreign currency translation, and productivity, net of inflation, partially offset by acquisitions.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repositioning actions are expected to generate incremental pretax savings of $175 million to $200 million in 2016 compared with 2015 principally from planned workforce reductions. Cash spending related to our repositioning actions was $99 million in the six months ended June 30, 2016 and was funded through operating cash flows. We expect cash spending for repositioning actions to be approximately $175 million in 2016 and to be funded through operating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48" w:lineRule="exact"/>
        <w:rPr>
          <w:sz w:val="20"/>
          <w:szCs w:val="20"/>
          <w:color w:val="auto"/>
        </w:rPr>
      </w:pPr>
    </w:p>
    <w:tbl>
      <w:tblPr>
        <w:tblLayout w:type="fixed"/>
        <w:tblInd w:w="10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5160" w:type="dxa"/>
            <w:vAlign w:val="bottom"/>
            <w:tcBorders>
              <w:bottom w:val="single" w:sz="8" w:color="E5FFFF"/>
            </w:tcBorders>
          </w:tcPr>
          <w:p>
            <w:pPr>
              <w:spacing w:after="0"/>
              <w:rPr>
                <w:sz w:val="15"/>
                <w:szCs w:val="15"/>
                <w:color w:val="auto"/>
              </w:rPr>
            </w:pPr>
          </w:p>
        </w:tc>
        <w:tc>
          <w:tcPr>
            <w:tcW w:w="16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196"/>
        </w:trPr>
        <w:tc>
          <w:tcPr>
            <w:tcW w:w="516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Cash provided by (used for):</w:t>
            </w:r>
          </w:p>
        </w:tc>
        <w:tc>
          <w:tcPr>
            <w:tcW w:w="1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1,801</w:t>
            </w:r>
          </w:p>
        </w:tc>
        <w:tc>
          <w:tcPr>
            <w:tcW w:w="260" w:type="dxa"/>
            <w:vAlign w:val="bottom"/>
          </w:tcPr>
          <w:p>
            <w:pPr>
              <w:spacing w:after="0"/>
              <w:rPr>
                <w:sz w:val="17"/>
                <w:szCs w:val="17"/>
                <w:color w:val="auto"/>
              </w:rPr>
            </w:pPr>
          </w:p>
        </w:tc>
        <w:tc>
          <w:tcPr>
            <w:tcW w:w="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1,829</w:t>
            </w:r>
          </w:p>
        </w:tc>
      </w:tr>
      <w:tr>
        <w:trPr>
          <w:trHeight w:val="203"/>
        </w:trPr>
        <w:tc>
          <w:tcPr>
            <w:tcW w:w="51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(1,542)</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(2,545)</w:t>
            </w: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16"/>
        </w:trPr>
        <w:tc>
          <w:tcPr>
            <w:tcW w:w="51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16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(219)</w:t>
            </w:r>
          </w:p>
        </w:tc>
      </w:tr>
      <w:tr>
        <w:trPr>
          <w:trHeight w:val="210"/>
        </w:trPr>
        <w:tc>
          <w:tcPr>
            <w:tcW w:w="5160" w:type="dxa"/>
            <w:vAlign w:val="bottom"/>
          </w:tcPr>
          <w:p>
            <w:pPr>
              <w:ind w:left="40"/>
              <w:spacing w:after="0" w:line="197" w:lineRule="exact"/>
              <w:rPr>
                <w:sz w:val="20"/>
                <w:szCs w:val="20"/>
                <w:color w:val="auto"/>
              </w:rPr>
            </w:pPr>
            <w:r>
              <w:rPr>
                <w:rFonts w:ascii="Arial" w:cs="Arial" w:eastAsia="Arial" w:hAnsi="Arial"/>
                <w:sz w:val="18"/>
                <w:szCs w:val="18"/>
                <w:color w:val="auto"/>
              </w:rPr>
              <w:t>Net decrease in cash and cash equivalents</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0"/>
        </w:trPr>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operating activities decreased by $28 million primarily due to an unfavorable impact from working capital of $426 million, partially offset by a favorable impact from accrued liabilities of $372 million (primarily driven by a $223 million decrease in customer advances and deferred income and the absence of $151 million in OEM incentive payments, both from 2015).</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used for investing activities decreased by $1,003 million primarily due to a net $1,771 million decrease in investments, primarily short term marketable securities, and a decrease of $202 million in settlement payments of foreign currency exchange contracts used as economic hedges on certain non-functional currency denominated monetary assets and liabilities. Decreases were partially offset by an increase in cash paid for acquisitions of $899 million, most significantly Xtralis International Holdings Limited and COM DEV International.</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used for financing activities increased by $650 million primarily due to (i) an increase in net repurchases of common stock of $1,029 million, (ii) the acquisition of the remaining 30% noncontrolling interest of UOP Russell LLC for $238 million and (iii) an increase in cash dividends paid of $106 million including amounts paid to former UOP Russell LLC noncontrolling shareholder, partially offset by an increase in the net proceeds from debt issuances of $693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2016, we are not required to make contributions to our U.S. pension plans. We plan to make contributions of cash and/or marketable securities of approximately $160 million ($106 million of marketable securities were contributed in January 2016) to our non-U.S. plans to satisfy regulatory funding requirements.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8" w:name="page29"/>
    <w:bookmarkEnd w:id="28"/>
    <w:p>
      <w:pPr>
        <w:jc w:val="both"/>
        <w:spacing w:after="0" w:line="246" w:lineRule="auto"/>
        <w:rPr>
          <w:sz w:val="20"/>
          <w:szCs w:val="20"/>
          <w:color w:val="auto"/>
        </w:rPr>
      </w:pPr>
      <w:r>
        <w:rPr>
          <w:rFonts w:ascii="Arial" w:cs="Arial" w:eastAsia="Arial" w:hAnsi="Arial"/>
          <w:sz w:val="18"/>
          <w:szCs w:val="18"/>
          <w:color w:val="auto"/>
        </w:rPr>
        <w:t>timing and amount of contributions to both our U.S. and non-U.S. plans may be impacted by a number of factors, including the funded status of the plans.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three months ended June 30, 2016, the Company repurchased $477 million of outstanding shares. Under the Company’s previously approved $5 billion share repurchase program, $4.5 billion remained available as of June 30, 2016 for additional share repurchases. Honeywell presently expects to repurchase outstanding shares from time to time to generally offset the dilutive impact over the long-term of employee stock-based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3 Acquisitions and Divestitures and Note 8 Long-term Debt and Credit Agreements of Notes to Financial Statements for additional discussion of items impacting our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13 Commitments and Contingencies of Notes to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June 30, 2016 should be read in conjunction with the financial statements for the year ended December 31, 2015 contained in our 2015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See Note 2 Recent Accounting Pronouncements of Notes to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2015 Annual Report on Form 10-K. As of June 30, 2016,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13 Commitments and Contingencies of Notes to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purchased 4,192,921 shares of its common stock, par value $ 1 per share, in the quarter ended June 30, 2016. In April 2016, the Board of Directors authorized the repurchase of up to a total of $5 billion of Honeywell common stock, which replaces the previously approved share repurchase program. $4.5 billion remained available as of June 30, 2016 for additional share repurchases. The following table summarizes Honeywell’s purchase of its common stock for the quarter ended June 30, 2016:</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20" w:type="dxa"/>
            <w:vAlign w:val="bottom"/>
            <w:gridSpan w:val="5"/>
          </w:tcPr>
          <w:p>
            <w:pPr>
              <w:ind w:left="100"/>
              <w:spacing w:after="0"/>
              <w:rPr>
                <w:sz w:val="20"/>
                <w:szCs w:val="20"/>
                <w:color w:val="auto"/>
              </w:rPr>
            </w:pPr>
            <w:r>
              <w:rPr>
                <w:rFonts w:ascii="Arial" w:cs="Arial" w:eastAsia="Arial" w:hAnsi="Arial"/>
                <w:sz w:val="14"/>
                <w:szCs w:val="14"/>
                <w:b w:val="1"/>
                <w:bCs w:val="1"/>
                <w:color w:val="auto"/>
              </w:rPr>
              <w:t>Issuer Purchases of Equity Securities</w:t>
            </w:r>
          </w:p>
        </w:tc>
        <w:tc>
          <w:tcPr>
            <w:tcW w:w="26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w:t>
            </w: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 )</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 Number</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Shares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Purchased as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Part of Publicly</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76"/>
        </w:trPr>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 Paid</w:t>
            </w: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Announced Plans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4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32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398"/>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May 2016</w:t>
            </w:r>
          </w:p>
        </w:tc>
        <w:tc>
          <w:tcPr>
            <w:tcW w:w="1280" w:type="dxa"/>
            <w:vAlign w:val="bottom"/>
          </w:tcPr>
          <w:p>
            <w:pPr>
              <w:jc w:val="right"/>
              <w:ind w:right="183"/>
              <w:spacing w:after="0"/>
              <w:rPr>
                <w:sz w:val="20"/>
                <w:szCs w:val="20"/>
                <w:color w:val="auto"/>
              </w:rPr>
            </w:pPr>
            <w:r>
              <w:rPr>
                <w:rFonts w:ascii="Arial" w:cs="Arial" w:eastAsia="Arial" w:hAnsi="Arial"/>
                <w:sz w:val="18"/>
                <w:szCs w:val="18"/>
                <w:color w:val="auto"/>
              </w:rPr>
              <w:t>3,742,921</w:t>
            </w:r>
          </w:p>
        </w:tc>
        <w:tc>
          <w:tcPr>
            <w:tcW w:w="1640" w:type="dxa"/>
            <w:vAlign w:val="bottom"/>
            <w:gridSpan w:val="2"/>
          </w:tcPr>
          <w:p>
            <w:pPr>
              <w:jc w:val="center"/>
              <w:ind w:left="256"/>
              <w:spacing w:after="0"/>
              <w:rPr>
                <w:sz w:val="20"/>
                <w:szCs w:val="20"/>
                <w:color w:val="auto"/>
              </w:rPr>
            </w:pPr>
            <w:r>
              <w:rPr>
                <w:rFonts w:ascii="Arial" w:cs="Arial" w:eastAsia="Arial" w:hAnsi="Arial"/>
                <w:sz w:val="18"/>
                <w:szCs w:val="18"/>
                <w:color w:val="auto"/>
              </w:rPr>
              <w:t>$113.75</w:t>
            </w:r>
          </w:p>
        </w:tc>
        <w:tc>
          <w:tcPr>
            <w:tcW w:w="320" w:type="dxa"/>
            <w:vAlign w:val="bottom"/>
          </w:tcPr>
          <w:p>
            <w:pPr>
              <w:spacing w:after="0"/>
              <w:rPr>
                <w:sz w:val="24"/>
                <w:szCs w:val="24"/>
                <w:color w:val="auto"/>
              </w:rPr>
            </w:pPr>
          </w:p>
        </w:tc>
        <w:tc>
          <w:tcPr>
            <w:tcW w:w="1940" w:type="dxa"/>
            <w:vAlign w:val="bottom"/>
          </w:tcPr>
          <w:p>
            <w:pPr>
              <w:jc w:val="right"/>
              <w:ind w:right="524"/>
              <w:spacing w:after="0"/>
              <w:rPr>
                <w:sz w:val="20"/>
                <w:szCs w:val="20"/>
                <w:color w:val="auto"/>
              </w:rPr>
            </w:pPr>
            <w:r>
              <w:rPr>
                <w:rFonts w:ascii="Arial" w:cs="Arial" w:eastAsia="Arial" w:hAnsi="Arial"/>
                <w:sz w:val="18"/>
                <w:szCs w:val="18"/>
                <w:color w:val="auto"/>
              </w:rPr>
              <w:t>3,742,921</w:t>
            </w:r>
          </w:p>
        </w:tc>
        <w:tc>
          <w:tcPr>
            <w:tcW w:w="3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8"/>
              </w:rPr>
              <w:t>$4,574</w:t>
            </w:r>
          </w:p>
        </w:tc>
      </w:tr>
      <w:tr>
        <w:trPr>
          <w:trHeight w:val="217"/>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June 2016</w:t>
            </w:r>
          </w:p>
        </w:tc>
        <w:tc>
          <w:tcPr>
            <w:tcW w:w="1280" w:type="dxa"/>
            <w:vAlign w:val="bottom"/>
          </w:tcPr>
          <w:p>
            <w:pPr>
              <w:jc w:val="right"/>
              <w:ind w:right="183"/>
              <w:spacing w:after="0"/>
              <w:rPr>
                <w:sz w:val="20"/>
                <w:szCs w:val="20"/>
                <w:color w:val="auto"/>
              </w:rPr>
            </w:pPr>
            <w:r>
              <w:rPr>
                <w:rFonts w:ascii="Arial" w:cs="Arial" w:eastAsia="Arial" w:hAnsi="Arial"/>
                <w:sz w:val="18"/>
                <w:szCs w:val="18"/>
                <w:color w:val="auto"/>
              </w:rPr>
              <w:t>450,000</w:t>
            </w:r>
          </w:p>
        </w:tc>
        <w:tc>
          <w:tcPr>
            <w:tcW w:w="1640" w:type="dxa"/>
            <w:vAlign w:val="bottom"/>
            <w:gridSpan w:val="2"/>
          </w:tcPr>
          <w:p>
            <w:pPr>
              <w:jc w:val="center"/>
              <w:ind w:left="256"/>
              <w:spacing w:after="0"/>
              <w:rPr>
                <w:sz w:val="20"/>
                <w:szCs w:val="20"/>
                <w:color w:val="auto"/>
              </w:rPr>
            </w:pPr>
            <w:r>
              <w:rPr>
                <w:rFonts w:ascii="Arial" w:cs="Arial" w:eastAsia="Arial" w:hAnsi="Arial"/>
                <w:sz w:val="18"/>
                <w:szCs w:val="18"/>
                <w:color w:val="auto"/>
              </w:rPr>
              <w:t>$114.11</w:t>
            </w:r>
          </w:p>
        </w:tc>
        <w:tc>
          <w:tcPr>
            <w:tcW w:w="320" w:type="dxa"/>
            <w:vAlign w:val="bottom"/>
          </w:tcPr>
          <w:p>
            <w:pPr>
              <w:spacing w:after="0"/>
              <w:rPr>
                <w:sz w:val="18"/>
                <w:szCs w:val="18"/>
                <w:color w:val="auto"/>
              </w:rPr>
            </w:pPr>
          </w:p>
        </w:tc>
        <w:tc>
          <w:tcPr>
            <w:tcW w:w="1940" w:type="dxa"/>
            <w:vAlign w:val="bottom"/>
          </w:tcPr>
          <w:p>
            <w:pPr>
              <w:jc w:val="right"/>
              <w:ind w:right="524"/>
              <w:spacing w:after="0"/>
              <w:rPr>
                <w:sz w:val="20"/>
                <w:szCs w:val="20"/>
                <w:color w:val="auto"/>
              </w:rPr>
            </w:pPr>
            <w:r>
              <w:rPr>
                <w:rFonts w:ascii="Arial" w:cs="Arial" w:eastAsia="Arial" w:hAnsi="Arial"/>
                <w:sz w:val="18"/>
                <w:szCs w:val="18"/>
                <w:color w:val="auto"/>
              </w:rPr>
              <w:t>450,000</w:t>
            </w:r>
          </w:p>
        </w:tc>
        <w:tc>
          <w:tcPr>
            <w:tcW w:w="3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8"/>
              </w:rPr>
              <w:t>$4,523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Disclosure is required even where the activities are conducted outside the U.S. by non-U.S. affiliates in compliance with applicable law, and even if the activities are not covered or prohibited by U.S. law. During the second quarter of 2016, after the easing of certain sanctions by the United States against Iran in January 2016 and in compliance with all applicable laws, including sanctions regulations administered by U.S. Treasury’s Office of Foreign Assets Control (OFAC), the Company’s wholly-owned non-U.S. subsidiaries associated with our UOP business have entered into three contracts with non-U.S. distributors to sell non-U.S.-origin adsorbents for end use at petrochemical plants in Iran pursuant to and in compliance with the terms and conditions of OFAC’s General License H. These adsorbents remove contaminants from hydrocarbon streams in petrochemical plants. The revenues from these sales totaled the U.S. Dollar equivalent of approximately $2 million. Additionally, the Company’s wholly-owned non-U.S. subsidiaries associated with our Process Solutions business have entered into a contract with an Iranian distributor to sell non-U.S. origin gas meters for end use at petrochemical facilities in Iran. The total value of the contract is the U.S. Dollar equivalent of approximately $3.5 million and the amount of revenue in the second quarter was the U.S. Dollar equivalent of approximately $ 400,000. Our non-U.S. subsidiaries intend to continue doing business in Iran under General License H in compliance with all applicable laws, which sales may require additional disclosure pursuant to Section 13(r) of the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Chief Executive Officer Succession Plan</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Honeywell’s Board of Directors (the “Board”) announced that Mr. Darius Adamczyk, age 50, would become the Company’s Chief Executive Officer and a member of the Board on March 31, 2017. Honeywell’s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0" w:name="page31"/>
    <w:bookmarkEnd w:id="30"/>
    <w:p>
      <w:pPr>
        <w:jc w:val="both"/>
        <w:spacing w:after="0"/>
        <w:rPr>
          <w:sz w:val="20"/>
          <w:szCs w:val="20"/>
          <w:color w:val="auto"/>
        </w:rPr>
      </w:pPr>
      <w:r>
        <w:rPr>
          <w:rFonts w:ascii="Arial" w:cs="Arial" w:eastAsia="Arial" w:hAnsi="Arial"/>
          <w:sz w:val="18"/>
          <w:szCs w:val="18"/>
          <w:color w:val="auto"/>
        </w:rPr>
        <w:t>current Chairman and Chief Executive Officer, Mr. David M. Cote, will cease to be Chief Executive Officer on that date but remain as an employee of the Company in the capacity as Chairman of the Board through Honeywell’s 2018 shareowners meeting. Mr. Adamczyk is currently Honeywell’s Chief Operating Officer, a position he will continue to hold until he becomes Chief Executive Officer.</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addition, the Board announced that it was changing the structure of its Lead Director position. Instead of the existing one-year rotating term based on seniority, the Board has determined that a permanent Lead Director will be better suited to managing the leadership transition contemplated by Mr. Adamczyk’s promotion. As part of these changes, the Board formally adopted selection criteria it will use in designating the Lead Director, including, among other things: ensuring that the Lead Director is able to commit the time and level of engagement required to fulfill the substantial responsibilities of the Lead Director role; possession of effective communication skills to facilitate engagement with key stakeholders; and, experience broadly in line with Honeywell’s corporate strategy such as leading a large, complex business organization, international experience and an understanding of relevant end markets and technologies. The Board intends to review the Lead Director’s performance on a biennial basis and, as appropriate, re-elect or elect one of its members. To better facilitate a smooth leadership transition, the Board also added several new responsibilities to the Lead Director role including, among other things, providing guidance on key strategic and operational Board agenda topics, periodic consultation with management about the scope and content of materials provided to the Board, and serving as ex-officio member of each Board committee.</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Board also announced that it has elected Mr. Jaime Chico Pardo as the Company’s Lead Director to serve until at least the 2018 annual meeting of shareholders. Mr. Chico Pardo is currently the President and Chief Executive Officer of ENESA, a private fund investing in the Mexican energy and health care sectors. The Board based its decision on the selection criteria described above and formalized in its Corporate Governance Guidelines. In selecting Mr. Chico Pardo, the Board was particularly cognizant of among other things: Mr. Chico Pardo’s ability to devote the time and energy necessary to undertake the lead director role; long board tenure; deep knowledge and understanding of Honeywell, its technologies and the end markets that it serves; global business experience and knowledge of relevant technologies; experience leading Telefonos De Mexico, a large, complex business organization; and, effective communication skills with other Board members, shareholders and management. To accommodate Mr. Chico Pardo’s expanded Lead Director role, the Board also announced that Mr. Chico Pardo will relinquish his position as the Chairman of the Company’s Retirement Plans Committee, to be replaced by Dr. Bradley T. Sheares, who currently is a member of that committee.</w:t>
      </w:r>
    </w:p>
    <w:p>
      <w:pPr>
        <w:spacing w:after="0" w:line="19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Mr. Pardo, together with the Chair of the Management Development and Compensation Committee, Mr. Scott Davis, will be actively engaging with the Company’s largest shareholders over the coming months to discuss adoption of a number of changes to Honeywell’s compensation plans. These changes are expected to include, among other things, making payouts under the Company’s annual incentive plan for senior executives mostly formulaic and less discretionary, utilizing three-year overlapping performance cycles in its long-term performance plan (instead of two-year, non-overlapping) and rebalancing the mix of long-term incentive awards for senior executives to place majority weight on performance-based equity. The Board intends to announce these changes to its compensation plans in advance of the issuance of its 2017 proxy statement.</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order to allow for a more seamless leadership succession and extend Mr. Cote’s involvement with the Company beyond the end date contemplated by his prior employment agreement, the Board announced that Honeywell and Mr. Cote have entered into a Business Continuity Agreement (the “Continuity Agreement”) which amends, replaces and terminates the retention agreement dated December 11, 2014 between the Company and Mr. Cote (the “December 2014 Retention Agreement”). The Continuity Agreement, which allows the Company to leverage Mr. Cote’s expertise over a longer period of time, resulted from the Board’s rigorous long-term succession planning. The Performance Stock Options granted to Mr. Cote under the terms of the December 2014 Retention Agreement are rescinded and their value forfeited under the terms of the Continuity Agreement. The Continuity Agreement contemplates that while serving in the capacity as Chairman, Mr. Cote will be paid cash base compensation at an annualized rate of $500,000, will no longer be eligible for annual long-term incentive compensation awards from the Company and, except for a portion of 2017 related to his service as CEO and described below, will no longer be eligible for short-term incentive compensation.</w:t>
      </w:r>
    </w:p>
    <w:p>
      <w:pPr>
        <w:spacing w:after="0" w:line="19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the Continuity Agreement provides certain benefits to Mr. Cote if he (i) remains as the Company’s Chief Executive Officer through March 31, 2017, (ii) provides the Board with certain consulting services for a five-year period following his retirement from the Company, and (iii) refrains from taking certain actions during this period. The benefits include (i) the use of an office and IT and secretarial support during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1" w:name="page32"/>
    <w:bookmarkEnd w:id="31"/>
    <w:p>
      <w:pPr>
        <w:jc w:val="both"/>
        <w:spacing w:after="0" w:line="236" w:lineRule="auto"/>
        <w:rPr>
          <w:sz w:val="20"/>
          <w:szCs w:val="20"/>
          <w:color w:val="auto"/>
        </w:rPr>
      </w:pPr>
      <w:r>
        <w:rPr>
          <w:rFonts w:ascii="Arial" w:cs="Arial" w:eastAsia="Arial" w:hAnsi="Arial"/>
          <w:sz w:val="18"/>
          <w:szCs w:val="18"/>
          <w:color w:val="auto"/>
        </w:rPr>
        <w:t>period Mr. Cote provides consulting services to the Company; (ii) access to Company aircraft under a timeshare lease, with the cost to be paid for by Mr. Cote at the maximum lease rates permitted under FAA rules for up to a 20-year period; (iii) incentive compensation payouts (“ICP”) for one-half of 2017 as determined by the Board of Directors in its discretion in the ordinary course and paid out at the same time as ICP awards are paid out to other Company officers; (iv) continued vesting of stock options granted to Mr. Cote by the Board of Directors in February 2016 and 2017; (v) treatment of the full amount of Mr. Cote’s 2014 ICP award as pensionable earnings ($ 500,000 of Mr. Cote’s 2014 ICP payment was determined by the Board of Directors to not be pensionable when it was awarded in 2014); and (vi) payments for the 2016-2017 Growth Plan performance cycle based on actual Company performance against plan goals, paid at the same time as other Company officers, and distributed in the form of company stock subject to an additional one-year holding period. If Mr. Cote were to leave the Company earlier than March 31, 2017, the benefits granted to him under the Continuity Agreement would be forfeited, unless his employment is terminated by the Company without cause or by him for “good reason”, or a Change in Control occurs prior to such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660" w:hanging="4964"/>
        <w:spacing w:after="0" w:line="465" w:lineRule="auto"/>
        <w:tabs>
          <w:tab w:leader="none" w:pos="986"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the Exhibit Index on page 34 of this Quarterly Report on Form 10-Q.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Honeywell International Inc.</w:t>
      </w:r>
    </w:p>
    <w:p>
      <w:pPr>
        <w:spacing w:after="0" w:line="198"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H.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wp:posOffset>
            </wp:positionV>
            <wp:extent cx="26073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Jennifer H. Mak</w:t>
      </w:r>
    </w:p>
    <w:p>
      <w:pPr>
        <w:ind w:left="7320"/>
        <w:spacing w:after="0" w:line="234" w:lineRule="auto"/>
        <w:rPr>
          <w:sz w:val="20"/>
          <w:szCs w:val="20"/>
          <w:color w:val="auto"/>
        </w:rPr>
      </w:pPr>
      <w:r>
        <w:rPr>
          <w:rFonts w:ascii="Arial" w:cs="Arial" w:eastAsia="Arial" w:hAnsi="Arial"/>
          <w:sz w:val="18"/>
          <w:szCs w:val="18"/>
          <w:color w:val="auto"/>
        </w:rPr>
        <w:t>Vice President and Controller</w:t>
      </w:r>
    </w:p>
    <w:p>
      <w:pPr>
        <w:ind w:left="7320"/>
        <w:spacing w:after="0" w:line="235" w:lineRule="auto"/>
        <w:rPr>
          <w:sz w:val="20"/>
          <w:szCs w:val="20"/>
          <w:color w:val="auto"/>
        </w:rPr>
      </w:pPr>
      <w:r>
        <w:rPr>
          <w:rFonts w:ascii="Arial" w:cs="Arial" w:eastAsia="Arial" w:hAnsi="Arial"/>
          <w:sz w:val="18"/>
          <w:szCs w:val="18"/>
          <w:color w:val="auto"/>
        </w:rPr>
        <w:t>(on behalf of the Registrant</w:t>
      </w:r>
    </w:p>
    <w:p>
      <w:pPr>
        <w:ind w:left="7320"/>
        <w:spacing w:after="0" w:line="235" w:lineRule="auto"/>
        <w:rPr>
          <w:sz w:val="20"/>
          <w:szCs w:val="20"/>
          <w:color w:val="auto"/>
        </w:rPr>
      </w:pPr>
      <w:r>
        <w:rPr>
          <w:rFonts w:ascii="Arial" w:cs="Arial" w:eastAsia="Arial" w:hAnsi="Arial"/>
          <w:sz w:val="18"/>
          <w:szCs w:val="18"/>
          <w:color w:val="auto"/>
        </w:rPr>
        <w:t>and as the Registrant’s</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Accounting Officer)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2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No.</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2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0"/>
              </w:rPr>
              <w:t>10.1*</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2016</w:t>
            </w:r>
          </w:p>
        </w:tc>
        <w:tc>
          <w:tcPr>
            <w:tcW w:w="9740" w:type="dxa"/>
            <w:vAlign w:val="bottom"/>
            <w:gridSpan w:val="3"/>
          </w:tcPr>
          <w:p>
            <w:pPr>
              <w:ind w:left="40"/>
              <w:spacing w:after="0"/>
              <w:rPr>
                <w:sz w:val="20"/>
                <w:szCs w:val="20"/>
                <w:color w:val="auto"/>
              </w:rPr>
            </w:pPr>
            <w:r>
              <w:rPr>
                <w:rFonts w:ascii="Arial" w:cs="Arial" w:eastAsia="Arial" w:hAnsi="Arial"/>
                <w:sz w:val="18"/>
                <w:szCs w:val="18"/>
                <w:color w:val="auto"/>
              </w:rPr>
              <w:t>Stock Incentive Plan of Honeywell International Inc. and its Affiliates—Form of Restricted Unit Agreement (filed herewith)</w:t>
            </w:r>
          </w:p>
        </w:tc>
      </w:tr>
      <w:tr>
        <w:trPr>
          <w:trHeight w:val="390"/>
        </w:trPr>
        <w:tc>
          <w:tcPr>
            <w:tcW w:w="920" w:type="dxa"/>
            <w:vAlign w:val="bottom"/>
            <w:gridSpan w:val="2"/>
          </w:tcPr>
          <w:p>
            <w:pPr>
              <w:jc w:val="right"/>
              <w:ind w:right="410"/>
              <w:spacing w:after="0"/>
              <w:rPr>
                <w:sz w:val="20"/>
                <w:szCs w:val="20"/>
                <w:color w:val="auto"/>
              </w:rPr>
            </w:pPr>
            <w:r>
              <w:rPr>
                <w:rFonts w:ascii="Arial" w:cs="Arial" w:eastAsia="Arial" w:hAnsi="Arial"/>
                <w:sz w:val="18"/>
                <w:szCs w:val="18"/>
                <w:color w:val="auto"/>
                <w:w w:val="95"/>
              </w:rPr>
              <w:t>10.2*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9740" w:type="dxa"/>
            <w:vAlign w:val="bottom"/>
            <w:gridSpan w:val="3"/>
          </w:tcPr>
          <w:p>
            <w:pPr>
              <w:ind w:left="40"/>
              <w:spacing w:after="0"/>
              <w:rPr>
                <w:sz w:val="20"/>
                <w:szCs w:val="20"/>
                <w:color w:val="auto"/>
              </w:rPr>
            </w:pPr>
            <w:r>
              <w:rPr>
                <w:rFonts w:ascii="Arial" w:cs="Arial" w:eastAsia="Arial" w:hAnsi="Arial"/>
                <w:sz w:val="18"/>
                <w:szCs w:val="18"/>
                <w:color w:val="auto"/>
              </w:rPr>
              <w:t>Stock Incentive Plan of Honeywell International Inc. and its Affiliates—Form of Restricted Unit Agreement, Form 2 (filed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4"/>
          </w:tcPr>
          <w:p>
            <w:pPr>
              <w:ind w:left="180"/>
              <w:spacing w:after="0"/>
              <w:rPr>
                <w:sz w:val="20"/>
                <w:szCs w:val="20"/>
                <w:color w:val="auto"/>
              </w:rPr>
            </w:pPr>
            <w:r>
              <w:rPr>
                <w:rFonts w:ascii="Arial" w:cs="Arial" w:eastAsia="Arial" w:hAnsi="Arial"/>
                <w:sz w:val="18"/>
                <w:szCs w:val="18"/>
                <w:color w:val="auto"/>
              </w:rPr>
              <w:t>herewith)</w:t>
            </w:r>
          </w:p>
        </w:tc>
      </w:tr>
      <w:tr>
        <w:trPr>
          <w:trHeight w:val="391"/>
        </w:trPr>
        <w:tc>
          <w:tcPr>
            <w:tcW w:w="920" w:type="dxa"/>
            <w:vAlign w:val="bottom"/>
            <w:gridSpan w:val="2"/>
          </w:tcPr>
          <w:p>
            <w:pPr>
              <w:jc w:val="right"/>
              <w:ind w:right="410"/>
              <w:spacing w:after="0"/>
              <w:rPr>
                <w:sz w:val="20"/>
                <w:szCs w:val="20"/>
                <w:color w:val="auto"/>
              </w:rPr>
            </w:pPr>
            <w:r>
              <w:rPr>
                <w:rFonts w:ascii="Arial" w:cs="Arial" w:eastAsia="Arial" w:hAnsi="Arial"/>
                <w:sz w:val="18"/>
                <w:szCs w:val="18"/>
                <w:color w:val="auto"/>
                <w:w w:val="95"/>
              </w:rPr>
              <w:t>10.3*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9740" w:type="dxa"/>
            <w:vAlign w:val="bottom"/>
            <w:gridSpan w:val="3"/>
          </w:tcPr>
          <w:p>
            <w:pPr>
              <w:ind w:left="40"/>
              <w:spacing w:after="0"/>
              <w:rPr>
                <w:sz w:val="20"/>
                <w:szCs w:val="20"/>
                <w:color w:val="auto"/>
              </w:rPr>
            </w:pPr>
            <w:r>
              <w:rPr>
                <w:rFonts w:ascii="Arial" w:cs="Arial" w:eastAsia="Arial" w:hAnsi="Arial"/>
                <w:sz w:val="18"/>
                <w:szCs w:val="18"/>
                <w:color w:val="auto"/>
              </w:rPr>
              <w:t>Stock Incentive Plan of Honeywell International Inc. and its Affiliates—Form of Stock Option Award Agreement (filed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4"/>
          </w:tcPr>
          <w:p>
            <w:pPr>
              <w:ind w:left="180"/>
              <w:spacing w:after="0"/>
              <w:rPr>
                <w:sz w:val="20"/>
                <w:szCs w:val="20"/>
                <w:color w:val="auto"/>
              </w:rPr>
            </w:pPr>
            <w:r>
              <w:rPr>
                <w:rFonts w:ascii="Arial" w:cs="Arial" w:eastAsia="Arial" w:hAnsi="Arial"/>
                <w:sz w:val="18"/>
                <w:szCs w:val="18"/>
                <w:color w:val="auto"/>
              </w:rPr>
              <w:t>herewith)</w:t>
            </w:r>
          </w:p>
        </w:tc>
      </w:tr>
      <w:tr>
        <w:trPr>
          <w:trHeight w:val="405"/>
        </w:trPr>
        <w:tc>
          <w:tcPr>
            <w:tcW w:w="920" w:type="dxa"/>
            <w:vAlign w:val="bottom"/>
            <w:gridSpan w:val="2"/>
          </w:tcPr>
          <w:p>
            <w:pPr>
              <w:jc w:val="right"/>
              <w:ind w:right="410"/>
              <w:spacing w:after="0"/>
              <w:rPr>
                <w:sz w:val="20"/>
                <w:szCs w:val="20"/>
                <w:color w:val="auto"/>
              </w:rPr>
            </w:pPr>
            <w:r>
              <w:rPr>
                <w:rFonts w:ascii="Arial" w:cs="Arial" w:eastAsia="Arial" w:hAnsi="Arial"/>
                <w:sz w:val="18"/>
                <w:szCs w:val="18"/>
                <w:color w:val="auto"/>
                <w:w w:val="95"/>
              </w:rPr>
              <w:t>10.4*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9740" w:type="dxa"/>
            <w:vAlign w:val="bottom"/>
            <w:gridSpan w:val="3"/>
          </w:tcPr>
          <w:p>
            <w:pPr>
              <w:ind w:left="40"/>
              <w:spacing w:after="0"/>
              <w:rPr>
                <w:sz w:val="20"/>
                <w:szCs w:val="20"/>
                <w:color w:val="auto"/>
              </w:rPr>
            </w:pPr>
            <w:r>
              <w:rPr>
                <w:rFonts w:ascii="Arial" w:cs="Arial" w:eastAsia="Arial" w:hAnsi="Arial"/>
                <w:sz w:val="18"/>
                <w:szCs w:val="18"/>
                <w:color w:val="auto"/>
              </w:rPr>
              <w:t>Stock Incentive Plan of Honeywell International Inc. and its Affiliates—Form of Growth Plan Agreement (filed herewith)</w:t>
            </w:r>
          </w:p>
        </w:tc>
      </w:tr>
      <w:tr>
        <w:trPr>
          <w:trHeight w:val="391"/>
        </w:trPr>
        <w:tc>
          <w:tcPr>
            <w:tcW w:w="920" w:type="dxa"/>
            <w:vAlign w:val="bottom"/>
            <w:gridSpan w:val="2"/>
          </w:tcPr>
          <w:p>
            <w:pPr>
              <w:jc w:val="right"/>
              <w:ind w:right="410"/>
              <w:spacing w:after="0"/>
              <w:rPr>
                <w:sz w:val="20"/>
                <w:szCs w:val="20"/>
                <w:color w:val="auto"/>
              </w:rPr>
            </w:pPr>
            <w:r>
              <w:rPr>
                <w:rFonts w:ascii="Arial" w:cs="Arial" w:eastAsia="Arial" w:hAnsi="Arial"/>
                <w:sz w:val="18"/>
                <w:szCs w:val="18"/>
                <w:color w:val="auto"/>
                <w:w w:val="95"/>
              </w:rPr>
              <w:t>10.5*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9740" w:type="dxa"/>
            <w:vAlign w:val="bottom"/>
            <w:gridSpan w:val="3"/>
          </w:tcPr>
          <w:p>
            <w:pPr>
              <w:ind w:left="40"/>
              <w:spacing w:after="0"/>
              <w:rPr>
                <w:sz w:val="20"/>
                <w:szCs w:val="20"/>
                <w:color w:val="auto"/>
              </w:rPr>
            </w:pPr>
            <w:r>
              <w:rPr>
                <w:rFonts w:ascii="Arial" w:cs="Arial" w:eastAsia="Arial" w:hAnsi="Arial"/>
                <w:sz w:val="18"/>
                <w:szCs w:val="18"/>
                <w:color w:val="auto"/>
              </w:rPr>
              <w:t>Stock Plan for Non-Employee Directors of Honeywell International Inc.—Form of Stock Option Award Agreement (filed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4"/>
          </w:tcPr>
          <w:p>
            <w:pPr>
              <w:ind w:left="180"/>
              <w:spacing w:after="0"/>
              <w:rPr>
                <w:sz w:val="20"/>
                <w:szCs w:val="20"/>
                <w:color w:val="auto"/>
              </w:rPr>
            </w:pPr>
            <w:r>
              <w:rPr>
                <w:rFonts w:ascii="Arial" w:cs="Arial" w:eastAsia="Arial" w:hAnsi="Arial"/>
                <w:sz w:val="18"/>
                <w:szCs w:val="18"/>
                <w:color w:val="auto"/>
              </w:rPr>
              <w:t>herewith)</w:t>
            </w:r>
          </w:p>
        </w:tc>
      </w:tr>
      <w:tr>
        <w:trPr>
          <w:trHeight w:val="391"/>
        </w:trPr>
        <w:tc>
          <w:tcPr>
            <w:tcW w:w="920" w:type="dxa"/>
            <w:vAlign w:val="bottom"/>
            <w:gridSpan w:val="2"/>
          </w:tcPr>
          <w:p>
            <w:pPr>
              <w:jc w:val="right"/>
              <w:ind w:right="410"/>
              <w:spacing w:after="0"/>
              <w:rPr>
                <w:sz w:val="20"/>
                <w:szCs w:val="20"/>
                <w:color w:val="auto"/>
              </w:rPr>
            </w:pPr>
            <w:r>
              <w:rPr>
                <w:rFonts w:ascii="Arial" w:cs="Arial" w:eastAsia="Arial" w:hAnsi="Arial"/>
                <w:sz w:val="18"/>
                <w:szCs w:val="18"/>
                <w:color w:val="auto"/>
                <w:w w:val="95"/>
              </w:rPr>
              <w:t>10.6*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9740" w:type="dxa"/>
            <w:vAlign w:val="bottom"/>
            <w:gridSpan w:val="3"/>
          </w:tcPr>
          <w:p>
            <w:pPr>
              <w:ind w:left="40"/>
              <w:spacing w:after="0"/>
              <w:rPr>
                <w:sz w:val="20"/>
                <w:szCs w:val="20"/>
                <w:color w:val="auto"/>
              </w:rPr>
            </w:pPr>
            <w:r>
              <w:rPr>
                <w:rFonts w:ascii="Arial" w:cs="Arial" w:eastAsia="Arial" w:hAnsi="Arial"/>
                <w:sz w:val="18"/>
                <w:szCs w:val="18"/>
                <w:color w:val="auto"/>
              </w:rPr>
              <w:t>Stock Plan for Non-Employee Directors of Honeywell International Inc.—Form of Restricted Unit Agreement (filed</w:t>
            </w: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gridSpan w:val="4"/>
          </w:tcPr>
          <w:p>
            <w:pPr>
              <w:ind w:left="180"/>
              <w:spacing w:after="0"/>
              <w:rPr>
                <w:sz w:val="20"/>
                <w:szCs w:val="20"/>
                <w:color w:val="auto"/>
              </w:rPr>
            </w:pPr>
            <w:r>
              <w:rPr>
                <w:rFonts w:ascii="Arial" w:cs="Arial" w:eastAsia="Arial" w:hAnsi="Arial"/>
                <w:sz w:val="18"/>
                <w:szCs w:val="18"/>
                <w:color w:val="auto"/>
              </w:rPr>
              <w:t>herewith)</w:t>
            </w:r>
          </w:p>
        </w:tc>
      </w:tr>
    </w:tbl>
    <w:p>
      <w:pPr>
        <w:spacing w:after="0" w:line="158"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Computation of Per Share Earnings</w:t>
      </w:r>
      <w:r>
        <w:rPr>
          <w:rFonts w:ascii="Arial" w:cs="Arial" w:eastAsia="Arial" w:hAnsi="Arial"/>
          <w:sz w:val="30"/>
          <w:szCs w:val="30"/>
          <w:color w:val="auto"/>
          <w:vertAlign w:val="superscript"/>
        </w:rPr>
        <w:t>(1)</w:t>
      </w:r>
    </w:p>
    <w:p>
      <w:pPr>
        <w:spacing w:after="0" w:line="62" w:lineRule="exact"/>
        <w:rPr>
          <w:rFonts w:ascii="Arial" w:cs="Arial" w:eastAsia="Arial" w:hAnsi="Arial"/>
          <w:sz w:val="36"/>
          <w:szCs w:val="36"/>
          <w:color w:val="auto"/>
          <w:vertAlign w:val="superscript"/>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26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tcPr>
          <w:p>
            <w:pPr>
              <w:ind w:left="260"/>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required is provided in Note 5 Earnings Per Share of Notes to Financial Statements.</w:t>
      </w:r>
    </w:p>
    <w:p>
      <w:pPr>
        <w:spacing w:after="0" w:line="198" w:lineRule="exact"/>
        <w:rPr>
          <w:sz w:val="20"/>
          <w:szCs w:val="20"/>
          <w:color w:val="auto"/>
        </w:rPr>
      </w:pPr>
    </w:p>
    <w:p>
      <w:pPr>
        <w:ind w:left="5620" w:right="2020" w:hanging="5605"/>
        <w:spacing w:after="0" w:line="465" w:lineRule="auto"/>
        <w:rPr>
          <w:sz w:val="20"/>
          <w:szCs w:val="20"/>
          <w:color w:val="auto"/>
        </w:rPr>
      </w:pPr>
      <w:r>
        <w:rPr>
          <w:rFonts w:ascii="Arial" w:cs="Arial" w:eastAsia="Arial" w:hAnsi="Arial"/>
          <w:sz w:val="18"/>
          <w:szCs w:val="18"/>
          <w:color w:val="auto"/>
        </w:rPr>
        <w:t>*The Exhibits identified above with an asterisk (*) are management contracts or compensatory plans or arrangements.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 AGREEMENT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RESTRICTED UNIT AGREEMENT made in Morris Plains, New Jersey, as of [DATE] (the “Grant Date”), between Honeywell International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[EMPLOYEE NAME] (“Participant”).</w:t>
      </w:r>
    </w:p>
    <w:p>
      <w:pPr>
        <w:spacing w:after="0" w:line="207" w:lineRule="exact"/>
        <w:rPr>
          <w:sz w:val="20"/>
          <w:szCs w:val="20"/>
          <w:color w:val="auto"/>
        </w:rPr>
      </w:pPr>
    </w:p>
    <w:p>
      <w:pPr>
        <w:jc w:val="both"/>
        <w:ind w:left="460" w:hanging="452"/>
        <w:spacing w:after="0" w:line="289" w:lineRule="auto"/>
        <w:tabs>
          <w:tab w:leader="none" w:pos="4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The Company has granted you [NUMBER] Restricted Units, subject to the provisions of this Agreement and the 2016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of Honeywell International Inc. and its Affiliates (the “Plan”). The Company will hold the Restricted Units [and Additional Restricted Units (as defined in Section 2)] in a bookkeeping account on your behalf until they become payable or are forfeited or cancelled.</w:t>
      </w:r>
    </w:p>
    <w:p>
      <w:pPr>
        <w:spacing w:after="0" w:line="189" w:lineRule="exact"/>
        <w:rPr>
          <w:rFonts w:ascii="Arial" w:cs="Arial" w:eastAsia="Arial" w:hAnsi="Arial"/>
          <w:sz w:val="17"/>
          <w:szCs w:val="17"/>
          <w:b w:val="1"/>
          <w:bCs w:val="1"/>
          <w:color w:val="auto"/>
        </w:rPr>
      </w:pPr>
    </w:p>
    <w:p>
      <w:pPr>
        <w:jc w:val="both"/>
        <w:ind w:left="4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 xml:space="preserve">The Restricted Stock Plan Details for this grant can be found on the Morgan Stanley StockPlan Connect website at </w:t>
      </w:r>
      <w:r>
        <w:rPr>
          <w:rFonts w:ascii="Arial" w:cs="Arial" w:eastAsia="Arial" w:hAnsi="Arial"/>
          <w:sz w:val="18"/>
          <w:szCs w:val="18"/>
          <w:u w:val="single" w:color="auto"/>
          <w:color w:val="auto"/>
        </w:rPr>
        <w:t>www.stockplanconnect.com</w:t>
      </w:r>
      <w:r>
        <w:rPr>
          <w:rFonts w:ascii="Arial" w:cs="Arial" w:eastAsia="Arial" w:hAnsi="Arial"/>
          <w:sz w:val="18"/>
          <w:szCs w:val="18"/>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77" w:lineRule="exact"/>
        <w:rPr>
          <w:rFonts w:ascii="Arial" w:cs="Arial" w:eastAsia="Arial" w:hAnsi="Arial"/>
          <w:sz w:val="17"/>
          <w:szCs w:val="17"/>
          <w:b w:val="1"/>
          <w:bCs w:val="1"/>
          <w:color w:val="auto"/>
        </w:rPr>
      </w:pPr>
    </w:p>
    <w:p>
      <w:pPr>
        <w:jc w:val="both"/>
        <w:ind w:left="460" w:hanging="452"/>
        <w:spacing w:after="0" w:line="286" w:lineRule="auto"/>
        <w:tabs>
          <w:tab w:leader="none" w:pos="4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 xml:space="preserve">[FOLLOWING INCLUDED AT COMPANY’S DISCRETION: </w:t>
      </w:r>
      <w:r>
        <w:rPr>
          <w:rFonts w:ascii="Arial" w:cs="Arial" w:eastAsia="Arial" w:hAnsi="Arial"/>
          <w:sz w:val="16"/>
          <w:szCs w:val="16"/>
          <w:b w:val="1"/>
          <w:bCs w:val="1"/>
          <w:color w:val="auto"/>
        </w:rPr>
        <w:t>Dividend Equivalents.</w:t>
      </w:r>
      <w:r>
        <w:rPr>
          <w:rFonts w:ascii="Arial" w:cs="Arial" w:eastAsia="Arial" w:hAnsi="Arial"/>
          <w:sz w:val="16"/>
          <w:szCs w:val="16"/>
          <w:color w:val="auto"/>
        </w:rPr>
        <w:t xml:space="preserve"> Except as 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Unit or Additional Restricted Unit (as defined below) credited to your bookkeeping account on a dividend record date. In the case of cash dividends, the Company shall credit to your bookkeeping account, on each dividend payment date, an additional number of Restricted Units (“Additional Restricted Units”) equal to</w:t>
      </w:r>
    </w:p>
    <w:p>
      <w:pPr>
        <w:spacing w:after="0" w:line="2" w:lineRule="exact"/>
        <w:rPr>
          <w:rFonts w:ascii="Arial" w:cs="Arial" w:eastAsia="Arial" w:hAnsi="Arial"/>
          <w:sz w:val="16"/>
          <w:szCs w:val="16"/>
          <w:b w:val="1"/>
          <w:bCs w:val="1"/>
          <w:color w:val="auto"/>
        </w:rPr>
      </w:pPr>
    </w:p>
    <w:p>
      <w:pPr>
        <w:jc w:val="both"/>
        <w:ind w:left="46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(a) divided by (b), where (a) equals the total number of unvested Restricted Units and Additional Restricted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Units equal to the total number of unvested Restricted Units and Additional Restricted Units subject to this Agreement on such date multiplied by the Share dividend paid per Share of Common Stock on such date. Additional Restricted Units are subject to the same restrictions, including but not limited to vesting, transferability and payment restrictions, that apply to the Restricted Units to which they relate.]</w:t>
      </w:r>
    </w:p>
    <w:p>
      <w:pPr>
        <w:spacing w:after="0" w:line="160" w:lineRule="exact"/>
        <w:rPr>
          <w:rFonts w:ascii="Arial" w:cs="Arial" w:eastAsia="Arial" w:hAnsi="Arial"/>
          <w:sz w:val="16"/>
          <w:szCs w:val="16"/>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Amount. </w:t>
      </w:r>
      <w:r>
        <w:rPr>
          <w:rFonts w:ascii="Arial" w:cs="Arial" w:eastAsia="Arial" w:hAnsi="Arial"/>
          <w:sz w:val="18"/>
          <w:szCs w:val="18"/>
          <w:color w:val="auto"/>
        </w:rPr>
        <w:t>Each Restricted Unit [and Additional Restricted Unit] represents one (1)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both"/>
        <w:ind w:left="460" w:hanging="452"/>
        <w:spacing w:after="0" w:line="266"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Except in the event of your Termination of Employment due to death, the incurrence of a Disability, or as otherwise provided in Section 8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relating to a Change in Control, the Restricted Units [and Additional Restricted Units] will vest as provided on the attached Vesting Schedule Table, which is incorporated into, and made a part of, this Agreement.</w:t>
      </w:r>
    </w:p>
    <w:p>
      <w:pPr>
        <w:spacing w:after="0" w:line="176" w:lineRule="exact"/>
        <w:rPr>
          <w:rFonts w:ascii="Arial" w:cs="Arial" w:eastAsia="Arial" w:hAnsi="Arial"/>
          <w:sz w:val="18"/>
          <w:szCs w:val="18"/>
          <w:b w:val="1"/>
          <w:bCs w:val="1"/>
          <w:color w:val="auto"/>
        </w:rPr>
      </w:pPr>
    </w:p>
    <w:p>
      <w:pPr>
        <w:jc w:val="both"/>
        <w:ind w:left="460" w:hanging="452"/>
        <w:spacing w:after="0" w:line="273" w:lineRule="auto"/>
        <w:tabs>
          <w:tab w:leader="none" w:pos="4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Form and Timing of Payment. </w:t>
      </w:r>
      <w:r>
        <w:rPr>
          <w:rFonts w:ascii="Arial" w:cs="Arial" w:eastAsia="Arial" w:hAnsi="Arial"/>
          <w:sz w:val="17"/>
          <w:szCs w:val="17"/>
          <w:color w:val="auto"/>
        </w:rPr>
        <w:t>Vested Restricted Units will be redeemed solely for Shares. [FOLLOWING INCLUDED AT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Except as otherwise determined by the Company, in its sole discretion, vested Additional Restricted Units will be redeemed solely for Shares.] [Subject to a deferral election made pursuant to Section 12, and] except as otherwise provided in Section 7(b) below, payment of vested Restricted Units [and Additional Restricted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[You cannot defer payment of the Restricted Units [or the Additional Restricted Units.]]</w:t>
      </w:r>
    </w:p>
    <w:p>
      <w:pPr>
        <w:spacing w:after="0" w:line="172" w:lineRule="exact"/>
        <w:rPr>
          <w:rFonts w:ascii="Arial" w:cs="Arial" w:eastAsia="Arial" w:hAnsi="Arial"/>
          <w:sz w:val="17"/>
          <w:szCs w:val="17"/>
          <w:b w:val="1"/>
          <w:bCs w:val="1"/>
          <w:color w:val="auto"/>
        </w:rPr>
      </w:pPr>
    </w:p>
    <w:p>
      <w:pPr>
        <w:jc w:val="both"/>
        <w:ind w:left="460" w:hanging="452"/>
        <w:spacing w:after="0" w:line="266"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Except as otherwise provided in Sections 7(a) and 8 of this Agreement, any Restricted Units [and Additional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Units] that have not vested as of your Termination of Employment will immediately be forfeited, and your rights with respect to these Restricted Units [and Additional Restricted Units] will end.</w:t>
      </w:r>
    </w:p>
    <w:p>
      <w:pPr>
        <w:spacing w:after="0" w:line="1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Death or Disability.</w:t>
      </w:r>
    </w:p>
    <w:p>
      <w:pPr>
        <w:spacing w:after="0" w:line="225" w:lineRule="exact"/>
        <w:rPr>
          <w:rFonts w:ascii="Arial" w:cs="Arial" w:eastAsia="Arial" w:hAnsi="Arial"/>
          <w:sz w:val="18"/>
          <w:szCs w:val="18"/>
          <w:b w:val="1"/>
          <w:bCs w:val="1"/>
          <w:color w:val="auto"/>
        </w:rPr>
      </w:pPr>
    </w:p>
    <w:p>
      <w:pPr>
        <w:jc w:val="both"/>
        <w:ind w:left="780" w:hanging="326"/>
        <w:spacing w:after="0" w:line="281" w:lineRule="auto"/>
        <w:tabs>
          <w:tab w:leader="none" w:pos="780"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If your Termination of Employment occurs due to death, or you incur a Disability before the vesting date described in Section 4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all of your unvested Restricted Units [and Additional Restricted Units] will vest as of your Termination of Employment or Disability, as applicable. If you are deceased, the Company will make a payment to your estate only after the Company has determined that the payee is the duly appointed executor or administrator of your estate, subject to Section 7.14 of the Plan.</w:t>
      </w:r>
    </w:p>
    <w:p>
      <w:pPr>
        <w:spacing w:after="0" w:line="195" w:lineRule="exact"/>
        <w:rPr>
          <w:rFonts w:ascii="Arial" w:cs="Arial" w:eastAsia="Arial" w:hAnsi="Arial"/>
          <w:sz w:val="17"/>
          <w:szCs w:val="17"/>
          <w:b w:val="1"/>
          <w:bCs w:val="1"/>
          <w:color w:val="auto"/>
        </w:rPr>
      </w:pPr>
    </w:p>
    <w:p>
      <w:pPr>
        <w:ind w:left="78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If your Termination of Employment due to Retirement occurs before the vesting date described in Section 4 of this Agreement, all unvested Restricted Units [and Additional Restricted Units] will be forfeited and your rights with respect to any award under this Agreement will terminate.</w:t>
      </w:r>
    </w:p>
    <w:p>
      <w:pPr>
        <w:spacing w:after="0" w:line="119" w:lineRule="exact"/>
        <w:rPr>
          <w:rFonts w:ascii="Arial" w:cs="Arial" w:eastAsia="Arial" w:hAnsi="Arial"/>
          <w:sz w:val="17"/>
          <w:szCs w:val="17"/>
          <w:b w:val="1"/>
          <w:bCs w:val="1"/>
          <w:color w:val="auto"/>
        </w:rPr>
      </w:pPr>
    </w:p>
    <w:p>
      <w:pPr>
        <w:jc w:val="both"/>
        <w:ind w:left="780" w:hanging="326"/>
        <w:spacing w:after="0" w:line="289" w:lineRule="auto"/>
        <w:tabs>
          <w:tab w:leader="none" w:pos="780"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w:t>
      </w:r>
      <w:r>
        <w:rPr>
          <w:rFonts w:ascii="Arial" w:cs="Arial" w:eastAsia="Arial" w:hAnsi="Arial"/>
          <w:sz w:val="17"/>
          <w:szCs w:val="17"/>
          <w:color w:val="auto"/>
        </w:rPr>
        <w:t>If your Termination of Employment occurs due to death or you incur a Disability before the vesting date described in Section 4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payment for vested Restricted Units [and Additional Restricted Units] will be made as soon as practicable following your death or Disability, as applicable, but in no event later than the last day of the calendar year in which your death or Disability occurs.</w:t>
      </w:r>
    </w:p>
    <w:p>
      <w:pPr>
        <w:spacing w:after="0" w:line="158" w:lineRule="exact"/>
        <w:rPr>
          <w:rFonts w:ascii="Arial" w:cs="Arial" w:eastAsia="Arial" w:hAnsi="Arial"/>
          <w:sz w:val="17"/>
          <w:szCs w:val="17"/>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In the event of a Change in Control, the following provisions apply: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6" w:name="page37"/>
    <w:bookmarkEnd w:id="36"/>
    <w:p>
      <w:pPr>
        <w:jc w:val="both"/>
        <w:ind w:left="780" w:hanging="326"/>
        <w:spacing w:after="0" w:line="270" w:lineRule="auto"/>
        <w:tabs>
          <w:tab w:leader="none" w:pos="780" w:val="left"/>
        </w:tabs>
        <w:numPr>
          <w:ilvl w:val="1"/>
          <w:numId w:val="14"/>
        </w:numPr>
        <w:rPr>
          <w:rFonts w:ascii="Arial" w:cs="Arial" w:eastAsia="Arial" w:hAnsi="Arial"/>
          <w:sz w:val="17"/>
          <w:szCs w:val="17"/>
          <w:b w:val="1"/>
          <w:bCs w:val="1"/>
          <w:color w:val="auto"/>
        </w:rPr>
      </w:pPr>
      <w:r>
        <w:rPr>
          <w:rFonts w:ascii="Arial" w:cs="Arial" w:eastAsia="Arial" w:hAnsi="Arial"/>
          <w:sz w:val="17"/>
          <w:szCs w:val="17"/>
          <w:color w:val="auto"/>
        </w:rPr>
        <w:t>Unless adjusted or exchanged pursuant to Section 5.3(c) or 5.3(d) of the Plan, Restricted Units [and Additional Restricted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Units [and Additional Restricted Units] a single payment in cash equal to the product of the number of outstanding Restricted Units [and Additional Restricted Units] as of the date of the Change in Control (including any Restricted Units [and Additional Restricted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77" w:lineRule="exact"/>
        <w:rPr>
          <w:rFonts w:ascii="Arial" w:cs="Arial" w:eastAsia="Arial" w:hAnsi="Arial"/>
          <w:sz w:val="17"/>
          <w:szCs w:val="17"/>
          <w:b w:val="1"/>
          <w:bCs w:val="1"/>
          <w:color w:val="auto"/>
        </w:rPr>
      </w:pPr>
    </w:p>
    <w:p>
      <w:pPr>
        <w:jc w:val="both"/>
        <w:ind w:left="780" w:hanging="326"/>
        <w:spacing w:after="0" w:line="291" w:lineRule="auto"/>
        <w:tabs>
          <w:tab w:leader="none" w:pos="780"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t>If adjusted or exchanged pursuant to Section 5.3(c) or 5.3(d) of the Plan, Restricted Units [and Additional Restricted Units] that have not vested or terminated as of the date of the Change in Control will continue to vest in accordance with the schedule described in Section 4 of this Agreement (or as adjusted if more favorable); provided, however, that if you incur an involuntary Termination of Employment not for Cause (as defined in Section 2.7 of the Plan) or a voluntarily Termination of Employment for Good Reason (as defined in Section 5.4(d) of the Plan) on or before the second anniversary of the date of the Change in Control, Restricted Units [and Additional Restricted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w:t>
      </w:r>
    </w:p>
    <w:p>
      <w:pPr>
        <w:spacing w:after="0" w:line="163" w:lineRule="exact"/>
        <w:rPr>
          <w:rFonts w:ascii="Arial" w:cs="Arial" w:eastAsia="Arial" w:hAnsi="Arial"/>
          <w:sz w:val="16"/>
          <w:szCs w:val="16"/>
          <w:b w:val="1"/>
          <w:bCs w:val="1"/>
          <w:color w:val="auto"/>
        </w:rPr>
      </w:pPr>
    </w:p>
    <w:p>
      <w:pPr>
        <w:jc w:val="both"/>
        <w:ind w:left="460" w:hanging="452"/>
        <w:spacing w:after="0" w:line="258"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or your local employer shall have the power and the right to deduct or withhold, or require you to remit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to your local employer, prior to any issuance or delivery of Shares on Restricted Units [or Additional Restricted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83" w:lineRule="exact"/>
        <w:rPr>
          <w:rFonts w:ascii="Arial" w:cs="Arial" w:eastAsia="Arial" w:hAnsi="Arial"/>
          <w:sz w:val="18"/>
          <w:szCs w:val="18"/>
          <w:b w:val="1"/>
          <w:bCs w:val="1"/>
          <w:color w:val="auto"/>
        </w:rPr>
      </w:pPr>
    </w:p>
    <w:p>
      <w:pPr>
        <w:jc w:val="both"/>
        <w:ind w:left="460" w:hanging="452"/>
        <w:spacing w:after="0" w:line="266"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Award. </w:t>
      </w:r>
      <w:r>
        <w:rPr>
          <w:rFonts w:ascii="Arial" w:cs="Arial" w:eastAsia="Arial" w:hAnsi="Arial"/>
          <w:sz w:val="18"/>
          <w:szCs w:val="18"/>
          <w:color w:val="auto"/>
        </w:rPr>
        <w:t>You may not transfer the Restricted Units[, Additional Restricted Units] or any interest in such Units except by will or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or except as permitted by the Committee and as specified in the Plan. Any other attempt to dispose of your interest will be null and void.</w:t>
      </w:r>
    </w:p>
    <w:p>
      <w:pPr>
        <w:spacing w:after="0" w:line="1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and Forfeiture of Award.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7" w:name="page38"/>
    <w:bookmarkEnd w:id="37"/>
    <w:p>
      <w:pPr>
        <w:jc w:val="both"/>
        <w:ind w:left="326" w:hanging="326"/>
        <w:spacing w:after="0" w:line="295" w:lineRule="auto"/>
        <w:tabs>
          <w:tab w:leader="none" w:pos="32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Award is expressly contingent upon you complying with the terms, conditions and definitions contained in this Section 11 and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at 115 Tabor Road,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55" w:lineRule="exact"/>
        <w:rPr>
          <w:rFonts w:ascii="Arial" w:cs="Arial" w:eastAsia="Arial" w:hAnsi="Arial"/>
          <w:sz w:val="16"/>
          <w:szCs w:val="16"/>
          <w:b w:val="1"/>
          <w:bCs w:val="1"/>
          <w:color w:val="auto"/>
        </w:rPr>
      </w:pPr>
    </w:p>
    <w:p>
      <w:pPr>
        <w:ind w:left="326" w:hanging="326"/>
        <w:spacing w:after="0"/>
        <w:tabs>
          <w:tab w:leader="none" w:pos="32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left="846" w:hanging="320"/>
        <w:spacing w:after="0" w:line="267" w:lineRule="auto"/>
        <w:tabs>
          <w:tab w:leader="none" w:pos="846"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You expressly agree and acknowledge that the forfeiture provisions of subsection 11.b.2. of this Agreement shall apply if,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66"/>
          </w:cols>
          <w:pgMar w:left="694" w:top="405" w:right="239" w:bottom="1440" w:gutter="0" w:footer="0" w:header="0"/>
        </w:sectPr>
      </w:pPr>
    </w:p>
    <w:bookmarkStart w:id="38" w:name="page39"/>
    <w:bookmarkEnd w:id="38"/>
    <w:p>
      <w:pPr>
        <w:jc w:val="both"/>
        <w:ind w:left="1300"/>
        <w:spacing w:after="0" w:line="286" w:lineRule="auto"/>
        <w:rPr>
          <w:sz w:val="20"/>
          <w:szCs w:val="20"/>
          <w:color w:val="auto"/>
        </w:rPr>
      </w:pPr>
      <w:r>
        <w:rPr>
          <w:rFonts w:ascii="Arial" w:cs="Arial" w:eastAsia="Arial" w:hAnsi="Arial"/>
          <w:sz w:val="17"/>
          <w:szCs w:val="17"/>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66" w:lineRule="exact"/>
        <w:rPr>
          <w:sz w:val="20"/>
          <w:szCs w:val="20"/>
          <w:color w:val="auto"/>
        </w:rPr>
      </w:pPr>
    </w:p>
    <w:p>
      <w:pPr>
        <w:jc w:val="both"/>
        <w:ind w:left="1300" w:hanging="320"/>
        <w:spacing w:after="0" w:line="271" w:lineRule="auto"/>
        <w:tabs>
          <w:tab w:leader="none" w:pos="1300"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11.b.1. of this Agreement, (i) any Restricted Units [and Additional Restricted Units] that have not vested under this Agreement shall immediately be cancelled, and you shall forfeit any rights you have with respect to such Units as of the date of the CEO’s determination, and (ii) you shall immediately deliver to the Company Shares equal in value to the Restricted Units [and Additional Restricted Units] you received during the period beginning twelve (12) months prior to your Termination of Employment and ending on the date of the CEO’s determination.</w:t>
      </w:r>
    </w:p>
    <w:p>
      <w:pPr>
        <w:spacing w:after="0" w:line="178" w:lineRule="exact"/>
        <w:rPr>
          <w:rFonts w:ascii="Arial" w:cs="Arial" w:eastAsia="Arial" w:hAnsi="Arial"/>
          <w:sz w:val="17"/>
          <w:szCs w:val="17"/>
          <w:b w:val="1"/>
          <w:bCs w:val="1"/>
          <w:color w:val="auto"/>
        </w:rPr>
      </w:pPr>
    </w:p>
    <w:p>
      <w:pPr>
        <w:jc w:val="both"/>
        <w:ind w:left="1300" w:hanging="320"/>
        <w:spacing w:after="0" w:line="286" w:lineRule="auto"/>
        <w:tabs>
          <w:tab w:leader="none" w:pos="1300"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61" w:lineRule="exact"/>
        <w:rPr>
          <w:rFonts w:ascii="Arial" w:cs="Arial" w:eastAsia="Arial" w:hAnsi="Arial"/>
          <w:sz w:val="17"/>
          <w:szCs w:val="17"/>
          <w:b w:val="1"/>
          <w:bCs w:val="1"/>
          <w:color w:val="auto"/>
        </w:rPr>
      </w:pPr>
    </w:p>
    <w:p>
      <w:pPr>
        <w:jc w:val="both"/>
        <w:ind w:left="460" w:hanging="452"/>
        <w:spacing w:after="0" w:line="256" w:lineRule="auto"/>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Payment of Shares. </w:t>
      </w:r>
      <w:r>
        <w:rPr>
          <w:rFonts w:ascii="Arial" w:cs="Arial" w:eastAsia="Arial" w:hAnsi="Arial"/>
          <w:sz w:val="18"/>
          <w:szCs w:val="18"/>
          <w:color w:val="auto"/>
        </w:rPr>
        <w:t>Payment of Shares for your Restricted Units [and Additional Restricted Units] is subject to the conditions that,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required at the time of exercise, (i) the Shares underlying the Restricted Units [and Additional Restricted Units] will be duly listed, upon official notice of redemption, upon the New York Stock Exchange,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87" w:lineRule="exact"/>
        <w:rPr>
          <w:rFonts w:ascii="Arial" w:cs="Arial" w:eastAsia="Arial" w:hAnsi="Arial"/>
          <w:sz w:val="18"/>
          <w:szCs w:val="18"/>
          <w:b w:val="1"/>
          <w:bCs w:val="1"/>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Restricted Units [and Additional Restricted Units] will be governed by Section 5.3 of the Plan.</w:t>
      </w:r>
    </w:p>
    <w:p>
      <w:pPr>
        <w:spacing w:after="0" w:line="225" w:lineRule="exact"/>
        <w:rPr>
          <w:rFonts w:ascii="Arial" w:cs="Arial" w:eastAsia="Arial" w:hAnsi="Arial"/>
          <w:sz w:val="18"/>
          <w:szCs w:val="18"/>
          <w:b w:val="1"/>
          <w:bCs w:val="1"/>
          <w:color w:val="auto"/>
        </w:rPr>
      </w:pPr>
    </w:p>
    <w:p>
      <w:pPr>
        <w:jc w:val="both"/>
        <w:ind w:left="460" w:hanging="452"/>
        <w:spacing w:after="0" w:line="281" w:lineRule="auto"/>
        <w:tabs>
          <w:tab w:leader="none" w:pos="4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Disposition of Securities. </w:t>
      </w:r>
      <w:r>
        <w:rPr>
          <w:rFonts w:ascii="Arial" w:cs="Arial" w:eastAsia="Arial" w:hAnsi="Arial"/>
          <w:sz w:val="17"/>
          <w:szCs w:val="17"/>
          <w:color w:val="auto"/>
        </w:rPr>
        <w:t>By accepting the Award, you acknowledge that you have read and understand the Company’s policy, and are aware of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 your obligations under applicable securities laws in respect of trading in the Company’s securities. The Company will have the right to recover, or receive reimbursement for, any compensation or profit you realize on the disposition of Shares received for Restricted Units [or Additional Restricted Units] to the extent that the Company has a right of recovery or reimbursement under applicable securities laws.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9" w:name="page40"/>
    <w:bookmarkEnd w:id="39"/>
    <w:p>
      <w:pPr>
        <w:jc w:val="both"/>
        <w:ind w:left="460" w:hanging="452"/>
        <w:spacing w:after="0" w:line="295" w:lineRule="auto"/>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Terms Govern. </w:t>
      </w:r>
      <w:r>
        <w:rPr>
          <w:rFonts w:ascii="Arial" w:cs="Arial" w:eastAsia="Arial" w:hAnsi="Arial"/>
          <w:sz w:val="16"/>
          <w:szCs w:val="16"/>
          <w:color w:val="auto"/>
        </w:rPr>
        <w:t>The vesting and redemption of Restricted Units [or Additional Restricted Units], the disposition of any Shares received for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Units [or Additional Restricted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155" w:lineRule="exact"/>
        <w:rPr>
          <w:rFonts w:ascii="Arial" w:cs="Arial" w:eastAsia="Arial" w:hAnsi="Arial"/>
          <w:sz w:val="16"/>
          <w:szCs w:val="16"/>
          <w:b w:val="1"/>
          <w:bCs w:val="1"/>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p>
    <w:p>
      <w:pPr>
        <w:spacing w:after="0" w:line="170" w:lineRule="exact"/>
        <w:rPr>
          <w:rFonts w:ascii="Arial" w:cs="Arial" w:eastAsia="Arial" w:hAnsi="Arial"/>
          <w:sz w:val="18"/>
          <w:szCs w:val="18"/>
          <w:b w:val="1"/>
          <w:bCs w:val="1"/>
          <w:color w:val="auto"/>
        </w:rPr>
      </w:pPr>
    </w:p>
    <w:p>
      <w:pPr>
        <w:jc w:val="both"/>
        <w:ind w:left="780" w:hanging="326"/>
        <w:spacing w:after="0" w:line="259" w:lineRule="auto"/>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units or other entitlement to shares awarded, canceled, exercised, vested, unvested, or outstanding in your favor, for the purpose of managing and administering the Plan (“Data”).</w:t>
      </w:r>
    </w:p>
    <w:p>
      <w:pPr>
        <w:spacing w:after="0" w:line="186" w:lineRule="exact"/>
        <w:rPr>
          <w:rFonts w:ascii="Arial" w:cs="Arial" w:eastAsia="Arial" w:hAnsi="Arial"/>
          <w:sz w:val="18"/>
          <w:szCs w:val="18"/>
          <w:b w:val="1"/>
          <w:bCs w:val="1"/>
          <w:color w:val="auto"/>
        </w:rPr>
      </w:pPr>
    </w:p>
    <w:p>
      <w:pPr>
        <w:jc w:val="both"/>
        <w:ind w:left="780" w:hanging="326"/>
        <w:spacing w:after="0" w:line="264" w:lineRule="auto"/>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You further understand that part or all of your Data may be also held by the Company or its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81" w:lineRule="exact"/>
        <w:rPr>
          <w:rFonts w:ascii="Arial" w:cs="Arial" w:eastAsia="Arial" w:hAnsi="Arial"/>
          <w:sz w:val="18"/>
          <w:szCs w:val="18"/>
          <w:b w:val="1"/>
          <w:bCs w:val="1"/>
          <w:color w:val="auto"/>
        </w:rPr>
      </w:pPr>
    </w:p>
    <w:p>
      <w:pPr>
        <w:jc w:val="both"/>
        <w:ind w:left="780" w:hanging="326"/>
        <w:spacing w:after="0" w:line="259" w:lineRule="auto"/>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b w:val="1"/>
          <w:bCs w:val="1"/>
          <w:color w:val="auto"/>
        </w:rPr>
      </w:pPr>
    </w:p>
    <w:p>
      <w:pPr>
        <w:jc w:val="both"/>
        <w:ind w:left="780" w:hanging="326"/>
        <w:spacing w:after="0" w:line="257" w:lineRule="auto"/>
        <w:tabs>
          <w:tab w:leader="none" w:pos="78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0" w:name="page41"/>
    <w:bookmarkEnd w:id="40"/>
    <w:p>
      <w:pPr>
        <w:jc w:val="both"/>
        <w:ind w:left="780" w:hanging="326"/>
        <w:spacing w:after="0" w:line="264" w:lineRule="auto"/>
        <w:tabs>
          <w:tab w:leader="none" w:pos="78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Discretionary Nature and Acceptance of Award</w:t>
      </w:r>
      <w:r>
        <w:rPr>
          <w:rFonts w:ascii="Arial" w:cs="Arial" w:eastAsia="Arial" w:hAnsi="Arial"/>
          <w:sz w:val="18"/>
          <w:szCs w:val="18"/>
          <w:color w:val="auto"/>
        </w:rPr>
        <w:t>. By accepting this Award, you agree to be bound by the terms of this Agreement and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65" w:lineRule="exact"/>
        <w:rPr>
          <w:rFonts w:ascii="Arial" w:cs="Arial" w:eastAsia="Arial" w:hAnsi="Arial"/>
          <w:sz w:val="18"/>
          <w:szCs w:val="18"/>
          <w:b w:val="1"/>
          <w:bCs w:val="1"/>
          <w:color w:val="auto"/>
        </w:rPr>
      </w:pPr>
    </w:p>
    <w:p>
      <w:pPr>
        <w:ind w:left="780" w:hanging="326"/>
        <w:spacing w:after="0" w:line="308" w:lineRule="auto"/>
        <w:tabs>
          <w:tab w:leader="none" w:pos="780" w:val="left"/>
        </w:tabs>
        <w:numPr>
          <w:ilvl w:val="1"/>
          <w:numId w:val="21"/>
        </w:numPr>
        <w:rPr>
          <w:rFonts w:ascii="Arial" w:cs="Arial" w:eastAsia="Arial" w:hAnsi="Arial"/>
          <w:sz w:val="17"/>
          <w:szCs w:val="17"/>
          <w:b w:val="1"/>
          <w:bCs w:val="1"/>
          <w:color w:val="auto"/>
        </w:rPr>
      </w:pPr>
      <w:r>
        <w:rPr>
          <w:rFonts w:ascii="Arial" w:cs="Arial" w:eastAsia="Arial" w:hAnsi="Arial"/>
          <w:sz w:val="17"/>
          <w:szCs w:val="17"/>
          <w:color w:val="auto"/>
        </w:rPr>
        <w:t>The Company (and not your local employer) is granting your Restricted Units [and Additional Restricted Units]. Furthermore, this Agreement is not derived from any preexisting labor relationship between you and the Company, but rather from a mercantile relationship.</w:t>
      </w:r>
    </w:p>
    <w:p>
      <w:pPr>
        <w:spacing w:after="0" w:line="146" w:lineRule="exact"/>
        <w:rPr>
          <w:rFonts w:ascii="Arial" w:cs="Arial" w:eastAsia="Arial" w:hAnsi="Arial"/>
          <w:sz w:val="17"/>
          <w:szCs w:val="17"/>
          <w:b w:val="1"/>
          <w:bCs w:val="1"/>
          <w:color w:val="auto"/>
        </w:rPr>
      </w:pPr>
    </w:p>
    <w:p>
      <w:pPr>
        <w:ind w:left="780" w:hanging="326"/>
        <w:spacing w:after="0" w:line="277" w:lineRule="auto"/>
        <w:tabs>
          <w:tab w:leader="none" w:pos="78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The Company may administer the Plan from outside your country of residence and United States law will govern all Restricted Units [and Additional Restricted Units] granted under the Plan.</w:t>
      </w:r>
    </w:p>
    <w:p>
      <w:pPr>
        <w:spacing w:after="0" w:line="170"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w:t>
      </w:r>
    </w:p>
    <w:p>
      <w:pPr>
        <w:spacing w:after="0" w:line="170" w:lineRule="exact"/>
        <w:rPr>
          <w:rFonts w:ascii="Arial" w:cs="Arial" w:eastAsia="Arial" w:hAnsi="Arial"/>
          <w:sz w:val="18"/>
          <w:szCs w:val="18"/>
          <w:b w:val="1"/>
          <w:bCs w:val="1"/>
          <w:color w:val="auto"/>
        </w:rPr>
      </w:pPr>
    </w:p>
    <w:p>
      <w:pPr>
        <w:jc w:val="both"/>
        <w:ind w:left="780" w:hanging="326"/>
        <w:spacing w:after="0" w:line="273" w:lineRule="auto"/>
        <w:tabs>
          <w:tab w:leader="none" w:pos="780" w:val="left"/>
        </w:tabs>
        <w:numPr>
          <w:ilvl w:val="1"/>
          <w:numId w:val="21"/>
        </w:numPr>
        <w:rPr>
          <w:rFonts w:ascii="Arial" w:cs="Arial" w:eastAsia="Arial" w:hAnsi="Arial"/>
          <w:sz w:val="17"/>
          <w:szCs w:val="17"/>
          <w:b w:val="1"/>
          <w:bCs w:val="1"/>
          <w:color w:val="auto"/>
        </w:rPr>
      </w:pPr>
      <w:r>
        <w:rPr>
          <w:rFonts w:ascii="Arial" w:cs="Arial" w:eastAsia="Arial" w:hAnsi="Arial"/>
          <w:sz w:val="17"/>
          <w:szCs w:val="17"/>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78" w:lineRule="exact"/>
        <w:rPr>
          <w:rFonts w:ascii="Arial" w:cs="Arial" w:eastAsia="Arial" w:hAnsi="Arial"/>
          <w:sz w:val="17"/>
          <w:szCs w:val="17"/>
          <w:b w:val="1"/>
          <w:bCs w:val="1"/>
          <w:color w:val="auto"/>
        </w:rPr>
      </w:pPr>
    </w:p>
    <w:p>
      <w:pPr>
        <w:jc w:val="both"/>
        <w:ind w:left="780" w:hanging="326"/>
        <w:spacing w:after="0" w:line="297" w:lineRule="auto"/>
        <w:tabs>
          <w:tab w:leader="none" w:pos="780"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The grant of Restricted Units [and Additional Restricted Units] hereunder, and any future grant of Restricted Units [or Additional Restricted Units] under the Plan, is entirely voluntary, and at the complete discretion of the Company. Neither the grant of the Restricted Units, [the Additional Restricted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58" w:lineRule="exact"/>
        <w:rPr>
          <w:rFonts w:ascii="Arial" w:cs="Arial" w:eastAsia="Arial" w:hAnsi="Arial"/>
          <w:sz w:val="16"/>
          <w:szCs w:val="16"/>
          <w:b w:val="1"/>
          <w:bCs w:val="1"/>
          <w:color w:val="auto"/>
        </w:rPr>
      </w:pPr>
    </w:p>
    <w:p>
      <w:pPr>
        <w:jc w:val="both"/>
        <w:ind w:left="780" w:hanging="326"/>
        <w:spacing w:after="0" w:line="264" w:lineRule="auto"/>
        <w:tabs>
          <w:tab w:leader="none" w:pos="78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1" w:name="page42"/>
    <w:bookmarkEnd w:id="41"/>
    <w:p>
      <w:pPr>
        <w:ind w:left="780" w:hanging="326"/>
        <w:spacing w:after="0" w:line="277" w:lineRule="auto"/>
        <w:tabs>
          <w:tab w:leader="none" w:pos="780"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Participation in the Plan will not be deemed to constitute, and will not be deemed by you to constitute, an employment or labor relationship of any kind with the Company.</w:t>
      </w:r>
    </w:p>
    <w:p>
      <w:pPr>
        <w:spacing w:after="0" w:line="166" w:lineRule="exact"/>
        <w:rPr>
          <w:rFonts w:ascii="Arial" w:cs="Arial" w:eastAsia="Arial" w:hAnsi="Arial"/>
          <w:sz w:val="18"/>
          <w:szCs w:val="18"/>
          <w:b w:val="1"/>
          <w:bCs w:val="1"/>
          <w:color w:val="auto"/>
        </w:rPr>
      </w:pPr>
    </w:p>
    <w:p>
      <w:pPr>
        <w:jc w:val="both"/>
        <w:ind w:left="460" w:hanging="452"/>
        <w:spacing w:after="0" w:line="277" w:lineRule="auto"/>
        <w:tabs>
          <w:tab w:leader="none" w:pos="4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w:t>
      </w:r>
      <w:r>
        <w:rPr>
          <w:rFonts w:ascii="Arial" w:cs="Arial" w:eastAsia="Arial" w:hAnsi="Arial"/>
          <w:sz w:val="17"/>
          <w:szCs w:val="17"/>
          <w:color w:val="auto"/>
        </w:rPr>
        <w:t>Nothing in this Agreement or the Plan gives you any right to continue in the employ of the Company or any of its Affiliates or to interfere</w:t>
      </w:r>
      <w:r>
        <w:rPr>
          <w:rFonts w:ascii="Arial" w:cs="Arial" w:eastAsia="Arial" w:hAnsi="Arial"/>
          <w:sz w:val="17"/>
          <w:szCs w:val="17"/>
          <w:b w:val="1"/>
          <w:bCs w:val="1"/>
          <w:color w:val="auto"/>
        </w:rPr>
        <w:t xml:space="preserve"> </w:t>
      </w:r>
      <w:r>
        <w:rPr>
          <w:rFonts w:ascii="Arial" w:cs="Arial" w:eastAsia="Arial" w:hAnsi="Arial"/>
          <w:sz w:val="17"/>
          <w:szCs w:val="17"/>
          <w:color w:val="auto"/>
        </w:rPr>
        <w:t>in any way with the right of the Company or any Affiliate to terminate your employment at any time. Payment of your Restricted Units [and Additional Restricted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Units [or Additional Restricted Units] until Shares are actually delivered to you.</w:t>
      </w:r>
    </w:p>
    <w:p>
      <w:pPr>
        <w:spacing w:after="0" w:line="168" w:lineRule="exact"/>
        <w:rPr>
          <w:rFonts w:ascii="Arial" w:cs="Arial" w:eastAsia="Arial" w:hAnsi="Arial"/>
          <w:sz w:val="17"/>
          <w:szCs w:val="17"/>
          <w:b w:val="1"/>
          <w:bCs w:val="1"/>
          <w:color w:val="auto"/>
        </w:rPr>
      </w:pPr>
    </w:p>
    <w:p>
      <w:pPr>
        <w:jc w:val="both"/>
        <w:ind w:left="460" w:hanging="452"/>
        <w:spacing w:after="0" w:line="266"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Units. This Agreement supersedes any prior agreements, commitments or negotiations concerning the Restricted Units [and the Additional Restricted Units].</w:t>
      </w:r>
    </w:p>
    <w:p>
      <w:pPr>
        <w:spacing w:after="0" w:line="176" w:lineRule="exact"/>
        <w:rPr>
          <w:rFonts w:ascii="Arial" w:cs="Arial" w:eastAsia="Arial" w:hAnsi="Arial"/>
          <w:sz w:val="18"/>
          <w:szCs w:val="18"/>
          <w:b w:val="1"/>
          <w:bCs w:val="1"/>
          <w:color w:val="auto"/>
        </w:rPr>
      </w:pPr>
    </w:p>
    <w:p>
      <w:pPr>
        <w:jc w:val="both"/>
        <w:ind w:left="460" w:hanging="452"/>
        <w:spacing w:after="0" w:line="289" w:lineRule="auto"/>
        <w:tabs>
          <w:tab w:leader="none" w:pos="4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will not affect the validity or enforceability of the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58" w:lineRule="exact"/>
        <w:rPr>
          <w:rFonts w:ascii="Arial" w:cs="Arial" w:eastAsia="Arial" w:hAnsi="Arial"/>
          <w:sz w:val="17"/>
          <w:szCs w:val="17"/>
          <w:b w:val="1"/>
          <w:bCs w:val="1"/>
          <w:color w:val="auto"/>
        </w:rPr>
      </w:pPr>
    </w:p>
    <w:p>
      <w:pPr>
        <w:jc w:val="both"/>
        <w:ind w:left="460" w:hanging="452"/>
        <w:spacing w:after="0" w:line="266"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ind w:left="460" w:hanging="452"/>
        <w:spacing w:after="0" w:line="313" w:lineRule="auto"/>
        <w:tabs>
          <w:tab w:leader="none" w:pos="4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 Changes. </w:t>
      </w:r>
      <w:r>
        <w:rPr>
          <w:rFonts w:ascii="Arial" w:cs="Arial" w:eastAsia="Arial" w:hAnsi="Arial"/>
          <w:sz w:val="17"/>
          <w:szCs w:val="17"/>
          <w:color w:val="auto"/>
        </w:rPr>
        <w:t>The Company reserves the right to change the terms of this Agreement and the Plan without your consent to the extent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or desirable to comply with the requirements of Code section 409A, the Treasury regulations and other guidance thereunder.</w:t>
      </w:r>
    </w:p>
    <w:p>
      <w:pPr>
        <w:spacing w:after="0" w:line="138" w:lineRule="exact"/>
        <w:rPr>
          <w:rFonts w:ascii="Arial" w:cs="Arial" w:eastAsia="Arial" w:hAnsi="Arial"/>
          <w:sz w:val="17"/>
          <w:szCs w:val="17"/>
          <w:b w:val="1"/>
          <w:bCs w:val="1"/>
          <w:color w:val="auto"/>
        </w:rPr>
      </w:pPr>
    </w:p>
    <w:p>
      <w:pPr>
        <w:jc w:val="both"/>
        <w:ind w:left="460" w:hanging="452"/>
        <w:spacing w:after="0" w:line="281" w:lineRule="auto"/>
        <w:tabs>
          <w:tab w:leader="none" w:pos="4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Acknowledgements and Acceptance. </w:t>
      </w:r>
      <w:r>
        <w:rPr>
          <w:rFonts w:ascii="Arial" w:cs="Arial" w:eastAsia="Arial" w:hAnsi="Arial"/>
          <w:sz w:val="17"/>
          <w:szCs w:val="17"/>
          <w:color w:val="auto"/>
        </w:rPr>
        <w:t>By accepting this Agreement, you agree that: (i) you have carefully read, fully understand and agree to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2" w:name="page43"/>
    <w:bookmarkEnd w:id="42"/>
    <w:p>
      <w:pPr>
        <w:ind w:left="460"/>
        <w:spacing w:after="0" w:line="282" w:lineRule="auto"/>
        <w:rPr>
          <w:sz w:val="20"/>
          <w:szCs w:val="20"/>
          <w:color w:val="auto"/>
        </w:rPr>
      </w:pPr>
      <w:r>
        <w:rPr>
          <w:rFonts w:ascii="Arial" w:cs="Arial" w:eastAsia="Arial" w:hAnsi="Arial"/>
          <w:sz w:val="18"/>
          <w:szCs w:val="18"/>
          <w:color w:val="auto"/>
        </w:rPr>
        <w:t xml:space="preserve">To retain this Award, you must accept it by printing the Agreement and signing and dating below. </w:t>
      </w:r>
      <w:r>
        <w:rPr>
          <w:rFonts w:ascii="Arial" w:cs="Arial" w:eastAsia="Arial" w:hAnsi="Arial"/>
          <w:sz w:val="18"/>
          <w:szCs w:val="18"/>
          <w:b w:val="1"/>
          <w:bCs w:val="1"/>
          <w:color w:val="auto"/>
        </w:rPr>
        <w:t>Return the signed Agreement to Honeywell</w:t>
      </w:r>
      <w:r>
        <w:rPr>
          <w:rFonts w:ascii="Arial" w:cs="Arial" w:eastAsia="Arial" w:hAnsi="Arial"/>
          <w:sz w:val="18"/>
          <w:szCs w:val="18"/>
          <w:color w:val="auto"/>
        </w:rPr>
        <w:t xml:space="preserve"> </w:t>
      </w:r>
      <w:r>
        <w:rPr>
          <w:rFonts w:ascii="Arial" w:cs="Arial" w:eastAsia="Arial" w:hAnsi="Arial"/>
          <w:sz w:val="18"/>
          <w:szCs w:val="18"/>
          <w:b w:val="1"/>
          <w:bCs w:val="1"/>
          <w:color w:val="auto"/>
        </w:rPr>
        <w:t>International Inc., Executive Compensation/4B, 115 Tabor Road, Morris Plains, New Jersey 07950.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Accept:</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0" w:type="dxa"/>
            <w:vAlign w:val="bottom"/>
          </w:tcPr>
          <w:p>
            <w:pPr>
              <w:spacing w:after="0"/>
              <w:rPr>
                <w:sz w:val="21"/>
                <w:szCs w:val="21"/>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4360" w:type="dxa"/>
            <w:vAlign w:val="bottom"/>
            <w:tcBorders>
              <w:top w:val="single" w:sz="8" w:color="auto"/>
            </w:tcBorders>
          </w:tcPr>
          <w:p>
            <w:pPr>
              <w:ind w:left="3500"/>
              <w:spacing w:after="0"/>
              <w:rPr>
                <w:sz w:val="20"/>
                <w:szCs w:val="20"/>
                <w:color w:val="auto"/>
              </w:rPr>
            </w:pPr>
            <w:r>
              <w:rPr>
                <w:rFonts w:ascii="Arial" w:cs="Arial" w:eastAsia="Arial" w:hAnsi="Arial"/>
                <w:sz w:val="18"/>
                <w:szCs w:val="18"/>
                <w:color w:val="auto"/>
              </w:rPr>
              <w:t>EID</w:t>
            </w:r>
          </w:p>
        </w:tc>
        <w:tc>
          <w:tcPr>
            <w:tcW w:w="3580" w:type="dxa"/>
            <w:vAlign w:val="bottom"/>
          </w:tcPr>
          <w:p>
            <w:pPr>
              <w:spacing w:after="0"/>
              <w:rPr>
                <w:sz w:val="21"/>
                <w:szCs w:val="21"/>
                <w:color w:val="auto"/>
              </w:rPr>
            </w:pPr>
          </w:p>
        </w:tc>
      </w:tr>
      <w:tr>
        <w:trPr>
          <w:trHeight w:val="418"/>
        </w:trPr>
        <w:tc>
          <w:tcPr>
            <w:tcW w:w="46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Signature</w:t>
            </w:r>
          </w:p>
        </w:tc>
        <w:tc>
          <w:tcPr>
            <w:tcW w:w="4360" w:type="dxa"/>
            <w:vAlign w:val="bottom"/>
          </w:tcPr>
          <w:p>
            <w:pPr>
              <w:ind w:left="3500"/>
              <w:spacing w:after="0"/>
              <w:rPr>
                <w:sz w:val="20"/>
                <w:szCs w:val="20"/>
                <w:color w:val="auto"/>
              </w:rPr>
            </w:pPr>
            <w:r>
              <w:rPr>
                <w:rFonts w:ascii="Arial" w:cs="Arial" w:eastAsia="Arial" w:hAnsi="Arial"/>
                <w:sz w:val="18"/>
                <w:szCs w:val="18"/>
                <w:color w:val="auto"/>
              </w:rPr>
              <w:t>Date</w:t>
            </w:r>
          </w:p>
        </w:tc>
        <w:tc>
          <w:tcPr>
            <w:tcW w:w="3580" w:type="dxa"/>
            <w:vAlign w:val="bottom"/>
          </w:tcPr>
          <w:p>
            <w:pPr>
              <w:spacing w:after="0"/>
              <w:rPr>
                <w:sz w:val="19"/>
                <w:szCs w:val="19"/>
                <w:color w:val="auto"/>
              </w:rPr>
            </w:pPr>
          </w:p>
        </w:tc>
      </w:tr>
      <w:tr>
        <w:trPr>
          <w:trHeight w:val="391"/>
        </w:trPr>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360" w:type="dxa"/>
            <w:vAlign w:val="bottom"/>
          </w:tcPr>
          <w:p>
            <w:pPr>
              <w:jc w:val="right"/>
              <w:ind w:right="1990"/>
              <w:spacing w:after="0"/>
              <w:rPr>
                <w:sz w:val="20"/>
                <w:szCs w:val="20"/>
                <w:color w:val="auto"/>
              </w:rPr>
            </w:pPr>
            <w:r>
              <w:rPr>
                <w:rFonts w:ascii="Arial" w:cs="Arial" w:eastAsia="Arial" w:hAnsi="Arial"/>
                <w:sz w:val="18"/>
                <w:szCs w:val="18"/>
                <w:color w:val="auto"/>
              </w:rPr>
              <w:t>9</w:t>
            </w:r>
          </w:p>
        </w:tc>
        <w:tc>
          <w:tcPr>
            <w:tcW w:w="3580" w:type="dxa"/>
            <w:vAlign w:val="bottom"/>
          </w:tcPr>
          <w:p>
            <w:pPr>
              <w:spacing w:after="0"/>
              <w:rPr>
                <w:sz w:val="24"/>
                <w:szCs w:val="24"/>
                <w:color w:val="auto"/>
              </w:rPr>
            </w:pPr>
          </w:p>
        </w:tc>
      </w:tr>
      <w:tr>
        <w:trPr>
          <w:trHeight w:val="250"/>
        </w:trPr>
        <w:tc>
          <w:tcPr>
            <w:tcW w:w="460" w:type="dxa"/>
            <w:vAlign w:val="bottom"/>
            <w:tcBorders>
              <w:bottom w:val="single" w:sz="8" w:color="C0C0C0"/>
            </w:tcBorders>
          </w:tcPr>
          <w:p>
            <w:pPr>
              <w:spacing w:after="0"/>
              <w:rPr>
                <w:sz w:val="21"/>
                <w:szCs w:val="21"/>
                <w:color w:val="auto"/>
              </w:rPr>
            </w:pPr>
          </w:p>
        </w:tc>
        <w:tc>
          <w:tcPr>
            <w:tcW w:w="3020" w:type="dxa"/>
            <w:vAlign w:val="bottom"/>
            <w:tcBorders>
              <w:bottom w:val="single" w:sz="8" w:color="C0C0C0"/>
            </w:tcBorders>
          </w:tcPr>
          <w:p>
            <w:pPr>
              <w:spacing w:after="0"/>
              <w:rPr>
                <w:sz w:val="21"/>
                <w:szCs w:val="21"/>
                <w:color w:val="auto"/>
              </w:rPr>
            </w:pPr>
          </w:p>
        </w:tc>
        <w:tc>
          <w:tcPr>
            <w:tcW w:w="436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43" w:name="page44"/>
    <w:bookmarkEnd w:id="43"/>
    <w:p>
      <w:pPr>
        <w:jc w:val="center"/>
        <w:ind w:right="-660"/>
        <w:spacing w:after="0"/>
        <w:rPr>
          <w:sz w:val="20"/>
          <w:szCs w:val="20"/>
          <w:color w:val="auto"/>
        </w:rPr>
      </w:pPr>
      <w:r>
        <w:rPr>
          <w:rFonts w:ascii="Arial" w:cs="Arial" w:eastAsia="Arial" w:hAnsi="Arial"/>
          <w:sz w:val="22"/>
          <w:szCs w:val="22"/>
          <w:b w:val="1"/>
          <w:bCs w:val="1"/>
          <w:color w:val="auto"/>
        </w:rPr>
        <w:t>VESTING SCHEDULE TABLE</w:t>
      </w:r>
    </w:p>
    <w:p>
      <w:pPr>
        <w:spacing w:after="0" w:line="212" w:lineRule="exact"/>
        <w:rPr>
          <w:sz w:val="20"/>
          <w:szCs w:val="20"/>
          <w:color w:val="auto"/>
        </w:rPr>
      </w:pPr>
    </w:p>
    <w:p>
      <w:pPr>
        <w:jc w:val="center"/>
        <w:ind w:right="-660"/>
        <w:spacing w:after="0"/>
        <w:rPr>
          <w:sz w:val="20"/>
          <w:szCs w:val="20"/>
          <w:color w:val="auto"/>
        </w:rPr>
      </w:pPr>
      <w:r>
        <w:rPr>
          <w:rFonts w:ascii="Arial" w:cs="Arial" w:eastAsia="Arial" w:hAnsi="Arial"/>
          <w:sz w:val="19"/>
          <w:szCs w:val="19"/>
          <w:color w:val="auto"/>
        </w:rPr>
        <w:t>[VESTING PROVISIONS CONSISTENT WITH THE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10.2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 AGREEMENT, FORM 2</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RESTRICTED UNIT AGREEMENT made in Morris Plains, New Jersey, as of [DATE] (the “Grant Date”), between Honeywell International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[EMPLOYEE NAME] (“Participant”).</w:t>
      </w:r>
    </w:p>
    <w:p>
      <w:pPr>
        <w:spacing w:after="0" w:line="207" w:lineRule="exact"/>
        <w:rPr>
          <w:sz w:val="20"/>
          <w:szCs w:val="20"/>
          <w:color w:val="auto"/>
        </w:rPr>
      </w:pPr>
    </w:p>
    <w:p>
      <w:pPr>
        <w:jc w:val="both"/>
        <w:ind w:left="340" w:hanging="332"/>
        <w:spacing w:after="0" w:line="289" w:lineRule="auto"/>
        <w:tabs>
          <w:tab w:leader="none" w:pos="34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The Company has granted you [NUMBER] Restricted Units, subject to the provisions of this Agreement and the 2016 Stock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Plan of Honeywell International Inc. and its Affiliates (the “Plan”). The Company will hold the Restricted Units [and Additional Restricted Units (as defined in Section 4)] in a bookkeeping account on your behalf until they become payable or are forfeited or cancelled.</w:t>
      </w:r>
    </w:p>
    <w:p>
      <w:pPr>
        <w:spacing w:after="0" w:line="162" w:lineRule="exact"/>
        <w:rPr>
          <w:rFonts w:ascii="Arial" w:cs="Arial" w:eastAsia="Arial" w:hAnsi="Arial"/>
          <w:sz w:val="17"/>
          <w:szCs w:val="17"/>
          <w:b w:val="1"/>
          <w:bCs w:val="1"/>
          <w:color w:val="auto"/>
        </w:rPr>
      </w:pPr>
    </w:p>
    <w:p>
      <w:pPr>
        <w:jc w:val="both"/>
        <w:ind w:left="340" w:right="2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 xml:space="preserve">The Restricted Stock Plan Details for this grant can be found on the Morgan Stanley StockPlan Connect website at </w:t>
      </w:r>
      <w:r>
        <w:rPr>
          <w:rFonts w:ascii="Arial" w:cs="Arial" w:eastAsia="Arial" w:hAnsi="Arial"/>
          <w:sz w:val="18"/>
          <w:szCs w:val="18"/>
          <w:u w:val="single" w:color="auto"/>
          <w:color w:val="auto"/>
        </w:rPr>
        <w:t>www.stockplanconnect.com</w:t>
      </w:r>
      <w:r>
        <w:rPr>
          <w:rFonts w:ascii="Arial" w:cs="Arial" w:eastAsia="Arial" w:hAnsi="Arial"/>
          <w:sz w:val="18"/>
          <w:szCs w:val="18"/>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77" w:lineRule="exact"/>
        <w:rPr>
          <w:rFonts w:ascii="Arial" w:cs="Arial" w:eastAsia="Arial" w:hAnsi="Arial"/>
          <w:sz w:val="17"/>
          <w:szCs w:val="17"/>
          <w:b w:val="1"/>
          <w:bCs w:val="1"/>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definitions apply:</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“Actual Award” means the product of (i) the Plan Payout Percentage (as determined under Section 3), and (ii) your Target Award.</w:t>
      </w:r>
    </w:p>
    <w:p>
      <w:pPr>
        <w:spacing w:after="0" w:line="225"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spacing w:after="0" w:line="193" w:lineRule="exact"/>
        <w:rPr>
          <w:rFonts w:ascii="Arial" w:cs="Arial" w:eastAsia="Arial" w:hAnsi="Arial"/>
          <w:sz w:val="18"/>
          <w:szCs w:val="18"/>
          <w:b w:val="1"/>
          <w:bCs w:val="1"/>
          <w:color w:val="auto"/>
        </w:rPr>
      </w:pPr>
    </w:p>
    <w:p>
      <w:pPr>
        <w:ind w:left="660" w:hanging="328"/>
        <w:spacing w:after="0"/>
        <w:tabs>
          <w:tab w:leader="none" w:pos="66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“Measurement Period” means [DESCRIBE MEASUREMENT PERIOD].</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“Performance Cycle” means the period beginning on [DATE] and ending on [DATE].</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“Target Award” means the number of Restricted Units awarded to you for the Performance Cycle under Section 1 of this Agreement.</w:t>
      </w:r>
    </w:p>
    <w:p>
      <w:pPr>
        <w:spacing w:after="0" w:line="225"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“Total Shareholder Return” means the ratio of (A) a company’s share price as of the last trading day of a Measurement Period (determined using the average closing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both"/>
        <w:ind w:left="660"/>
        <w:spacing w:after="0" w:line="264" w:lineRule="auto"/>
        <w:rPr>
          <w:sz w:val="20"/>
          <w:szCs w:val="20"/>
          <w:color w:val="auto"/>
        </w:rPr>
      </w:pPr>
      <w:r>
        <w:rPr>
          <w:rFonts w:ascii="Arial" w:cs="Arial" w:eastAsia="Arial" w:hAnsi="Arial"/>
          <w:sz w:val="18"/>
          <w:szCs w:val="18"/>
          <w:color w:val="auto"/>
        </w:rPr>
        <w:t>price over the 30 preceding trading days) plus earned dividends per share during the Measurement Period, over (B) the company’s share price as of the first trading day of a Measurement Period (determined using the average closing share price over the 30 preceding trading days). Dividends are assumed earned and reinvested on the ex-dividend date.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g.  </w:t>
      </w:r>
      <w:r>
        <w:rPr>
          <w:rFonts w:ascii="Arial" w:cs="Arial" w:eastAsia="Arial" w:hAnsi="Arial"/>
          <w:sz w:val="18"/>
          <w:szCs w:val="18"/>
          <w:color w:val="auto"/>
        </w:rPr>
        <w:t>[INSERT ADDITIONAL BUSINESS-RELATED DEFINITIONS AS APPLICABLE].</w:t>
      </w:r>
    </w:p>
    <w:p>
      <w:pPr>
        <w:spacing w:after="0" w:line="225" w:lineRule="exact"/>
        <w:rPr>
          <w:sz w:val="20"/>
          <w:szCs w:val="20"/>
          <w:color w:val="auto"/>
        </w:rPr>
      </w:pPr>
    </w:p>
    <w:p>
      <w:pPr>
        <w:jc w:val="both"/>
        <w:ind w:left="340" w:hanging="332"/>
        <w:spacing w:after="0" w:line="293" w:lineRule="auto"/>
        <w:tabs>
          <w:tab w:leader="none" w:pos="3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Measures. </w:t>
      </w:r>
      <w:r>
        <w:rPr>
          <w:rFonts w:ascii="Arial" w:cs="Arial" w:eastAsia="Arial" w:hAnsi="Arial"/>
          <w:sz w:val="16"/>
          <w:szCs w:val="16"/>
          <w:color w:val="auto"/>
        </w:rPr>
        <w:t>For each Measurement Period, the Company’s Total Shareholder Return will be compared to the Total Shareholder Return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company in the Compensation Peer Group, and the Total Shareholder Return of the Compensation Peer Group and the Company shall be ranked.</w:t>
      </w:r>
    </w:p>
    <w:p>
      <w:pPr>
        <w:spacing w:after="0" w:line="1"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[DESCRIBE OTHER BUSINESS-RELATED PERFORMANCE MEASURES AS APPLICABLE].</w:t>
      </w:r>
    </w:p>
    <w:p>
      <w:pPr>
        <w:spacing w:after="0" w:line="210"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Plan Payout Percentage shall be determined based on the following for the Performance Cycle: [DESCRIBE HOW PLAN PAYOUT PERCENTAGE IS DETERMINED].</w:t>
      </w:r>
    </w:p>
    <w:p>
      <w:pPr>
        <w:spacing w:after="0" w:line="166" w:lineRule="exact"/>
        <w:rPr>
          <w:rFonts w:ascii="Arial" w:cs="Arial" w:eastAsia="Arial" w:hAnsi="Arial"/>
          <w:sz w:val="16"/>
          <w:szCs w:val="16"/>
          <w:b w:val="1"/>
          <w:bCs w:val="1"/>
          <w:color w:val="auto"/>
        </w:rPr>
      </w:pPr>
    </w:p>
    <w:p>
      <w:pPr>
        <w:jc w:val="both"/>
        <w:ind w:left="340" w:hanging="332"/>
        <w:spacing w:after="0" w:line="286" w:lineRule="auto"/>
        <w:tabs>
          <w:tab w:leader="none" w:pos="34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 xml:space="preserve">[FOLLOWING INCLUDED AT COMMITTEE’S DISCRETION: </w:t>
      </w:r>
      <w:r>
        <w:rPr>
          <w:rFonts w:ascii="Arial" w:cs="Arial" w:eastAsia="Arial" w:hAnsi="Arial"/>
          <w:sz w:val="16"/>
          <w:szCs w:val="16"/>
          <w:b w:val="1"/>
          <w:bCs w:val="1"/>
          <w:color w:val="auto"/>
        </w:rPr>
        <w:t>Dividend Equivalents.</w:t>
      </w:r>
      <w:r>
        <w:rPr>
          <w:rFonts w:ascii="Arial" w:cs="Arial" w:eastAsia="Arial" w:hAnsi="Arial"/>
          <w:sz w:val="16"/>
          <w:szCs w:val="16"/>
          <w:color w:val="auto"/>
        </w:rPr>
        <w:t xml:space="preserve"> Except as 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Unit or Additional Restricted Unit (as defined below) credited to your bookkeeping account on a dividend record date. At the vesting date(s) specified in Section 6, such Dividend Equivalents shall be adjusted up or down based on your Actual Award. In the case of cash dividends, the Company shall credit to your bookkeeping account, on each dividend payment date, an additional number of Restricted Units (“Additional Restricted Units”) equal to (a) divided by (b), where (a) equals the total number of unvested Restricted Units and Additional Restricted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Units equal to the total number of unvested Restricted Units and Additional Restricted Units subject to this Agreement on such date multiplied by the Share dividend paid per Share of Common Stock on such date. Additional Restricted Units are subject to the same restrictions, including but not limited to vesting, transferability and payment restrictions, that apply to the Restricted Units to which they relate, with any fractional Shares rounded up to the nearest whole Share. You will continue to earn Additional Restricted Units on unpaid Restricted Units and Additional Restricted Units that are held in your bookkeeping account pursuant to a deferral election until the vested Shares are paid to you.]</w:t>
      </w:r>
    </w:p>
    <w:p>
      <w:pPr>
        <w:spacing w:after="0" w:line="171" w:lineRule="exact"/>
        <w:rPr>
          <w:rFonts w:ascii="Arial" w:cs="Arial" w:eastAsia="Arial" w:hAnsi="Arial"/>
          <w:sz w:val="16"/>
          <w:szCs w:val="16"/>
          <w:b w:val="1"/>
          <w:bCs w:val="1"/>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Amount. </w:t>
      </w:r>
      <w:r>
        <w:rPr>
          <w:rFonts w:ascii="Arial" w:cs="Arial" w:eastAsia="Arial" w:hAnsi="Arial"/>
          <w:sz w:val="18"/>
          <w:szCs w:val="18"/>
          <w:color w:val="auto"/>
        </w:rPr>
        <w:t>Each Restricted Unit [and Additional Restricted Unit] represents one (1) Share of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46" w:name="page47"/>
    <w:bookmarkEnd w:id="46"/>
    <w:p>
      <w:pPr>
        <w:jc w:val="both"/>
        <w:ind w:left="340" w:hanging="332"/>
        <w:spacing w:after="0" w:line="266"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and Payment. </w:t>
      </w:r>
      <w:r>
        <w:rPr>
          <w:rFonts w:ascii="Arial" w:cs="Arial" w:eastAsia="Arial" w:hAnsi="Arial"/>
          <w:sz w:val="18"/>
          <w:szCs w:val="18"/>
          <w:color w:val="auto"/>
        </w:rPr>
        <w:t>Except as otherwise provided in Sections 8, 9, and 10 and a deferral election, the vesting and payment of Restricted Units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Additional Restricted Units] is/are contingent upon you remaining actively employed by the Company on the applicable vesting date(s) specified below: [DESCRIBE VESTING DATE(S)].</w:t>
      </w:r>
    </w:p>
    <w:p>
      <w:pPr>
        <w:spacing w:after="0" w:line="180"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Except as otherwise provided in Sections 8, 9, and 10 and a deferral election, payment will be made as soon as practicable following the vesting date, but in no event later than 2-1/2 months after the end of the calendar year in which vesting occurs.</w:t>
      </w:r>
    </w:p>
    <w:p>
      <w:pPr>
        <w:spacing w:after="0" w:line="170"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Actual Award [and related Additional Restricted Units] will be paid solely in Shares. [In no event will Additional Restricted Units be paid if the related Restricted Units have not vested.]</w:t>
      </w:r>
    </w:p>
    <w:p>
      <w:pPr>
        <w:spacing w:after="0" w:line="166"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Except as otherwise provided in this Agreement, if your Termination of Employment occurs for any reason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date(s) specified above, any unvested Restricted Units [and Additional Restricted Units] will immediately be forfeited, and your rights with respect to these Restricted Units [and Additional Restricted Units] will end.</w:t>
      </w:r>
    </w:p>
    <w:p>
      <w:pPr>
        <w:spacing w:after="0" w:line="176" w:lineRule="exact"/>
        <w:rPr>
          <w:rFonts w:ascii="Arial" w:cs="Arial" w:eastAsia="Arial" w:hAnsi="Arial"/>
          <w:sz w:val="18"/>
          <w:szCs w:val="18"/>
          <w:b w:val="1"/>
          <w:bCs w:val="1"/>
          <w:color w:val="auto"/>
        </w:rPr>
      </w:pPr>
    </w:p>
    <w:p>
      <w:pPr>
        <w:jc w:val="both"/>
        <w:ind w:left="340" w:right="20" w:hanging="332"/>
        <w:spacing w:after="0" w:line="266"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or Disability. </w:t>
      </w:r>
      <w:r>
        <w:rPr>
          <w:rFonts w:ascii="Arial" w:cs="Arial" w:eastAsia="Arial" w:hAnsi="Arial"/>
          <w:sz w:val="18"/>
          <w:szCs w:val="18"/>
          <w:color w:val="auto"/>
        </w:rPr>
        <w:t>If your Termination of Employment occurs because of your death or you incur a Disability before the last day of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Cycle, you or your estate will receive your Target Award as your Actual Award for the Performance Cycle. [No Additional Restricted Units will be paid in this case. OR Additional Restricted Units will be calculated as provided in Section 4.]</w:t>
      </w:r>
    </w:p>
    <w:p>
      <w:pPr>
        <w:spacing w:after="0" w:line="180"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your Termination of Employment occurs because of your death or you incur a Disability after the last day of the Performance Cycle but before the Actual Award is fully paid, you or your estate will receive the remainder of your unpaid Actual Award for the Performance Cycle. [No Additional Restricted Units will be paid in this case. OR Additional Restricted Units will be calculated as provided in Section 4.]</w:t>
      </w:r>
    </w:p>
    <w:p>
      <w:pPr>
        <w:spacing w:after="0" w:line="177"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 xml:space="preserve">[INCLUDE AS APPLICABLE: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For the avoidance of doubt, if your Termination of Employment occurs solely because of your Retirement at any age before the last day of the Performance Cycle, all unvested Restricted Units [and Additional Restricted Units] will be forfeited and your rights with respect to any award under this Agreement will end.</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225"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If your Termination of Employment occurs solely because of your Retirement on or after age [AGE] before the last day of the Performance Cycle, you will receive a pro-rata payment of your Target Award as your Actual Award equal to the product of (a) times (b), minus (c), where (a) equals the total number of Restricted Units set forth in Section 1 above [plus the total number of Additional Restricted Units credited to you as of your Termination of Employment], (b) equals the ratio of your complete years of service as an employee of the Company or its Affiliates between the Award Date and your Termination of Employment, and the number of complete years of service required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under this Agreement to be fully vested in all Restricted Units [and Additional Restricted Units], and (c) equals the number of Restricted Units [and Additional Restricted Units] that vested before your Termination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your Termination of Employment occurs solely because of your Retirement on or after age [AGE] before the last day of the Performance Cycle, you will be vested in an additional number of Restricted Units [and related Additional Restricted Units] equal to [INSERT VESTING PROVISION ON RETIREMENT AT OR AFTER THE SPECIFIED AGE].]</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[INCLUDE AS APPLICABLE: If your Termination of Employment occurs solely because of your Retirement on or after age [AGE] after the last day of the Performance Cycle but before the Actual Award is fully paid, you will receive the remainder of your unpaid Actual Award for the Performance Cycle.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your Termination of Employment occurs solely because of your Retirement on or after age [AGE] after the last day of the Performance Cycle but before the Actual Award is fully paid, any unpaid Actual Award will be forfeited and your rights with respect to any such Actual Award under this Agreement will terminate.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your Termination of Employment occurs solely because of your Retirement on or after age [AGE] after the last day of the Performance Cycle but before the Actual Award is fully paid, any unpaid Actual Award will be paid as follows: [INSERT VESTING PROVISION ON RETIREMENT ON OR AFTER AGE [AGE]].]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Additional Restricted Units will be paid in this case. OR Additional Restricted Units will be calculated as provided in Section 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 AS APPLICABLE: Notwithstanding the preceding sentence, if you are a “specified employee” under Section 409A of the Code as of the date your Termination of Employment occurs due to Retirement, payment for vested Restricted Units [and Additional Restricted Units] will be made on the first business day of the first calendar month that begins after the six-month anniversary of your Termination of Employment, or, if earlier, your death.</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a deferral election, if (i) you are eligible for Retirement on or after age [AGE] on the Award Date or you become eligible for Retirement on or after age [AGE] before the last vesting date described in Section 6 of this Agreement and (ii) your Termination of Employment does not occur before the last vesting date described in Section 6 of this Agreement, payment for vested Restricted Units [and Additional Restricted Units] will be made as soon as practicable following the applicable vesting date described in Section 6 of this Agreement but in no event later than the last day of the calendar year in which each such vesting date occurs.]</w:t>
      </w:r>
    </w:p>
    <w:p>
      <w:pPr>
        <w:spacing w:after="0" w:line="1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152400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0"/>
          </w:cols>
          <w:pgMar w:left="580" w:top="409" w:right="239" w:bottom="1440" w:gutter="0" w:footer="0" w:header="0"/>
        </w:sectPr>
      </w:pPr>
    </w:p>
    <w:bookmarkStart w:id="48" w:name="page49"/>
    <w:bookmarkEnd w:id="48"/>
    <w:p>
      <w:pPr>
        <w:ind w:left="340" w:right="20" w:hanging="332"/>
        <w:spacing w:after="0" w:line="282" w:lineRule="auto"/>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anything in Sections 2 through 9 above to the contrary, in the event of a Change in Control (as defined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provisions apply:</w:t>
      </w:r>
    </w:p>
    <w:p>
      <w:pPr>
        <w:spacing w:after="0" w:line="161" w:lineRule="exact"/>
        <w:rPr>
          <w:rFonts w:ascii="Arial" w:cs="Arial" w:eastAsia="Arial" w:hAnsi="Arial"/>
          <w:sz w:val="18"/>
          <w:szCs w:val="18"/>
          <w:b w:val="1"/>
          <w:bCs w:val="1"/>
          <w:color w:val="auto"/>
        </w:rPr>
      </w:pPr>
    </w:p>
    <w:p>
      <w:pPr>
        <w:jc w:val="both"/>
        <w:ind w:left="660" w:hanging="328"/>
        <w:spacing w:after="0" w:line="269" w:lineRule="auto"/>
        <w:tabs>
          <w:tab w:leader="none" w:pos="660"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Rollover of Awards. </w:t>
      </w:r>
      <w:r>
        <w:rPr>
          <w:rFonts w:ascii="Arial" w:cs="Arial" w:eastAsia="Arial" w:hAnsi="Arial"/>
          <w:sz w:val="17"/>
          <w:szCs w:val="17"/>
          <w:color w:val="auto"/>
        </w:rPr>
        <w:t>If adjusted or exchanged pursuant to Section 5.3(c), 5.3(d), 5.3(e) or 5.3(f) of the Plan, Restricted Units [and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[subject to the terms of a deferral election,] the unpaid portion of your Actual Award will immediately vest in full and be settled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[subject to the terms of a deferral election,] an amount equal to the Target Award, pro-rated to reflect the portion of the Performance Cycle that elapsed prior to such Termination of Employment, will be paid in Shares no later than the earlier of 90 days after the Termination of Employment or two and one-half months after the end of the calendar year in which the Termination of Employment occurs.</w:t>
      </w:r>
    </w:p>
    <w:p>
      <w:pPr>
        <w:spacing w:after="0" w:line="176" w:lineRule="exact"/>
        <w:rPr>
          <w:rFonts w:ascii="Arial" w:cs="Arial" w:eastAsia="Arial" w:hAnsi="Arial"/>
          <w:sz w:val="17"/>
          <w:szCs w:val="17"/>
          <w:b w:val="1"/>
          <w:bCs w:val="1"/>
          <w:color w:val="auto"/>
        </w:rPr>
      </w:pPr>
    </w:p>
    <w:p>
      <w:pPr>
        <w:jc w:val="both"/>
        <w:ind w:left="660" w:hanging="328"/>
        <w:spacing w:after="0" w:line="253" w:lineRule="auto"/>
        <w:tabs>
          <w:tab w:leader="none" w:pos="66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Cashout of Awards. </w:t>
      </w:r>
      <w:r>
        <w:rPr>
          <w:rFonts w:ascii="Arial" w:cs="Arial" w:eastAsia="Arial" w:hAnsi="Arial"/>
          <w:sz w:val="18"/>
          <w:szCs w:val="18"/>
          <w:color w:val="auto"/>
        </w:rPr>
        <w:t>Unless adjusted or exchanged pursuant to Section 5.3(c), 5.3(d)(ii), 5.3(e) or 5.3(f) of the Plan (concerning rollover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awards in certain circumstances), Restricted Units [and Additional Restricted Units] that have not vested or terminated as of the date of the Change in Control will immediately vest. If the Change in Control occurs after the Performance Cycle has ended, [subject to the terms of a deferral election,] you will receive the portion of your unpaid Actual Award. If the Change in Control occurs before the Performance Cycle has ended, [subject to the terms of a deferral election,]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Restricted Units [and Additional Restricted Units] a single payment in cash equal to the product of the number of vested and outstanding Restricted Units [and Additional Restricted Units] as of the date of the Change in Control (including any Restricted Units [and Additional Restricted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9" w:name="page50"/>
    <w:bookmarkEnd w:id="49"/>
    <w:p>
      <w:pPr>
        <w:ind w:left="660"/>
        <w:spacing w:after="0" w:line="277" w:lineRule="auto"/>
        <w:rPr>
          <w:sz w:val="20"/>
          <w:szCs w:val="20"/>
          <w:color w:val="auto"/>
        </w:rPr>
      </w:pPr>
      <w:r>
        <w:rPr>
          <w:rFonts w:ascii="Arial" w:cs="Arial" w:eastAsia="Arial" w:hAnsi="Arial"/>
          <w:sz w:val="18"/>
          <w:szCs w:val="18"/>
          <w:color w:val="auto"/>
        </w:rPr>
        <w:t>placed on the securities or property by any entity that is a party with the Company to the Change in Control, or (y) the valuation placed on the securities or property by the Committee.</w:t>
      </w:r>
    </w:p>
    <w:p>
      <w:pPr>
        <w:spacing w:after="0" w:line="166" w:lineRule="exact"/>
        <w:rPr>
          <w:sz w:val="20"/>
          <w:szCs w:val="20"/>
          <w:color w:val="auto"/>
        </w:rPr>
      </w:pPr>
    </w:p>
    <w:p>
      <w:pPr>
        <w:jc w:val="both"/>
        <w:ind w:left="340" w:hanging="332"/>
        <w:spacing w:after="0" w:line="256" w:lineRule="auto"/>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[FOLLOWING INCLUDED AT COMMITTEE’S DISCRETION: </w:t>
      </w:r>
      <w:r>
        <w:rPr>
          <w:rFonts w:ascii="Arial" w:cs="Arial" w:eastAsia="Arial" w:hAnsi="Arial"/>
          <w:sz w:val="18"/>
          <w:szCs w:val="18"/>
          <w:b w:val="1"/>
          <w:bCs w:val="1"/>
          <w:color w:val="auto"/>
        </w:rPr>
        <w:t>Deferral of Payment.</w:t>
      </w:r>
      <w:r>
        <w:rPr>
          <w:rFonts w:ascii="Arial" w:cs="Arial" w:eastAsia="Arial" w:hAnsi="Arial"/>
          <w:sz w:val="18"/>
          <w:szCs w:val="18"/>
          <w:color w:val="auto"/>
        </w:rPr>
        <w:t xml:space="preserve"> If you would like to defer payment on the Restricted Units and related Additional Restricted Units, you may do so in writing on the deferral form provided with this grant setting forth your desired payment schedule. The deferral shall not be permitted if, within the determination of the Company, such deferral would result in a violation of Section 409A of the Internal Revenue Code of 1986, as amended (the “Code”) and the regulations promulgated thereunder. If the deferral is not permitted, then payment shall be made as provided in this Agreement. All Additional Restricted Units shall be subject to the same deferral restrictions as the Restricted Units to which they relate.]</w:t>
      </w:r>
    </w:p>
    <w:p>
      <w:pPr>
        <w:spacing w:after="0" w:line="187"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or your local employer shall have the power and the right to deduct or withhold, or require you to remit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to your local employer, prior to any issuance or delivery of Shares on Restricted Units [or Additional Restricted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83" w:lineRule="exact"/>
        <w:rPr>
          <w:rFonts w:ascii="Arial" w:cs="Arial" w:eastAsia="Arial" w:hAnsi="Arial"/>
          <w:sz w:val="18"/>
          <w:szCs w:val="18"/>
          <w:b w:val="1"/>
          <w:bCs w:val="1"/>
          <w:color w:val="auto"/>
        </w:rPr>
      </w:pPr>
    </w:p>
    <w:p>
      <w:pPr>
        <w:jc w:val="both"/>
        <w:ind w:left="340" w:hanging="332"/>
        <w:spacing w:after="0" w:line="266" w:lineRule="auto"/>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Award. </w:t>
      </w:r>
      <w:r>
        <w:rPr>
          <w:rFonts w:ascii="Arial" w:cs="Arial" w:eastAsia="Arial" w:hAnsi="Arial"/>
          <w:sz w:val="18"/>
          <w:szCs w:val="18"/>
          <w:color w:val="auto"/>
        </w:rPr>
        <w:t>You may not transfer the Restricted Units [, Additional Restricted Units] or any interest in such Units except by will or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or except as permitted by the Committee and as specified in the Plan. Any other attempt to dispose of your interest will be null and void.</w:t>
      </w:r>
    </w:p>
    <w:p>
      <w:pPr>
        <w:spacing w:after="0" w:line="176" w:lineRule="exact"/>
        <w:rPr>
          <w:rFonts w:ascii="Arial" w:cs="Arial" w:eastAsia="Arial" w:hAnsi="Arial"/>
          <w:sz w:val="18"/>
          <w:szCs w:val="18"/>
          <w:b w:val="1"/>
          <w:bCs w:val="1"/>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and Forfeiture of Award.</w:t>
      </w:r>
    </w:p>
    <w:p>
      <w:pPr>
        <w:spacing w:after="0" w:line="225" w:lineRule="exact"/>
        <w:rPr>
          <w:rFonts w:ascii="Arial" w:cs="Arial" w:eastAsia="Arial" w:hAnsi="Arial"/>
          <w:sz w:val="18"/>
          <w:szCs w:val="18"/>
          <w:b w:val="1"/>
          <w:bCs w:val="1"/>
          <w:color w:val="auto"/>
        </w:rPr>
      </w:pPr>
    </w:p>
    <w:p>
      <w:pPr>
        <w:jc w:val="both"/>
        <w:ind w:left="660" w:hanging="328"/>
        <w:spacing w:after="0" w:line="273" w:lineRule="auto"/>
        <w:tabs>
          <w:tab w:leader="none" w:pos="660" w:val="left"/>
        </w:tabs>
        <w:numPr>
          <w:ilvl w:val="1"/>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Award is expressly contingent upon you complying with the terms, conditions and definitions contained in this Section 14 and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agreement (including but not limited the Stock Option Agreement for the Option granted on February 25, 2011, if applicable) that governs your noncompetition with Honeywell, your nonsolicitation of Honeywell’s employees, customers, suppliers, business partners and vendors, and/or your conduct with respect to Honeywell’s trade secrets and proprietary and confidential information. For purposes of this Section 14, the term “Honeywell” is defined as Honeywell International Inc. (a Delaware corporation having a place of business at 115 Tabor Road,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72" w:lineRule="exact"/>
        <w:rPr>
          <w:rFonts w:ascii="Arial" w:cs="Arial" w:eastAsia="Arial" w:hAnsi="Arial"/>
          <w:sz w:val="17"/>
          <w:szCs w:val="17"/>
          <w:b w:val="1"/>
          <w:bCs w:val="1"/>
          <w:color w:val="auto"/>
        </w:rPr>
      </w:pPr>
    </w:p>
    <w:p>
      <w:pPr>
        <w:ind w:left="660" w:hanging="328"/>
        <w:spacing w:after="0"/>
        <w:tabs>
          <w:tab w:leader="none" w:pos="660"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1300" w:hanging="320"/>
        <w:spacing w:after="0" w:line="277" w:lineRule="auto"/>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You expressly agree and acknowledge that the forfeiture provisions of subsection 14.b.2. of this Agreement shall apply if, from the Grant Date until the date that is twenty-four (24) months after your Termination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0" w:name="page51"/>
    <w:bookmarkEnd w:id="50"/>
    <w:p>
      <w:pPr>
        <w:jc w:val="both"/>
        <w:ind w:left="320"/>
        <w:spacing w:after="0" w:line="285" w:lineRule="auto"/>
        <w:rPr>
          <w:sz w:val="20"/>
          <w:szCs w:val="20"/>
          <w:color w:val="auto"/>
        </w:rPr>
      </w:pPr>
      <w:r>
        <w:rPr>
          <w:rFonts w:ascii="Arial" w:cs="Arial" w:eastAsia="Arial" w:hAnsi="Arial"/>
          <w:sz w:val="16"/>
          <w:szCs w:val="16"/>
          <w:color w:val="auto"/>
        </w:rPr>
        <w:t>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(“CEO”)/Committee]) with Honeywell and the [CEO/Committee]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78"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For purposes of this subsection 14.b.1,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66" w:lineRule="exact"/>
        <w:rPr>
          <w:sz w:val="20"/>
          <w:szCs w:val="20"/>
          <w:color w:val="auto"/>
        </w:rPr>
      </w:pPr>
    </w:p>
    <w:p>
      <w:pPr>
        <w:jc w:val="both"/>
        <w:ind w:left="320" w:hanging="320"/>
        <w:spacing w:after="0" w:line="255" w:lineRule="auto"/>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[CEO/Committee] determines, in his sole judgment, that you have violated the terms of any such agreement or you have engaged in an act that violates subsection 14.b.1. of this Agreement, (i) any Restricted Units [and Additional Restricted Units] that have not vested under this Agreement shall immediately be cancelled, and you shall forfeit any rights you have with respect to such Units as of the date of the</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152400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440"/>
          </w:cols>
          <w:pgMar w:left="1220" w:top="409" w:right="239" w:bottom="1440" w:gutter="0" w:footer="0" w:header="0"/>
        </w:sectPr>
      </w:pPr>
    </w:p>
    <w:bookmarkStart w:id="51" w:name="page52"/>
    <w:bookmarkEnd w:id="51"/>
    <w:p>
      <w:pPr>
        <w:jc w:val="both"/>
        <w:ind w:left="1300"/>
        <w:spacing w:after="0" w:line="264" w:lineRule="auto"/>
        <w:rPr>
          <w:sz w:val="20"/>
          <w:szCs w:val="20"/>
          <w:color w:val="auto"/>
        </w:rPr>
      </w:pPr>
      <w:r>
        <w:rPr>
          <w:rFonts w:ascii="Arial" w:cs="Arial" w:eastAsia="Arial" w:hAnsi="Arial"/>
          <w:sz w:val="18"/>
          <w:szCs w:val="18"/>
          <w:color w:val="auto"/>
        </w:rPr>
        <w:t>[CEO’s/Committee’s] determination, and (ii) you shall immediately deliver to the Company Shares equal in value to the Restricted Units [and Additional Restricted Units] you received during the period beginning twelve (12) months prior to your Termination of Employment and ending on the date of the [CEO’s/Committee’s] determination.</w:t>
      </w:r>
    </w:p>
    <w:p>
      <w:pPr>
        <w:spacing w:after="0" w:line="181" w:lineRule="exact"/>
        <w:rPr>
          <w:sz w:val="20"/>
          <w:szCs w:val="20"/>
          <w:color w:val="auto"/>
        </w:rPr>
      </w:pPr>
    </w:p>
    <w:p>
      <w:pPr>
        <w:jc w:val="both"/>
        <w:ind w:left="1300" w:hanging="320"/>
        <w:spacing w:after="0" w:line="286" w:lineRule="auto"/>
        <w:tabs>
          <w:tab w:leader="none" w:pos="1300" w:val="left"/>
        </w:tabs>
        <w:numPr>
          <w:ilvl w:val="1"/>
          <w:numId w:val="31"/>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61" w:lineRule="exact"/>
        <w:rPr>
          <w:rFonts w:ascii="Arial" w:cs="Arial" w:eastAsia="Arial" w:hAnsi="Arial"/>
          <w:sz w:val="17"/>
          <w:szCs w:val="17"/>
          <w:b w:val="1"/>
          <w:bCs w:val="1"/>
          <w:color w:val="auto"/>
        </w:rPr>
      </w:pPr>
    </w:p>
    <w:p>
      <w:pPr>
        <w:jc w:val="both"/>
        <w:ind w:left="340" w:hanging="332"/>
        <w:spacing w:after="0" w:line="256" w:lineRule="auto"/>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Payment of Shares. </w:t>
      </w:r>
      <w:r>
        <w:rPr>
          <w:rFonts w:ascii="Arial" w:cs="Arial" w:eastAsia="Arial" w:hAnsi="Arial"/>
          <w:sz w:val="18"/>
          <w:szCs w:val="18"/>
          <w:color w:val="auto"/>
        </w:rPr>
        <w:t>Payment of Shares for your Restricted Units [and Additional Restricted Units] is subject to the conditions that,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required at the time of exercise, (i) the Shares underlying the Restricted Units [and Additional Restricted Units] shall be duly listed, upon official notice of redemption, upon the New York Stock Exchange,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87" w:lineRule="exact"/>
        <w:rPr>
          <w:rFonts w:ascii="Arial" w:cs="Arial" w:eastAsia="Arial" w:hAnsi="Arial"/>
          <w:sz w:val="18"/>
          <w:szCs w:val="18"/>
          <w:b w:val="1"/>
          <w:bCs w:val="1"/>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Restricted Units [and Additional Restricted Units] will be governed by Section 5.3 of the Plan.</w:t>
      </w:r>
    </w:p>
    <w:p>
      <w:pPr>
        <w:spacing w:after="0" w:line="225" w:lineRule="exact"/>
        <w:rPr>
          <w:rFonts w:ascii="Arial" w:cs="Arial" w:eastAsia="Arial" w:hAnsi="Arial"/>
          <w:sz w:val="18"/>
          <w:szCs w:val="18"/>
          <w:b w:val="1"/>
          <w:bCs w:val="1"/>
          <w:color w:val="auto"/>
        </w:rPr>
      </w:pPr>
    </w:p>
    <w:p>
      <w:pPr>
        <w:jc w:val="both"/>
        <w:ind w:left="340" w:hanging="332"/>
        <w:spacing w:after="0" w:line="258" w:lineRule="auto"/>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Disposition of Securities. </w:t>
      </w:r>
      <w:r>
        <w:rPr>
          <w:rFonts w:ascii="Arial" w:cs="Arial" w:eastAsia="Arial" w:hAnsi="Arial"/>
          <w:sz w:val="18"/>
          <w:szCs w:val="18"/>
          <w:color w:val="auto"/>
        </w:rPr>
        <w:t>By accepting the Award, you acknowledge that you have read and understand (i) the Company’s policy, and are aware of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Units [or Additional Restricted Units] to the extent that the Company has a right of recovery or reimbursement under applicable securities laws.</w:t>
      </w:r>
    </w:p>
    <w:p>
      <w:pPr>
        <w:spacing w:after="0" w:line="183" w:lineRule="exact"/>
        <w:rPr>
          <w:rFonts w:ascii="Arial" w:cs="Arial" w:eastAsia="Arial" w:hAnsi="Arial"/>
          <w:sz w:val="18"/>
          <w:szCs w:val="18"/>
          <w:b w:val="1"/>
          <w:bCs w:val="1"/>
          <w:color w:val="auto"/>
        </w:rPr>
      </w:pPr>
    </w:p>
    <w:p>
      <w:pPr>
        <w:jc w:val="both"/>
        <w:ind w:left="340" w:hanging="332"/>
        <w:spacing w:after="0" w:line="291" w:lineRule="auto"/>
        <w:tabs>
          <w:tab w:leader="none" w:pos="34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Terms Govern. </w:t>
      </w:r>
      <w:r>
        <w:rPr>
          <w:rFonts w:ascii="Arial" w:cs="Arial" w:eastAsia="Arial" w:hAnsi="Arial"/>
          <w:sz w:val="16"/>
          <w:szCs w:val="16"/>
          <w:color w:val="auto"/>
        </w:rPr>
        <w:t>The vesting and redemption of Restricted Units [or Additional Restricted Units], the disposition of any Shares received for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Units [or Additional Restricted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Without limiting the generality of the foregoing, you agree that all determinations made by the Committee of Total Shareholder Return and the Company’s ranking within the Compensation Peer Group shall be final, binding and conclusive on you in accordance with Article III of the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2" w:name="page53"/>
    <w:bookmarkEnd w:id="52"/>
    <w:p>
      <w:pPr>
        <w:ind w:left="332" w:hanging="332"/>
        <w:spacing w:after="0"/>
        <w:tabs>
          <w:tab w:leader="none" w:pos="33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ind w:left="652" w:hanging="328"/>
        <w:spacing w:after="0" w:line="277" w:lineRule="auto"/>
        <w:tabs>
          <w:tab w:leader="none" w:pos="652"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p>
    <w:p>
      <w:pPr>
        <w:spacing w:after="0" w:line="170" w:lineRule="exact"/>
        <w:rPr>
          <w:rFonts w:ascii="Arial" w:cs="Arial" w:eastAsia="Arial" w:hAnsi="Arial"/>
          <w:sz w:val="18"/>
          <w:szCs w:val="18"/>
          <w:b w:val="1"/>
          <w:bCs w:val="1"/>
          <w:color w:val="auto"/>
        </w:rPr>
      </w:pPr>
    </w:p>
    <w:p>
      <w:pPr>
        <w:jc w:val="both"/>
        <w:ind w:left="652" w:hanging="328"/>
        <w:spacing w:after="0" w:line="259" w:lineRule="auto"/>
        <w:tabs>
          <w:tab w:leader="none" w:pos="652"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units or other entitlement to shares awarded, canceled, exercised, vested, unvested, or outstanding in your favor, for the purpose of managing and administering the Plan (“Data”).</w:t>
      </w:r>
    </w:p>
    <w:p>
      <w:pPr>
        <w:spacing w:after="0" w:line="186" w:lineRule="exact"/>
        <w:rPr>
          <w:rFonts w:ascii="Arial" w:cs="Arial" w:eastAsia="Arial" w:hAnsi="Arial"/>
          <w:sz w:val="18"/>
          <w:szCs w:val="18"/>
          <w:b w:val="1"/>
          <w:bCs w:val="1"/>
          <w:color w:val="auto"/>
        </w:rPr>
      </w:pPr>
    </w:p>
    <w:p>
      <w:pPr>
        <w:jc w:val="both"/>
        <w:ind w:left="652" w:hanging="328"/>
        <w:spacing w:after="0" w:line="264" w:lineRule="auto"/>
        <w:tabs>
          <w:tab w:leader="none" w:pos="652"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You further understand that part or all of your Data may be also held by the Company or its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81" w:lineRule="exact"/>
        <w:rPr>
          <w:rFonts w:ascii="Arial" w:cs="Arial" w:eastAsia="Arial" w:hAnsi="Arial"/>
          <w:sz w:val="18"/>
          <w:szCs w:val="18"/>
          <w:b w:val="1"/>
          <w:bCs w:val="1"/>
          <w:color w:val="auto"/>
        </w:rPr>
      </w:pPr>
    </w:p>
    <w:p>
      <w:pPr>
        <w:jc w:val="both"/>
        <w:ind w:left="652" w:hanging="328"/>
        <w:spacing w:after="0" w:line="259" w:lineRule="auto"/>
        <w:tabs>
          <w:tab w:leader="none" w:pos="652"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b w:val="1"/>
          <w:bCs w:val="1"/>
          <w:color w:val="auto"/>
        </w:rPr>
      </w:pPr>
    </w:p>
    <w:p>
      <w:pPr>
        <w:jc w:val="both"/>
        <w:ind w:left="652" w:hanging="328"/>
        <w:spacing w:after="0" w:line="257" w:lineRule="auto"/>
        <w:tabs>
          <w:tab w:leader="none" w:pos="652"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88" w:lineRule="exact"/>
        <w:rPr>
          <w:rFonts w:ascii="Arial" w:cs="Arial" w:eastAsia="Arial" w:hAnsi="Arial"/>
          <w:sz w:val="18"/>
          <w:szCs w:val="18"/>
          <w:b w:val="1"/>
          <w:bCs w:val="1"/>
          <w:color w:val="auto"/>
        </w:rPr>
      </w:pPr>
    </w:p>
    <w:p>
      <w:pPr>
        <w:jc w:val="both"/>
        <w:ind w:left="652" w:hanging="328"/>
        <w:spacing w:after="0" w:line="264" w:lineRule="auto"/>
        <w:tabs>
          <w:tab w:leader="none" w:pos="652"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rFonts w:ascii="Arial" w:cs="Arial" w:eastAsia="Arial" w:hAnsi="Arial"/>
          <w:sz w:val="18"/>
          <w:szCs w:val="18"/>
          <w:b w:val="1"/>
          <w:bCs w:val="1"/>
          <w:color w:val="auto"/>
        </w:rPr>
      </w:pPr>
    </w:p>
    <w:p>
      <w:pPr>
        <w:ind w:left="332" w:hanging="332"/>
        <w:spacing w:after="0" w:line="282" w:lineRule="auto"/>
        <w:tabs>
          <w:tab w:leader="none" w:pos="33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Discretionary Nature and Acceptance of Award</w:t>
      </w:r>
      <w:r>
        <w:rPr>
          <w:rFonts w:ascii="Arial" w:cs="Arial" w:eastAsia="Arial" w:hAnsi="Arial"/>
          <w:sz w:val="18"/>
          <w:szCs w:val="18"/>
          <w:color w:val="auto"/>
        </w:rPr>
        <w:t>. By accepting this Award, you agree to be bound by the terms of this Agreement and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65" w:lineRule="exact"/>
        <w:rPr>
          <w:rFonts w:ascii="Arial" w:cs="Arial" w:eastAsia="Arial" w:hAnsi="Arial"/>
          <w:sz w:val="18"/>
          <w:szCs w:val="18"/>
          <w:b w:val="1"/>
          <w:bCs w:val="1"/>
          <w:color w:val="auto"/>
        </w:rPr>
      </w:pPr>
    </w:p>
    <w:p>
      <w:pPr>
        <w:ind w:left="652" w:hanging="328"/>
        <w:spacing w:after="0" w:line="277" w:lineRule="auto"/>
        <w:tabs>
          <w:tab w:leader="none" w:pos="652"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The Company (and not your local employer) is granting your Restricted Units [and Additional Restricted Units]. Furthermore, this Agreement is not derived from any</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5"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preexisting labor relationship between you and the Company, but rather from a mercantile relationship.</w:t>
      </w:r>
    </w:p>
    <w:p>
      <w:pPr>
        <w:spacing w:after="0" w:line="225"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Company may administer the Plan from outside your country of residence and United States law will govern all Restricted Units [and Additional Restricted Units] granted under the Plan.</w:t>
      </w:r>
    </w:p>
    <w:p>
      <w:pPr>
        <w:spacing w:after="0" w:line="170"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w:t>
      </w:r>
    </w:p>
    <w:p>
      <w:pPr>
        <w:spacing w:after="0" w:line="170" w:lineRule="exact"/>
        <w:rPr>
          <w:rFonts w:ascii="Arial" w:cs="Arial" w:eastAsia="Arial" w:hAnsi="Arial"/>
          <w:sz w:val="18"/>
          <w:szCs w:val="18"/>
          <w:b w:val="1"/>
          <w:bCs w:val="1"/>
          <w:color w:val="auto"/>
        </w:rPr>
      </w:pPr>
    </w:p>
    <w:p>
      <w:pPr>
        <w:jc w:val="both"/>
        <w:ind w:left="660" w:hanging="328"/>
        <w:spacing w:after="0" w:line="273" w:lineRule="auto"/>
        <w:tabs>
          <w:tab w:leader="none" w:pos="6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78" w:lineRule="exact"/>
        <w:rPr>
          <w:rFonts w:ascii="Arial" w:cs="Arial" w:eastAsia="Arial" w:hAnsi="Arial"/>
          <w:sz w:val="17"/>
          <w:szCs w:val="17"/>
          <w:b w:val="1"/>
          <w:bCs w:val="1"/>
          <w:color w:val="auto"/>
        </w:rPr>
      </w:pPr>
    </w:p>
    <w:p>
      <w:pPr>
        <w:jc w:val="both"/>
        <w:ind w:left="660" w:hanging="328"/>
        <w:spacing w:after="0" w:line="297" w:lineRule="auto"/>
        <w:tabs>
          <w:tab w:leader="none" w:pos="6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grant of Restricted Units [and Additional Restricted Units] hereunder, and any future grant of Restricted Units [or Additional Restricted Units] under the Plan, is entirely voluntary, and at the complete discretion of the Company. Neither the grant of the Restricted Units, [the Additional Restricted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58" w:lineRule="exact"/>
        <w:rPr>
          <w:rFonts w:ascii="Arial" w:cs="Arial" w:eastAsia="Arial" w:hAnsi="Arial"/>
          <w:sz w:val="16"/>
          <w:szCs w:val="16"/>
          <w:b w:val="1"/>
          <w:bCs w:val="1"/>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81"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Participation in the Plan will not be deemed to constitute, and will not be deemed by you to constitute, an employment or labor relationship of any kind with the Company.</w:t>
      </w:r>
    </w:p>
    <w:p>
      <w:pPr>
        <w:spacing w:after="0" w:line="166" w:lineRule="exact"/>
        <w:rPr>
          <w:sz w:val="20"/>
          <w:szCs w:val="20"/>
          <w:color w:val="auto"/>
        </w:rPr>
      </w:pPr>
    </w:p>
    <w:p>
      <w:pPr>
        <w:jc w:val="both"/>
        <w:ind w:left="340" w:hanging="332"/>
        <w:spacing w:after="0" w:line="303" w:lineRule="auto"/>
        <w:tabs>
          <w:tab w:leader="none" w:pos="34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w:t>
      </w:r>
      <w:r>
        <w:rPr>
          <w:rFonts w:ascii="Arial" w:cs="Arial" w:eastAsia="Arial" w:hAnsi="Arial"/>
          <w:sz w:val="16"/>
          <w:szCs w:val="16"/>
          <w:color w:val="auto"/>
        </w:rPr>
        <w:t>Nothing in this Agreement or the Plan gives you any right to continue in the employ of the Company or any of its Affiliates or to interfere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way with the right of the Company or any Affiliate to terminate your employment at any time. Payment of your Restricted Units [and Additional Restricted Units] is not secured by a trust, insurance contract or other funding medium, and you do not have any interest in any fund or specific asset of the Company by reason of this Award or the account established on your behalf. You have no rights as a shareowner of the Company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pursuant to the Restricted Units [and Additional Restricted Units] until Shares are actually delivered to you.</w:t>
      </w:r>
    </w:p>
    <w:p>
      <w:pPr>
        <w:spacing w:after="0" w:line="221" w:lineRule="exact"/>
        <w:rPr>
          <w:sz w:val="20"/>
          <w:szCs w:val="20"/>
          <w:color w:val="auto"/>
        </w:rPr>
      </w:pPr>
    </w:p>
    <w:p>
      <w:pPr>
        <w:jc w:val="both"/>
        <w:ind w:left="340" w:hanging="332"/>
        <w:spacing w:after="0" w:line="266" w:lineRule="auto"/>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Units. This Agreement supersedes any prior agreements, commitments or negotiations concerning the Restricted Units [and Additional Restricted Units].</w:t>
      </w:r>
    </w:p>
    <w:p>
      <w:pPr>
        <w:spacing w:after="0" w:line="176" w:lineRule="exact"/>
        <w:rPr>
          <w:rFonts w:ascii="Arial" w:cs="Arial" w:eastAsia="Arial" w:hAnsi="Arial"/>
          <w:sz w:val="18"/>
          <w:szCs w:val="18"/>
          <w:b w:val="1"/>
          <w:bCs w:val="1"/>
          <w:color w:val="auto"/>
        </w:rPr>
      </w:pPr>
    </w:p>
    <w:p>
      <w:pPr>
        <w:jc w:val="both"/>
        <w:ind w:left="340" w:hanging="332"/>
        <w:spacing w:after="0" w:line="289" w:lineRule="auto"/>
        <w:tabs>
          <w:tab w:leader="none" w:pos="3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shall not affect the validity or enforceability of the other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58" w:lineRule="exact"/>
        <w:rPr>
          <w:rFonts w:ascii="Arial" w:cs="Arial" w:eastAsia="Arial" w:hAnsi="Arial"/>
          <w:sz w:val="17"/>
          <w:szCs w:val="17"/>
          <w:b w:val="1"/>
          <w:bCs w:val="1"/>
          <w:color w:val="auto"/>
        </w:rPr>
      </w:pPr>
    </w:p>
    <w:p>
      <w:pPr>
        <w:jc w:val="both"/>
        <w:ind w:left="340" w:hanging="332"/>
        <w:spacing w:after="0" w:line="266" w:lineRule="auto"/>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ind w:left="340" w:hanging="332"/>
        <w:spacing w:after="0" w:line="313" w:lineRule="auto"/>
        <w:tabs>
          <w:tab w:leader="none" w:pos="3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 Changes. </w:t>
      </w:r>
      <w:r>
        <w:rPr>
          <w:rFonts w:ascii="Arial" w:cs="Arial" w:eastAsia="Arial" w:hAnsi="Arial"/>
          <w:sz w:val="17"/>
          <w:szCs w:val="17"/>
          <w:color w:val="auto"/>
        </w:rPr>
        <w:t>The Company reserves the right to change the terms of this Agreement and the Plan without your consent to the extent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or desirable to comply with the requirements of Code section 409A, the Treasury regulations and other guidance thereunder.</w:t>
      </w:r>
    </w:p>
    <w:p>
      <w:pPr>
        <w:spacing w:after="0" w:line="138" w:lineRule="exact"/>
        <w:rPr>
          <w:rFonts w:ascii="Arial" w:cs="Arial" w:eastAsia="Arial" w:hAnsi="Arial"/>
          <w:sz w:val="17"/>
          <w:szCs w:val="17"/>
          <w:b w:val="1"/>
          <w:bCs w:val="1"/>
          <w:color w:val="auto"/>
        </w:rPr>
      </w:pPr>
    </w:p>
    <w:p>
      <w:pPr>
        <w:jc w:val="both"/>
        <w:ind w:left="340" w:hanging="332"/>
        <w:spacing w:after="0" w:line="261" w:lineRule="auto"/>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Acknowledgements and Acceptance. </w:t>
      </w:r>
      <w:r>
        <w:rPr>
          <w:rFonts w:ascii="Arial" w:cs="Arial" w:eastAsia="Arial" w:hAnsi="Arial"/>
          <w:sz w:val="18"/>
          <w:szCs w:val="18"/>
          <w:color w:val="auto"/>
        </w:rPr>
        <w:t>By accepting this Agreement, you agree that: (i) you have carefully read, fully understand and agree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xml:space="preserve">To retain this Award, you must accept it by printing the Agreement and signing and dating below. </w:t>
      </w:r>
      <w:r>
        <w:rPr>
          <w:rFonts w:ascii="Arial" w:cs="Arial" w:eastAsia="Arial" w:hAnsi="Arial"/>
          <w:sz w:val="17"/>
          <w:szCs w:val="17"/>
          <w:b w:val="1"/>
          <w:bCs w:val="1"/>
          <w:color w:val="auto"/>
        </w:rPr>
        <w:t>Return the signed Agreement to Honeywell</w:t>
      </w:r>
    </w:p>
    <w:p>
      <w:pPr>
        <w:spacing w:after="0" w:line="38" w:lineRule="exact"/>
        <w:rPr>
          <w:rFonts w:ascii="Arial" w:cs="Arial" w:eastAsia="Arial" w:hAnsi="Arial"/>
          <w:sz w:val="18"/>
          <w:szCs w:val="18"/>
          <w:b w:val="1"/>
          <w:bCs w:val="1"/>
          <w:color w:val="auto"/>
        </w:rPr>
      </w:pPr>
    </w:p>
    <w:p>
      <w:pPr>
        <w:ind w:left="340" w:right="3500"/>
        <w:spacing w:after="0" w:line="51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International Inc., Executive Compensation/4B, 115 Tabor Road, Morris Plains, New Jersey 07950. I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126365</wp:posOffset>
            </wp:positionV>
            <wp:extent cx="41763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Print Name</w:t>
            </w:r>
          </w:p>
        </w:tc>
        <w:tc>
          <w:tcPr>
            <w:tcW w:w="3500" w:type="dxa"/>
            <w:vAlign w:val="bottom"/>
          </w:tcPr>
          <w:p>
            <w:pPr>
              <w:ind w:left="2420"/>
              <w:spacing w:after="0"/>
              <w:rPr>
                <w:sz w:val="20"/>
                <w:szCs w:val="20"/>
                <w:color w:val="auto"/>
              </w:rPr>
            </w:pPr>
            <w:r>
              <w:rPr>
                <w:rFonts w:ascii="Arial" w:cs="Arial" w:eastAsia="Arial" w:hAnsi="Arial"/>
                <w:sz w:val="18"/>
                <w:szCs w:val="18"/>
                <w:color w:val="auto"/>
              </w:rPr>
              <w:t>EID</w:t>
            </w:r>
          </w:p>
        </w:tc>
        <w:tc>
          <w:tcPr>
            <w:tcW w:w="452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264"/>
        </w:trPr>
        <w:tc>
          <w:tcPr>
            <w:tcW w:w="340" w:type="dxa"/>
            <w:vAlign w:val="bottom"/>
          </w:tcPr>
          <w:p>
            <w:pPr>
              <w:spacing w:after="0"/>
              <w:rPr>
                <w:sz w:val="22"/>
                <w:szCs w:val="22"/>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Signature</w:t>
            </w:r>
          </w:p>
        </w:tc>
        <w:tc>
          <w:tcPr>
            <w:tcW w:w="3500" w:type="dxa"/>
            <w:vAlign w:val="bottom"/>
          </w:tcPr>
          <w:p>
            <w:pPr>
              <w:ind w:left="2420"/>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2"/>
                <w:szCs w:val="22"/>
                <w:color w:val="auto"/>
              </w:rPr>
            </w:pPr>
          </w:p>
        </w:tc>
      </w:tr>
      <w:tr>
        <w:trPr>
          <w:trHeight w:val="405"/>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500" w:type="dxa"/>
            <w:vAlign w:val="bottom"/>
          </w:tcPr>
          <w:p>
            <w:pPr>
              <w:jc w:val="right"/>
              <w:ind w:right="1010"/>
              <w:spacing w:after="0"/>
              <w:rPr>
                <w:sz w:val="20"/>
                <w:szCs w:val="20"/>
                <w:color w:val="auto"/>
              </w:rPr>
            </w:pPr>
            <w:r>
              <w:rPr>
                <w:rFonts w:ascii="Arial" w:cs="Arial" w:eastAsia="Arial" w:hAnsi="Arial"/>
                <w:sz w:val="18"/>
                <w:szCs w:val="18"/>
                <w:color w:val="auto"/>
              </w:rPr>
              <w:t>11</w:t>
            </w:r>
          </w:p>
        </w:tc>
        <w:tc>
          <w:tcPr>
            <w:tcW w:w="4520" w:type="dxa"/>
            <w:vAlign w:val="bottom"/>
          </w:tcPr>
          <w:p>
            <w:pPr>
              <w:spacing w:after="0"/>
              <w:rPr>
                <w:sz w:val="24"/>
                <w:szCs w:val="24"/>
                <w:color w:val="auto"/>
              </w:rPr>
            </w:pPr>
          </w:p>
        </w:tc>
      </w:tr>
      <w:tr>
        <w:trPr>
          <w:trHeight w:val="250"/>
        </w:trPr>
        <w:tc>
          <w:tcPr>
            <w:tcW w:w="340" w:type="dxa"/>
            <w:vAlign w:val="bottom"/>
            <w:tcBorders>
              <w:bottom w:val="single" w:sz="8" w:color="C0C0C0"/>
            </w:tcBorders>
          </w:tcPr>
          <w:p>
            <w:pPr>
              <w:spacing w:after="0"/>
              <w:rPr>
                <w:sz w:val="21"/>
                <w:szCs w:val="21"/>
                <w:color w:val="auto"/>
              </w:rPr>
            </w:pPr>
          </w:p>
        </w:tc>
        <w:tc>
          <w:tcPr>
            <w:tcW w:w="3060" w:type="dxa"/>
            <w:vAlign w:val="bottom"/>
            <w:tcBorders>
              <w:bottom w:val="single" w:sz="8" w:color="C0C0C0"/>
            </w:tcBorders>
          </w:tcPr>
          <w:p>
            <w:pPr>
              <w:spacing w:after="0"/>
              <w:rPr>
                <w:sz w:val="21"/>
                <w:szCs w:val="21"/>
                <w:color w:val="auto"/>
              </w:rPr>
            </w:pPr>
          </w:p>
        </w:tc>
        <w:tc>
          <w:tcPr>
            <w:tcW w:w="3500" w:type="dxa"/>
            <w:vAlign w:val="bottom"/>
            <w:tcBorders>
              <w:bottom w:val="single" w:sz="8" w:color="C0C0C0"/>
            </w:tcBorders>
          </w:tcPr>
          <w:p>
            <w:pPr>
              <w:spacing w:after="0"/>
              <w:rPr>
                <w:sz w:val="21"/>
                <w:szCs w:val="21"/>
                <w:color w:val="auto"/>
              </w:rPr>
            </w:pPr>
          </w:p>
        </w:tc>
        <w:tc>
          <w:tcPr>
            <w:tcW w:w="45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STOCK OPTION AWARD AGREEMENT made in Morris Plains, New Jersey, as of [DATE] (the “Grant Date”), between Honeywell International Inc. (the “Company”) and [EMPLOYEE NAME] (“Participant”).</w:t>
      </w:r>
    </w:p>
    <w:p>
      <w:pPr>
        <w:spacing w:after="0" w:line="166" w:lineRule="exact"/>
        <w:rPr>
          <w:sz w:val="20"/>
          <w:szCs w:val="20"/>
          <w:color w:val="auto"/>
        </w:rPr>
      </w:pPr>
    </w:p>
    <w:p>
      <w:pPr>
        <w:ind w:left="460" w:hanging="452"/>
        <w:spacing w:after="0" w:line="313" w:lineRule="auto"/>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Option. </w:t>
      </w:r>
      <w:r>
        <w:rPr>
          <w:rFonts w:ascii="Arial" w:cs="Arial" w:eastAsia="Arial" w:hAnsi="Arial"/>
          <w:sz w:val="17"/>
          <w:szCs w:val="17"/>
          <w:color w:val="auto"/>
        </w:rPr>
        <w:t>The Company has granted you an Option to purchase [NUMBER] Shares of Common Stock, subject to the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2016 Stock Incentive Plan of Honeywell International Inc. and its Affiliates (the “Plan”). This Option is a nonqualified Option.</w:t>
      </w:r>
    </w:p>
    <w:p>
      <w:pPr>
        <w:spacing w:after="0" w:line="142" w:lineRule="exact"/>
        <w:rPr>
          <w:rFonts w:ascii="Arial" w:cs="Arial" w:eastAsia="Arial" w:hAnsi="Arial"/>
          <w:sz w:val="17"/>
          <w:szCs w:val="17"/>
          <w:b w:val="1"/>
          <w:bCs w:val="1"/>
          <w:color w:val="auto"/>
        </w:rPr>
      </w:pPr>
    </w:p>
    <w:p>
      <w:pPr>
        <w:jc w:val="both"/>
        <w:ind w:left="4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 xml:space="preserve">The Stock Option Plan Details for this grant can be found on the Morgan Stanley StockPlan Connect website at </w:t>
      </w:r>
      <w:r>
        <w:rPr>
          <w:rFonts w:ascii="Arial" w:cs="Arial" w:eastAsia="Arial" w:hAnsi="Arial"/>
          <w:sz w:val="18"/>
          <w:szCs w:val="18"/>
          <w:u w:val="single" w:color="auto"/>
          <w:color w:val="auto"/>
        </w:rPr>
        <w:t>www.stockplanconnect.com</w:t>
      </w:r>
      <w:r>
        <w:rPr>
          <w:rFonts w:ascii="Arial" w:cs="Arial" w:eastAsia="Arial" w:hAnsi="Arial"/>
          <w:sz w:val="18"/>
          <w:szCs w:val="18"/>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77" w:lineRule="exact"/>
        <w:rPr>
          <w:rFonts w:ascii="Arial" w:cs="Arial" w:eastAsia="Arial" w:hAnsi="Arial"/>
          <w:sz w:val="17"/>
          <w:szCs w:val="17"/>
          <w:b w:val="1"/>
          <w:bCs w:val="1"/>
          <w:color w:val="auto"/>
        </w:rPr>
      </w:pPr>
    </w:p>
    <w:p>
      <w:pPr>
        <w:ind w:left="460" w:hanging="452"/>
        <w:spacing w:after="0"/>
        <w:tabs>
          <w:tab w:leader="none" w:pos="4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The purchase price of the Shares covered by the Option will be [DOLLAR AMOUNT] per Share (“Exercise Price” or “Grant Price”).</w:t>
      </w:r>
    </w:p>
    <w:p>
      <w:pPr>
        <w:spacing w:after="0" w:line="248" w:lineRule="exact"/>
        <w:rPr>
          <w:rFonts w:ascii="Arial" w:cs="Arial" w:eastAsia="Arial" w:hAnsi="Arial"/>
          <w:sz w:val="16"/>
          <w:szCs w:val="16"/>
          <w:b w:val="1"/>
          <w:bCs w:val="1"/>
          <w:color w:val="auto"/>
        </w:rPr>
      </w:pPr>
    </w:p>
    <w:p>
      <w:pPr>
        <w:ind w:left="460" w:hanging="452"/>
        <w:spacing w:after="0" w:line="347" w:lineRule="auto"/>
        <w:tabs>
          <w:tab w:leader="none" w:pos="4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Except in the event of your death or Disability or as otherwise provided in Section 8 of this Agreement relating to a Change in Control,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will become exercisable as provided on the attached Vesting Schedule Table, which is incorporated into, and made a part of, this Agreement.</w:t>
      </w:r>
    </w:p>
    <w:p>
      <w:pPr>
        <w:spacing w:after="0" w:line="116" w:lineRule="exact"/>
        <w:rPr>
          <w:rFonts w:ascii="Arial" w:cs="Arial" w:eastAsia="Arial" w:hAnsi="Arial"/>
          <w:sz w:val="16"/>
          <w:szCs w:val="16"/>
          <w:b w:val="1"/>
          <w:bCs w:val="1"/>
          <w:color w:val="auto"/>
        </w:rPr>
      </w:pPr>
    </w:p>
    <w:p>
      <w:pPr>
        <w:jc w:val="both"/>
        <w:ind w:left="460" w:hanging="452"/>
        <w:spacing w:after="0" w:line="289" w:lineRule="auto"/>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of Option. </w:t>
      </w:r>
      <w:r>
        <w:rPr>
          <w:rFonts w:ascii="Arial" w:cs="Arial" w:eastAsia="Arial" w:hAnsi="Arial"/>
          <w:sz w:val="17"/>
          <w:szCs w:val="17"/>
          <w:color w:val="auto"/>
        </w:rPr>
        <w:t>The Option must be exercised prior to the close of the New York Stock Exchange (“NYSE”) on the day before the tenth anniversary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Grant Date (the “Expiration Date”), subject to earlier termination or cancellation as provided below. If the NYSE is not open for business on the Expiration Date, the Option will expire at the close of the NYSE on the business day immediately preceding the Expiration Date.</w:t>
      </w:r>
    </w:p>
    <w:p>
      <w:pPr>
        <w:spacing w:after="0" w:line="158" w:lineRule="exact"/>
        <w:rPr>
          <w:rFonts w:ascii="Arial" w:cs="Arial" w:eastAsia="Arial" w:hAnsi="Arial"/>
          <w:sz w:val="17"/>
          <w:szCs w:val="17"/>
          <w:b w:val="1"/>
          <w:bCs w:val="1"/>
          <w:color w:val="auto"/>
        </w:rPr>
      </w:pPr>
    </w:p>
    <w:p>
      <w:pPr>
        <w:jc w:val="both"/>
        <w:ind w:left="460" w:hanging="452"/>
        <w:spacing w:after="0" w:line="289" w:lineRule="auto"/>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of Exercise Price. </w:t>
      </w:r>
      <w:r>
        <w:rPr>
          <w:rFonts w:ascii="Arial" w:cs="Arial" w:eastAsia="Arial" w:hAnsi="Arial"/>
          <w:sz w:val="17"/>
          <w:szCs w:val="17"/>
          <w:color w:val="auto"/>
        </w:rPr>
        <w:t>You may pay the Exercise Price by cash, certified check, bank draft, wire transfer, postal or express money order,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58" w:lineRule="exact"/>
        <w:rPr>
          <w:rFonts w:ascii="Arial" w:cs="Arial" w:eastAsia="Arial" w:hAnsi="Arial"/>
          <w:sz w:val="17"/>
          <w:szCs w:val="17"/>
          <w:b w:val="1"/>
          <w:bCs w:val="1"/>
          <w:color w:val="auto"/>
        </w:rPr>
      </w:pPr>
    </w:p>
    <w:p>
      <w:pPr>
        <w:jc w:val="both"/>
        <w:ind w:left="460" w:hanging="452"/>
        <w:spacing w:after="0" w:line="258" w:lineRule="auto"/>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of Option. </w:t>
      </w:r>
      <w:r>
        <w:rPr>
          <w:rFonts w:ascii="Arial" w:cs="Arial" w:eastAsia="Arial" w:hAnsi="Arial"/>
          <w:sz w:val="18"/>
          <w:szCs w:val="18"/>
          <w:color w:val="auto"/>
        </w:rPr>
        <w:t>Subject to the terms and conditions of this Agreement, the Option may be exercised by contacting the Honeywell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Service Center, managed by Morgan Stanley, by telephone at 1-888-723-3391 or 1-801-617-7414, or on the internet at </w:t>
      </w:r>
      <w:r>
        <w:rPr>
          <w:rFonts w:ascii="Arial" w:cs="Arial" w:eastAsia="Arial" w:hAnsi="Arial"/>
          <w:sz w:val="18"/>
          <w:szCs w:val="18"/>
          <w:u w:val="single" w:color="auto"/>
          <w:color w:val="auto"/>
        </w:rPr>
        <w:t>www.stockplanconnect.com</w:t>
      </w:r>
      <w:r>
        <w:rPr>
          <w:rFonts w:ascii="Arial" w:cs="Arial" w:eastAsia="Arial" w:hAnsi="Arial"/>
          <w:sz w:val="18"/>
          <w:szCs w:val="18"/>
          <w:color w:val="auto"/>
        </w:rPr>
        <w:t>. If the Option is exercised after your death, the Company will deliver Shares only after the Company has determined that the person exercising the Option is the duly appointed executor or administrator of your estate or the person to whom the Option has been transferred by your will or by the applicable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left="460" w:hanging="452"/>
        <w:spacing w:after="0"/>
        <w:tabs>
          <w:tab w:leader="none" w:pos="4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Retirement, Disability or Death. </w:t>
      </w:r>
      <w:r>
        <w:rPr>
          <w:rFonts w:ascii="Arial" w:cs="Arial" w:eastAsia="Arial" w:hAnsi="Arial"/>
          <w:sz w:val="16"/>
          <w:szCs w:val="16"/>
          <w:color w:val="auto"/>
        </w:rPr>
        <w:t>The Option will vest and remain exercisable as follows:</w:t>
      </w:r>
    </w:p>
    <w:p>
      <w:pPr>
        <w:sectPr>
          <w:pgSz w:w="11900" w:h="16838" w:orient="portrait"/>
          <w:cols w:equalWidth="0" w:num="1">
            <w:col w:w="11420"/>
          </w:cols>
          <w:pgMar w:left="240" w:top="405" w:right="23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Event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1724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Disability</w:t>
      </w:r>
    </w:p>
    <w:p>
      <w:pPr>
        <w:spacing w:after="0" w:line="200" w:lineRule="exact"/>
        <w:rPr>
          <w:sz w:val="20"/>
          <w:szCs w:val="20"/>
          <w:color w:val="auto"/>
        </w:rPr>
      </w:pPr>
    </w:p>
    <w:p>
      <w:pPr>
        <w:spacing w:after="0" w:line="241"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Retirement (Termination of Employment because of retirement from active employment on or after age 55 and 10 Years of Service)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Immediate vesting as of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7151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Immediate vesting as of incurrence of Disability.</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Unvested Awards forfeited as of Retirement.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7"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Expires earlier of (i) original expiration date, or (ii) 3 years after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274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Expires earlier of (i) original expiration date, or (ii) 3 years after Disability.</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Expires earlier of (i) original expiration date, or (ii) 3 years after Retirement.</w:t>
      </w:r>
    </w:p>
    <w:p>
      <w:pPr>
        <w:spacing w:after="0" w:line="602" w:lineRule="exact"/>
        <w:rPr>
          <w:sz w:val="20"/>
          <w:szCs w:val="20"/>
          <w:color w:val="auto"/>
        </w:rPr>
      </w:pPr>
    </w:p>
    <w:p>
      <w:pPr>
        <w:sectPr>
          <w:pgSz w:w="11900" w:h="16838" w:orient="portrait"/>
          <w:cols w:equalWidth="0" w:num="3">
            <w:col w:w="3020" w:space="720"/>
            <w:col w:w="2520" w:space="720"/>
            <w:col w:w="4440"/>
          </w:cols>
          <w:pgMar w:left="240" w:top="405" w:right="239" w:bottom="1440" w:gutter="0" w:footer="0" w:header="0"/>
          <w:type w:val="continuous"/>
        </w:sectPr>
      </w:pPr>
    </w:p>
    <w:p>
      <w:pPr>
        <w:ind w:left="460"/>
        <w:spacing w:after="0"/>
        <w:tabs>
          <w:tab w:leader="none" w:pos="3720" w:val="left"/>
        </w:tabs>
        <w:rPr>
          <w:sz w:val="20"/>
          <w:szCs w:val="20"/>
          <w:color w:val="auto"/>
        </w:rPr>
      </w:pPr>
      <w:r>
        <w:rPr>
          <w:rFonts w:ascii="Arial" w:cs="Arial" w:eastAsia="Arial" w:hAnsi="Arial"/>
          <w:sz w:val="18"/>
          <w:szCs w:val="18"/>
          <w:color w:val="auto"/>
        </w:rPr>
        <w:t>Voluntary termination</w:t>
      </w:r>
      <w:r>
        <w:rPr>
          <w:sz w:val="20"/>
          <w:szCs w:val="20"/>
          <w:color w:val="auto"/>
        </w:rPr>
        <w:tab/>
      </w:r>
      <w:r>
        <w:rPr>
          <w:rFonts w:ascii="Arial" w:cs="Arial" w:eastAsia="Arial" w:hAnsi="Arial"/>
          <w:sz w:val="16"/>
          <w:szCs w:val="16"/>
          <w:color w:val="auto"/>
        </w:rPr>
        <w:t>Unvested Awards forfeited as of</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Termination of Employment.</w:t>
      </w:r>
    </w:p>
    <w:p>
      <w:pPr>
        <w:spacing w:after="0" w:line="211"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Involuntary termination not for</w:t>
      </w:r>
      <w:r>
        <w:rPr>
          <w:sz w:val="20"/>
          <w:szCs w:val="20"/>
          <w:color w:val="auto"/>
        </w:rPr>
        <w:tab/>
      </w:r>
      <w:r>
        <w:rPr>
          <w:rFonts w:ascii="Arial" w:cs="Arial" w:eastAsia="Arial" w:hAnsi="Arial"/>
          <w:sz w:val="16"/>
          <w:szCs w:val="16"/>
          <w:color w:val="auto"/>
        </w:rPr>
        <w:t>Unvested Awards forfeited as of</w:t>
      </w:r>
    </w:p>
    <w:p>
      <w:pPr>
        <w:spacing w:after="0" w:line="23"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Cause</w:t>
      </w:r>
      <w:r>
        <w:rPr>
          <w:sz w:val="20"/>
          <w:szCs w:val="20"/>
          <w:color w:val="auto"/>
        </w:rPr>
        <w:tab/>
      </w:r>
      <w:r>
        <w:rPr>
          <w:rFonts w:ascii="Arial" w:cs="Arial" w:eastAsia="Arial" w:hAnsi="Arial"/>
          <w:sz w:val="18"/>
          <w:szCs w:val="18"/>
          <w:color w:val="auto"/>
        </w:rPr>
        <w:t>Termination of Employment.</w:t>
      </w:r>
    </w:p>
    <w:p>
      <w:pPr>
        <w:spacing w:after="0" w:line="211"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color w:val="auto"/>
        </w:rPr>
        <w:t>Involuntary termination for Cause</w:t>
      </w:r>
      <w:r>
        <w:rPr>
          <w:sz w:val="20"/>
          <w:szCs w:val="20"/>
          <w:color w:val="auto"/>
        </w:rPr>
        <w:tab/>
      </w:r>
      <w:r>
        <w:rPr>
          <w:rFonts w:ascii="Arial" w:cs="Arial" w:eastAsia="Arial" w:hAnsi="Arial"/>
          <w:sz w:val="16"/>
          <w:szCs w:val="16"/>
          <w:color w:val="auto"/>
        </w:rPr>
        <w:t>Unvested Awards forfeited as of</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Termination of Employment.</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Expires earlier of (i) original expiration date, or (ii) 30 days after termination.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Expires earlier of (i) original expiration date, or (ii) 1 year after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Vested Awards immediately cancelled.</w:t>
      </w:r>
    </w:p>
    <w:p>
      <w:pPr>
        <w:spacing w:after="0" w:line="430" w:lineRule="exact"/>
        <w:rPr>
          <w:sz w:val="20"/>
          <w:szCs w:val="20"/>
          <w:color w:val="auto"/>
        </w:rPr>
      </w:pPr>
    </w:p>
    <w:p>
      <w:pPr>
        <w:sectPr>
          <w:pgSz w:w="11900" w:h="16838" w:orient="portrait"/>
          <w:cols w:equalWidth="0" w:num="2">
            <w:col w:w="6260" w:space="720"/>
            <w:col w:w="4440"/>
          </w:cols>
          <w:pgMar w:left="240" w:top="405" w:right="239" w:bottom="1440" w:gutter="0" w:footer="0" w:header="0"/>
          <w:type w:val="continuous"/>
        </w:sectPr>
      </w:pPr>
    </w:p>
    <w:p>
      <w:pPr>
        <w:spacing w:after="0" w:line="11"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Except as expressly provided herein, all rights hereunder shall cease to accrue as of the date of your Termination of Employment with the Company and its Affiliates. You will forfeit the unvested portion of any award and all rights to continue vesting in awards shall cease as of the date of Termination of Employment. Further, you will not be entitled to receive additional awards hereunder after Termination of Employment.</w:t>
      </w:r>
    </w:p>
    <w:p>
      <w:pPr>
        <w:spacing w:after="0" w:line="162" w:lineRule="exact"/>
        <w:rPr>
          <w:sz w:val="20"/>
          <w:szCs w:val="20"/>
          <w:color w:val="auto"/>
        </w:rPr>
      </w:pPr>
    </w:p>
    <w:p>
      <w:pPr>
        <w:jc w:val="both"/>
        <w:ind w:left="460" w:hanging="452"/>
        <w:spacing w:after="0" w:line="277" w:lineRule="auto"/>
        <w:tabs>
          <w:tab w:leader="none" w:pos="4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If you incur an involuntary Termination of Employment not for Cause (as defined in Section 2.7 of the Plan) or a voluntary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 for Good Reason (as defined in Section 5.4(d) of the Plan) on or before the second anniversary of the date of a Change in Control, any portion of the Option that has not vested or terminated as of your Termination of Employment shall vest as of your Termination of Employment and become exercisable in full as of the date of such Termination of Employment. Such a termination shall be considered an Involuntary Termination not for Cause or, if applicable, a Retirement, under Section 7 of this Agreement.</w:t>
      </w:r>
    </w:p>
    <w:p>
      <w:pPr>
        <w:spacing w:after="0" w:line="168" w:lineRule="exact"/>
        <w:rPr>
          <w:rFonts w:ascii="Arial" w:cs="Arial" w:eastAsia="Arial" w:hAnsi="Arial"/>
          <w:sz w:val="17"/>
          <w:szCs w:val="17"/>
          <w:b w:val="1"/>
          <w:bCs w:val="1"/>
          <w:color w:val="auto"/>
        </w:rPr>
      </w:pPr>
    </w:p>
    <w:p>
      <w:pPr>
        <w:jc w:val="both"/>
        <w:ind w:left="460" w:hanging="452"/>
        <w:spacing w:after="0" w:line="261" w:lineRule="auto"/>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or your local employer shall have the power and the right to deduct or withhold, or require you to remit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57" w:name="page58"/>
    <w:bookmarkEnd w:id="57"/>
    <w:p>
      <w:pPr>
        <w:ind w:left="460"/>
        <w:spacing w:after="0" w:line="277" w:lineRule="auto"/>
        <w:rPr>
          <w:sz w:val="20"/>
          <w:szCs w:val="20"/>
          <w:color w:val="auto"/>
        </w:rPr>
      </w:pPr>
      <w:r>
        <w:rPr>
          <w:rFonts w:ascii="Arial" w:cs="Arial" w:eastAsia="Arial" w:hAnsi="Arial"/>
          <w:sz w:val="18"/>
          <w:szCs w:val="18"/>
          <w:color w:val="auto"/>
        </w:rPr>
        <w:t>your rights under this Agreement, the sale of Shares acquired from the exercise of the Option, and/or payment of dividends on Shares acquired pursuant to the Option.</w:t>
      </w:r>
    </w:p>
    <w:p>
      <w:pPr>
        <w:spacing w:after="0" w:line="166" w:lineRule="exact"/>
        <w:rPr>
          <w:sz w:val="20"/>
          <w:szCs w:val="20"/>
          <w:color w:val="auto"/>
        </w:rPr>
      </w:pPr>
    </w:p>
    <w:p>
      <w:pPr>
        <w:ind w:left="460" w:hanging="452"/>
        <w:spacing w:after="0" w:line="282" w:lineRule="auto"/>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Option. </w:t>
      </w:r>
      <w:r>
        <w:rPr>
          <w:rFonts w:ascii="Arial" w:cs="Arial" w:eastAsia="Arial" w:hAnsi="Arial"/>
          <w:sz w:val="18"/>
          <w:szCs w:val="18"/>
          <w:color w:val="auto"/>
        </w:rPr>
        <w:t>You may not transfer the Option or any interest in the Option except by will or the laws of descent and distribution or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the Committee and as specified in the Plan. Any other attempt to dispose of your interest will be null and void.</w:t>
      </w:r>
    </w:p>
    <w:p>
      <w:pPr>
        <w:spacing w:after="0" w:line="161" w:lineRule="exact"/>
        <w:rPr>
          <w:rFonts w:ascii="Arial" w:cs="Arial" w:eastAsia="Arial" w:hAnsi="Arial"/>
          <w:sz w:val="18"/>
          <w:szCs w:val="18"/>
          <w:b w:val="1"/>
          <w:bCs w:val="1"/>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and Forfeiture of Award.</w:t>
      </w:r>
    </w:p>
    <w:p>
      <w:pPr>
        <w:spacing w:after="0" w:line="225" w:lineRule="exact"/>
        <w:rPr>
          <w:rFonts w:ascii="Arial" w:cs="Arial" w:eastAsia="Arial" w:hAnsi="Arial"/>
          <w:sz w:val="18"/>
          <w:szCs w:val="18"/>
          <w:b w:val="1"/>
          <w:bCs w:val="1"/>
          <w:color w:val="auto"/>
        </w:rPr>
      </w:pPr>
    </w:p>
    <w:p>
      <w:pPr>
        <w:jc w:val="both"/>
        <w:ind w:left="780" w:hanging="326"/>
        <w:spacing w:after="0" w:line="295" w:lineRule="auto"/>
        <w:tabs>
          <w:tab w:leader="none" w:pos="780"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Award is expressly contingent upon you complying with the terms, conditions and definitions contained in this Section 11 and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at 115 Tabor Road,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55" w:lineRule="exact"/>
        <w:rPr>
          <w:rFonts w:ascii="Arial" w:cs="Arial" w:eastAsia="Arial" w:hAnsi="Arial"/>
          <w:sz w:val="16"/>
          <w:szCs w:val="16"/>
          <w:b w:val="1"/>
          <w:bCs w:val="1"/>
          <w:color w:val="auto"/>
        </w:rPr>
      </w:pPr>
    </w:p>
    <w:p>
      <w:pPr>
        <w:ind w:left="780" w:hanging="326"/>
        <w:spacing w:after="0"/>
        <w:tabs>
          <w:tab w:leader="none" w:pos="78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left="1300" w:hanging="320"/>
        <w:spacing w:after="0" w:line="286" w:lineRule="auto"/>
        <w:tabs>
          <w:tab w:leader="none" w:pos="1300" w:val="left"/>
        </w:tabs>
        <w:numPr>
          <w:ilvl w:val="2"/>
          <w:numId w:val="40"/>
        </w:numPr>
        <w:rPr>
          <w:rFonts w:ascii="Arial" w:cs="Arial" w:eastAsia="Arial" w:hAnsi="Arial"/>
          <w:sz w:val="16"/>
          <w:szCs w:val="16"/>
          <w:b w:val="1"/>
          <w:bCs w:val="1"/>
          <w:color w:val="auto"/>
        </w:rPr>
      </w:pPr>
      <w:r>
        <w:rPr>
          <w:rFonts w:ascii="Arial" w:cs="Arial" w:eastAsia="Arial" w:hAnsi="Arial"/>
          <w:sz w:val="16"/>
          <w:szCs w:val="16"/>
          <w:color w:val="auto"/>
        </w:rPr>
        <w:t>You expressly agree and acknowledge that the forfeiture provisions of subsection 11.b.2. of this Agreement shall apply if,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(the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8" w:name="page59"/>
    <w:bookmarkEnd w:id="58"/>
    <w:p>
      <w:pPr>
        <w:jc w:val="both"/>
        <w:ind w:left="1300"/>
        <w:spacing w:after="0" w:line="264" w:lineRule="auto"/>
        <w:rPr>
          <w:sz w:val="20"/>
          <w:szCs w:val="20"/>
          <w:color w:val="auto"/>
        </w:rPr>
      </w:pPr>
      <w:r>
        <w:rPr>
          <w:rFonts w:ascii="Arial" w:cs="Arial" w:eastAsia="Arial" w:hAnsi="Arial"/>
          <w:sz w:val="18"/>
          <w:szCs w:val="18"/>
          <w:color w:val="auto"/>
        </w:rPr>
        <w:t>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81"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66" w:lineRule="exact"/>
        <w:rPr>
          <w:sz w:val="20"/>
          <w:szCs w:val="20"/>
          <w:color w:val="auto"/>
        </w:rPr>
      </w:pPr>
    </w:p>
    <w:p>
      <w:pPr>
        <w:jc w:val="both"/>
        <w:ind w:left="1300" w:hanging="320"/>
        <w:spacing w:after="0" w:line="271" w:lineRule="auto"/>
        <w:tabs>
          <w:tab w:leader="none" w:pos="1300"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its sole judgment, that you have violated the terms of any such agreement or you have engaged in an act that violates subsection 11.b.1. of this Agreement, (i) any portion of the Option you have not exercised (whether vested or unvested) shall immediately be cancelled, and you shall forfeit any rights you have with respect to the Option as of the date of the CEO’s determination, and (ii) you shall immediately deliver to the Company Shares equal in value to the amount of any profit you realized upon an exercise of the Option during the period beginning twelve (12) months prior to your Termination of Employment and ending on the date of the CEO’s determination.</w:t>
      </w:r>
    </w:p>
    <w:p>
      <w:pPr>
        <w:spacing w:after="0" w:line="178" w:lineRule="exact"/>
        <w:rPr>
          <w:rFonts w:ascii="Arial" w:cs="Arial" w:eastAsia="Arial" w:hAnsi="Arial"/>
          <w:sz w:val="17"/>
          <w:szCs w:val="17"/>
          <w:b w:val="1"/>
          <w:bCs w:val="1"/>
          <w:color w:val="auto"/>
        </w:rPr>
      </w:pPr>
    </w:p>
    <w:p>
      <w:pPr>
        <w:jc w:val="both"/>
        <w:ind w:left="1300" w:hanging="320"/>
        <w:spacing w:after="0" w:line="286" w:lineRule="auto"/>
        <w:tabs>
          <w:tab w:leader="none" w:pos="1300"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61" w:lineRule="exact"/>
        <w:rPr>
          <w:rFonts w:ascii="Arial" w:cs="Arial" w:eastAsia="Arial" w:hAnsi="Arial"/>
          <w:sz w:val="17"/>
          <w:szCs w:val="17"/>
          <w:b w:val="1"/>
          <w:bCs w:val="1"/>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Option will be governed by Section 5.3 of the Plan.</w:t>
      </w:r>
    </w:p>
    <w:p>
      <w:pPr>
        <w:spacing w:after="0" w:line="225" w:lineRule="exact"/>
        <w:rPr>
          <w:rFonts w:ascii="Arial" w:cs="Arial" w:eastAsia="Arial" w:hAnsi="Arial"/>
          <w:sz w:val="18"/>
          <w:szCs w:val="18"/>
          <w:b w:val="1"/>
          <w:bCs w:val="1"/>
          <w:color w:val="auto"/>
        </w:rPr>
      </w:pPr>
    </w:p>
    <w:p>
      <w:pPr>
        <w:jc w:val="both"/>
        <w:ind w:left="460" w:hanging="452"/>
        <w:spacing w:after="0" w:line="258" w:lineRule="auto"/>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Exercise. </w:t>
      </w:r>
      <w:r>
        <w:rPr>
          <w:rFonts w:ascii="Arial" w:cs="Arial" w:eastAsia="Arial" w:hAnsi="Arial"/>
          <w:sz w:val="18"/>
          <w:szCs w:val="18"/>
          <w:color w:val="auto"/>
        </w:rPr>
        <w:t>Exercise of the Option is subject to the conditions that, to the extent required at the time of exercise, (i) the Shares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Option will be duly listed, upon official notice of issuance, upon the NYSE,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83" w:lineRule="exact"/>
        <w:rPr>
          <w:rFonts w:ascii="Arial" w:cs="Arial" w:eastAsia="Arial" w:hAnsi="Arial"/>
          <w:sz w:val="18"/>
          <w:szCs w:val="18"/>
          <w:b w:val="1"/>
          <w:bCs w:val="1"/>
          <w:color w:val="auto"/>
        </w:rPr>
      </w:pPr>
    </w:p>
    <w:p>
      <w:pPr>
        <w:jc w:val="both"/>
        <w:ind w:left="460" w:hanging="452"/>
        <w:spacing w:after="0" w:line="261" w:lineRule="auto"/>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Disposition of Securities. </w:t>
      </w:r>
      <w:r>
        <w:rPr>
          <w:rFonts w:ascii="Arial" w:cs="Arial" w:eastAsia="Arial" w:hAnsi="Arial"/>
          <w:sz w:val="18"/>
          <w:szCs w:val="18"/>
          <w:color w:val="auto"/>
        </w:rPr>
        <w:t>By accepting the Award, you acknowledge that you have read and understand the Company’s policy, and are aware of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your obligations under U.S. federal securities laws in respect of trading in the Company’s securities, and you agree not to use the Company’s “cashless exercise” program (or any successor program) at any time when you possess material nonpublic information with respect to the Company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9" w:name="page60"/>
    <w:bookmarkEnd w:id="59"/>
    <w:p>
      <w:pPr>
        <w:jc w:val="both"/>
        <w:ind w:left="460"/>
        <w:spacing w:after="0" w:line="264" w:lineRule="auto"/>
        <w:rPr>
          <w:sz w:val="20"/>
          <w:szCs w:val="20"/>
          <w:color w:val="auto"/>
        </w:rPr>
      </w:pPr>
      <w:r>
        <w:rPr>
          <w:rFonts w:ascii="Arial" w:cs="Arial" w:eastAsia="Arial" w:hAnsi="Arial"/>
          <w:sz w:val="18"/>
          <w:szCs w:val="18"/>
          <w:color w:val="auto"/>
        </w:rPr>
        <w:t>when using the program would otherwise result in a violation of securities law. The Company will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177" w:lineRule="exact"/>
        <w:rPr>
          <w:sz w:val="20"/>
          <w:szCs w:val="20"/>
          <w:color w:val="auto"/>
        </w:rPr>
      </w:pPr>
    </w:p>
    <w:p>
      <w:pPr>
        <w:jc w:val="both"/>
        <w:ind w:left="460" w:hanging="452"/>
        <w:spacing w:after="0" w:line="256" w:lineRule="auto"/>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Terms Govern. </w:t>
      </w:r>
      <w:r>
        <w:rPr>
          <w:rFonts w:ascii="Arial" w:cs="Arial" w:eastAsia="Arial" w:hAnsi="Arial"/>
          <w:sz w:val="18"/>
          <w:szCs w:val="18"/>
          <w:color w:val="auto"/>
        </w:rPr>
        <w:t>The exercise of the Option, the disposition of any Shares received upon exercise of the Option, and the treatment of any gain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87" w:lineRule="exact"/>
        <w:rPr>
          <w:rFonts w:ascii="Arial" w:cs="Arial" w:eastAsia="Arial" w:hAnsi="Arial"/>
          <w:sz w:val="18"/>
          <w:szCs w:val="18"/>
          <w:b w:val="1"/>
          <w:bCs w:val="1"/>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ind w:left="780" w:right="20" w:hanging="326"/>
        <w:spacing w:after="0" w:line="277" w:lineRule="auto"/>
        <w:tabs>
          <w:tab w:leader="none" w:pos="7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170" w:lineRule="exact"/>
        <w:rPr>
          <w:rFonts w:ascii="Arial" w:cs="Arial" w:eastAsia="Arial" w:hAnsi="Arial"/>
          <w:sz w:val="18"/>
          <w:szCs w:val="18"/>
          <w:b w:val="1"/>
          <w:bCs w:val="1"/>
          <w:color w:val="auto"/>
        </w:rPr>
      </w:pPr>
    </w:p>
    <w:p>
      <w:pPr>
        <w:jc w:val="both"/>
        <w:ind w:left="780" w:hanging="326"/>
        <w:spacing w:after="0" w:line="259" w:lineRule="auto"/>
        <w:tabs>
          <w:tab w:leader="none" w:pos="7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pacing w:after="0" w:line="186" w:lineRule="exact"/>
        <w:rPr>
          <w:rFonts w:ascii="Arial" w:cs="Arial" w:eastAsia="Arial" w:hAnsi="Arial"/>
          <w:sz w:val="18"/>
          <w:szCs w:val="18"/>
          <w:b w:val="1"/>
          <w:bCs w:val="1"/>
          <w:color w:val="auto"/>
        </w:rPr>
      </w:pPr>
    </w:p>
    <w:p>
      <w:pPr>
        <w:jc w:val="both"/>
        <w:ind w:left="780" w:hanging="326"/>
        <w:spacing w:after="0" w:line="264" w:lineRule="auto"/>
        <w:tabs>
          <w:tab w:leader="none" w:pos="7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181" w:lineRule="exact"/>
        <w:rPr>
          <w:rFonts w:ascii="Arial" w:cs="Arial" w:eastAsia="Arial" w:hAnsi="Arial"/>
          <w:sz w:val="18"/>
          <w:szCs w:val="18"/>
          <w:b w:val="1"/>
          <w:bCs w:val="1"/>
          <w:color w:val="auto"/>
        </w:rPr>
      </w:pPr>
    </w:p>
    <w:p>
      <w:pPr>
        <w:jc w:val="both"/>
        <w:ind w:left="780" w:hanging="326"/>
        <w:spacing w:after="0" w:line="259" w:lineRule="auto"/>
        <w:tabs>
          <w:tab w:leader="none" w:pos="7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b w:val="1"/>
          <w:bCs w:val="1"/>
          <w:color w:val="auto"/>
        </w:rPr>
      </w:pPr>
    </w:p>
    <w:p>
      <w:pPr>
        <w:jc w:val="both"/>
        <w:ind w:left="780" w:hanging="326"/>
        <w:spacing w:after="0" w:line="257" w:lineRule="auto"/>
        <w:tabs>
          <w:tab w:leader="none" w:pos="7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0" w:name="page61"/>
    <w:bookmarkEnd w:id="60"/>
    <w:p>
      <w:pPr>
        <w:jc w:val="both"/>
        <w:ind w:left="780" w:hanging="326"/>
        <w:spacing w:after="0" w:line="264" w:lineRule="auto"/>
        <w:tabs>
          <w:tab w:leader="none" w:pos="780"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Discretionary Nature and Acceptance of Award. </w:t>
      </w:r>
      <w:r>
        <w:rPr>
          <w:rFonts w:ascii="Arial" w:cs="Arial" w:eastAsia="Arial" w:hAnsi="Arial"/>
          <w:sz w:val="18"/>
          <w:szCs w:val="18"/>
          <w:color w:val="auto"/>
        </w:rPr>
        <w:t>By accepting this Award, you agree to be bound by the terms of this Agreement and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65" w:lineRule="exact"/>
        <w:rPr>
          <w:rFonts w:ascii="Arial" w:cs="Arial" w:eastAsia="Arial" w:hAnsi="Arial"/>
          <w:sz w:val="18"/>
          <w:szCs w:val="18"/>
          <w:b w:val="1"/>
          <w:bCs w:val="1"/>
          <w:color w:val="auto"/>
        </w:rPr>
      </w:pPr>
    </w:p>
    <w:p>
      <w:pPr>
        <w:ind w:left="780" w:right="20" w:hanging="326"/>
        <w:spacing w:after="0" w:line="277" w:lineRule="auto"/>
        <w:tabs>
          <w:tab w:leader="none" w:pos="78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The Company (and not your local employer) is granting your Option. Furthermore, this Agreement is not derived from any preexisting labor relationship between you and the Company, but rather from a mercantile relationship.</w:t>
      </w:r>
    </w:p>
    <w:p>
      <w:pPr>
        <w:spacing w:after="0" w:line="170"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The Company may administer the Plan from outside your country of residence and United States law will govern all options granted under the Plan.</w:t>
      </w:r>
    </w:p>
    <w:p>
      <w:pPr>
        <w:spacing w:after="0" w:line="170"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w:t>
      </w:r>
    </w:p>
    <w:p>
      <w:pPr>
        <w:spacing w:after="0" w:line="170" w:lineRule="exact"/>
        <w:rPr>
          <w:rFonts w:ascii="Arial" w:cs="Arial" w:eastAsia="Arial" w:hAnsi="Arial"/>
          <w:sz w:val="18"/>
          <w:szCs w:val="18"/>
          <w:b w:val="1"/>
          <w:bCs w:val="1"/>
          <w:color w:val="auto"/>
        </w:rPr>
      </w:pPr>
    </w:p>
    <w:p>
      <w:pPr>
        <w:jc w:val="both"/>
        <w:ind w:left="780" w:hanging="326"/>
        <w:spacing w:after="0" w:line="273" w:lineRule="auto"/>
        <w:tabs>
          <w:tab w:leader="none" w:pos="780"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78" w:lineRule="exact"/>
        <w:rPr>
          <w:rFonts w:ascii="Arial" w:cs="Arial" w:eastAsia="Arial" w:hAnsi="Arial"/>
          <w:sz w:val="17"/>
          <w:szCs w:val="17"/>
          <w:b w:val="1"/>
          <w:bCs w:val="1"/>
          <w:color w:val="auto"/>
        </w:rPr>
      </w:pPr>
    </w:p>
    <w:p>
      <w:pPr>
        <w:jc w:val="both"/>
        <w:ind w:left="780" w:hanging="326"/>
        <w:spacing w:after="0" w:line="257" w:lineRule="auto"/>
        <w:tabs>
          <w:tab w:leader="none" w:pos="78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88" w:lineRule="exact"/>
        <w:rPr>
          <w:rFonts w:ascii="Arial" w:cs="Arial" w:eastAsia="Arial" w:hAnsi="Arial"/>
          <w:sz w:val="18"/>
          <w:szCs w:val="18"/>
          <w:b w:val="1"/>
          <w:bCs w:val="1"/>
          <w:color w:val="auto"/>
        </w:rPr>
      </w:pPr>
    </w:p>
    <w:p>
      <w:pPr>
        <w:jc w:val="both"/>
        <w:ind w:left="780" w:hanging="326"/>
        <w:spacing w:after="0" w:line="264" w:lineRule="auto"/>
        <w:tabs>
          <w:tab w:leader="none" w:pos="78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81"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Participation in the Plan will not be deemed to constitute, and will not be deemed by you to constitute, an employment or labor relationship of any kind with the Company.</w:t>
      </w:r>
    </w:p>
    <w:p>
      <w:pPr>
        <w:spacing w:after="0" w:line="166" w:lineRule="exact"/>
        <w:rPr>
          <w:rFonts w:ascii="Arial" w:cs="Arial" w:eastAsia="Arial" w:hAnsi="Arial"/>
          <w:sz w:val="18"/>
          <w:szCs w:val="18"/>
          <w:b w:val="1"/>
          <w:bCs w:val="1"/>
          <w:color w:val="auto"/>
        </w:rPr>
      </w:pPr>
    </w:p>
    <w:p>
      <w:pPr>
        <w:ind w:left="460" w:right="20" w:hanging="452"/>
        <w:spacing w:after="0" w:line="282" w:lineRule="auto"/>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Plan gives you any right to continue in the employ of the Company or any of its Affiliates or to interfere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way with the right of the Company or any Affiliate to terminate your employment at any time. Payment of Shares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61" w:name="page62"/>
    <w:bookmarkEnd w:id="61"/>
    <w:p>
      <w:pPr>
        <w:ind w:left="460"/>
        <w:spacing w:after="0" w:line="342" w:lineRule="auto"/>
        <w:rPr>
          <w:sz w:val="20"/>
          <w:szCs w:val="20"/>
          <w:color w:val="auto"/>
        </w:rPr>
      </w:pPr>
      <w:r>
        <w:rPr>
          <w:rFonts w:ascii="Arial" w:cs="Arial" w:eastAsia="Arial" w:hAnsi="Arial"/>
          <w:sz w:val="16"/>
          <w:szCs w:val="16"/>
          <w:color w:val="auto"/>
        </w:rPr>
        <w:t>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120" w:lineRule="exact"/>
        <w:rPr>
          <w:sz w:val="20"/>
          <w:szCs w:val="20"/>
          <w:color w:val="auto"/>
        </w:rPr>
      </w:pPr>
    </w:p>
    <w:p>
      <w:pPr>
        <w:ind w:left="460" w:hanging="452"/>
        <w:spacing w:after="0" w:line="282" w:lineRule="auto"/>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This Agreement supersedes any prior agreements, commitments or negotiations concerning the Option.</w:t>
      </w:r>
    </w:p>
    <w:p>
      <w:pPr>
        <w:spacing w:after="0" w:line="161" w:lineRule="exact"/>
        <w:rPr>
          <w:rFonts w:ascii="Arial" w:cs="Arial" w:eastAsia="Arial" w:hAnsi="Arial"/>
          <w:sz w:val="18"/>
          <w:szCs w:val="18"/>
          <w:b w:val="1"/>
          <w:bCs w:val="1"/>
          <w:color w:val="auto"/>
        </w:rPr>
      </w:pPr>
    </w:p>
    <w:p>
      <w:pPr>
        <w:jc w:val="both"/>
        <w:ind w:left="460" w:hanging="452"/>
        <w:spacing w:after="0" w:line="289" w:lineRule="auto"/>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will not affect the validity or enforceability of the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58" w:lineRule="exact"/>
        <w:rPr>
          <w:rFonts w:ascii="Arial" w:cs="Arial" w:eastAsia="Arial" w:hAnsi="Arial"/>
          <w:sz w:val="17"/>
          <w:szCs w:val="17"/>
          <w:b w:val="1"/>
          <w:bCs w:val="1"/>
          <w:color w:val="auto"/>
        </w:rPr>
      </w:pPr>
    </w:p>
    <w:p>
      <w:pPr>
        <w:jc w:val="both"/>
        <w:ind w:left="460" w:hanging="452"/>
        <w:spacing w:after="0" w:line="266" w:lineRule="auto"/>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jc w:val="both"/>
        <w:ind w:left="460" w:hanging="452"/>
        <w:spacing w:after="0" w:line="281" w:lineRule="auto"/>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Acknowledgements and Acceptance. </w:t>
      </w:r>
      <w:r>
        <w:rPr>
          <w:rFonts w:ascii="Arial" w:cs="Arial" w:eastAsia="Arial" w:hAnsi="Arial"/>
          <w:sz w:val="17"/>
          <w:szCs w:val="17"/>
          <w:color w:val="auto"/>
        </w:rPr>
        <w:t>By accepting this Agreement, you agree that: (i) you have carefully read, fully understand and agree to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6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 xml:space="preserve">To retain this Award, you must accept it by printing the Agreement and signing and dating below. </w:t>
      </w:r>
      <w:r>
        <w:rPr>
          <w:rFonts w:ascii="Arial" w:cs="Arial" w:eastAsia="Arial" w:hAnsi="Arial"/>
          <w:sz w:val="17"/>
          <w:szCs w:val="17"/>
          <w:b w:val="1"/>
          <w:bCs w:val="1"/>
          <w:color w:val="auto"/>
        </w:rPr>
        <w:t>Return the signed Agreement to Honeywell</w:t>
      </w:r>
    </w:p>
    <w:p>
      <w:pPr>
        <w:spacing w:after="0" w:line="38" w:lineRule="exact"/>
        <w:rPr>
          <w:rFonts w:ascii="Arial" w:cs="Arial" w:eastAsia="Arial" w:hAnsi="Arial"/>
          <w:sz w:val="17"/>
          <w:szCs w:val="17"/>
          <w:b w:val="1"/>
          <w:bCs w:val="1"/>
          <w:color w:val="auto"/>
        </w:rPr>
      </w:pPr>
    </w:p>
    <w:p>
      <w:pPr>
        <w:ind w:left="460" w:right="3380"/>
        <w:spacing w:after="0" w:line="511" w:lineRule="auto"/>
        <w:rPr>
          <w:rFonts w:ascii="Arial" w:cs="Arial" w:eastAsia="Arial" w:hAnsi="Arial"/>
          <w:sz w:val="17"/>
          <w:szCs w:val="17"/>
          <w:b w:val="1"/>
          <w:bCs w:val="1"/>
          <w:color w:val="auto"/>
        </w:rPr>
      </w:pPr>
      <w:r>
        <w:rPr>
          <w:rFonts w:ascii="Arial" w:cs="Arial" w:eastAsia="Arial" w:hAnsi="Arial"/>
          <w:sz w:val="18"/>
          <w:szCs w:val="18"/>
          <w:b w:val="1"/>
          <w:bCs w:val="1"/>
          <w:color w:val="auto"/>
        </w:rPr>
        <w:t>International Inc., Executive Compensation/4B, 115 Tabor Road, Morris Plains, New Jersey 07950. I Accept: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0" w:type="dxa"/>
            <w:vAlign w:val="bottom"/>
          </w:tcPr>
          <w:p>
            <w:pPr>
              <w:spacing w:after="0"/>
              <w:rPr>
                <w:sz w:val="21"/>
                <w:szCs w:val="21"/>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4360" w:type="dxa"/>
            <w:vAlign w:val="bottom"/>
            <w:tcBorders>
              <w:top w:val="single" w:sz="8" w:color="auto"/>
            </w:tcBorders>
          </w:tcPr>
          <w:p>
            <w:pPr>
              <w:ind w:left="3500"/>
              <w:spacing w:after="0"/>
              <w:rPr>
                <w:sz w:val="20"/>
                <w:szCs w:val="20"/>
                <w:color w:val="auto"/>
              </w:rPr>
            </w:pPr>
            <w:r>
              <w:rPr>
                <w:rFonts w:ascii="Arial" w:cs="Arial" w:eastAsia="Arial" w:hAnsi="Arial"/>
                <w:sz w:val="18"/>
                <w:szCs w:val="18"/>
                <w:color w:val="auto"/>
              </w:rPr>
              <w:t>EID</w:t>
            </w:r>
          </w:p>
        </w:tc>
        <w:tc>
          <w:tcPr>
            <w:tcW w:w="3580" w:type="dxa"/>
            <w:vAlign w:val="bottom"/>
          </w:tcPr>
          <w:p>
            <w:pPr>
              <w:spacing w:after="0"/>
              <w:rPr>
                <w:sz w:val="21"/>
                <w:szCs w:val="21"/>
                <w:color w:val="auto"/>
              </w:rPr>
            </w:pPr>
          </w:p>
        </w:tc>
      </w:tr>
      <w:tr>
        <w:trPr>
          <w:trHeight w:val="418"/>
        </w:trPr>
        <w:tc>
          <w:tcPr>
            <w:tcW w:w="46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Signature</w:t>
            </w:r>
          </w:p>
        </w:tc>
        <w:tc>
          <w:tcPr>
            <w:tcW w:w="4360" w:type="dxa"/>
            <w:vAlign w:val="bottom"/>
          </w:tcPr>
          <w:p>
            <w:pPr>
              <w:ind w:left="3500"/>
              <w:spacing w:after="0"/>
              <w:rPr>
                <w:sz w:val="20"/>
                <w:szCs w:val="20"/>
                <w:color w:val="auto"/>
              </w:rPr>
            </w:pPr>
            <w:r>
              <w:rPr>
                <w:rFonts w:ascii="Arial" w:cs="Arial" w:eastAsia="Arial" w:hAnsi="Arial"/>
                <w:sz w:val="18"/>
                <w:szCs w:val="18"/>
                <w:color w:val="auto"/>
              </w:rPr>
              <w:t>Date</w:t>
            </w:r>
          </w:p>
        </w:tc>
        <w:tc>
          <w:tcPr>
            <w:tcW w:w="3580" w:type="dxa"/>
            <w:vAlign w:val="bottom"/>
          </w:tcPr>
          <w:p>
            <w:pPr>
              <w:spacing w:after="0"/>
              <w:rPr>
                <w:sz w:val="19"/>
                <w:szCs w:val="19"/>
                <w:color w:val="auto"/>
              </w:rPr>
            </w:pPr>
          </w:p>
        </w:tc>
      </w:tr>
      <w:tr>
        <w:trPr>
          <w:trHeight w:val="391"/>
        </w:trPr>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360" w:type="dxa"/>
            <w:vAlign w:val="bottom"/>
          </w:tcPr>
          <w:p>
            <w:pPr>
              <w:jc w:val="right"/>
              <w:ind w:right="1990"/>
              <w:spacing w:after="0"/>
              <w:rPr>
                <w:sz w:val="20"/>
                <w:szCs w:val="20"/>
                <w:color w:val="auto"/>
              </w:rPr>
            </w:pPr>
            <w:r>
              <w:rPr>
                <w:rFonts w:ascii="Arial" w:cs="Arial" w:eastAsia="Arial" w:hAnsi="Arial"/>
                <w:sz w:val="18"/>
                <w:szCs w:val="18"/>
                <w:color w:val="auto"/>
              </w:rPr>
              <w:t>7</w:t>
            </w:r>
          </w:p>
        </w:tc>
        <w:tc>
          <w:tcPr>
            <w:tcW w:w="3580" w:type="dxa"/>
            <w:vAlign w:val="bottom"/>
          </w:tcPr>
          <w:p>
            <w:pPr>
              <w:spacing w:after="0"/>
              <w:rPr>
                <w:sz w:val="24"/>
                <w:szCs w:val="24"/>
                <w:color w:val="auto"/>
              </w:rPr>
            </w:pPr>
          </w:p>
        </w:tc>
      </w:tr>
      <w:tr>
        <w:trPr>
          <w:trHeight w:val="250"/>
        </w:trPr>
        <w:tc>
          <w:tcPr>
            <w:tcW w:w="460" w:type="dxa"/>
            <w:vAlign w:val="bottom"/>
            <w:tcBorders>
              <w:bottom w:val="single" w:sz="8" w:color="C0C0C0"/>
            </w:tcBorders>
          </w:tcPr>
          <w:p>
            <w:pPr>
              <w:spacing w:after="0"/>
              <w:rPr>
                <w:sz w:val="21"/>
                <w:szCs w:val="21"/>
                <w:color w:val="auto"/>
              </w:rPr>
            </w:pPr>
          </w:p>
        </w:tc>
        <w:tc>
          <w:tcPr>
            <w:tcW w:w="3020" w:type="dxa"/>
            <w:vAlign w:val="bottom"/>
            <w:tcBorders>
              <w:bottom w:val="single" w:sz="8" w:color="C0C0C0"/>
            </w:tcBorders>
          </w:tcPr>
          <w:p>
            <w:pPr>
              <w:spacing w:after="0"/>
              <w:rPr>
                <w:sz w:val="21"/>
                <w:szCs w:val="21"/>
                <w:color w:val="auto"/>
              </w:rPr>
            </w:pPr>
          </w:p>
        </w:tc>
        <w:tc>
          <w:tcPr>
            <w:tcW w:w="4360" w:type="dxa"/>
            <w:vAlign w:val="bottom"/>
            <w:tcBorders>
              <w:bottom w:val="single" w:sz="8" w:color="C0C0C0"/>
            </w:tcBorders>
          </w:tcPr>
          <w:p>
            <w:pPr>
              <w:spacing w:after="0"/>
              <w:rPr>
                <w:sz w:val="21"/>
                <w:szCs w:val="21"/>
                <w:color w:val="auto"/>
              </w:rPr>
            </w:pPr>
          </w:p>
        </w:tc>
        <w:tc>
          <w:tcPr>
            <w:tcW w:w="35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VESTING SCHEDULE TABLE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[VESTING PROVISIONS CONSISTENT WITH THE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ROWTH</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GROWTH PLAN AGREEMENT made in Morris Plains, New Jersey, United States of America, as of the [DAY] of [MONTH, YEAR] (the “Award Date”) between Honeywell International Inc. (which together with its subsidiaries and affiliates, when the context so indicates, is hereinafter referred to as the “Company”) and [EMPLOYEE NAME] (the “Employee”).</w:t>
      </w:r>
    </w:p>
    <w:p>
      <w:pPr>
        <w:spacing w:after="0" w:line="177" w:lineRule="exact"/>
        <w:rPr>
          <w:sz w:val="20"/>
          <w:szCs w:val="20"/>
          <w:color w:val="auto"/>
        </w:rPr>
      </w:pPr>
    </w:p>
    <w:p>
      <w:pPr>
        <w:ind w:left="660" w:hanging="328"/>
        <w:spacing w:after="0" w:line="282"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Awards. </w:t>
      </w:r>
      <w:r>
        <w:rPr>
          <w:rFonts w:ascii="Arial" w:cs="Arial" w:eastAsia="Arial" w:hAnsi="Arial"/>
          <w:sz w:val="18"/>
          <w:szCs w:val="18"/>
          <w:color w:val="auto"/>
        </w:rPr>
        <w:t>The Company has granted to you [NUMBER] Growth Plan Units, subject to the terms of this Agreement and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2016 Stock Incentive Plan of Honeywell International Inc. and Its Affiliates (the “Plan”).</w:t>
      </w:r>
    </w:p>
    <w:p>
      <w:pPr>
        <w:spacing w:after="0" w:line="161" w:lineRule="exact"/>
        <w:rPr>
          <w:rFonts w:ascii="Arial" w:cs="Arial" w:eastAsia="Arial" w:hAnsi="Arial"/>
          <w:sz w:val="18"/>
          <w:szCs w:val="18"/>
          <w:b w:val="1"/>
          <w:bCs w:val="1"/>
          <w:color w:val="auto"/>
        </w:rPr>
      </w:pPr>
    </w:p>
    <w:p>
      <w:pPr>
        <w:jc w:val="both"/>
        <w:ind w:left="660" w:hanging="328"/>
        <w:spacing w:after="0" w:line="293" w:lineRule="auto"/>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Target and Actual Award. </w:t>
      </w:r>
      <w:r>
        <w:rPr>
          <w:rFonts w:ascii="Arial" w:cs="Arial" w:eastAsia="Arial" w:hAnsi="Arial"/>
          <w:sz w:val="16"/>
          <w:szCs w:val="16"/>
          <w:color w:val="auto"/>
        </w:rPr>
        <w:t>The number of Growth Plan Units awarded to you represents a target award for the Performance Cycle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Each Growth Plan Unit has a target value of $100 (“Target Value”). Your actual award value (the “Actual Award”) is equal to the product of</w:t>
      </w:r>
    </w:p>
    <w:p>
      <w:pPr>
        <w:spacing w:after="0" w:line="1" w:lineRule="exact"/>
        <w:rPr>
          <w:rFonts w:ascii="Arial" w:cs="Arial" w:eastAsia="Arial" w:hAnsi="Arial"/>
          <w:sz w:val="16"/>
          <w:szCs w:val="16"/>
          <w:b w:val="1"/>
          <w:bCs w:val="1"/>
          <w:color w:val="auto"/>
        </w:rPr>
      </w:pPr>
    </w:p>
    <w:p>
      <w:pPr>
        <w:jc w:val="both"/>
        <w:ind w:left="6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 the Target Value, (ii) the Plan Payout Percentage, and (iii) the number of Growth Plan Units awarded to you under this Agreement. For purposes of this Agreement, the “Plan Payout Percentage” shall be based on the achievement of the Performance Measures described in Section 3 below and may range from zero to a maximum of 200%.</w:t>
      </w:r>
    </w:p>
    <w:p>
      <w:pPr>
        <w:spacing w:after="0" w:line="186" w:lineRule="exact"/>
        <w:rPr>
          <w:rFonts w:ascii="Arial" w:cs="Arial" w:eastAsia="Arial" w:hAnsi="Arial"/>
          <w:sz w:val="16"/>
          <w:szCs w:val="16"/>
          <w:b w:val="1"/>
          <w:bCs w:val="1"/>
          <w:color w:val="auto"/>
        </w:rPr>
      </w:pPr>
    </w:p>
    <w:p>
      <w:pPr>
        <w:jc w:val="both"/>
        <w:ind w:left="660" w:hanging="328"/>
        <w:spacing w:after="0" w:line="258"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Measures. </w:t>
      </w:r>
      <w:r>
        <w:rPr>
          <w:rFonts w:ascii="Arial" w:cs="Arial" w:eastAsia="Arial" w:hAnsi="Arial"/>
          <w:sz w:val="18"/>
          <w:szCs w:val="18"/>
          <w:color w:val="auto"/>
        </w:rPr>
        <w:t>The Plan Payout Percentage shall be determined based on [PERFORMANCE MEASURES]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for the Performance Cycle. Performance Measures shall be determined at the Company level for eligible employees not assigned to one of the Company’s strategic business groups (“SBG”), and at both the Company and SBG level for other eligible employees. For purposes of this determination, if you transfer from one of the Company’s businesses during the Performance Cycle, your award will be prorated for the number of days actively employed in that business.</w:t>
      </w:r>
    </w:p>
    <w:p>
      <w:pPr>
        <w:spacing w:after="0" w:line="187"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[INCLUDE AS APPLICABLE: Notwithstanding anything in this Agreement to the contrary, except in the event of a Change in Control (as defined in the Plan), no Growth Plan Unit awards will be paid unless the Company attains a minimum level of [PERFORMANCE MEASURE] during the Performance Cycle. The minimum level of [PERFORMANCE MEASURE] shall be a [AMOUNT OR PERCENTAGE] over the Performance Cycle. In determining [PERFORMANCE MEASURE] for this purpose, the Management Development and Compensation Committee of the Company’s Board of Directors (the “Committee”) shall [INCLUDE AS APPLICABLE: hold share count constant to [YEAR] for all periods and] exclude from its calculations unusual, infrequently occurring, and extraordinary items [INCLUDE AS APPLICABLE: as well as pension expense or pension income recorded] during the Performance Cycle.]</w:t>
      </w:r>
    </w:p>
    <w:p>
      <w:pPr>
        <w:spacing w:after="0" w:line="185"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Cycle. </w:t>
      </w:r>
      <w:r>
        <w:rPr>
          <w:rFonts w:ascii="Arial" w:cs="Arial" w:eastAsia="Arial" w:hAnsi="Arial"/>
          <w:sz w:val="18"/>
          <w:szCs w:val="18"/>
          <w:color w:val="auto"/>
        </w:rPr>
        <w:t>The two year performance cycle to which this Agreement applies commences on [DATE] and ends on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Cycle”).</w:t>
      </w:r>
    </w:p>
    <w:p>
      <w:pPr>
        <w:spacing w:after="0" w:line="161" w:lineRule="exact"/>
        <w:rPr>
          <w:rFonts w:ascii="Arial" w:cs="Arial" w:eastAsia="Arial" w:hAnsi="Arial"/>
          <w:sz w:val="18"/>
          <w:szCs w:val="18"/>
          <w:b w:val="1"/>
          <w:bCs w:val="1"/>
          <w:color w:val="auto"/>
        </w:rPr>
      </w:pPr>
    </w:p>
    <w:p>
      <w:pPr>
        <w:ind w:left="660" w:right="20" w:hanging="328"/>
        <w:spacing w:after="0" w:line="282"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Timing of Payments. </w:t>
      </w:r>
      <w:r>
        <w:rPr>
          <w:rFonts w:ascii="Arial" w:cs="Arial" w:eastAsia="Arial" w:hAnsi="Arial"/>
          <w:sz w:val="18"/>
          <w:szCs w:val="18"/>
          <w:color w:val="auto"/>
        </w:rPr>
        <w:t>The payment of Growth Plan Unit awards is contingent upon (i) the achievement of the performance criteria outlined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 above, and (ii) except as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both"/>
        <w:ind w:left="328"/>
        <w:spacing w:after="0" w:line="293" w:lineRule="auto"/>
        <w:rPr>
          <w:sz w:val="20"/>
          <w:szCs w:val="20"/>
          <w:color w:val="auto"/>
        </w:rPr>
      </w:pPr>
      <w:r>
        <w:rPr>
          <w:rFonts w:ascii="Arial" w:cs="Arial" w:eastAsia="Arial" w:hAnsi="Arial"/>
          <w:sz w:val="16"/>
          <w:szCs w:val="16"/>
          <w:color w:val="auto"/>
        </w:rPr>
        <w:t>otherwise provided in this Agreement, you remaining actively employed by the Company on the applicable payment dates. Thus, for example, if you are receiving pay from the Company but not actively performing services therefore (including, but not limited to, severance periods, notice periods, and grandfathered vacation periods), you will not be considered “active” for purposes of the payment of Growth Plan Unit awards. To the extent a Growth Plan Unit award is earned, you will receive it in two installments (subject to the active employment criteria described herein). One-half of your Actual Award will be paid in [MONTH, YEAR] and the second half of your Actual Award will be paid in [MONTH, YEAR]; provided, however, that in no event will a payment be made later than two and one-half months from the end of the year in which the payment vests.</w:t>
      </w:r>
    </w:p>
    <w:p>
      <w:pPr>
        <w:spacing w:after="0" w:line="161" w:lineRule="exact"/>
        <w:rPr>
          <w:sz w:val="20"/>
          <w:szCs w:val="20"/>
          <w:color w:val="auto"/>
        </w:rPr>
      </w:pPr>
    </w:p>
    <w:p>
      <w:pPr>
        <w:jc w:val="both"/>
        <w:ind w:left="328" w:hanging="328"/>
        <w:spacing w:after="0" w:line="272" w:lineRule="auto"/>
        <w:tabs>
          <w:tab w:leader="none" w:pos="32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Form of Payment. </w:t>
      </w:r>
      <w:r>
        <w:rPr>
          <w:rFonts w:ascii="Arial" w:cs="Arial" w:eastAsia="Arial" w:hAnsi="Arial"/>
          <w:sz w:val="17"/>
          <w:szCs w:val="17"/>
          <w:color w:val="auto"/>
        </w:rPr>
        <w:t>Growth Plan Units may be paid out in either cash or shares of the Company’s common stock (“Shares”), at the discretion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Your award will be expressed in U.S. dollars. Payment shall be made in the same currency as your pay (“Local Currency”). In the event you receive pay in more than one Local Currency, the currency used for payment will be at the discretion of the Company or your employer. The Company will normalize your award value for any fluctuation in exchange rates between U.S. dollars and your Local Currency using the rate in effect for compensation planning at the beginning of the Performance Cycle. If your Actual Award is paid in Shares, the number of Shares shall be determined by dividing the Actual Award by the Fair Market Value (as defined in the Plan) of the Shares as of the date the Committee determines the amount of your Actual Award. Fractional Shares will always be paid in cash. No payment amounts will be credited with interest, and you may not defer the payment of any awards hereunder.</w:t>
      </w:r>
    </w:p>
    <w:p>
      <w:pPr>
        <w:spacing w:after="0" w:line="172" w:lineRule="exact"/>
        <w:rPr>
          <w:rFonts w:ascii="Arial" w:cs="Arial" w:eastAsia="Arial" w:hAnsi="Arial"/>
          <w:sz w:val="17"/>
          <w:szCs w:val="17"/>
          <w:b w:val="1"/>
          <w:bCs w:val="1"/>
          <w:color w:val="auto"/>
        </w:rPr>
      </w:pPr>
    </w:p>
    <w:p>
      <w:pPr>
        <w:jc w:val="both"/>
        <w:ind w:left="328" w:hanging="328"/>
        <w:spacing w:after="0" w:line="261" w:lineRule="auto"/>
        <w:tabs>
          <w:tab w:leader="none" w:pos="328"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If your employment with the Company is terminated for any reason other than death [or retirement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8] or you incur a Disability prior to the date a Growth Plan Unit payment is to be made pursuant to Section 5 above, any unpaid amounts shall be forfeited and your rights with respect to any Growth Plan Units will terminate unless the Committee, or its designee, determines otherwise in its sole and absolute discretion.</w:t>
      </w:r>
    </w:p>
    <w:p>
      <w:pPr>
        <w:spacing w:after="0" w:line="180" w:lineRule="exact"/>
        <w:rPr>
          <w:rFonts w:ascii="Arial" w:cs="Arial" w:eastAsia="Arial" w:hAnsi="Arial"/>
          <w:sz w:val="18"/>
          <w:szCs w:val="18"/>
          <w:b w:val="1"/>
          <w:bCs w:val="1"/>
          <w:color w:val="auto"/>
        </w:rPr>
      </w:pPr>
    </w:p>
    <w:p>
      <w:pPr>
        <w:jc w:val="both"/>
        <w:ind w:left="328" w:hanging="328"/>
        <w:spacing w:after="0" w:line="291" w:lineRule="auto"/>
        <w:tabs>
          <w:tab w:leader="none" w:pos="32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or Disability[ or Retirement]. </w:t>
      </w:r>
      <w:r>
        <w:rPr>
          <w:rFonts w:ascii="Arial" w:cs="Arial" w:eastAsia="Arial" w:hAnsi="Arial"/>
          <w:sz w:val="16"/>
          <w:szCs w:val="16"/>
          <w:color w:val="auto"/>
        </w:rPr>
        <w:t>If your employment with the Company terminates because of death or you incur a Disability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prior to the first installment payment of your Actual Award, you or your estate will receive the prorated value of your Actual Award. The prorated value of the Actual Award shall be determined by multiplying the Actual Award by a fraction, the numerator of which is the number of days you were actively employed by the Company during the Performance Cycle prior to your death or Disability, and the denominator of which is the total number of days from your first eligibility date during the Performance Cycle through the last day of the Performance Cycle. Such prorated Actual Award shall be payable in a single lump sum at the time the first installment payment is paid to other Growth Plan grantees. If your death or Disability occurs after the first installment payment of your Actual Award has been made but before the second installment payment has been made, the Company shall pay the second installment payment in a lump sum as soon as practicable after the date of death or Disability.</w:t>
      </w:r>
    </w:p>
    <w:p>
      <w:pPr>
        <w:spacing w:after="0" w:line="164" w:lineRule="exact"/>
        <w:rPr>
          <w:sz w:val="20"/>
          <w:szCs w:val="20"/>
          <w:color w:val="auto"/>
        </w:rPr>
      </w:pPr>
    </w:p>
    <w:p>
      <w:pPr>
        <w:jc w:val="both"/>
        <w:ind w:left="328"/>
        <w:spacing w:after="0" w:line="264" w:lineRule="auto"/>
        <w:rPr>
          <w:sz w:val="20"/>
          <w:szCs w:val="20"/>
          <w:color w:val="auto"/>
        </w:rPr>
      </w:pPr>
      <w:r>
        <w:rPr>
          <w:rFonts w:ascii="Arial" w:cs="Arial" w:eastAsia="Arial" w:hAnsi="Arial"/>
          <w:sz w:val="18"/>
          <w:szCs w:val="18"/>
          <w:color w:val="auto"/>
        </w:rPr>
        <w:t>[INCLUDE AS APPLICABLE: If you retire from the Company and its Affiliates after you attain age 62 with 25 Years of Service (as defined in the Plan) and after the Performance Cycle ends, (i) but before the first installment of your Actual Award is paid, you will receive an amount equal to the sum of (A) the first installment and (B) the prorated value of the</w:t>
      </w:r>
    </w:p>
    <w:p>
      <w:pPr>
        <w:spacing w:after="0" w:line="1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152400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9" w:right="239" w:bottom="1440" w:gutter="0" w:footer="0" w:header="0"/>
        </w:sectPr>
      </w:pPr>
    </w:p>
    <w:bookmarkStart w:id="65" w:name="page66"/>
    <w:bookmarkEnd w:id="65"/>
    <w:p>
      <w:pPr>
        <w:jc w:val="both"/>
        <w:ind w:left="328"/>
        <w:spacing w:after="0" w:line="288" w:lineRule="auto"/>
        <w:rPr>
          <w:sz w:val="20"/>
          <w:szCs w:val="20"/>
          <w:color w:val="auto"/>
        </w:rPr>
      </w:pPr>
      <w:r>
        <w:rPr>
          <w:rFonts w:ascii="Arial" w:cs="Arial" w:eastAsia="Arial" w:hAnsi="Arial"/>
          <w:sz w:val="16"/>
          <w:szCs w:val="16"/>
          <w:color w:val="auto"/>
        </w:rPr>
        <w:t>second installment, or (ii) but before the second installment of your Actual Award is paid, you will receive an amount equal to the prorated value of the second installment. For purposes of this paragraph, the prorated value of the second installment shall be determined by multiplying the second installment by a fraction, the numerator of which is the number of days you were actively employed by the Company and its Affiliates from the</w:t>
      </w:r>
    </w:p>
    <w:p>
      <w:pPr>
        <w:jc w:val="both"/>
        <w:ind w:left="328"/>
        <w:spacing w:after="0" w:line="217" w:lineRule="auto"/>
        <w:rPr>
          <w:sz w:val="20"/>
          <w:szCs w:val="20"/>
          <w:color w:val="auto"/>
        </w:rPr>
      </w:pPr>
      <w:r>
        <w:rPr>
          <w:rFonts w:ascii="Arial" w:cs="Arial" w:eastAsia="Arial" w:hAnsi="Arial"/>
          <w:sz w:val="18"/>
          <w:szCs w:val="18"/>
          <w:color w:val="auto"/>
        </w:rPr>
        <w:t>January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immediately following the end of the Performance Cycle to your separation from service date and the denominator of which is 439. Subject to Section 19, this amount shall be paid to you as soon as practicable following your separation from service with the Company and its Affiliates.</w:t>
      </w:r>
    </w:p>
    <w:p>
      <w:pPr>
        <w:spacing w:after="0" w:line="204" w:lineRule="exact"/>
        <w:rPr>
          <w:sz w:val="20"/>
          <w:szCs w:val="20"/>
          <w:color w:val="auto"/>
        </w:rPr>
      </w:pPr>
    </w:p>
    <w:p>
      <w:pPr>
        <w:jc w:val="both"/>
        <w:ind w:left="328"/>
        <w:spacing w:after="0" w:line="312" w:lineRule="auto"/>
        <w:rPr>
          <w:sz w:val="20"/>
          <w:szCs w:val="20"/>
          <w:color w:val="auto"/>
        </w:rPr>
      </w:pPr>
      <w:r>
        <w:rPr>
          <w:rFonts w:ascii="Arial" w:cs="Arial" w:eastAsia="Arial" w:hAnsi="Arial"/>
          <w:sz w:val="16"/>
          <w:szCs w:val="16"/>
          <w:color w:val="auto"/>
        </w:rPr>
        <w:t>If you retire from the Company and its Affiliates after you attain age 64 with 25 Years of Service (as defined in the Plan) and after the Performance Cycle ends but before your full Actual Award is paid, you will receive an amount equal to the unpaid portion of your Actual Award, which subject to Section 19, shall be paid to you as soon as practicable following your separation from service with the Company and its Affiliates.]</w:t>
      </w:r>
    </w:p>
    <w:p>
      <w:pPr>
        <w:spacing w:after="0" w:line="143" w:lineRule="exact"/>
        <w:rPr>
          <w:sz w:val="20"/>
          <w:szCs w:val="20"/>
          <w:color w:val="auto"/>
        </w:rPr>
      </w:pPr>
    </w:p>
    <w:p>
      <w:pPr>
        <w:ind w:left="328" w:hanging="328"/>
        <w:spacing w:after="0" w:line="282" w:lineRule="auto"/>
        <w:tabs>
          <w:tab w:leader="none" w:pos="32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anything in Sections 2 through 8 above to the contrary, in the event of a Change in Control,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apply:</w:t>
      </w:r>
    </w:p>
    <w:p>
      <w:pPr>
        <w:spacing w:after="0" w:line="161" w:lineRule="exact"/>
        <w:rPr>
          <w:rFonts w:ascii="Arial" w:cs="Arial" w:eastAsia="Arial" w:hAnsi="Arial"/>
          <w:sz w:val="18"/>
          <w:szCs w:val="18"/>
          <w:b w:val="1"/>
          <w:bCs w:val="1"/>
          <w:color w:val="auto"/>
        </w:rPr>
      </w:pPr>
    </w:p>
    <w:p>
      <w:pPr>
        <w:jc w:val="both"/>
        <w:ind w:left="648" w:hanging="324"/>
        <w:spacing w:after="0" w:line="288" w:lineRule="auto"/>
        <w:tabs>
          <w:tab w:leader="none" w:pos="648"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Rollover of Growth Plan Units. </w:t>
      </w:r>
      <w:r>
        <w:rPr>
          <w:rFonts w:ascii="Arial" w:cs="Arial" w:eastAsia="Arial" w:hAnsi="Arial"/>
          <w:sz w:val="16"/>
          <w:szCs w:val="16"/>
          <w:color w:val="auto"/>
        </w:rPr>
        <w:t>If your Growth Plan Units are adjusted or exchanged pursuant to Section 5.3(c) – (e) of the Plan (concerning</w:t>
      </w:r>
      <w:r>
        <w:rPr>
          <w:rFonts w:ascii="Arial" w:cs="Arial" w:eastAsia="Arial" w:hAnsi="Arial"/>
          <w:sz w:val="16"/>
          <w:szCs w:val="16"/>
          <w:b w:val="1"/>
          <w:bCs w:val="1"/>
          <w:color w:val="auto"/>
        </w:rPr>
        <w:t xml:space="preserve"> </w:t>
      </w:r>
      <w:r>
        <w:rPr>
          <w:rFonts w:ascii="Arial" w:cs="Arial" w:eastAsia="Arial" w:hAnsi="Arial"/>
          <w:sz w:val="16"/>
          <w:szCs w:val="16"/>
          <w:color w:val="auto"/>
        </w:rPr>
        <w:t>rollover of outstanding awards in certain circumstances), then (x) if you incur an involuntary Termination of Employment not for Cause (as defined in Section 2.7 of the Plan) or a voluntarily Termination of Employment for Good Reason (as defined in Section 5.4(d) of the Plan) during the two-year period following the Change in Control and after the Performance Cycle has ended, the portion of your unpaid Actual Award will be paid (in cash or Shares, as determined by the Committee) no later than the earlier of 90 days after the Termination of Employment or two and one-half months after the end of the calendar year in which the Termination of Employment occurs and (y) if you incur an involuntary Termination of Employment not for Cause (as defined in Section 2.7 of the Plan) or a voluntarily Termination of Employment for Good Reason (as defined in Section 5.4(d) of the Plan) during the two-year period following the Change in Control and before the Performance Cycle has ended, an amount equal to the Target Value, pro rated to reflect the portion of the full Performance Cycle that elapsed prior to such Termination of Employment will be paid (in cash or Shares, as determined by the Committee) no later than the earlier of 90 days after the Termination of Employment or two and one-half months after the end of the calendar year in which the Termination of Employment occurs.</w:t>
      </w:r>
    </w:p>
    <w:p>
      <w:pPr>
        <w:spacing w:after="0" w:line="164" w:lineRule="exact"/>
        <w:rPr>
          <w:rFonts w:ascii="Arial" w:cs="Arial" w:eastAsia="Arial" w:hAnsi="Arial"/>
          <w:sz w:val="16"/>
          <w:szCs w:val="16"/>
          <w:b w:val="1"/>
          <w:bCs w:val="1"/>
          <w:color w:val="auto"/>
        </w:rPr>
      </w:pPr>
    </w:p>
    <w:p>
      <w:pPr>
        <w:jc w:val="both"/>
        <w:ind w:left="648" w:hanging="324"/>
        <w:spacing w:after="0" w:line="277" w:lineRule="auto"/>
        <w:tabs>
          <w:tab w:leader="none" w:pos="648" w:val="left"/>
        </w:tabs>
        <w:numPr>
          <w:ilvl w:val="1"/>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Cashout of Awards. </w:t>
      </w:r>
      <w:r>
        <w:rPr>
          <w:rFonts w:ascii="Arial" w:cs="Arial" w:eastAsia="Arial" w:hAnsi="Arial"/>
          <w:sz w:val="17"/>
          <w:szCs w:val="17"/>
          <w:color w:val="auto"/>
        </w:rPr>
        <w:t>Unless adjusted or exchanged pursuant to Section 5.3(c) – (e) of the Plan, an amount equal to the Actual Award,</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based on achievement of the Performance Measures through the date of the Change in Control, as determined by the Committee prior to the Change in Control, pro rated to reflect the portion of the full Performance Cycle that elapsed prior to the Change in Control will be paid (in cash or Shares, as determined by the Committee) no later than the earlier of 90 days after your Termination of Employment or two and one-half months after the end of the calendar year in which the Change in Control occurs.</w:t>
      </w:r>
    </w:p>
    <w:p>
      <w:pPr>
        <w:spacing w:after="0" w:line="1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152400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9" w:right="239" w:bottom="1440" w:gutter="0" w:footer="0" w:header="0"/>
        </w:sectPr>
      </w:pPr>
    </w:p>
    <w:bookmarkStart w:id="66" w:name="page67"/>
    <w:bookmarkEnd w:id="66"/>
    <w:p>
      <w:pPr>
        <w:ind w:left="328" w:right="20" w:hanging="328"/>
        <w:spacing w:after="0" w:line="282" w:lineRule="auto"/>
        <w:tabs>
          <w:tab w:leader="none" w:pos="32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Status. </w:t>
      </w:r>
      <w:r>
        <w:rPr>
          <w:rFonts w:ascii="Arial" w:cs="Arial" w:eastAsia="Arial" w:hAnsi="Arial"/>
          <w:sz w:val="18"/>
          <w:szCs w:val="18"/>
          <w:color w:val="auto"/>
        </w:rPr>
        <w:t>If your role within the Company changes during the Performance Cycle such that you would no longer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Plan Units, this Agreement shall remain in full force and effect as if no such change had occurred.</w:t>
      </w:r>
    </w:p>
    <w:p>
      <w:pPr>
        <w:spacing w:after="0" w:line="161" w:lineRule="exact"/>
        <w:rPr>
          <w:rFonts w:ascii="Arial" w:cs="Arial" w:eastAsia="Arial" w:hAnsi="Arial"/>
          <w:sz w:val="18"/>
          <w:szCs w:val="18"/>
          <w:b w:val="1"/>
          <w:bCs w:val="1"/>
          <w:color w:val="auto"/>
        </w:rPr>
      </w:pPr>
    </w:p>
    <w:p>
      <w:pPr>
        <w:ind w:left="328" w:hanging="328"/>
        <w:spacing w:after="0"/>
        <w:tabs>
          <w:tab w:leader="none" w:pos="32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and Forfeiture of Award.</w:t>
      </w:r>
    </w:p>
    <w:p>
      <w:pPr>
        <w:spacing w:after="0" w:line="225" w:lineRule="exact"/>
        <w:rPr>
          <w:rFonts w:ascii="Arial" w:cs="Arial" w:eastAsia="Arial" w:hAnsi="Arial"/>
          <w:sz w:val="18"/>
          <w:szCs w:val="18"/>
          <w:b w:val="1"/>
          <w:bCs w:val="1"/>
          <w:color w:val="auto"/>
        </w:rPr>
      </w:pPr>
    </w:p>
    <w:p>
      <w:pPr>
        <w:jc w:val="both"/>
        <w:ind w:left="648" w:hanging="324"/>
        <w:spacing w:after="0" w:line="255" w:lineRule="auto"/>
        <w:tabs>
          <w:tab w:leader="none" w:pos="648"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Award is expressly contingent upon you complying with the terms, conditions and definitions contained in this Section 11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at 115 Tabor Road,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89" w:lineRule="exact"/>
        <w:rPr>
          <w:rFonts w:ascii="Arial" w:cs="Arial" w:eastAsia="Arial" w:hAnsi="Arial"/>
          <w:sz w:val="18"/>
          <w:szCs w:val="18"/>
          <w:b w:val="1"/>
          <w:bCs w:val="1"/>
          <w:color w:val="auto"/>
        </w:rPr>
      </w:pPr>
    </w:p>
    <w:p>
      <w:pPr>
        <w:ind w:left="648" w:hanging="324"/>
        <w:spacing w:after="0"/>
        <w:tabs>
          <w:tab w:leader="none" w:pos="648"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left="1288" w:hanging="315"/>
        <w:spacing w:after="0" w:line="267" w:lineRule="auto"/>
        <w:tabs>
          <w:tab w:leader="none" w:pos="1288" w:val="left"/>
        </w:tabs>
        <w:numPr>
          <w:ilvl w:val="2"/>
          <w:numId w:val="50"/>
        </w:numPr>
        <w:rPr>
          <w:rFonts w:ascii="Arial" w:cs="Arial" w:eastAsia="Arial" w:hAnsi="Arial"/>
          <w:sz w:val="17"/>
          <w:szCs w:val="17"/>
          <w:b w:val="1"/>
          <w:bCs w:val="1"/>
          <w:color w:val="auto"/>
        </w:rPr>
      </w:pPr>
      <w:r>
        <w:rPr>
          <w:rFonts w:ascii="Arial" w:cs="Arial" w:eastAsia="Arial" w:hAnsi="Arial"/>
          <w:sz w:val="17"/>
          <w:szCs w:val="17"/>
          <w:color w:val="auto"/>
        </w:rPr>
        <w:t>You expressly agree and acknowledge that the forfeiture provisions of subsection 11.b.2. of this Agreement shall apply if, from the Award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(the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w:t>
      </w:r>
    </w:p>
    <w:p>
      <w:pPr>
        <w:spacing w:after="0" w:line="16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152400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5" w:right="239" w:bottom="1440" w:gutter="0" w:footer="0" w:header="0"/>
        </w:sectPr>
      </w:pPr>
    </w:p>
    <w:bookmarkStart w:id="67" w:name="page68"/>
    <w:bookmarkEnd w:id="67"/>
    <w:p>
      <w:pPr>
        <w:ind w:left="1288"/>
        <w:spacing w:after="0"/>
        <w:rPr>
          <w:sz w:val="20"/>
          <w:szCs w:val="20"/>
          <w:color w:val="auto"/>
        </w:rPr>
      </w:pPr>
      <w:r>
        <w:rPr>
          <w:rFonts w:ascii="Arial" w:cs="Arial" w:eastAsia="Arial" w:hAnsi="Arial"/>
          <w:sz w:val="18"/>
          <w:szCs w:val="18"/>
          <w:color w:val="auto"/>
        </w:rPr>
        <w:t>which is required by any applicable law or regulation or the order of a court or other governmental body.</w:t>
      </w:r>
    </w:p>
    <w:p>
      <w:pPr>
        <w:spacing w:after="0" w:line="225" w:lineRule="exact"/>
        <w:rPr>
          <w:sz w:val="20"/>
          <w:szCs w:val="20"/>
          <w:color w:val="auto"/>
        </w:rPr>
      </w:pPr>
    </w:p>
    <w:p>
      <w:pPr>
        <w:jc w:val="both"/>
        <w:ind w:left="1288"/>
        <w:spacing w:after="0" w:line="312" w:lineRule="auto"/>
        <w:rPr>
          <w:sz w:val="20"/>
          <w:szCs w:val="20"/>
          <w:color w:val="auto"/>
        </w:rPr>
      </w:pPr>
      <w:r>
        <w:rPr>
          <w:rFonts w:ascii="Arial" w:cs="Arial" w:eastAsia="Arial" w:hAnsi="Arial"/>
          <w:sz w:val="16"/>
          <w:szCs w:val="16"/>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47" w:lineRule="exact"/>
        <w:rPr>
          <w:sz w:val="20"/>
          <w:szCs w:val="20"/>
          <w:color w:val="auto"/>
        </w:rPr>
      </w:pPr>
    </w:p>
    <w:p>
      <w:pPr>
        <w:jc w:val="both"/>
        <w:ind w:left="1288" w:hanging="315"/>
        <w:spacing w:after="0" w:line="271" w:lineRule="auto"/>
        <w:tabs>
          <w:tab w:leader="none" w:pos="1288" w:val="left"/>
        </w:tabs>
        <w:numPr>
          <w:ilvl w:val="1"/>
          <w:numId w:val="51"/>
        </w:numPr>
        <w:rPr>
          <w:rFonts w:ascii="Arial" w:cs="Arial" w:eastAsia="Arial" w:hAnsi="Arial"/>
          <w:sz w:val="17"/>
          <w:szCs w:val="17"/>
          <w:b w:val="1"/>
          <w:bCs w:val="1"/>
          <w:color w:val="auto"/>
        </w:rPr>
      </w:pPr>
      <w:r>
        <w:rPr>
          <w:rFonts w:ascii="Arial" w:cs="Arial" w:eastAsia="Arial" w:hAnsi="Arial"/>
          <w:sz w:val="17"/>
          <w:szCs w:val="17"/>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11.b.1. of this Agreement, (i) any Growth Plan payment that has not yet been vested, earned or paid under this Agreement shall immediately be cancelled, and you shall forfeit any rights you have with respect to such payment as of the date of the CEO’s determination, and (ii) you shall immediately deliver to the Company cash equal in value to the gross Growth Plan payment you received under this Agreement during the period beginning twelve (12) months prior to your Termination of Employment and ending on the date of the CEO’s determination.</w:t>
      </w:r>
    </w:p>
    <w:p>
      <w:pPr>
        <w:spacing w:after="0" w:line="178" w:lineRule="exact"/>
        <w:rPr>
          <w:rFonts w:ascii="Arial" w:cs="Arial" w:eastAsia="Arial" w:hAnsi="Arial"/>
          <w:sz w:val="17"/>
          <w:szCs w:val="17"/>
          <w:b w:val="1"/>
          <w:bCs w:val="1"/>
          <w:color w:val="auto"/>
        </w:rPr>
      </w:pPr>
    </w:p>
    <w:p>
      <w:pPr>
        <w:jc w:val="both"/>
        <w:ind w:left="1288" w:hanging="315"/>
        <w:spacing w:after="0" w:line="286" w:lineRule="auto"/>
        <w:tabs>
          <w:tab w:leader="none" w:pos="1288" w:val="left"/>
        </w:tabs>
        <w:numPr>
          <w:ilvl w:val="1"/>
          <w:numId w:val="51"/>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61" w:lineRule="exact"/>
        <w:rPr>
          <w:rFonts w:ascii="Arial" w:cs="Arial" w:eastAsia="Arial" w:hAnsi="Arial"/>
          <w:sz w:val="17"/>
          <w:szCs w:val="17"/>
          <w:b w:val="1"/>
          <w:bCs w:val="1"/>
          <w:color w:val="auto"/>
        </w:rPr>
      </w:pPr>
    </w:p>
    <w:p>
      <w:pPr>
        <w:jc w:val="both"/>
        <w:ind w:left="328" w:hanging="328"/>
        <w:spacing w:after="0" w:line="258" w:lineRule="auto"/>
        <w:tabs>
          <w:tab w:leader="none" w:pos="32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or your local employer shall have the power and the right to deduct or withhold, or require you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to your local employer, prior to any issuance or delivery of a Growth Plan payment,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83" w:lineRule="exact"/>
        <w:rPr>
          <w:rFonts w:ascii="Arial" w:cs="Arial" w:eastAsia="Arial" w:hAnsi="Arial"/>
          <w:sz w:val="18"/>
          <w:szCs w:val="18"/>
          <w:b w:val="1"/>
          <w:bCs w:val="1"/>
          <w:color w:val="auto"/>
        </w:rPr>
      </w:pPr>
    </w:p>
    <w:p>
      <w:pPr>
        <w:ind w:left="328" w:hanging="328"/>
        <w:spacing w:after="0"/>
        <w:tabs>
          <w:tab w:leader="none" w:pos="32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Growth Plan Units will be governed by Section 5.3 of the Plan.</w:t>
      </w:r>
    </w:p>
    <w:p>
      <w:pPr>
        <w:spacing w:after="0" w:line="225" w:lineRule="exact"/>
        <w:rPr>
          <w:rFonts w:ascii="Arial" w:cs="Arial" w:eastAsia="Arial" w:hAnsi="Arial"/>
          <w:sz w:val="18"/>
          <w:szCs w:val="18"/>
          <w:b w:val="1"/>
          <w:bCs w:val="1"/>
          <w:color w:val="auto"/>
        </w:rPr>
      </w:pPr>
    </w:p>
    <w:p>
      <w:pPr>
        <w:ind w:left="328" w:hanging="328"/>
        <w:spacing w:after="0" w:line="282" w:lineRule="auto"/>
        <w:tabs>
          <w:tab w:leader="none" w:pos="32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Awards. </w:t>
      </w:r>
      <w:r>
        <w:rPr>
          <w:rFonts w:ascii="Arial" w:cs="Arial" w:eastAsia="Arial" w:hAnsi="Arial"/>
          <w:sz w:val="18"/>
          <w:szCs w:val="18"/>
          <w:color w:val="auto"/>
        </w:rPr>
        <w:t>You may not transfer any interest in your Growth Plan Units or Actual Award. Any attempt to dispose of your interest in your</w:t>
      </w:r>
      <w:r>
        <w:rPr>
          <w:rFonts w:ascii="Arial" w:cs="Arial" w:eastAsia="Arial" w:hAnsi="Arial"/>
          <w:sz w:val="18"/>
          <w:szCs w:val="18"/>
          <w:b w:val="1"/>
          <w:bCs w:val="1"/>
          <w:color w:val="auto"/>
        </w:rPr>
        <w:t xml:space="preserve"> </w:t>
      </w:r>
      <w:r>
        <w:rPr>
          <w:rFonts w:ascii="Arial" w:cs="Arial" w:eastAsia="Arial" w:hAnsi="Arial"/>
          <w:sz w:val="18"/>
          <w:szCs w:val="18"/>
          <w:color w:val="auto"/>
        </w:rPr>
        <w:t>Growth Plan Units or Actual Award shall be null and void.</w:t>
      </w:r>
    </w:p>
    <w:p>
      <w:pPr>
        <w:spacing w:after="0" w:line="161" w:lineRule="exact"/>
        <w:rPr>
          <w:rFonts w:ascii="Arial" w:cs="Arial" w:eastAsia="Arial" w:hAnsi="Arial"/>
          <w:sz w:val="18"/>
          <w:szCs w:val="18"/>
          <w:b w:val="1"/>
          <w:bCs w:val="1"/>
          <w:color w:val="auto"/>
        </w:rPr>
      </w:pPr>
    </w:p>
    <w:p>
      <w:pPr>
        <w:ind w:left="328" w:hanging="328"/>
        <w:spacing w:after="0" w:line="282" w:lineRule="auto"/>
        <w:tabs>
          <w:tab w:leader="none" w:pos="32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Terms Govern. </w:t>
      </w:r>
      <w:r>
        <w:rPr>
          <w:rFonts w:ascii="Arial" w:cs="Arial" w:eastAsia="Arial" w:hAnsi="Arial"/>
          <w:sz w:val="18"/>
          <w:szCs w:val="18"/>
          <w:color w:val="auto"/>
        </w:rPr>
        <w:t>The vesting of and payment for Growth Plan Units, the disposition of any Shares received for Growth Plan Units,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gain on the disposition of any such Shares, are subject to the provisions of the Plan and any rules that the</w:t>
      </w:r>
    </w:p>
    <w:p>
      <w:pPr>
        <w:spacing w:after="0" w:line="13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152400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9" w:right="239" w:bottom="1440" w:gutter="0" w:footer="0" w:header="0"/>
        </w:sectPr>
      </w:pPr>
    </w:p>
    <w:bookmarkStart w:id="68" w:name="page69"/>
    <w:bookmarkEnd w:id="68"/>
    <w:p>
      <w:pPr>
        <w:jc w:val="both"/>
        <w:ind w:left="328"/>
        <w:spacing w:after="0" w:line="259" w:lineRule="auto"/>
        <w:rPr>
          <w:sz w:val="20"/>
          <w:szCs w:val="20"/>
          <w:color w:val="auto"/>
        </w:rPr>
      </w:pPr>
      <w:r>
        <w:rPr>
          <w:rFonts w:ascii="Arial" w:cs="Arial" w:eastAsia="Arial" w:hAnsi="Arial"/>
          <w:sz w:val="18"/>
          <w:szCs w:val="18"/>
          <w:color w:val="auto"/>
        </w:rPr>
        <w:t>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183" w:lineRule="exact"/>
        <w:rPr>
          <w:sz w:val="20"/>
          <w:szCs w:val="20"/>
          <w:color w:val="auto"/>
        </w:rPr>
      </w:pPr>
    </w:p>
    <w:p>
      <w:pPr>
        <w:ind w:left="328" w:hanging="328"/>
        <w:spacing w:after="0"/>
        <w:tabs>
          <w:tab w:leader="none" w:pos="32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ind w:left="968" w:right="20" w:hanging="320"/>
        <w:spacing w:after="0" w:line="308" w:lineRule="auto"/>
        <w:tabs>
          <w:tab w:leader="none" w:pos="968" w:val="left"/>
        </w:tabs>
        <w:numPr>
          <w:ilvl w:val="1"/>
          <w:numId w:val="53"/>
        </w:numPr>
        <w:rPr>
          <w:rFonts w:ascii="Arial" w:cs="Arial" w:eastAsia="Arial" w:hAnsi="Arial"/>
          <w:sz w:val="17"/>
          <w:szCs w:val="17"/>
          <w:color w:val="auto"/>
        </w:rPr>
      </w:pPr>
      <w:r>
        <w:rPr>
          <w:rFonts w:ascii="Arial" w:cs="Arial" w:eastAsia="Arial" w:hAnsi="Arial"/>
          <w:sz w:val="17"/>
          <w:szCs w:val="17"/>
          <w:color w:val="auto"/>
        </w:rPr>
        <w:t>By entering into this Agreement, and as a condition of the grant of the Growth Plan Units, you expressly consent to the collection, use, and transfer of personal data as described in this Section to the full extent permitted by and in full compliance with applicable law.</w:t>
      </w:r>
    </w:p>
    <w:p>
      <w:pPr>
        <w:spacing w:after="0" w:line="146" w:lineRule="exact"/>
        <w:rPr>
          <w:rFonts w:ascii="Arial" w:cs="Arial" w:eastAsia="Arial" w:hAnsi="Arial"/>
          <w:sz w:val="17"/>
          <w:szCs w:val="17"/>
          <w:color w:val="auto"/>
        </w:rPr>
      </w:pPr>
    </w:p>
    <w:p>
      <w:pPr>
        <w:jc w:val="both"/>
        <w:ind w:left="968" w:hanging="320"/>
        <w:spacing w:after="0" w:line="279" w:lineRule="auto"/>
        <w:tabs>
          <w:tab w:leader="none" w:pos="968" w:val="left"/>
        </w:tabs>
        <w:numPr>
          <w:ilvl w:val="1"/>
          <w:numId w:val="53"/>
        </w:numPr>
        <w:rPr>
          <w:rFonts w:ascii="Arial" w:cs="Arial" w:eastAsia="Arial" w:hAnsi="Arial"/>
          <w:sz w:val="17"/>
          <w:szCs w:val="17"/>
          <w:color w:val="auto"/>
        </w:rPr>
      </w:pPr>
      <w:r>
        <w:rPr>
          <w:rFonts w:ascii="Arial" w:cs="Arial" w:eastAsia="Arial" w:hAnsi="Arial"/>
          <w:sz w:val="17"/>
          <w:szCs w:val="17"/>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units or other entitlement to shares or cash awarded, canceled, exercised, vested, unvested, or outstanding in your favor, for the purpose of managing and administering the Plan (“Data”).</w:t>
      </w:r>
    </w:p>
    <w:p>
      <w:pPr>
        <w:spacing w:after="0" w:line="171" w:lineRule="exact"/>
        <w:rPr>
          <w:rFonts w:ascii="Arial" w:cs="Arial" w:eastAsia="Arial" w:hAnsi="Arial"/>
          <w:sz w:val="17"/>
          <w:szCs w:val="17"/>
          <w:color w:val="auto"/>
        </w:rPr>
      </w:pPr>
    </w:p>
    <w:p>
      <w:pPr>
        <w:jc w:val="both"/>
        <w:ind w:left="968" w:hanging="320"/>
        <w:spacing w:after="0" w:line="264"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You further understand that part or all of your Data may be also held by the Company or its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81" w:lineRule="exact"/>
        <w:rPr>
          <w:rFonts w:ascii="Arial" w:cs="Arial" w:eastAsia="Arial" w:hAnsi="Arial"/>
          <w:sz w:val="18"/>
          <w:szCs w:val="18"/>
          <w:color w:val="auto"/>
        </w:rPr>
      </w:pPr>
    </w:p>
    <w:p>
      <w:pPr>
        <w:jc w:val="both"/>
        <w:ind w:left="968" w:hanging="320"/>
        <w:spacing w:after="0" w:line="259"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color w:val="auto"/>
        </w:rPr>
      </w:pPr>
    </w:p>
    <w:p>
      <w:pPr>
        <w:jc w:val="both"/>
        <w:ind w:left="968" w:hanging="320"/>
        <w:spacing w:after="0" w:line="276" w:lineRule="auto"/>
        <w:tabs>
          <w:tab w:leader="none" w:pos="968" w:val="left"/>
        </w:tabs>
        <w:numPr>
          <w:ilvl w:val="1"/>
          <w:numId w:val="53"/>
        </w:numPr>
        <w:rPr>
          <w:rFonts w:ascii="Arial" w:cs="Arial" w:eastAsia="Arial" w:hAnsi="Arial"/>
          <w:sz w:val="17"/>
          <w:szCs w:val="17"/>
          <w:color w:val="auto"/>
        </w:rPr>
      </w:pPr>
      <w:r>
        <w:rPr>
          <w:rFonts w:ascii="Arial" w:cs="Arial" w:eastAsia="Arial" w:hAnsi="Arial"/>
          <w:sz w:val="17"/>
          <w:szCs w:val="17"/>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72" w:lineRule="exact"/>
        <w:rPr>
          <w:rFonts w:ascii="Arial" w:cs="Arial" w:eastAsia="Arial" w:hAnsi="Arial"/>
          <w:sz w:val="17"/>
          <w:szCs w:val="17"/>
          <w:color w:val="auto"/>
        </w:rPr>
      </w:pPr>
    </w:p>
    <w:p>
      <w:pPr>
        <w:jc w:val="both"/>
        <w:ind w:left="968" w:hanging="320"/>
        <w:spacing w:after="0" w:line="264"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152400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9" w:right="239" w:bottom="1440" w:gutter="0" w:footer="0" w:header="0"/>
        </w:sectPr>
      </w:pPr>
    </w:p>
    <w:bookmarkStart w:id="69" w:name="page70"/>
    <w:bookmarkEnd w:id="69"/>
    <w:p>
      <w:pPr>
        <w:ind w:left="328" w:hanging="328"/>
        <w:spacing w:after="0" w:line="282" w:lineRule="auto"/>
        <w:tabs>
          <w:tab w:leader="none" w:pos="32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Discretionary Nature and Acceptance of Award</w:t>
      </w:r>
      <w:r>
        <w:rPr>
          <w:rFonts w:ascii="Arial" w:cs="Arial" w:eastAsia="Arial" w:hAnsi="Arial"/>
          <w:sz w:val="18"/>
          <w:szCs w:val="18"/>
          <w:color w:val="auto"/>
        </w:rPr>
        <w:t>. By accepting this Award, you agree to be bound by the terms of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w:t>
      </w:r>
    </w:p>
    <w:p>
      <w:pPr>
        <w:spacing w:after="0" w:line="165" w:lineRule="exact"/>
        <w:rPr>
          <w:rFonts w:ascii="Arial" w:cs="Arial" w:eastAsia="Arial" w:hAnsi="Arial"/>
          <w:sz w:val="18"/>
          <w:szCs w:val="18"/>
          <w:b w:val="1"/>
          <w:bCs w:val="1"/>
          <w:color w:val="auto"/>
        </w:rPr>
      </w:pPr>
    </w:p>
    <w:p>
      <w:pPr>
        <w:ind w:left="968" w:right="20" w:hanging="320"/>
        <w:spacing w:after="0" w:line="277"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(and not your local employer) is granting your Growth Plan Units. Furthermore, this Agreement is not derived from any preexisting labor relationship between you and the Company, but rather from a mercantile relationship.</w:t>
      </w:r>
    </w:p>
    <w:p>
      <w:pPr>
        <w:spacing w:after="0" w:line="170"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may administer the Plan from outside your country of residence and United States law will govern all Growth Plan Units granted under the Plan.</w:t>
      </w:r>
    </w:p>
    <w:p>
      <w:pPr>
        <w:spacing w:after="0" w:line="170"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w:t>
      </w:r>
    </w:p>
    <w:p>
      <w:pPr>
        <w:spacing w:after="0" w:line="170" w:lineRule="exact"/>
        <w:rPr>
          <w:rFonts w:ascii="Arial" w:cs="Arial" w:eastAsia="Arial" w:hAnsi="Arial"/>
          <w:sz w:val="18"/>
          <w:szCs w:val="18"/>
          <w:color w:val="auto"/>
        </w:rPr>
      </w:pPr>
    </w:p>
    <w:p>
      <w:pPr>
        <w:jc w:val="both"/>
        <w:ind w:left="968" w:hanging="320"/>
        <w:spacing w:after="0" w:line="293" w:lineRule="auto"/>
        <w:tabs>
          <w:tab w:leader="none" w:pos="968"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64" w:lineRule="exact"/>
        <w:rPr>
          <w:rFonts w:ascii="Arial" w:cs="Arial" w:eastAsia="Arial" w:hAnsi="Arial"/>
          <w:sz w:val="16"/>
          <w:szCs w:val="16"/>
          <w:color w:val="auto"/>
        </w:rPr>
      </w:pPr>
    </w:p>
    <w:p>
      <w:pPr>
        <w:jc w:val="both"/>
        <w:ind w:left="968" w:hanging="320"/>
        <w:spacing w:after="0" w:line="276" w:lineRule="auto"/>
        <w:tabs>
          <w:tab w:leader="none" w:pos="968"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grant of Growth Plan Units hereunder, and any future grant of Growth Plan Units under the Plan, is entirely voluntary, and at the complete discretion of the Company. Neither the grant of the Growth Plan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except as provided in Section 15, no such amendment, suspension, or termination will adversely affect your rights hereunder.</w:t>
      </w:r>
    </w:p>
    <w:p>
      <w:pPr>
        <w:spacing w:after="0" w:line="172" w:lineRule="exact"/>
        <w:rPr>
          <w:rFonts w:ascii="Arial" w:cs="Arial" w:eastAsia="Arial" w:hAnsi="Arial"/>
          <w:sz w:val="17"/>
          <w:szCs w:val="17"/>
          <w:color w:val="auto"/>
        </w:rPr>
      </w:pPr>
    </w:p>
    <w:p>
      <w:pPr>
        <w:jc w:val="both"/>
        <w:ind w:left="968" w:hanging="320"/>
        <w:spacing w:after="0" w:line="264"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81"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Participation in the Plan will not be deemed to constitute, and will not be deemed by you to constitute, an employment or labor relationship of any kind with the Company.</w:t>
      </w:r>
    </w:p>
    <w:p>
      <w:pPr>
        <w:spacing w:after="0" w:line="166" w:lineRule="exact"/>
        <w:rPr>
          <w:rFonts w:ascii="Arial" w:cs="Arial" w:eastAsia="Arial" w:hAnsi="Arial"/>
          <w:sz w:val="18"/>
          <w:szCs w:val="18"/>
          <w:color w:val="auto"/>
        </w:rPr>
      </w:pPr>
    </w:p>
    <w:p>
      <w:pPr>
        <w:jc w:val="both"/>
        <w:ind w:left="328" w:hanging="328"/>
        <w:spacing w:after="0" w:line="261" w:lineRule="auto"/>
        <w:tabs>
          <w:tab w:leader="none" w:pos="32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Plan gives you any right to continue in the employ of the Company or any of its Affiliates or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interfere in any way with the right of the Company or any Affiliate to terminate your employment at any time. Payment of your Growth Plan Units or Actual Award is not secured by a trust, insurance contract or other funding medium, and you do not have any interest in any fund or specific asset of the</w:t>
      </w:r>
    </w:p>
    <w:p>
      <w:pPr>
        <w:spacing w:after="0" w:line="15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152400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5"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6"/>
          <w:szCs w:val="16"/>
          <w:color w:val="auto"/>
        </w:rPr>
        <w:t>Company by reason of this Agreement. You have no rights as a shareowner of the Company unless and until Shares are actually delivered to you.</w:t>
      </w:r>
    </w:p>
    <w:p>
      <w:pPr>
        <w:spacing w:after="0" w:line="244" w:lineRule="exact"/>
        <w:rPr>
          <w:sz w:val="20"/>
          <w:szCs w:val="20"/>
          <w:color w:val="auto"/>
        </w:rPr>
      </w:pPr>
    </w:p>
    <w:p>
      <w:pPr>
        <w:ind w:left="660" w:hanging="328"/>
        <w:spacing w:after="0" w:line="313" w:lineRule="auto"/>
        <w:tabs>
          <w:tab w:leader="none" w:pos="6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 Changes. </w:t>
      </w:r>
      <w:r>
        <w:rPr>
          <w:rFonts w:ascii="Arial" w:cs="Arial" w:eastAsia="Arial" w:hAnsi="Arial"/>
          <w:sz w:val="17"/>
          <w:szCs w:val="17"/>
          <w:color w:val="auto"/>
        </w:rPr>
        <w:t>The Company reserves the right to change the terms of this Agreement and the Plan without your consent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desirable to comply with the requirements of Code section 409A, the Treasury regulations and other guidance thereunder.</w:t>
      </w:r>
    </w:p>
    <w:p>
      <w:pPr>
        <w:spacing w:after="0" w:line="138" w:lineRule="exact"/>
        <w:rPr>
          <w:rFonts w:ascii="Arial" w:cs="Arial" w:eastAsia="Arial" w:hAnsi="Arial"/>
          <w:sz w:val="17"/>
          <w:szCs w:val="17"/>
          <w:b w:val="1"/>
          <w:bCs w:val="1"/>
          <w:color w:val="auto"/>
        </w:rPr>
      </w:pPr>
    </w:p>
    <w:p>
      <w:pPr>
        <w:ind w:left="660" w:hanging="328"/>
        <w:spacing w:after="0" w:line="347" w:lineRule="auto"/>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Incorporation of Other Agreements. </w:t>
      </w:r>
      <w:r>
        <w:rPr>
          <w:rFonts w:ascii="Arial" w:cs="Arial" w:eastAsia="Arial" w:hAnsi="Arial"/>
          <w:sz w:val="16"/>
          <w:szCs w:val="16"/>
          <w:color w:val="auto"/>
        </w:rPr>
        <w:t>This Agreement and the Plan constitute the entire understanding between you and the Company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Growth Plan Units. This Agreement supersedes any prior agreements, commitments or negotiations concerning the Growth Plan Units.</w:t>
      </w:r>
    </w:p>
    <w:p>
      <w:pPr>
        <w:spacing w:after="0" w:line="116" w:lineRule="exact"/>
        <w:rPr>
          <w:rFonts w:ascii="Arial" w:cs="Arial" w:eastAsia="Arial" w:hAnsi="Arial"/>
          <w:sz w:val="16"/>
          <w:szCs w:val="16"/>
          <w:b w:val="1"/>
          <w:bCs w:val="1"/>
          <w:color w:val="auto"/>
        </w:rPr>
      </w:pPr>
    </w:p>
    <w:p>
      <w:pPr>
        <w:jc w:val="both"/>
        <w:ind w:left="660" w:hanging="328"/>
        <w:spacing w:after="0" w:line="289" w:lineRule="auto"/>
        <w:tabs>
          <w:tab w:leader="none" w:pos="6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will not affect the validity or enforceability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58" w:lineRule="exact"/>
        <w:rPr>
          <w:rFonts w:ascii="Arial" w:cs="Arial" w:eastAsia="Arial" w:hAnsi="Arial"/>
          <w:sz w:val="17"/>
          <w:szCs w:val="17"/>
          <w:b w:val="1"/>
          <w:bCs w:val="1"/>
          <w:color w:val="auto"/>
        </w:rPr>
      </w:pPr>
    </w:p>
    <w:p>
      <w:pPr>
        <w:jc w:val="both"/>
        <w:ind w:left="660" w:hanging="328"/>
        <w:spacing w:after="0" w:line="266" w:lineRule="auto"/>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jc w:val="both"/>
        <w:ind w:left="660" w:hanging="328"/>
        <w:spacing w:after="0" w:line="303" w:lineRule="auto"/>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Acknowledgements and Acceptance. </w:t>
      </w:r>
      <w:r>
        <w:rPr>
          <w:rFonts w:ascii="Arial" w:cs="Arial" w:eastAsia="Arial" w:hAnsi="Arial"/>
          <w:sz w:val="16"/>
          <w:szCs w:val="16"/>
          <w:color w:val="auto"/>
        </w:rPr>
        <w:t>By accepting this Agreement, you agree that: (i) you have carefully read, fully understand and agree to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described in this Agreement, the Plan, the Plan’s prospectus and all accompanying documentation; and (ii) you understand and agree that this Agreement and the Plan constitute the entire understanding between you and the Company regarding the Growth Plan Units, and that any prior agreements, commitments, or negotiations concerning the Growth Plan Units are replaced and superseded.</w:t>
      </w:r>
    </w:p>
    <w:p>
      <w:pPr>
        <w:spacing w:after="0" w:line="15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 xml:space="preserve">To retain this Award, you must accept it by printing the Agreement and signing and dating below. </w:t>
      </w:r>
      <w:r>
        <w:rPr>
          <w:rFonts w:ascii="Arial" w:cs="Arial" w:eastAsia="Arial" w:hAnsi="Arial"/>
          <w:sz w:val="16"/>
          <w:szCs w:val="16"/>
          <w:b w:val="1"/>
          <w:bCs w:val="1"/>
          <w:color w:val="auto"/>
        </w:rPr>
        <w:t>Return the signed Agreement to Honeywell</w:t>
      </w:r>
    </w:p>
    <w:p>
      <w:pPr>
        <w:spacing w:after="0" w:line="50" w:lineRule="exact"/>
        <w:rPr>
          <w:rFonts w:ascii="Arial" w:cs="Arial" w:eastAsia="Arial" w:hAnsi="Arial"/>
          <w:sz w:val="16"/>
          <w:szCs w:val="16"/>
          <w:b w:val="1"/>
          <w:bCs w:val="1"/>
          <w:color w:val="auto"/>
        </w:rPr>
      </w:pPr>
    </w:p>
    <w:p>
      <w:pPr>
        <w:ind w:left="660" w:right="3180"/>
        <w:spacing w:after="0" w:line="511" w:lineRule="auto"/>
        <w:rPr>
          <w:rFonts w:ascii="Arial" w:cs="Arial" w:eastAsia="Arial" w:hAnsi="Arial"/>
          <w:sz w:val="16"/>
          <w:szCs w:val="16"/>
          <w:b w:val="1"/>
          <w:bCs w:val="1"/>
          <w:color w:val="auto"/>
        </w:rPr>
      </w:pPr>
      <w:r>
        <w:rPr>
          <w:rFonts w:ascii="Arial" w:cs="Arial" w:eastAsia="Arial" w:hAnsi="Arial"/>
          <w:sz w:val="18"/>
          <w:szCs w:val="18"/>
          <w:b w:val="1"/>
          <w:bCs w:val="1"/>
          <w:color w:val="auto"/>
        </w:rPr>
        <w:t>International Inc., Executive Compensation/4B, 115 Tabor Road, Morris Plains, New Jersey 07950. I Accept: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 w:type="dxa"/>
            <w:vAlign w:val="bottom"/>
          </w:tcPr>
          <w:p>
            <w:pPr>
              <w:spacing w:after="0"/>
              <w:rPr>
                <w:sz w:val="21"/>
                <w:szCs w:val="21"/>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4460" w:type="dxa"/>
            <w:vAlign w:val="bottom"/>
            <w:tcBorders>
              <w:top w:val="single" w:sz="8" w:color="auto"/>
            </w:tcBorders>
          </w:tcPr>
          <w:p>
            <w:pPr>
              <w:ind w:left="3580"/>
              <w:spacing w:after="0"/>
              <w:rPr>
                <w:sz w:val="20"/>
                <w:szCs w:val="20"/>
                <w:color w:val="auto"/>
              </w:rPr>
            </w:pPr>
            <w:r>
              <w:rPr>
                <w:rFonts w:ascii="Arial" w:cs="Arial" w:eastAsia="Arial" w:hAnsi="Arial"/>
                <w:sz w:val="18"/>
                <w:szCs w:val="18"/>
                <w:color w:val="auto"/>
              </w:rPr>
              <w:t>EID</w:t>
            </w:r>
          </w:p>
        </w:tc>
        <w:tc>
          <w:tcPr>
            <w:tcW w:w="3380" w:type="dxa"/>
            <w:vAlign w:val="bottom"/>
          </w:tcPr>
          <w:p>
            <w:pPr>
              <w:spacing w:after="0"/>
              <w:rPr>
                <w:sz w:val="21"/>
                <w:szCs w:val="21"/>
                <w:color w:val="auto"/>
              </w:rPr>
            </w:pPr>
          </w:p>
        </w:tc>
      </w:tr>
      <w:tr>
        <w:trPr>
          <w:trHeight w:val="418"/>
        </w:trPr>
        <w:tc>
          <w:tcPr>
            <w:tcW w:w="66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380" w:type="dxa"/>
            <w:vAlign w:val="bottom"/>
          </w:tcPr>
          <w:p>
            <w:pPr>
              <w:spacing w:after="0"/>
              <w:rPr>
                <w:sz w:val="24"/>
                <w:szCs w:val="24"/>
                <w:color w:val="auto"/>
              </w:rPr>
            </w:pPr>
          </w:p>
        </w:tc>
      </w:tr>
      <w:tr>
        <w:trPr>
          <w:trHeight w:val="224"/>
        </w:trPr>
        <w:tc>
          <w:tcPr>
            <w:tcW w:w="6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Signature</w:t>
            </w:r>
          </w:p>
        </w:tc>
        <w:tc>
          <w:tcPr>
            <w:tcW w:w="4460" w:type="dxa"/>
            <w:vAlign w:val="bottom"/>
          </w:tcPr>
          <w:p>
            <w:pPr>
              <w:ind w:left="3580"/>
              <w:spacing w:after="0"/>
              <w:rPr>
                <w:sz w:val="20"/>
                <w:szCs w:val="20"/>
                <w:color w:val="auto"/>
              </w:rPr>
            </w:pPr>
            <w:r>
              <w:rPr>
                <w:rFonts w:ascii="Arial" w:cs="Arial" w:eastAsia="Arial" w:hAnsi="Arial"/>
                <w:sz w:val="18"/>
                <w:szCs w:val="18"/>
                <w:color w:val="auto"/>
              </w:rPr>
              <w:t>Date</w:t>
            </w:r>
          </w:p>
        </w:tc>
        <w:tc>
          <w:tcPr>
            <w:tcW w:w="3380" w:type="dxa"/>
            <w:vAlign w:val="bottom"/>
          </w:tcPr>
          <w:p>
            <w:pPr>
              <w:spacing w:after="0"/>
              <w:rPr>
                <w:sz w:val="19"/>
                <w:szCs w:val="19"/>
                <w:color w:val="auto"/>
              </w:rPr>
            </w:pPr>
          </w:p>
        </w:tc>
      </w:tr>
      <w:tr>
        <w:trPr>
          <w:trHeight w:val="391"/>
        </w:trPr>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460" w:type="dxa"/>
            <w:vAlign w:val="bottom"/>
          </w:tcPr>
          <w:p>
            <w:pPr>
              <w:jc w:val="right"/>
              <w:ind w:right="2190"/>
              <w:spacing w:after="0"/>
              <w:rPr>
                <w:sz w:val="20"/>
                <w:szCs w:val="20"/>
                <w:color w:val="auto"/>
              </w:rPr>
            </w:pPr>
            <w:r>
              <w:rPr>
                <w:rFonts w:ascii="Arial" w:cs="Arial" w:eastAsia="Arial" w:hAnsi="Arial"/>
                <w:sz w:val="18"/>
                <w:szCs w:val="18"/>
                <w:color w:val="auto"/>
              </w:rPr>
              <w:t>8</w:t>
            </w:r>
          </w:p>
        </w:tc>
        <w:tc>
          <w:tcPr>
            <w:tcW w:w="3380" w:type="dxa"/>
            <w:vAlign w:val="bottom"/>
          </w:tcPr>
          <w:p>
            <w:pPr>
              <w:spacing w:after="0"/>
              <w:rPr>
                <w:sz w:val="24"/>
                <w:szCs w:val="24"/>
                <w:color w:val="auto"/>
              </w:rPr>
            </w:pPr>
          </w:p>
        </w:tc>
      </w:tr>
      <w:tr>
        <w:trPr>
          <w:trHeight w:val="250"/>
        </w:trPr>
        <w:tc>
          <w:tcPr>
            <w:tcW w:w="660" w:type="dxa"/>
            <w:vAlign w:val="bottom"/>
            <w:tcBorders>
              <w:bottom w:val="single" w:sz="8" w:color="C0C0C0"/>
            </w:tcBorders>
          </w:tcPr>
          <w:p>
            <w:pPr>
              <w:spacing w:after="0"/>
              <w:rPr>
                <w:sz w:val="21"/>
                <w:szCs w:val="21"/>
                <w:color w:val="auto"/>
              </w:rPr>
            </w:pPr>
          </w:p>
        </w:tc>
        <w:tc>
          <w:tcPr>
            <w:tcW w:w="2920" w:type="dxa"/>
            <w:vAlign w:val="bottom"/>
            <w:tcBorders>
              <w:bottom w:val="single" w:sz="8" w:color="C0C0C0"/>
            </w:tcBorders>
          </w:tcPr>
          <w:p>
            <w:pPr>
              <w:spacing w:after="0"/>
              <w:rPr>
                <w:sz w:val="21"/>
                <w:szCs w:val="21"/>
                <w:color w:val="auto"/>
              </w:rPr>
            </w:pPr>
          </w:p>
        </w:tc>
        <w:tc>
          <w:tcPr>
            <w:tcW w:w="4460" w:type="dxa"/>
            <w:vAlign w:val="bottom"/>
            <w:tcBorders>
              <w:bottom w:val="single" w:sz="8" w:color="C0C0C0"/>
            </w:tcBorders>
          </w:tcPr>
          <w:p>
            <w:pPr>
              <w:spacing w:after="0"/>
              <w:rPr>
                <w:sz w:val="21"/>
                <w:szCs w:val="21"/>
                <w:color w:val="auto"/>
              </w:rPr>
            </w:pPr>
          </w:p>
        </w:tc>
        <w:tc>
          <w:tcPr>
            <w:tcW w:w="33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10.5</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NON-EMPLOYEE DIRECTORS</w:t>
      </w: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STOCK OPTION AWARD AGREEMENT made in Morris Plains, New Jersey, as of the [DAY] day of [MONTH, YEAR] (the “Date of Grant”) between Honeywell International Inc. (the “Company”) and [DIRECTOR NAME] (the “Director”).</w:t>
      </w:r>
    </w:p>
    <w:p>
      <w:pPr>
        <w:spacing w:after="0" w:line="166" w:lineRule="exact"/>
        <w:rPr>
          <w:sz w:val="20"/>
          <w:szCs w:val="20"/>
          <w:color w:val="auto"/>
        </w:rPr>
      </w:pPr>
    </w:p>
    <w:p>
      <w:pPr>
        <w:jc w:val="both"/>
        <w:ind w:left="460" w:hanging="452"/>
        <w:spacing w:after="0" w:line="266" w:lineRule="auto"/>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The Company has granted you an Option to purchase [NUMBER] Shares of Common Stock, 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2016 Stock Plan for Non-Employee Directors of Honeywell International Inc. This Option is a nonqualified Option for federal income tax purposes.</w:t>
      </w:r>
    </w:p>
    <w:p>
      <w:pPr>
        <w:spacing w:after="0" w:line="176" w:lineRule="exact"/>
        <w:rPr>
          <w:rFonts w:ascii="Arial" w:cs="Arial" w:eastAsia="Arial" w:hAnsi="Arial"/>
          <w:sz w:val="18"/>
          <w:szCs w:val="18"/>
          <w:b w:val="1"/>
          <w:bCs w:val="1"/>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purchase price of the Shares covered by the Option will be [DOLLAR AMOUNT] per Share.</w:t>
      </w:r>
    </w:p>
    <w:p>
      <w:pPr>
        <w:spacing w:after="0" w:line="225" w:lineRule="exact"/>
        <w:rPr>
          <w:rFonts w:ascii="Arial" w:cs="Arial" w:eastAsia="Arial" w:hAnsi="Arial"/>
          <w:sz w:val="18"/>
          <w:szCs w:val="18"/>
          <w:b w:val="1"/>
          <w:bCs w:val="1"/>
          <w:color w:val="auto"/>
        </w:rPr>
      </w:pPr>
    </w:p>
    <w:p>
      <w:pPr>
        <w:jc w:val="both"/>
        <w:ind w:left="460" w:hanging="452"/>
        <w:spacing w:after="0" w:line="266" w:lineRule="auto"/>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earlier vesting of the Option as provided below upon your retirement from the Company’s Board of Directors at or after age 72,</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or a Change in Control, the Option will become exercisable as follows:[VESTING PROVISIONS CONSISTENT WITH THE PLAN].</w:t>
      </w:r>
    </w:p>
    <w:p>
      <w:pPr>
        <w:spacing w:after="0" w:line="176" w:lineRule="exact"/>
        <w:rPr>
          <w:rFonts w:ascii="Arial" w:cs="Arial" w:eastAsia="Arial" w:hAnsi="Arial"/>
          <w:sz w:val="18"/>
          <w:szCs w:val="18"/>
          <w:b w:val="1"/>
          <w:bCs w:val="1"/>
          <w:color w:val="auto"/>
        </w:rPr>
      </w:pPr>
    </w:p>
    <w:p>
      <w:pPr>
        <w:jc w:val="both"/>
        <w:ind w:left="460" w:hanging="452"/>
        <w:spacing w:after="0" w:line="266" w:lineRule="auto"/>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Option. </w:t>
      </w:r>
      <w:r>
        <w:rPr>
          <w:rFonts w:ascii="Arial" w:cs="Arial" w:eastAsia="Arial" w:hAnsi="Arial"/>
          <w:sz w:val="18"/>
          <w:szCs w:val="18"/>
          <w:color w:val="auto"/>
        </w:rPr>
        <w:t>The Option must be exercised prior to the close of the New York Stock Exchange (“NYSE”) on [EXPIRATION DATE],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termination or cancellation as provided below. If the NYSE is not open for business on the expiration date specified, the Option will expire at the close of the NYSE on the business day immediately preceding [EXPIRATION DATE].</w:t>
      </w:r>
    </w:p>
    <w:p>
      <w:pPr>
        <w:spacing w:after="0" w:line="176" w:lineRule="exact"/>
        <w:rPr>
          <w:rFonts w:ascii="Arial" w:cs="Arial" w:eastAsia="Arial" w:hAnsi="Arial"/>
          <w:sz w:val="18"/>
          <w:szCs w:val="18"/>
          <w:b w:val="1"/>
          <w:bCs w:val="1"/>
          <w:color w:val="auto"/>
        </w:rPr>
      </w:pPr>
    </w:p>
    <w:p>
      <w:pPr>
        <w:jc w:val="both"/>
        <w:ind w:left="460" w:hanging="452"/>
        <w:spacing w:after="0" w:line="289" w:lineRule="auto"/>
        <w:tabs>
          <w:tab w:leader="none" w:pos="4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of Exercise Price. </w:t>
      </w:r>
      <w:r>
        <w:rPr>
          <w:rFonts w:ascii="Arial" w:cs="Arial" w:eastAsia="Arial" w:hAnsi="Arial"/>
          <w:sz w:val="17"/>
          <w:szCs w:val="17"/>
          <w:color w:val="auto"/>
        </w:rPr>
        <w:t>You may pay the Exercise Price by cash, certified check, bank draft, wire transfer, postal or express money order,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58" w:lineRule="exact"/>
        <w:rPr>
          <w:rFonts w:ascii="Arial" w:cs="Arial" w:eastAsia="Arial" w:hAnsi="Arial"/>
          <w:sz w:val="17"/>
          <w:szCs w:val="17"/>
          <w:b w:val="1"/>
          <w:bCs w:val="1"/>
          <w:color w:val="auto"/>
        </w:rPr>
      </w:pPr>
    </w:p>
    <w:p>
      <w:pPr>
        <w:jc w:val="both"/>
        <w:ind w:left="460" w:hanging="452"/>
        <w:spacing w:after="0" w:line="281" w:lineRule="auto"/>
        <w:tabs>
          <w:tab w:leader="none" w:pos="4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of Option. </w:t>
      </w:r>
      <w:r>
        <w:rPr>
          <w:rFonts w:ascii="Arial" w:cs="Arial" w:eastAsia="Arial" w:hAnsi="Arial"/>
          <w:sz w:val="17"/>
          <w:szCs w:val="17"/>
          <w:color w:val="auto"/>
        </w:rPr>
        <w:t>Subject to the terms and conditions of this Agreement, the Option may be exercised by providing notice to the Company by</w:t>
      </w:r>
      <w:r>
        <w:rPr>
          <w:rFonts w:ascii="Arial" w:cs="Arial" w:eastAsia="Arial" w:hAnsi="Arial"/>
          <w:sz w:val="17"/>
          <w:szCs w:val="17"/>
          <w:b w:val="1"/>
          <w:bCs w:val="1"/>
          <w:color w:val="auto"/>
        </w:rPr>
        <w:t xml:space="preserve"> </w:t>
      </w:r>
      <w:r>
        <w:rPr>
          <w:rFonts w:ascii="Arial" w:cs="Arial" w:eastAsia="Arial" w:hAnsi="Arial"/>
          <w:sz w:val="17"/>
          <w:szCs w:val="17"/>
          <w:color w:val="auto"/>
        </w:rPr>
        <w:t>contacting the Director - Executive Compensation, or the Corporate Secretary. If the Option is exercised after your death, the Company will deliver Shares only after the Committee has determined that the person exercising the Option is the duly appointed executor or administrator of your estate or the person to whom the Option has been transferred by your will or by the applicable laws of descent and distribution.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Retirement, Disability or Death. </w:t>
      </w:r>
      <w:r>
        <w:rPr>
          <w:rFonts w:ascii="Arial" w:cs="Arial" w:eastAsia="Arial" w:hAnsi="Arial"/>
          <w:sz w:val="18"/>
          <w:szCs w:val="18"/>
          <w:color w:val="auto"/>
        </w:rPr>
        <w:t>The Option will vest and remain exercisable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Event</w:t>
            </w:r>
          </w:p>
        </w:tc>
        <w:tc>
          <w:tcPr>
            <w:tcW w:w="3800" w:type="dxa"/>
            <w:vAlign w:val="bottom"/>
            <w:gridSpan w:val="3"/>
          </w:tcPr>
          <w:p>
            <w:pPr>
              <w:ind w:left="560"/>
              <w:spacing w:after="0"/>
              <w:rPr>
                <w:sz w:val="20"/>
                <w:szCs w:val="20"/>
                <w:color w:val="auto"/>
              </w:rPr>
            </w:pPr>
            <w:r>
              <w:rPr>
                <w:rFonts w:ascii="Arial" w:cs="Arial" w:eastAsia="Arial" w:hAnsi="Arial"/>
                <w:sz w:val="18"/>
                <w:szCs w:val="18"/>
                <w:b w:val="1"/>
                <w:bCs w:val="1"/>
                <w:color w:val="auto"/>
              </w:rPr>
              <w:t>Vesting</w:t>
            </w:r>
          </w:p>
        </w:tc>
        <w:tc>
          <w:tcPr>
            <w:tcW w:w="4320" w:type="dxa"/>
            <w:vAlign w:val="bottom"/>
          </w:tcPr>
          <w:p>
            <w:pPr>
              <w:spacing w:after="0"/>
              <w:rPr>
                <w:sz w:val="20"/>
                <w:szCs w:val="20"/>
                <w:color w:val="auto"/>
              </w:rPr>
            </w:pPr>
            <w:r>
              <w:rPr>
                <w:rFonts w:ascii="Arial" w:cs="Arial" w:eastAsia="Arial" w:hAnsi="Arial"/>
                <w:sz w:val="18"/>
                <w:szCs w:val="18"/>
                <w:b w:val="1"/>
                <w:bCs w:val="1"/>
                <w:color w:val="auto"/>
              </w:rPr>
              <w:t>Exercise</w:t>
            </w:r>
          </w:p>
        </w:tc>
      </w:tr>
      <w:tr>
        <w:trPr>
          <w:trHeight w:val="224"/>
        </w:trPr>
        <w:tc>
          <w:tcPr>
            <w:tcW w:w="20" w:type="dxa"/>
            <w:vAlign w:val="bottom"/>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Death</w:t>
            </w:r>
          </w:p>
        </w:tc>
        <w:tc>
          <w:tcPr>
            <w:tcW w:w="560" w:type="dxa"/>
            <w:vAlign w:val="bottom"/>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Immediate vesting as of death.</w:t>
            </w:r>
          </w:p>
        </w:tc>
        <w:tc>
          <w:tcPr>
            <w:tcW w:w="540" w:type="dxa"/>
            <w:vAlign w:val="bottom"/>
          </w:tcPr>
          <w:p>
            <w:pPr>
              <w:spacing w:after="0"/>
              <w:rPr>
                <w:sz w:val="19"/>
                <w:szCs w:val="19"/>
                <w:color w:val="auto"/>
              </w:rPr>
            </w:pPr>
          </w:p>
        </w:tc>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Expires on original expiration date.</w:t>
            </w:r>
          </w:p>
        </w:tc>
      </w:tr>
      <w:tr>
        <w:trPr>
          <w:trHeight w:val="404"/>
        </w:trPr>
        <w:tc>
          <w:tcPr>
            <w:tcW w:w="2720" w:type="dxa"/>
            <w:vAlign w:val="bottom"/>
            <w:gridSpan w:val="2"/>
          </w:tcPr>
          <w:p>
            <w:pPr>
              <w:spacing w:after="0"/>
              <w:rPr>
                <w:sz w:val="20"/>
                <w:szCs w:val="20"/>
                <w:color w:val="auto"/>
              </w:rPr>
            </w:pPr>
            <w:r>
              <w:rPr>
                <w:rFonts w:ascii="Arial" w:cs="Arial" w:eastAsia="Arial" w:hAnsi="Arial"/>
                <w:sz w:val="18"/>
                <w:szCs w:val="18"/>
                <w:color w:val="auto"/>
              </w:rPr>
              <w:t>Disability</w:t>
            </w:r>
          </w:p>
        </w:tc>
        <w:tc>
          <w:tcPr>
            <w:tcW w:w="3800" w:type="dxa"/>
            <w:vAlign w:val="bottom"/>
            <w:gridSpan w:val="3"/>
          </w:tcPr>
          <w:p>
            <w:pPr>
              <w:ind w:left="560"/>
              <w:spacing w:after="0"/>
              <w:rPr>
                <w:sz w:val="20"/>
                <w:szCs w:val="20"/>
                <w:color w:val="auto"/>
              </w:rPr>
            </w:pPr>
            <w:r>
              <w:rPr>
                <w:rFonts w:ascii="Arial" w:cs="Arial" w:eastAsia="Arial" w:hAnsi="Arial"/>
                <w:sz w:val="18"/>
                <w:szCs w:val="18"/>
                <w:color w:val="auto"/>
              </w:rPr>
              <w:t>Immediate vesting as of incurrence</w:t>
            </w:r>
          </w:p>
        </w:tc>
        <w:tc>
          <w:tcPr>
            <w:tcW w:w="4320" w:type="dxa"/>
            <w:vAlign w:val="bottom"/>
          </w:tcPr>
          <w:p>
            <w:pPr>
              <w:spacing w:after="0"/>
              <w:rPr>
                <w:sz w:val="20"/>
                <w:szCs w:val="20"/>
                <w:color w:val="auto"/>
              </w:rPr>
            </w:pPr>
            <w:r>
              <w:rPr>
                <w:rFonts w:ascii="Arial" w:cs="Arial" w:eastAsia="Arial" w:hAnsi="Arial"/>
                <w:sz w:val="18"/>
                <w:szCs w:val="18"/>
                <w:color w:val="auto"/>
              </w:rPr>
              <w:t>Expires on original expiration date.</w:t>
            </w: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00" w:type="dxa"/>
            <w:vAlign w:val="bottom"/>
            <w:gridSpan w:val="3"/>
          </w:tcPr>
          <w:p>
            <w:pPr>
              <w:ind w:left="560"/>
              <w:spacing w:after="0"/>
              <w:rPr>
                <w:sz w:val="20"/>
                <w:szCs w:val="20"/>
                <w:color w:val="auto"/>
              </w:rPr>
            </w:pPr>
            <w:r>
              <w:rPr>
                <w:rFonts w:ascii="Arial" w:cs="Arial" w:eastAsia="Arial" w:hAnsi="Arial"/>
                <w:sz w:val="18"/>
                <w:szCs w:val="18"/>
                <w:color w:val="auto"/>
              </w:rPr>
              <w:t>of Disability.</w:t>
            </w:r>
          </w:p>
        </w:tc>
        <w:tc>
          <w:tcPr>
            <w:tcW w:w="4320" w:type="dxa"/>
            <w:vAlign w:val="bottom"/>
          </w:tcPr>
          <w:p>
            <w:pPr>
              <w:spacing w:after="0"/>
              <w:rPr>
                <w:sz w:val="20"/>
                <w:szCs w:val="20"/>
                <w:color w:val="auto"/>
              </w:rPr>
            </w:pPr>
          </w:p>
        </w:tc>
      </w:tr>
      <w:tr>
        <w:trPr>
          <w:trHeight w:val="432"/>
        </w:trPr>
        <w:tc>
          <w:tcPr>
            <w:tcW w:w="2720" w:type="dxa"/>
            <w:vAlign w:val="bottom"/>
            <w:gridSpan w:val="2"/>
          </w:tcPr>
          <w:p>
            <w:pPr>
              <w:spacing w:after="0"/>
              <w:rPr>
                <w:sz w:val="20"/>
                <w:szCs w:val="20"/>
                <w:color w:val="auto"/>
              </w:rPr>
            </w:pPr>
            <w:r>
              <w:rPr>
                <w:rFonts w:ascii="Arial" w:cs="Arial" w:eastAsia="Arial" w:hAnsi="Arial"/>
                <w:sz w:val="18"/>
                <w:szCs w:val="18"/>
                <w:color w:val="auto"/>
              </w:rPr>
              <w:t>Retirement at or after age 72</w:t>
            </w:r>
          </w:p>
        </w:tc>
        <w:tc>
          <w:tcPr>
            <w:tcW w:w="3800" w:type="dxa"/>
            <w:vAlign w:val="bottom"/>
            <w:gridSpan w:val="3"/>
          </w:tcPr>
          <w:p>
            <w:pPr>
              <w:ind w:left="560"/>
              <w:spacing w:after="0"/>
              <w:rPr>
                <w:sz w:val="20"/>
                <w:szCs w:val="20"/>
                <w:color w:val="auto"/>
              </w:rPr>
            </w:pPr>
            <w:r>
              <w:rPr>
                <w:rFonts w:ascii="Arial" w:cs="Arial" w:eastAsia="Arial" w:hAnsi="Arial"/>
                <w:sz w:val="18"/>
                <w:szCs w:val="18"/>
                <w:color w:val="auto"/>
              </w:rPr>
              <w:t>Immediate vesting as of retirement.</w:t>
            </w:r>
          </w:p>
        </w:tc>
        <w:tc>
          <w:tcPr>
            <w:tcW w:w="4320" w:type="dxa"/>
            <w:vAlign w:val="bottom"/>
          </w:tcPr>
          <w:p>
            <w:pPr>
              <w:spacing w:after="0"/>
              <w:rPr>
                <w:sz w:val="20"/>
                <w:szCs w:val="20"/>
                <w:color w:val="auto"/>
              </w:rPr>
            </w:pPr>
            <w:r>
              <w:rPr>
                <w:rFonts w:ascii="Arial" w:cs="Arial" w:eastAsia="Arial" w:hAnsi="Arial"/>
                <w:sz w:val="18"/>
                <w:szCs w:val="18"/>
                <w:color w:val="auto"/>
              </w:rPr>
              <w:t>Expires on original expiration date.</w:t>
            </w:r>
          </w:p>
        </w:tc>
      </w:tr>
      <w:tr>
        <w:trPr>
          <w:trHeight w:val="418"/>
        </w:trPr>
        <w:tc>
          <w:tcPr>
            <w:tcW w:w="2720" w:type="dxa"/>
            <w:vAlign w:val="bottom"/>
            <w:gridSpan w:val="2"/>
          </w:tcPr>
          <w:p>
            <w:pPr>
              <w:spacing w:after="0"/>
              <w:rPr>
                <w:sz w:val="20"/>
                <w:szCs w:val="20"/>
                <w:color w:val="auto"/>
              </w:rPr>
            </w:pPr>
            <w:r>
              <w:rPr>
                <w:rFonts w:ascii="Arial" w:cs="Arial" w:eastAsia="Arial" w:hAnsi="Arial"/>
                <w:sz w:val="18"/>
                <w:szCs w:val="18"/>
                <w:color w:val="auto"/>
                <w:w w:val="95"/>
              </w:rPr>
              <w:t>Voluntary termination other than for</w:t>
            </w:r>
          </w:p>
        </w:tc>
        <w:tc>
          <w:tcPr>
            <w:tcW w:w="3800" w:type="dxa"/>
            <w:vAlign w:val="bottom"/>
            <w:gridSpan w:val="3"/>
          </w:tcPr>
          <w:p>
            <w:pPr>
              <w:ind w:left="560"/>
              <w:spacing w:after="0"/>
              <w:rPr>
                <w:sz w:val="20"/>
                <w:szCs w:val="20"/>
                <w:color w:val="auto"/>
              </w:rPr>
            </w:pPr>
            <w:r>
              <w:rPr>
                <w:rFonts w:ascii="Arial" w:cs="Arial" w:eastAsia="Arial" w:hAnsi="Arial"/>
                <w:sz w:val="18"/>
                <w:szCs w:val="18"/>
                <w:color w:val="auto"/>
              </w:rPr>
              <w:t>Unvested  Option  forfeited  as  of</w:t>
            </w:r>
          </w:p>
        </w:tc>
        <w:tc>
          <w:tcPr>
            <w:tcW w:w="4320" w:type="dxa"/>
            <w:vAlign w:val="bottom"/>
          </w:tcPr>
          <w:p>
            <w:pPr>
              <w:spacing w:after="0"/>
              <w:rPr>
                <w:sz w:val="20"/>
                <w:szCs w:val="20"/>
                <w:color w:val="auto"/>
              </w:rPr>
            </w:pPr>
            <w:r>
              <w:rPr>
                <w:rFonts w:ascii="Arial" w:cs="Arial" w:eastAsia="Arial" w:hAnsi="Arial"/>
                <w:sz w:val="18"/>
                <w:szCs w:val="18"/>
                <w:color w:val="auto"/>
              </w:rPr>
              <w:t>Expires earlier of (i) original expiration date, or (ii) 3</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w w:val="98"/>
              </w:rPr>
              <w:t>death, Disability or retirement at or</w:t>
            </w:r>
          </w:p>
        </w:tc>
        <w:tc>
          <w:tcPr>
            <w:tcW w:w="3800" w:type="dxa"/>
            <w:vAlign w:val="bottom"/>
            <w:gridSpan w:val="3"/>
          </w:tcPr>
          <w:p>
            <w:pPr>
              <w:ind w:left="560"/>
              <w:spacing w:after="0"/>
              <w:rPr>
                <w:sz w:val="20"/>
                <w:szCs w:val="20"/>
                <w:color w:val="auto"/>
              </w:rPr>
            </w:pPr>
            <w:r>
              <w:rPr>
                <w:rFonts w:ascii="Arial" w:cs="Arial" w:eastAsia="Arial" w:hAnsi="Arial"/>
                <w:sz w:val="18"/>
                <w:szCs w:val="18"/>
                <w:color w:val="auto"/>
              </w:rPr>
              <w:t>termination.</w:t>
            </w:r>
          </w:p>
        </w:tc>
        <w:tc>
          <w:tcPr>
            <w:tcW w:w="4320" w:type="dxa"/>
            <w:vAlign w:val="bottom"/>
          </w:tcPr>
          <w:p>
            <w:pPr>
              <w:spacing w:after="0"/>
              <w:rPr>
                <w:sz w:val="20"/>
                <w:szCs w:val="20"/>
                <w:color w:val="auto"/>
              </w:rPr>
            </w:pPr>
            <w:r>
              <w:rPr>
                <w:rFonts w:ascii="Arial" w:cs="Arial" w:eastAsia="Arial" w:hAnsi="Arial"/>
                <w:sz w:val="18"/>
                <w:szCs w:val="18"/>
                <w:color w:val="auto"/>
                <w:w w:val="99"/>
              </w:rPr>
              <w:t>months after termination. If you die or incur a Disability</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after age 72</w:t>
            </w:r>
          </w:p>
        </w:tc>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prior to end of this 3-month period, expires earlier of (i)</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6"/>
              </w:rPr>
              <w:t>original  expiration  date,  or  (ii)  1  year  after  death  or</w:t>
            </w: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Disability.</w:t>
            </w:r>
          </w:p>
        </w:tc>
      </w:tr>
      <w:tr>
        <w:trPr>
          <w:trHeight w:val="418"/>
        </w:trPr>
        <w:tc>
          <w:tcPr>
            <w:tcW w:w="2720" w:type="dxa"/>
            <w:vAlign w:val="bottom"/>
            <w:gridSpan w:val="2"/>
          </w:tcPr>
          <w:p>
            <w:pPr>
              <w:spacing w:after="0"/>
              <w:rPr>
                <w:sz w:val="20"/>
                <w:szCs w:val="20"/>
                <w:color w:val="auto"/>
              </w:rPr>
            </w:pPr>
            <w:r>
              <w:rPr>
                <w:rFonts w:ascii="Arial" w:cs="Arial" w:eastAsia="Arial" w:hAnsi="Arial"/>
                <w:sz w:val="18"/>
                <w:szCs w:val="18"/>
                <w:color w:val="auto"/>
                <w:w w:val="95"/>
              </w:rPr>
              <w:t>Involuntary  termination  other  than</w:t>
            </w:r>
          </w:p>
        </w:tc>
        <w:tc>
          <w:tcPr>
            <w:tcW w:w="3800" w:type="dxa"/>
            <w:vAlign w:val="bottom"/>
            <w:gridSpan w:val="3"/>
          </w:tcPr>
          <w:p>
            <w:pPr>
              <w:ind w:left="560"/>
              <w:spacing w:after="0"/>
              <w:rPr>
                <w:sz w:val="20"/>
                <w:szCs w:val="20"/>
                <w:color w:val="auto"/>
              </w:rPr>
            </w:pPr>
            <w:r>
              <w:rPr>
                <w:rFonts w:ascii="Arial" w:cs="Arial" w:eastAsia="Arial" w:hAnsi="Arial"/>
                <w:sz w:val="18"/>
                <w:szCs w:val="18"/>
                <w:color w:val="auto"/>
              </w:rPr>
              <w:t>Unvested  Option  forfeited  as  of</w:t>
            </w:r>
          </w:p>
        </w:tc>
        <w:tc>
          <w:tcPr>
            <w:tcW w:w="4320" w:type="dxa"/>
            <w:vAlign w:val="bottom"/>
          </w:tcPr>
          <w:p>
            <w:pPr>
              <w:spacing w:after="0"/>
              <w:rPr>
                <w:sz w:val="20"/>
                <w:szCs w:val="20"/>
                <w:color w:val="auto"/>
              </w:rPr>
            </w:pPr>
            <w:r>
              <w:rPr>
                <w:rFonts w:ascii="Arial" w:cs="Arial" w:eastAsia="Arial" w:hAnsi="Arial"/>
                <w:sz w:val="18"/>
                <w:szCs w:val="18"/>
                <w:color w:val="auto"/>
                <w:w w:val="94"/>
              </w:rPr>
              <w:t>Expires earlier of (i) original expiration date, or (ii) 3 years</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w w:val="96"/>
              </w:rPr>
              <w:t>for death, Disability or retirement at</w:t>
            </w:r>
          </w:p>
        </w:tc>
        <w:tc>
          <w:tcPr>
            <w:tcW w:w="3800" w:type="dxa"/>
            <w:vAlign w:val="bottom"/>
            <w:gridSpan w:val="3"/>
          </w:tcPr>
          <w:p>
            <w:pPr>
              <w:ind w:left="560"/>
              <w:spacing w:after="0"/>
              <w:rPr>
                <w:sz w:val="20"/>
                <w:szCs w:val="20"/>
                <w:color w:val="auto"/>
              </w:rPr>
            </w:pPr>
            <w:r>
              <w:rPr>
                <w:rFonts w:ascii="Arial" w:cs="Arial" w:eastAsia="Arial" w:hAnsi="Arial"/>
                <w:sz w:val="18"/>
                <w:szCs w:val="18"/>
                <w:color w:val="auto"/>
              </w:rPr>
              <w:t>termination.</w:t>
            </w:r>
          </w:p>
        </w:tc>
        <w:tc>
          <w:tcPr>
            <w:tcW w:w="4320" w:type="dxa"/>
            <w:vAlign w:val="bottom"/>
          </w:tcPr>
          <w:p>
            <w:pPr>
              <w:spacing w:after="0"/>
              <w:rPr>
                <w:sz w:val="20"/>
                <w:szCs w:val="20"/>
                <w:color w:val="auto"/>
              </w:rPr>
            </w:pPr>
            <w:r>
              <w:rPr>
                <w:rFonts w:ascii="Arial" w:cs="Arial" w:eastAsia="Arial" w:hAnsi="Arial"/>
                <w:sz w:val="18"/>
                <w:szCs w:val="18"/>
                <w:color w:val="auto"/>
                <w:w w:val="99"/>
              </w:rPr>
              <w:t>after termination. If you die or incur a Disability prior to</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or after age 72</w:t>
            </w:r>
          </w:p>
        </w:tc>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end of this 3-year period, expires earlier of (i) original</w:t>
            </w: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2"/>
              </w:rPr>
              <w:t>expiration date, or (ii) later of 3 years after termination or 1</w:t>
            </w: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year after death or Disability.</w:t>
            </w:r>
          </w:p>
        </w:tc>
      </w:tr>
    </w:tbl>
    <w:p>
      <w:pPr>
        <w:spacing w:after="0" w:line="198" w:lineRule="exact"/>
        <w:rPr>
          <w:sz w:val="20"/>
          <w:szCs w:val="20"/>
          <w:color w:val="auto"/>
        </w:rPr>
      </w:pPr>
    </w:p>
    <w:p>
      <w:pPr>
        <w:jc w:val="both"/>
        <w:ind w:left="460" w:hanging="452"/>
        <w:spacing w:after="0" w:line="266" w:lineRule="auto"/>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In the event of a Change in Control, any portion of the Option that has not vested as of the date of Change in Control will</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become exercisable in full. If your service as a director of the Company terminates for any reason following a Change in Control, that termination will be treated as a retirement from the Board of Directors at or after age 72 for purposes of Section 7 above.</w:t>
      </w:r>
    </w:p>
    <w:p>
      <w:pPr>
        <w:spacing w:after="0" w:line="176"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will have the right, prior to the issuance or delivery of any Shares in connection with the exercise of the Option,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or demand from you the amount necessary to satisfy applicable tax requirements, as determined by the Committee.</w:t>
      </w:r>
    </w:p>
    <w:p>
      <w:pPr>
        <w:spacing w:after="0" w:line="161"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Option. </w:t>
      </w:r>
      <w:r>
        <w:rPr>
          <w:rFonts w:ascii="Arial" w:cs="Arial" w:eastAsia="Arial" w:hAnsi="Arial"/>
          <w:sz w:val="18"/>
          <w:szCs w:val="18"/>
          <w:color w:val="auto"/>
        </w:rPr>
        <w:t>You may not transfer the Option or any interest in the Option except by will or the laws of descent and distribution or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the Committee and as specified in the Plan.</w:t>
      </w:r>
    </w:p>
    <w:p>
      <w:pPr>
        <w:spacing w:after="0" w:line="161" w:lineRule="exact"/>
        <w:rPr>
          <w:rFonts w:ascii="Arial" w:cs="Arial" w:eastAsia="Arial" w:hAnsi="Arial"/>
          <w:sz w:val="18"/>
          <w:szCs w:val="18"/>
          <w:b w:val="1"/>
          <w:bCs w:val="1"/>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Option will be governed by Section 9 of the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3" w:name="page74"/>
    <w:bookmarkEnd w:id="73"/>
    <w:p>
      <w:pPr>
        <w:jc w:val="both"/>
        <w:ind w:left="460" w:hanging="452"/>
        <w:spacing w:after="0" w:line="258" w:lineRule="auto"/>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Exercise. </w:t>
      </w:r>
      <w:r>
        <w:rPr>
          <w:rFonts w:ascii="Arial" w:cs="Arial" w:eastAsia="Arial" w:hAnsi="Arial"/>
          <w:sz w:val="18"/>
          <w:szCs w:val="18"/>
          <w:color w:val="auto"/>
        </w:rPr>
        <w:t>Exercise of the Option is subject to the conditions that, to the extent required at the time of exercise, (a) the Shares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Option will be duly listed, upon official notice of issuance, upon the NYSE, and (b)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83" w:lineRule="exact"/>
        <w:rPr>
          <w:rFonts w:ascii="Arial" w:cs="Arial" w:eastAsia="Arial" w:hAnsi="Arial"/>
          <w:sz w:val="18"/>
          <w:szCs w:val="18"/>
          <w:b w:val="1"/>
          <w:bCs w:val="1"/>
          <w:color w:val="auto"/>
        </w:rPr>
      </w:pPr>
    </w:p>
    <w:p>
      <w:pPr>
        <w:jc w:val="both"/>
        <w:ind w:left="460" w:hanging="452"/>
        <w:spacing w:after="0" w:line="295" w:lineRule="auto"/>
        <w:tabs>
          <w:tab w:leader="none" w:pos="46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Disposition of Securities. </w:t>
      </w:r>
      <w:r>
        <w:rPr>
          <w:rFonts w:ascii="Arial" w:cs="Arial" w:eastAsia="Arial" w:hAnsi="Arial"/>
          <w:sz w:val="16"/>
          <w:szCs w:val="16"/>
          <w:color w:val="auto"/>
        </w:rPr>
        <w:t>By accepting the Award, you acknowledge that you have read and understand the Company’s policy, and are aware of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your obligations under U.S. federal securities laws in respect of trading in the Company’s securities. You agree not to sell Shares (including by using the Company’s “cashless exercise” program for the Option, or any successor program) at any time when you possess material nonpublic information with respect to the Company or when doing so would otherwise result in a violation of securities law. The Company will have the right to recover, or receive reimbursement for, any compensation or profit realize on the exercise of the Option or by the disposition of Shares received upon exercise of the Option to the extent that the Company has a right of recovery or reimbursement under applicable securities laws.</w:t>
      </w:r>
    </w:p>
    <w:p>
      <w:pPr>
        <w:spacing w:after="0" w:line="155" w:lineRule="exact"/>
        <w:rPr>
          <w:rFonts w:ascii="Arial" w:cs="Arial" w:eastAsia="Arial" w:hAnsi="Arial"/>
          <w:sz w:val="16"/>
          <w:szCs w:val="16"/>
          <w:b w:val="1"/>
          <w:bCs w:val="1"/>
          <w:color w:val="auto"/>
        </w:rPr>
      </w:pPr>
    </w:p>
    <w:p>
      <w:pPr>
        <w:jc w:val="both"/>
        <w:ind w:left="460" w:hanging="452"/>
        <w:spacing w:after="0" w:line="256" w:lineRule="auto"/>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Terms Govern. </w:t>
      </w:r>
      <w:r>
        <w:rPr>
          <w:rFonts w:ascii="Arial" w:cs="Arial" w:eastAsia="Arial" w:hAnsi="Arial"/>
          <w:sz w:val="18"/>
          <w:szCs w:val="18"/>
          <w:color w:val="auto"/>
        </w:rPr>
        <w:t>The exercise of the Option, the disposition of any Shares received upon exercise of the Option, and the treatment of any gain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disposition of these Shares are subject to the terms of the Plan and any rules that the Board of Directors and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87" w:lineRule="exact"/>
        <w:rPr>
          <w:rFonts w:ascii="Arial" w:cs="Arial" w:eastAsia="Arial" w:hAnsi="Arial"/>
          <w:sz w:val="18"/>
          <w:szCs w:val="18"/>
          <w:b w:val="1"/>
          <w:bCs w:val="1"/>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ind w:left="460" w:right="20" w:firstLine="2"/>
        <w:spacing w:after="0" w:line="277" w:lineRule="auto"/>
        <w:tabs>
          <w:tab w:leader="none" w:pos="6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170" w:lineRule="exact"/>
        <w:rPr>
          <w:rFonts w:ascii="Arial" w:cs="Arial" w:eastAsia="Arial" w:hAnsi="Arial"/>
          <w:sz w:val="18"/>
          <w:szCs w:val="18"/>
          <w:color w:val="auto"/>
        </w:rPr>
      </w:pPr>
    </w:p>
    <w:p>
      <w:pPr>
        <w:jc w:val="both"/>
        <w:ind w:left="460" w:firstLine="2"/>
        <w:spacing w:after="0" w:line="259" w:lineRule="auto"/>
        <w:tabs>
          <w:tab w:leader="none" w:pos="651" w:val="left"/>
        </w:tabs>
        <w:numPr>
          <w:ilvl w:val="1"/>
          <w:numId w:val="59"/>
        </w:numPr>
        <w:rPr>
          <w:rFonts w:ascii="Arial" w:cs="Arial" w:eastAsia="Arial" w:hAnsi="Arial"/>
          <w:sz w:val="18"/>
          <w:szCs w:val="18"/>
          <w:color w:val="auto"/>
        </w:rPr>
      </w:pPr>
      <w:r>
        <w:rPr>
          <w:rFonts w:ascii="Arial" w:cs="Arial" w:eastAsia="Arial" w:hAnsi="Arial"/>
          <w:sz w:val="18"/>
          <w:szCs w:val="18"/>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options or other entitlement to shares awarded, canceled, exercised, vested, unvested, or outstanding in your favor, for the purpose of managing and administering the Plan (“Data”).</w:t>
      </w:r>
    </w:p>
    <w:p>
      <w:pPr>
        <w:spacing w:after="0" w:line="186" w:lineRule="exact"/>
        <w:rPr>
          <w:rFonts w:ascii="Arial" w:cs="Arial" w:eastAsia="Arial" w:hAnsi="Arial"/>
          <w:sz w:val="18"/>
          <w:szCs w:val="18"/>
          <w:color w:val="auto"/>
        </w:rPr>
      </w:pPr>
    </w:p>
    <w:p>
      <w:pPr>
        <w:jc w:val="both"/>
        <w:ind w:left="460" w:firstLine="2"/>
        <w:spacing w:after="0" w:line="264" w:lineRule="auto"/>
        <w:tabs>
          <w:tab w:leader="none" w:pos="6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You further understand that part or all of your Data may be also held by the Company’s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4" w:name="page75"/>
    <w:bookmarkEnd w:id="74"/>
    <w:p>
      <w:pPr>
        <w:jc w:val="both"/>
        <w:ind w:left="460"/>
        <w:spacing w:after="0" w:line="259" w:lineRule="auto"/>
        <w:rPr>
          <w:sz w:val="20"/>
          <w:szCs w:val="20"/>
          <w:color w:val="auto"/>
        </w:rPr>
      </w:pPr>
      <w:r>
        <w:rPr>
          <w:rFonts w:ascii="Arial" w:cs="Arial" w:eastAsia="Arial" w:hAnsi="Arial"/>
          <w:sz w:val="18"/>
          <w:szCs w:val="18"/>
          <w:color w:val="auto"/>
        </w:rPr>
        <w:t>d. 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7"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88"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sz w:val="20"/>
          <w:szCs w:val="20"/>
          <w:color w:val="auto"/>
        </w:rPr>
      </w:pPr>
    </w:p>
    <w:p>
      <w:pPr>
        <w:ind w:left="460" w:hanging="452"/>
        <w:spacing w:after="0" w:line="282" w:lineRule="auto"/>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Discretionary Nature and Acceptance of Award. </w:t>
      </w:r>
      <w:r>
        <w:rPr>
          <w:rFonts w:ascii="Arial" w:cs="Arial" w:eastAsia="Arial" w:hAnsi="Arial"/>
          <w:sz w:val="18"/>
          <w:szCs w:val="18"/>
          <w:color w:val="auto"/>
        </w:rPr>
        <w:t>By accepting this Award, you agree to be bound by the terms of this Agreement and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65" w:lineRule="exact"/>
        <w:rPr>
          <w:rFonts w:ascii="Arial" w:cs="Arial" w:eastAsia="Arial" w:hAnsi="Arial"/>
          <w:sz w:val="18"/>
          <w:szCs w:val="18"/>
          <w:b w:val="1"/>
          <w:bCs w:val="1"/>
          <w:color w:val="auto"/>
        </w:rPr>
      </w:pPr>
    </w:p>
    <w:p>
      <w:pPr>
        <w:ind w:left="460" w:firstLine="2"/>
        <w:spacing w:after="0" w:line="277" w:lineRule="auto"/>
        <w:tabs>
          <w:tab w:leader="none" w:pos="633"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is granting your Option, and this Agreement is not derived from any preexisting labor relationship between you and the Company, but rather from a mercantile relationship.</w:t>
      </w:r>
    </w:p>
    <w:p>
      <w:pPr>
        <w:spacing w:after="0" w:line="170" w:lineRule="exact"/>
        <w:rPr>
          <w:rFonts w:ascii="Arial" w:cs="Arial" w:eastAsia="Arial" w:hAnsi="Arial"/>
          <w:sz w:val="18"/>
          <w:szCs w:val="18"/>
          <w:color w:val="auto"/>
        </w:rPr>
      </w:pPr>
    </w:p>
    <w:p>
      <w:pPr>
        <w:ind w:left="640" w:hanging="178"/>
        <w:spacing w:after="0"/>
        <w:tabs>
          <w:tab w:leader="none" w:pos="6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may administer the Plan from outside your country of residence and United States law will govern all Options granted under the Plan.</w:t>
      </w:r>
    </w:p>
    <w:p>
      <w:pPr>
        <w:spacing w:after="0" w:line="248" w:lineRule="exact"/>
        <w:rPr>
          <w:rFonts w:ascii="Arial" w:cs="Arial" w:eastAsia="Arial" w:hAnsi="Arial"/>
          <w:sz w:val="16"/>
          <w:szCs w:val="16"/>
          <w:color w:val="auto"/>
        </w:rPr>
      </w:pPr>
    </w:p>
    <w:p>
      <w:pPr>
        <w:ind w:left="640" w:hanging="178"/>
        <w:spacing w:after="0"/>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Benefits and rights provided under the Plan do not constitute regular or periodic payments.</w:t>
      </w:r>
    </w:p>
    <w:p>
      <w:pPr>
        <w:spacing w:after="0" w:line="221" w:lineRule="exact"/>
        <w:rPr>
          <w:rFonts w:ascii="Arial" w:cs="Arial" w:eastAsia="Arial" w:hAnsi="Arial"/>
          <w:sz w:val="18"/>
          <w:szCs w:val="18"/>
          <w:color w:val="auto"/>
        </w:rPr>
      </w:pPr>
    </w:p>
    <w:p>
      <w:pPr>
        <w:jc w:val="both"/>
        <w:ind w:left="460" w:hanging="452"/>
        <w:spacing w:after="0" w:line="303" w:lineRule="auto"/>
        <w:tabs>
          <w:tab w:leader="none" w:pos="4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w:t>
      </w:r>
      <w:r>
        <w:rPr>
          <w:rFonts w:ascii="Arial" w:cs="Arial" w:eastAsia="Arial" w:hAnsi="Arial"/>
          <w:sz w:val="16"/>
          <w:szCs w:val="16"/>
          <w:color w:val="auto"/>
        </w:rPr>
        <w:t>Nothing in this Agreement or the Plan gives you any right to continue as a member of the Board of Directors of the Company or will</w:t>
      </w:r>
      <w:r>
        <w:rPr>
          <w:rFonts w:ascii="Arial" w:cs="Arial" w:eastAsia="Arial" w:hAnsi="Arial"/>
          <w:sz w:val="16"/>
          <w:szCs w:val="16"/>
          <w:b w:val="1"/>
          <w:bCs w:val="1"/>
          <w:color w:val="auto"/>
        </w:rPr>
        <w:t xml:space="preserve"> </w:t>
      </w:r>
      <w:r>
        <w:rPr>
          <w:rFonts w:ascii="Arial" w:cs="Arial" w:eastAsia="Arial" w:hAnsi="Arial"/>
          <w:sz w:val="16"/>
          <w:szCs w:val="16"/>
          <w:color w:val="auto"/>
        </w:rPr>
        <w:t>prejudice the rights of the Board of Directors or shareowners of the Company with respect to your nomination and election.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151" w:lineRule="exact"/>
        <w:rPr>
          <w:rFonts w:ascii="Arial" w:cs="Arial" w:eastAsia="Arial" w:hAnsi="Arial"/>
          <w:sz w:val="16"/>
          <w:szCs w:val="16"/>
          <w:b w:val="1"/>
          <w:bCs w:val="1"/>
          <w:color w:val="auto"/>
        </w:rPr>
      </w:pPr>
    </w:p>
    <w:p>
      <w:pPr>
        <w:ind w:left="460" w:hanging="452"/>
        <w:spacing w:after="0" w:line="282" w:lineRule="auto"/>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This Agreement supersedes any prior agreements, commitments or negotiations concerning the Option.</w:t>
      </w:r>
    </w:p>
    <w:p>
      <w:pPr>
        <w:spacing w:after="0" w:line="161"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this Agreement will not affect the validity or enforceability of the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which will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5" w:name="page76"/>
    <w:bookmarkEnd w:id="75"/>
    <w:p>
      <w:pPr>
        <w:ind w:left="460"/>
        <w:spacing w:after="0" w:line="277" w:lineRule="auto"/>
        <w:rPr>
          <w:sz w:val="20"/>
          <w:szCs w:val="20"/>
          <w:color w:val="auto"/>
        </w:rPr>
      </w:pPr>
      <w:r>
        <w:rPr>
          <w:rFonts w:ascii="Arial" w:cs="Arial" w:eastAsia="Arial" w:hAnsi="Arial"/>
          <w:sz w:val="18"/>
          <w:szCs w:val="18"/>
          <w:color w:val="auto"/>
        </w:rPr>
        <w:t>remain in full force and effect. Moreover, if any provision is found to be excessively broad in duration, scope or covered activity, the provision will be construed so as to be enforceable to the maximum extent compatible with applicable law.</w:t>
      </w:r>
    </w:p>
    <w:p>
      <w:pPr>
        <w:spacing w:after="0" w:line="166" w:lineRule="exact"/>
        <w:rPr>
          <w:sz w:val="20"/>
          <w:szCs w:val="20"/>
          <w:color w:val="auto"/>
        </w:rPr>
      </w:pPr>
    </w:p>
    <w:p>
      <w:pPr>
        <w:jc w:val="both"/>
        <w:ind w:left="460" w:hanging="452"/>
        <w:spacing w:after="0" w:line="266" w:lineRule="auto"/>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jc w:val="both"/>
        <w:ind w:left="460" w:hanging="452"/>
        <w:spacing w:after="0" w:line="281" w:lineRule="auto"/>
        <w:tabs>
          <w:tab w:leader="none" w:pos="4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Acknowledgements and Acceptance. </w:t>
      </w:r>
      <w:r>
        <w:rPr>
          <w:rFonts w:ascii="Arial" w:cs="Arial" w:eastAsia="Arial" w:hAnsi="Arial"/>
          <w:sz w:val="17"/>
          <w:szCs w:val="17"/>
          <w:color w:val="auto"/>
        </w:rPr>
        <w:t>By accepting this Agreement, you agree to the following: (i) you have carefully read, fully understand and agree</w:t>
      </w:r>
      <w:r>
        <w:rPr>
          <w:rFonts w:ascii="Arial" w:cs="Arial" w:eastAsia="Arial" w:hAnsi="Arial"/>
          <w:sz w:val="17"/>
          <w:szCs w:val="17"/>
          <w:b w:val="1"/>
          <w:bCs w:val="1"/>
          <w:color w:val="auto"/>
        </w:rPr>
        <w:t xml:space="preserve"> </w:t>
      </w:r>
      <w:r>
        <w:rPr>
          <w:rFonts w:ascii="Arial" w:cs="Arial" w:eastAsia="Arial" w:hAnsi="Arial"/>
          <w:sz w:val="17"/>
          <w:szCs w:val="17"/>
          <w:color w:val="auto"/>
        </w:rPr>
        <w:t>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10.6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PLAN FOR NON-EMPLOYEE DIRECTORS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 AGREEMENT</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RESTRICTED UNIT AGREEMENT made in Morris Plains, New Jersey, as of the [DAY] day of [MONTH, YEAR] (the “Date of Grant”) between Honeywell International Inc. (the “Company”) and [DIRECTOR NAME].</w:t>
      </w:r>
    </w:p>
    <w:p>
      <w:pPr>
        <w:spacing w:after="0" w:line="166" w:lineRule="exact"/>
        <w:rPr>
          <w:sz w:val="20"/>
          <w:szCs w:val="20"/>
          <w:color w:val="auto"/>
        </w:rPr>
      </w:pPr>
    </w:p>
    <w:p>
      <w:pPr>
        <w:jc w:val="both"/>
        <w:ind w:left="460" w:hanging="452"/>
        <w:spacing w:after="0" w:line="289" w:lineRule="auto"/>
        <w:tabs>
          <w:tab w:leader="none" w:pos="4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The Company has granted you [NUMBER] Restricted Units, subject to the provisions of this Agreement and the 2016 Stock Plan For</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Directors of Honeywell International Inc. (the “Plan”). The Company will hold the Restricted Units and Additional Restricted Units (as defined in Section 2) in a bookkeeping account on your behalf until they become payable or are forfeited or cancelled.</w:t>
      </w:r>
    </w:p>
    <w:p>
      <w:pPr>
        <w:spacing w:after="0" w:line="158" w:lineRule="exact"/>
        <w:rPr>
          <w:rFonts w:ascii="Arial" w:cs="Arial" w:eastAsia="Arial" w:hAnsi="Arial"/>
          <w:sz w:val="17"/>
          <w:szCs w:val="17"/>
          <w:b w:val="1"/>
          <w:bCs w:val="1"/>
          <w:color w:val="auto"/>
        </w:rPr>
      </w:pPr>
    </w:p>
    <w:p>
      <w:pPr>
        <w:jc w:val="both"/>
        <w:ind w:left="460" w:hanging="452"/>
        <w:spacing w:after="0" w:line="270" w:lineRule="auto"/>
        <w:tabs>
          <w:tab w:leader="none" w:pos="4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Except as otherwise determined by the Corporate Governance and Responsibility Committee (the “Committee”),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you will earn Dividend Equivalents in an amount equal to the value of any cash or stock dividends paid by the Company upon one Share of Common Stock for each unvested Restricted Unit or Additional Restricted Unit (as defined below) credited to your bookkeeping account on a dividend payment date. In the case of cash dividends, the Company shall credit to your bookkeeping account, on each dividend payment date, an additional number of Restricted Units (“Additional Restricted Units”) equal to (a) divided by (b), where (a) equals the total number of unvested Restricted Units and Additional Restricted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Units equal to the total number of unvested Restricted Units and Additional Restricted Units subject to this Agreement on such date multiplied by the Share dividend paid per Share of Common Stock on such date. Additional Restricted Units are subject to the same restrictions, including but not limited to vesting, transferability and payment restrictions, that apply to the Restricted Units to which they relate.</w:t>
      </w:r>
    </w:p>
    <w:p>
      <w:pPr>
        <w:spacing w:after="0" w:line="174" w:lineRule="exact"/>
        <w:rPr>
          <w:rFonts w:ascii="Arial" w:cs="Arial" w:eastAsia="Arial" w:hAnsi="Arial"/>
          <w:sz w:val="17"/>
          <w:szCs w:val="17"/>
          <w:b w:val="1"/>
          <w:bCs w:val="1"/>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Amount. </w:t>
      </w:r>
      <w:r>
        <w:rPr>
          <w:rFonts w:ascii="Arial" w:cs="Arial" w:eastAsia="Arial" w:hAnsi="Arial"/>
          <w:sz w:val="18"/>
          <w:szCs w:val="18"/>
          <w:color w:val="auto"/>
        </w:rPr>
        <w:t>Each Restricted Unit and Additional Restricted Unit represents one (1) Share of Common Stock.</w:t>
      </w:r>
    </w:p>
    <w:p>
      <w:pPr>
        <w:spacing w:after="0" w:line="225" w:lineRule="exact"/>
        <w:rPr>
          <w:rFonts w:ascii="Arial" w:cs="Arial" w:eastAsia="Arial" w:hAnsi="Arial"/>
          <w:sz w:val="18"/>
          <w:szCs w:val="18"/>
          <w:b w:val="1"/>
          <w:bCs w:val="1"/>
          <w:color w:val="auto"/>
        </w:rPr>
      </w:pPr>
    </w:p>
    <w:p>
      <w:pPr>
        <w:ind w:left="460" w:right="20" w:hanging="452"/>
        <w:spacing w:after="0" w:line="313" w:lineRule="auto"/>
        <w:tabs>
          <w:tab w:leader="none" w:pos="4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Except in the event of the termination of your directorship due to death, the incurrence of a Disability, or the occurrence of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Restricted Units and Additional Restricted Units will vest as follows: [VESTING PROVISIONS CONSISTENT WITH THE PLAN].</w:t>
      </w:r>
    </w:p>
    <w:p>
      <w:pPr>
        <w:spacing w:after="0" w:line="138" w:lineRule="exact"/>
        <w:rPr>
          <w:rFonts w:ascii="Arial" w:cs="Arial" w:eastAsia="Arial" w:hAnsi="Arial"/>
          <w:sz w:val="17"/>
          <w:szCs w:val="17"/>
          <w:b w:val="1"/>
          <w:bCs w:val="1"/>
          <w:color w:val="auto"/>
        </w:rPr>
      </w:pPr>
    </w:p>
    <w:p>
      <w:pPr>
        <w:jc w:val="both"/>
        <w:ind w:left="460" w:hanging="452"/>
        <w:spacing w:after="0" w:line="266" w:lineRule="auto"/>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and Timing of Payment. </w:t>
      </w:r>
      <w:r>
        <w:rPr>
          <w:rFonts w:ascii="Arial" w:cs="Arial" w:eastAsia="Arial" w:hAnsi="Arial"/>
          <w:sz w:val="18"/>
          <w:szCs w:val="18"/>
          <w:color w:val="auto"/>
        </w:rPr>
        <w:t>Vested Restricted Units will be redeemed solely for Shares. Except as otherwise determined by the Committee,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vested Additional Restricted Units will be redeemed solely for Shares. [Subject to a deferral election made pursuant to Section 12,] payment of vested Restricted Units and Additional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both"/>
        <w:ind w:left="460"/>
        <w:spacing w:after="0" w:line="264" w:lineRule="auto"/>
        <w:rPr>
          <w:sz w:val="20"/>
          <w:szCs w:val="20"/>
          <w:color w:val="auto"/>
        </w:rPr>
      </w:pPr>
      <w:r>
        <w:rPr>
          <w:rFonts w:ascii="Arial" w:cs="Arial" w:eastAsia="Arial" w:hAnsi="Arial"/>
          <w:sz w:val="18"/>
          <w:szCs w:val="18"/>
          <w:color w:val="auto"/>
        </w:rPr>
        <w:t>Restricted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w:t>
      </w:r>
    </w:p>
    <w:p>
      <w:pPr>
        <w:spacing w:after="0" w:line="177" w:lineRule="exact"/>
        <w:rPr>
          <w:sz w:val="20"/>
          <w:szCs w:val="20"/>
          <w:color w:val="auto"/>
        </w:rPr>
      </w:pPr>
    </w:p>
    <w:p>
      <w:pPr>
        <w:jc w:val="both"/>
        <w:ind w:left="460" w:hanging="452"/>
        <w:spacing w:after="0" w:line="266" w:lineRule="auto"/>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Directorship. </w:t>
      </w:r>
      <w:r>
        <w:rPr>
          <w:rFonts w:ascii="Arial" w:cs="Arial" w:eastAsia="Arial" w:hAnsi="Arial"/>
          <w:sz w:val="18"/>
          <w:szCs w:val="18"/>
          <w:color w:val="auto"/>
        </w:rPr>
        <w:t>If you cease to be a director of the Company for any reason other your death or Disability, any Restricted Units and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Restricted Units that have not vested as of the date of the termination of your directorship will immediately be forfeited, and your rights with respect to these Restricted Units and Additional Restricted Units will end.</w:t>
      </w:r>
    </w:p>
    <w:p>
      <w:pPr>
        <w:spacing w:after="0" w:line="176" w:lineRule="exact"/>
        <w:rPr>
          <w:rFonts w:ascii="Arial" w:cs="Arial" w:eastAsia="Arial" w:hAnsi="Arial"/>
          <w:sz w:val="18"/>
          <w:szCs w:val="18"/>
          <w:b w:val="1"/>
          <w:bCs w:val="1"/>
          <w:color w:val="auto"/>
        </w:rPr>
      </w:pPr>
    </w:p>
    <w:p>
      <w:pPr>
        <w:jc w:val="both"/>
        <w:ind w:left="460" w:hanging="452"/>
        <w:spacing w:after="0" w:line="289" w:lineRule="auto"/>
        <w:tabs>
          <w:tab w:leader="none" w:pos="4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or Disability. </w:t>
      </w:r>
      <w:r>
        <w:rPr>
          <w:rFonts w:ascii="Arial" w:cs="Arial" w:eastAsia="Arial" w:hAnsi="Arial"/>
          <w:sz w:val="17"/>
          <w:szCs w:val="17"/>
          <w:color w:val="auto"/>
        </w:rPr>
        <w:t>If you cease to be a director of the Company because of your death or Disability, any vesting restrictions on Restricted Units and</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Restricted Units will lapse, and payment will be made in accordance with Section 5. If you are deceased, the Company will make a payment to your estate only after the Committee has determined that the payee is the duly appointed executor or administrator of your estate.</w:t>
      </w:r>
    </w:p>
    <w:p>
      <w:pPr>
        <w:spacing w:after="0" w:line="158" w:lineRule="exact"/>
        <w:rPr>
          <w:rFonts w:ascii="Arial" w:cs="Arial" w:eastAsia="Arial" w:hAnsi="Arial"/>
          <w:sz w:val="17"/>
          <w:szCs w:val="17"/>
          <w:b w:val="1"/>
          <w:bCs w:val="1"/>
          <w:color w:val="auto"/>
        </w:rPr>
      </w:pPr>
    </w:p>
    <w:p>
      <w:pPr>
        <w:ind w:left="460" w:hanging="452"/>
        <w:spacing w:after="0" w:line="282" w:lineRule="auto"/>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In the event of a Change in Control, Restricted Units and Additional Restricted Units that have not vested or terminated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Change in Control will immediately vest.</w:t>
      </w:r>
    </w:p>
    <w:p>
      <w:pPr>
        <w:spacing w:after="0" w:line="161" w:lineRule="exact"/>
        <w:rPr>
          <w:rFonts w:ascii="Arial" w:cs="Arial" w:eastAsia="Arial" w:hAnsi="Arial"/>
          <w:sz w:val="18"/>
          <w:szCs w:val="18"/>
          <w:b w:val="1"/>
          <w:bCs w:val="1"/>
          <w:color w:val="auto"/>
        </w:rPr>
      </w:pPr>
    </w:p>
    <w:p>
      <w:pPr>
        <w:jc w:val="both"/>
        <w:ind w:left="460" w:hanging="452"/>
        <w:spacing w:after="0" w:line="261" w:lineRule="auto"/>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shall have the power and the right to deduct or withhold, or require you to remit, prior to any issuance or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 Restricted Units or Additional Restricted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w:t>
      </w:r>
    </w:p>
    <w:p>
      <w:pPr>
        <w:spacing w:after="0" w:line="180" w:lineRule="exact"/>
        <w:rPr>
          <w:rFonts w:ascii="Arial" w:cs="Arial" w:eastAsia="Arial" w:hAnsi="Arial"/>
          <w:sz w:val="18"/>
          <w:szCs w:val="18"/>
          <w:b w:val="1"/>
          <w:bCs w:val="1"/>
          <w:color w:val="auto"/>
        </w:rPr>
      </w:pPr>
    </w:p>
    <w:p>
      <w:pPr>
        <w:ind w:left="460" w:right="20" w:hanging="452"/>
        <w:spacing w:after="0" w:line="347" w:lineRule="auto"/>
        <w:tabs>
          <w:tab w:leader="none" w:pos="4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of Award. </w:t>
      </w:r>
      <w:r>
        <w:rPr>
          <w:rFonts w:ascii="Arial" w:cs="Arial" w:eastAsia="Arial" w:hAnsi="Arial"/>
          <w:sz w:val="16"/>
          <w:szCs w:val="16"/>
          <w:color w:val="auto"/>
        </w:rPr>
        <w:t>You may not transfer the Restricted Units, Additional Restricted Units or any interest in such Units except by will or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descent and distribution or except as otherwise permitted by Section 11 of the Plan. Any other attempt to dispose of your interest will be null and void.</w:t>
      </w:r>
    </w:p>
    <w:p>
      <w:pPr>
        <w:spacing w:after="0" w:line="116" w:lineRule="exact"/>
        <w:rPr>
          <w:rFonts w:ascii="Arial" w:cs="Arial" w:eastAsia="Arial" w:hAnsi="Arial"/>
          <w:sz w:val="16"/>
          <w:szCs w:val="16"/>
          <w:b w:val="1"/>
          <w:bCs w:val="1"/>
          <w:color w:val="auto"/>
        </w:rPr>
      </w:pPr>
    </w:p>
    <w:p>
      <w:pPr>
        <w:jc w:val="both"/>
        <w:ind w:left="460" w:hanging="452"/>
        <w:spacing w:after="0" w:line="292" w:lineRule="auto"/>
        <w:tabs>
          <w:tab w:leader="none" w:pos="46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 xml:space="preserve">[FOLLOWING INCLUDED AT COMPANY’S DISCRETION: </w:t>
      </w:r>
      <w:r>
        <w:rPr>
          <w:rFonts w:ascii="Arial" w:cs="Arial" w:eastAsia="Arial" w:hAnsi="Arial"/>
          <w:sz w:val="16"/>
          <w:szCs w:val="16"/>
          <w:b w:val="1"/>
          <w:bCs w:val="1"/>
          <w:color w:val="auto"/>
        </w:rPr>
        <w:t>Deferral of Payment.</w:t>
      </w:r>
      <w:r>
        <w:rPr>
          <w:rFonts w:ascii="Arial" w:cs="Arial" w:eastAsia="Arial" w:hAnsi="Arial"/>
          <w:sz w:val="16"/>
          <w:szCs w:val="16"/>
          <w:color w:val="auto"/>
        </w:rPr>
        <w:t xml:space="preserve"> If you would like to defer payment on the Restricted Units and related Additional Restricted Units, you may do so in writing on the deferral form provided with this grant setting forth your desired payment schedule. The deferral will not be permitted if, within the determination of the Company, such deferral would result in a violation of Section 409A of the Internal Revenue Code of 1986, as amended (the “Code”) and the regulations promulgated thereunder. If the deferral is not permitted, then payment will be made as provided in Section 5. All Additional Restricted Units will be subject to the same deferral restrictions as the Restricted Units to which they relate. Except as otherwise determined by the Company, Dividend Equivalents credited on deferred Restricted Units and deferred Additional Restricted Units will be paid in cash as soon as practicable following the date such Dividend Equivalents are credited but in no event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color w:val="auto"/>
        </w:rPr>
        <w:t>later than 2-1/2 months following the end of the year in which the Dividend Equivalents vest.]</w:t>
      </w:r>
    </w:p>
    <w:p>
      <w:pPr>
        <w:spacing w:after="0" w:line="221" w:lineRule="exact"/>
        <w:rPr>
          <w:sz w:val="20"/>
          <w:szCs w:val="20"/>
          <w:color w:val="auto"/>
        </w:rPr>
      </w:pPr>
    </w:p>
    <w:p>
      <w:pPr>
        <w:jc w:val="both"/>
        <w:ind w:left="460" w:hanging="452"/>
        <w:spacing w:after="0" w:line="256" w:lineRule="auto"/>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Payment of Shares. </w:t>
      </w:r>
      <w:r>
        <w:rPr>
          <w:rFonts w:ascii="Arial" w:cs="Arial" w:eastAsia="Arial" w:hAnsi="Arial"/>
          <w:sz w:val="18"/>
          <w:szCs w:val="18"/>
          <w:color w:val="auto"/>
        </w:rPr>
        <w:t>Payment of Shares for your Restricted Units and Additional Restricted Units is subject to the conditions that,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required at the time of exercise, (i) the Shares underlying the Restricted Units and Additional Restricted Units will be duly listed, upon official notice of redemption, upon the New York Stock Exchange,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87" w:lineRule="exact"/>
        <w:rPr>
          <w:rFonts w:ascii="Arial" w:cs="Arial" w:eastAsia="Arial" w:hAnsi="Arial"/>
          <w:sz w:val="18"/>
          <w:szCs w:val="18"/>
          <w:b w:val="1"/>
          <w:bCs w:val="1"/>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Restricted Units and Additional Restricted Units will be governed by Section 9 of the Plan.</w:t>
      </w:r>
    </w:p>
    <w:p>
      <w:pPr>
        <w:spacing w:after="0" w:line="225" w:lineRule="exact"/>
        <w:rPr>
          <w:rFonts w:ascii="Arial" w:cs="Arial" w:eastAsia="Arial" w:hAnsi="Arial"/>
          <w:sz w:val="18"/>
          <w:szCs w:val="18"/>
          <w:b w:val="1"/>
          <w:bCs w:val="1"/>
          <w:color w:val="auto"/>
        </w:rPr>
      </w:pPr>
    </w:p>
    <w:p>
      <w:pPr>
        <w:jc w:val="both"/>
        <w:ind w:left="460" w:hanging="452"/>
        <w:spacing w:after="0" w:line="281" w:lineRule="auto"/>
        <w:tabs>
          <w:tab w:leader="none" w:pos="46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Disposition of Securities. </w:t>
      </w:r>
      <w:r>
        <w:rPr>
          <w:rFonts w:ascii="Arial" w:cs="Arial" w:eastAsia="Arial" w:hAnsi="Arial"/>
          <w:sz w:val="17"/>
          <w:szCs w:val="17"/>
          <w:color w:val="auto"/>
        </w:rPr>
        <w:t>By accepting the Award, you acknowledge that you have read and understand the Company’s policy, and are aware of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 your obligations under applicable securities laws in respect of trading in the Company’s securities. The Company will have the right to recover, or receive reimbursement for, any compensation or profit you realize on the disposition of Shares received for Restricted Units or Additional Restricted Units to the extent that the Company has a right of recovery or reimbursement under applicable securities laws.</w:t>
      </w:r>
    </w:p>
    <w:p>
      <w:pPr>
        <w:spacing w:after="0" w:line="164" w:lineRule="exact"/>
        <w:rPr>
          <w:rFonts w:ascii="Arial" w:cs="Arial" w:eastAsia="Arial" w:hAnsi="Arial"/>
          <w:sz w:val="17"/>
          <w:szCs w:val="17"/>
          <w:b w:val="1"/>
          <w:bCs w:val="1"/>
          <w:color w:val="auto"/>
        </w:rPr>
      </w:pPr>
    </w:p>
    <w:p>
      <w:pPr>
        <w:jc w:val="both"/>
        <w:ind w:left="460" w:hanging="452"/>
        <w:spacing w:after="0" w:line="295" w:lineRule="auto"/>
        <w:tabs>
          <w:tab w:leader="none" w:pos="4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Terms Govern. </w:t>
      </w:r>
      <w:r>
        <w:rPr>
          <w:rFonts w:ascii="Arial" w:cs="Arial" w:eastAsia="Arial" w:hAnsi="Arial"/>
          <w:sz w:val="16"/>
          <w:szCs w:val="16"/>
          <w:color w:val="auto"/>
        </w:rPr>
        <w:t>The vesting and redemption of Restricted Units or Additional Restricted Units, the disposition of any Shares received for</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Units or Additional Restricted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155" w:lineRule="exact"/>
        <w:rPr>
          <w:rFonts w:ascii="Arial" w:cs="Arial" w:eastAsia="Arial" w:hAnsi="Arial"/>
          <w:sz w:val="16"/>
          <w:szCs w:val="16"/>
          <w:b w:val="1"/>
          <w:bCs w:val="1"/>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ind w:left="780" w:hanging="326"/>
        <w:spacing w:after="0" w:line="277" w:lineRule="auto"/>
        <w:tabs>
          <w:tab w:leader="none" w:pos="78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p>
    <w:p>
      <w:pPr>
        <w:spacing w:after="0" w:line="170" w:lineRule="exact"/>
        <w:rPr>
          <w:rFonts w:ascii="Arial" w:cs="Arial" w:eastAsia="Arial" w:hAnsi="Arial"/>
          <w:sz w:val="18"/>
          <w:szCs w:val="18"/>
          <w:b w:val="1"/>
          <w:bCs w:val="1"/>
          <w:color w:val="auto"/>
        </w:rPr>
      </w:pPr>
    </w:p>
    <w:p>
      <w:pPr>
        <w:jc w:val="both"/>
        <w:ind w:left="780" w:right="20" w:hanging="326"/>
        <w:spacing w:after="0" w:line="264" w:lineRule="auto"/>
        <w:tabs>
          <w:tab w:leader="none" w:pos="78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restricted units or other entitlement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79" w:name="page80"/>
    <w:bookmarkEnd w:id="79"/>
    <w:p>
      <w:pPr>
        <w:ind w:left="772"/>
        <w:spacing w:after="0" w:line="277" w:lineRule="auto"/>
        <w:rPr>
          <w:sz w:val="20"/>
          <w:szCs w:val="20"/>
          <w:color w:val="auto"/>
        </w:rPr>
      </w:pPr>
      <w:r>
        <w:rPr>
          <w:rFonts w:ascii="Arial" w:cs="Arial" w:eastAsia="Arial" w:hAnsi="Arial"/>
          <w:sz w:val="18"/>
          <w:szCs w:val="18"/>
          <w:color w:val="auto"/>
        </w:rPr>
        <w:t>to shares awarded, canceled, exercised, vested, unvested, or outstanding in your favor, for the purpose of managing and administering the Plan (“Data”).</w:t>
      </w:r>
    </w:p>
    <w:p>
      <w:pPr>
        <w:spacing w:after="0" w:line="170" w:lineRule="exact"/>
        <w:rPr>
          <w:sz w:val="20"/>
          <w:szCs w:val="20"/>
          <w:color w:val="auto"/>
        </w:rPr>
      </w:pPr>
    </w:p>
    <w:p>
      <w:pPr>
        <w:jc w:val="both"/>
        <w:ind w:left="772" w:hanging="326"/>
        <w:spacing w:after="0" w:line="264" w:lineRule="auto"/>
        <w:tabs>
          <w:tab w:leader="none" w:pos="77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You further understand that part or all of your Data may be also held by the Company’s Affiliates, pursuant to a transfer made in the past with your consent, in respect of any previous grant of restricted units or awards, which was made for the same purposes of managing and administering of previous award/incentive plans, or for other purposes.</w:t>
      </w:r>
    </w:p>
    <w:p>
      <w:pPr>
        <w:spacing w:after="0" w:line="181" w:lineRule="exact"/>
        <w:rPr>
          <w:rFonts w:ascii="Arial" w:cs="Arial" w:eastAsia="Arial" w:hAnsi="Arial"/>
          <w:sz w:val="18"/>
          <w:szCs w:val="18"/>
          <w:b w:val="1"/>
          <w:bCs w:val="1"/>
          <w:color w:val="auto"/>
        </w:rPr>
      </w:pPr>
    </w:p>
    <w:p>
      <w:pPr>
        <w:jc w:val="both"/>
        <w:ind w:left="772" w:hanging="326"/>
        <w:spacing w:after="0" w:line="259" w:lineRule="auto"/>
        <w:tabs>
          <w:tab w:leader="none" w:pos="77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b w:val="1"/>
          <w:bCs w:val="1"/>
          <w:color w:val="auto"/>
        </w:rPr>
      </w:pPr>
    </w:p>
    <w:p>
      <w:pPr>
        <w:jc w:val="both"/>
        <w:ind w:left="772" w:hanging="326"/>
        <w:spacing w:after="0" w:line="257" w:lineRule="auto"/>
        <w:tabs>
          <w:tab w:leader="none" w:pos="77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88" w:lineRule="exact"/>
        <w:rPr>
          <w:rFonts w:ascii="Arial" w:cs="Arial" w:eastAsia="Arial" w:hAnsi="Arial"/>
          <w:sz w:val="18"/>
          <w:szCs w:val="18"/>
          <w:b w:val="1"/>
          <w:bCs w:val="1"/>
          <w:color w:val="auto"/>
        </w:rPr>
      </w:pPr>
    </w:p>
    <w:p>
      <w:pPr>
        <w:jc w:val="both"/>
        <w:ind w:left="772" w:hanging="326"/>
        <w:spacing w:after="0" w:line="264" w:lineRule="auto"/>
        <w:tabs>
          <w:tab w:leader="none" w:pos="77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rFonts w:ascii="Arial" w:cs="Arial" w:eastAsia="Arial" w:hAnsi="Arial"/>
          <w:sz w:val="18"/>
          <w:szCs w:val="18"/>
          <w:b w:val="1"/>
          <w:bCs w:val="1"/>
          <w:color w:val="auto"/>
        </w:rPr>
      </w:pPr>
    </w:p>
    <w:p>
      <w:pPr>
        <w:ind w:left="452" w:hanging="452"/>
        <w:spacing w:after="0" w:line="282" w:lineRule="auto"/>
        <w:tabs>
          <w:tab w:leader="none" w:pos="4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Discretionary Nature and Acceptance of Award</w:t>
      </w:r>
      <w:r>
        <w:rPr>
          <w:rFonts w:ascii="Arial" w:cs="Arial" w:eastAsia="Arial" w:hAnsi="Arial"/>
          <w:sz w:val="18"/>
          <w:szCs w:val="18"/>
          <w:color w:val="auto"/>
        </w:rPr>
        <w:t>. By accepting this Award, you agree to be bound by the terms of this Agreement and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65" w:lineRule="exact"/>
        <w:rPr>
          <w:rFonts w:ascii="Arial" w:cs="Arial" w:eastAsia="Arial" w:hAnsi="Arial"/>
          <w:sz w:val="18"/>
          <w:szCs w:val="18"/>
          <w:b w:val="1"/>
          <w:bCs w:val="1"/>
          <w:color w:val="auto"/>
        </w:rPr>
      </w:pPr>
    </w:p>
    <w:p>
      <w:pPr>
        <w:ind w:left="772" w:hanging="326"/>
        <w:spacing w:after="0" w:line="277" w:lineRule="auto"/>
        <w:tabs>
          <w:tab w:leader="none" w:pos="772"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The Company is granting your Restricted Units and Additional Restricted Units, and this Agreement is not derived from any preexisting labor relationship between you and the Company, but rather from a mercantile relationship.</w:t>
      </w:r>
    </w:p>
    <w:p>
      <w:pPr>
        <w:spacing w:after="0" w:line="170" w:lineRule="exact"/>
        <w:rPr>
          <w:rFonts w:ascii="Arial" w:cs="Arial" w:eastAsia="Arial" w:hAnsi="Arial"/>
          <w:sz w:val="18"/>
          <w:szCs w:val="18"/>
          <w:b w:val="1"/>
          <w:bCs w:val="1"/>
          <w:color w:val="auto"/>
        </w:rPr>
      </w:pPr>
    </w:p>
    <w:p>
      <w:pPr>
        <w:ind w:left="772" w:hanging="326"/>
        <w:spacing w:after="0" w:line="277" w:lineRule="auto"/>
        <w:tabs>
          <w:tab w:leader="none" w:pos="772"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The Company may administer the Plan from outside your country of residence and United States law will govern all Restricted Units and Additional Restricted Units granted under the Plan.</w:t>
      </w:r>
    </w:p>
    <w:p>
      <w:pPr>
        <w:spacing w:after="0" w:line="170" w:lineRule="exact"/>
        <w:rPr>
          <w:rFonts w:ascii="Arial" w:cs="Arial" w:eastAsia="Arial" w:hAnsi="Arial"/>
          <w:sz w:val="18"/>
          <w:szCs w:val="18"/>
          <w:b w:val="1"/>
          <w:bCs w:val="1"/>
          <w:color w:val="auto"/>
        </w:rPr>
      </w:pPr>
    </w:p>
    <w:p>
      <w:pPr>
        <w:ind w:left="772" w:hanging="326"/>
        <w:spacing w:after="0"/>
        <w:tabs>
          <w:tab w:leader="none" w:pos="772"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Benefits and rights provided under the Plan do not constitute regular or periodic payments.</w:t>
      </w:r>
    </w:p>
    <w:p>
      <w:pPr>
        <w:spacing w:after="0" w:line="221" w:lineRule="exact"/>
        <w:rPr>
          <w:rFonts w:ascii="Arial" w:cs="Arial" w:eastAsia="Arial" w:hAnsi="Arial"/>
          <w:sz w:val="18"/>
          <w:szCs w:val="18"/>
          <w:b w:val="1"/>
          <w:bCs w:val="1"/>
          <w:color w:val="auto"/>
        </w:rPr>
      </w:pPr>
    </w:p>
    <w:p>
      <w:pPr>
        <w:ind w:left="452" w:hanging="452"/>
        <w:spacing w:after="0" w:line="282" w:lineRule="auto"/>
        <w:tabs>
          <w:tab w:leader="none" w:pos="4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Payment of your Restricted Units and Additional Restricted Units is not secured by a trust, insurance contract or other funding medium,</w:t>
      </w:r>
      <w:r>
        <w:rPr>
          <w:rFonts w:ascii="Arial" w:cs="Arial" w:eastAsia="Arial" w:hAnsi="Arial"/>
          <w:sz w:val="18"/>
          <w:szCs w:val="18"/>
          <w:b w:val="1"/>
          <w:bCs w:val="1"/>
          <w:color w:val="auto"/>
        </w:rPr>
        <w:t xml:space="preserve"> </w:t>
      </w:r>
      <w:r>
        <w:rPr>
          <w:rFonts w:ascii="Arial" w:cs="Arial" w:eastAsia="Arial" w:hAnsi="Arial"/>
          <w:sz w:val="18"/>
          <w:szCs w:val="18"/>
          <w:color w:val="auto"/>
        </w:rPr>
        <w:t>and you do not have any interest in any fund or specific asset of the Company by reason of this Award or the</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9" w:right="239" w:bottom="1440" w:gutter="0" w:footer="0" w:header="0"/>
        </w:sectPr>
      </w:pPr>
    </w:p>
    <w:bookmarkStart w:id="80" w:name="page81"/>
    <w:bookmarkEnd w:id="80"/>
    <w:p>
      <w:pPr>
        <w:ind w:left="460"/>
        <w:spacing w:after="0" w:line="277" w:lineRule="auto"/>
        <w:rPr>
          <w:sz w:val="20"/>
          <w:szCs w:val="20"/>
          <w:color w:val="auto"/>
        </w:rPr>
      </w:pPr>
      <w:r>
        <w:rPr>
          <w:rFonts w:ascii="Arial" w:cs="Arial" w:eastAsia="Arial" w:hAnsi="Arial"/>
          <w:sz w:val="18"/>
          <w:szCs w:val="18"/>
          <w:color w:val="auto"/>
        </w:rPr>
        <w:t>account established on your behalf. You have no rights as a shareowner of the Company pursuant to the Restricted Units or Additional Restricted Units until Shares are actually delivered to you.</w:t>
      </w:r>
    </w:p>
    <w:p>
      <w:pPr>
        <w:spacing w:after="0" w:line="166" w:lineRule="exact"/>
        <w:rPr>
          <w:sz w:val="20"/>
          <w:szCs w:val="20"/>
          <w:color w:val="auto"/>
        </w:rPr>
      </w:pPr>
    </w:p>
    <w:p>
      <w:pPr>
        <w:jc w:val="both"/>
        <w:ind w:left="460" w:hanging="452"/>
        <w:spacing w:after="0" w:line="266" w:lineRule="auto"/>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Units. This Agreement supersedes any prior agreements, commitments or negotiations concerning the Restricted Units and the Additional Restricted Units.</w:t>
      </w:r>
    </w:p>
    <w:p>
      <w:pPr>
        <w:spacing w:after="0" w:line="176" w:lineRule="exact"/>
        <w:rPr>
          <w:rFonts w:ascii="Arial" w:cs="Arial" w:eastAsia="Arial" w:hAnsi="Arial"/>
          <w:sz w:val="18"/>
          <w:szCs w:val="18"/>
          <w:b w:val="1"/>
          <w:bCs w:val="1"/>
          <w:color w:val="auto"/>
        </w:rPr>
      </w:pPr>
    </w:p>
    <w:p>
      <w:pPr>
        <w:jc w:val="both"/>
        <w:ind w:left="460" w:hanging="452"/>
        <w:spacing w:after="0" w:line="289" w:lineRule="auto"/>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will not affect the validity or enforceability of the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58" w:lineRule="exact"/>
        <w:rPr>
          <w:rFonts w:ascii="Arial" w:cs="Arial" w:eastAsia="Arial" w:hAnsi="Arial"/>
          <w:sz w:val="17"/>
          <w:szCs w:val="17"/>
          <w:b w:val="1"/>
          <w:bCs w:val="1"/>
          <w:color w:val="auto"/>
        </w:rPr>
      </w:pPr>
    </w:p>
    <w:p>
      <w:pPr>
        <w:jc w:val="both"/>
        <w:ind w:left="460" w:hanging="452"/>
        <w:spacing w:after="0" w:line="266" w:lineRule="auto"/>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ind w:left="460" w:hanging="452"/>
        <w:spacing w:after="0" w:line="313" w:lineRule="auto"/>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 Changes. </w:t>
      </w:r>
      <w:r>
        <w:rPr>
          <w:rFonts w:ascii="Arial" w:cs="Arial" w:eastAsia="Arial" w:hAnsi="Arial"/>
          <w:sz w:val="17"/>
          <w:szCs w:val="17"/>
          <w:color w:val="auto"/>
        </w:rPr>
        <w:t>The Company reserves the right to change the terms of this Agreement and the Plan without your consent to the extent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or desirable to comply with the requirements of Code section 409A, the Treasury regulations and other guidance thereunder.</w:t>
      </w:r>
    </w:p>
    <w:p>
      <w:pPr>
        <w:spacing w:after="0" w:line="138" w:lineRule="exact"/>
        <w:rPr>
          <w:rFonts w:ascii="Arial" w:cs="Arial" w:eastAsia="Arial" w:hAnsi="Arial"/>
          <w:sz w:val="17"/>
          <w:szCs w:val="17"/>
          <w:b w:val="1"/>
          <w:bCs w:val="1"/>
          <w:color w:val="auto"/>
        </w:rPr>
      </w:pPr>
    </w:p>
    <w:p>
      <w:pPr>
        <w:jc w:val="both"/>
        <w:ind w:left="460" w:hanging="452"/>
        <w:spacing w:after="0" w:line="281" w:lineRule="auto"/>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Acknowledgements and Acceptance. </w:t>
      </w:r>
      <w:r>
        <w:rPr>
          <w:rFonts w:ascii="Arial" w:cs="Arial" w:eastAsia="Arial" w:hAnsi="Arial"/>
          <w:sz w:val="17"/>
          <w:szCs w:val="17"/>
          <w:color w:val="auto"/>
        </w:rPr>
        <w:t>By accepting this Agreement, you agree to the following: (i) you have carefully read, fully understand and agree</w:t>
      </w:r>
      <w:r>
        <w:rPr>
          <w:rFonts w:ascii="Arial" w:cs="Arial" w:eastAsia="Arial" w:hAnsi="Arial"/>
          <w:sz w:val="17"/>
          <w:szCs w:val="17"/>
          <w:b w:val="1"/>
          <w:bCs w:val="1"/>
          <w:color w:val="auto"/>
        </w:rPr>
        <w:t xml:space="preserve"> </w:t>
      </w:r>
      <w:r>
        <w:rPr>
          <w:rFonts w:ascii="Arial" w:cs="Arial" w:eastAsia="Arial" w:hAnsi="Arial"/>
          <w:sz w:val="17"/>
          <w:szCs w:val="17"/>
          <w:color w:val="auto"/>
        </w:rPr>
        <w:t>to all of the terms and conditions described in this Agreement, the Plan, the Plan’s prospectus and all accompanying documentation; and (ii) you understand and agree that this Agreement and the Plan constitute the entire understanding between you and the Company regarding the Restricted Units, and that any prior agreements, commitments or negotiations concerning the Restricted Units are replaced and superseded.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30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Honeywell International Inc.</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Pr>
          <w:p>
            <w:pPr>
              <w:jc w:val="center"/>
              <w:ind w:left="2030"/>
              <w:spacing w:after="0" w:line="202" w:lineRule="exact"/>
              <w:rPr>
                <w:sz w:val="20"/>
                <w:szCs w:val="20"/>
                <w:color w:val="auto"/>
              </w:rPr>
            </w:pPr>
            <w:r>
              <w:rPr>
                <w:rFonts w:ascii="Arial" w:cs="Arial" w:eastAsia="Arial" w:hAnsi="Arial"/>
                <w:sz w:val="18"/>
                <w:szCs w:val="18"/>
                <w:b w:val="1"/>
                <w:bCs w:val="1"/>
                <w:color w:val="auto"/>
                <w:w w:val="99"/>
              </w:rPr>
              <w:t>Statement RE: Computation of Ratio of Earnings to Fixed Charges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Pr>
          <w:p>
            <w:pPr>
              <w:jc w:val="center"/>
              <w:ind w:left="2050"/>
              <w:spacing w:after="0" w:line="202" w:lineRule="exact"/>
              <w:rPr>
                <w:sz w:val="20"/>
                <w:szCs w:val="20"/>
                <w:color w:val="auto"/>
              </w:rPr>
            </w:pPr>
            <w:r>
              <w:rPr>
                <w:rFonts w:ascii="Arial" w:cs="Arial" w:eastAsia="Arial" w:hAnsi="Arial"/>
                <w:sz w:val="18"/>
                <w:szCs w:val="18"/>
                <w:b w:val="1"/>
                <w:bCs w:val="1"/>
                <w:color w:val="auto"/>
                <w:w w:val="99"/>
              </w:rPr>
              <w:t>Six Months Ended</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Pr>
          <w:p>
            <w:pPr>
              <w:jc w:val="center"/>
              <w:ind w:left="2030"/>
              <w:spacing w:after="0" w:line="202" w:lineRule="exact"/>
              <w:rPr>
                <w:sz w:val="20"/>
                <w:szCs w:val="20"/>
                <w:color w:val="auto"/>
              </w:rPr>
            </w:pPr>
            <w:r>
              <w:rPr>
                <w:rFonts w:ascii="Arial" w:cs="Arial" w:eastAsia="Arial" w:hAnsi="Arial"/>
                <w:sz w:val="18"/>
                <w:szCs w:val="18"/>
                <w:b w:val="1"/>
                <w:bCs w:val="1"/>
                <w:color w:val="auto"/>
              </w:rPr>
              <w:t>June 30, 2016</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30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(Dollars in millions)</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3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Determination of Earnings:</w:t>
            </w:r>
          </w:p>
        </w:tc>
        <w:tc>
          <w:tcPr>
            <w:tcW w:w="7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7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7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Borders>
              <w:bottom w:val="single" w:sz="8" w:color="E5FFFF"/>
            </w:tcBorders>
          </w:tcPr>
          <w:p>
            <w:pPr>
              <w:ind w:left="340"/>
              <w:spacing w:after="0" w:line="202" w:lineRule="exact"/>
              <w:rPr>
                <w:sz w:val="20"/>
                <w:szCs w:val="20"/>
                <w:color w:val="auto"/>
              </w:rPr>
            </w:pPr>
            <w:r>
              <w:rPr>
                <w:rFonts w:ascii="Arial" w:cs="Arial" w:eastAsia="Arial" w:hAnsi="Arial"/>
                <w:sz w:val="18"/>
                <w:szCs w:val="18"/>
                <w:color w:val="auto"/>
              </w:rPr>
              <w:t>Equity income, net of distributions</w:t>
            </w:r>
          </w:p>
        </w:tc>
        <w:tc>
          <w:tcPr>
            <w:tcW w:w="7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bottom w:val="single" w:sz="8" w:color="E5FFFF"/>
            </w:tcBorders>
            <w:shd w:val="clear" w:color="auto" w:fill="E5FFFF"/>
          </w:tcPr>
          <w:p>
            <w:pPr>
              <w:ind w:left="520"/>
              <w:spacing w:after="0" w:line="196" w:lineRule="exact"/>
              <w:rPr>
                <w:sz w:val="20"/>
                <w:szCs w:val="20"/>
                <w:color w:val="auto"/>
              </w:rPr>
            </w:pPr>
            <w:r>
              <w:rPr>
                <w:rFonts w:ascii="Arial" w:cs="Arial" w:eastAsia="Arial" w:hAnsi="Arial"/>
                <w:sz w:val="18"/>
                <w:szCs w:val="18"/>
                <w:b w:val="1"/>
                <w:bCs w:val="1"/>
                <w:color w:val="auto"/>
              </w:rPr>
              <w:t>Total earnings, as defined</w:t>
            </w:r>
          </w:p>
        </w:tc>
        <w:tc>
          <w:tcPr>
            <w:tcW w:w="7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3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0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10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Borders>
              <w:bottom w:val="single" w:sz="8" w:color="E5FFFF"/>
            </w:tcBorders>
          </w:tcPr>
          <w:p>
            <w:pPr>
              <w:ind w:left="160"/>
              <w:spacing w:after="0" w:line="202" w:lineRule="exact"/>
              <w:rPr>
                <w:sz w:val="20"/>
                <w:szCs w:val="20"/>
                <w:color w:val="auto"/>
              </w:rPr>
            </w:pPr>
            <w:r>
              <w:rPr>
                <w:rFonts w:ascii="Arial" w:cs="Arial" w:eastAsia="Arial" w:hAnsi="Arial"/>
                <w:sz w:val="18"/>
                <w:szCs w:val="18"/>
                <w:color w:val="auto"/>
              </w:rPr>
              <w:t>Interest and other financial charges</w:t>
            </w:r>
          </w:p>
        </w:tc>
        <w:tc>
          <w:tcPr>
            <w:tcW w:w="7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00" w:type="dxa"/>
            <w:vAlign w:val="bottom"/>
            <w:tcBorders>
              <w:bottom w:val="single" w:sz="8" w:color="E5FFFF"/>
            </w:tcBorders>
          </w:tcPr>
          <w:p>
            <w:pPr>
              <w:ind w:left="160"/>
              <w:spacing w:after="0" w:line="202" w:lineRule="exact"/>
              <w:rPr>
                <w:sz w:val="20"/>
                <w:szCs w:val="20"/>
                <w:color w:val="auto"/>
              </w:rPr>
            </w:pPr>
            <w:r>
              <w:rPr>
                <w:rFonts w:ascii="Arial" w:cs="Arial" w:eastAsia="Arial" w:hAnsi="Arial"/>
                <w:sz w:val="18"/>
                <w:szCs w:val="18"/>
                <w:color w:val="auto"/>
              </w:rPr>
              <w:t>Capitalized interest</w:t>
            </w:r>
          </w:p>
        </w:tc>
        <w:tc>
          <w:tcPr>
            <w:tcW w:w="7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bottom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b w:val="1"/>
                <w:bCs w:val="1"/>
                <w:color w:val="auto"/>
              </w:rPr>
              <w:t>Total fixed charges</w:t>
            </w:r>
          </w:p>
        </w:tc>
        <w:tc>
          <w:tcPr>
            <w:tcW w:w="74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9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17.43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580" w:hanging="332"/>
        <w:spacing w:after="0" w:line="246" w:lineRule="auto"/>
        <w:tabs>
          <w:tab w:leader="none" w:pos="286"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38" w:lineRule="exact"/>
        <w:rPr>
          <w:rFonts w:ascii="Arial" w:cs="Arial" w:eastAsia="Arial" w:hAnsi="Arial"/>
          <w:sz w:val="18"/>
          <w:szCs w:val="18"/>
          <w:color w:val="auto"/>
        </w:rPr>
      </w:pPr>
    </w:p>
    <w:p>
      <w:pPr>
        <w:jc w:val="both"/>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3" w:lineRule="exact"/>
        <w:rPr>
          <w:rFonts w:ascii="Arial" w:cs="Arial" w:eastAsia="Arial" w:hAnsi="Arial"/>
          <w:sz w:val="18"/>
          <w:szCs w:val="18"/>
          <w:color w:val="auto"/>
        </w:rPr>
      </w:pPr>
    </w:p>
    <w:p>
      <w:pPr>
        <w:jc w:val="both"/>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jc w:val="right"/>
        <w:ind w:right="2720"/>
        <w:spacing w:after="0" w:line="242" w:lineRule="auto"/>
        <w:rPr>
          <w:sz w:val="20"/>
          <w:szCs w:val="20"/>
          <w:color w:val="auto"/>
        </w:rPr>
      </w:pPr>
      <w:r>
        <w:rPr>
          <w:rFonts w:ascii="Arial" w:cs="Arial" w:eastAsia="Arial" w:hAnsi="Arial"/>
          <w:sz w:val="18"/>
          <w:szCs w:val="18"/>
          <w:color w:val="auto"/>
        </w:rPr>
        <w:t xml:space="preserve">Date: July 22, 2016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38" w:lineRule="exact"/>
        <w:rPr>
          <w:rFonts w:ascii="Arial" w:cs="Arial" w:eastAsia="Arial" w:hAnsi="Arial"/>
          <w:sz w:val="18"/>
          <w:szCs w:val="18"/>
          <w:color w:val="auto"/>
        </w:rPr>
      </w:pPr>
    </w:p>
    <w:p>
      <w:pPr>
        <w:jc w:val="both"/>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3" w:lineRule="exact"/>
        <w:rPr>
          <w:rFonts w:ascii="Arial" w:cs="Arial" w:eastAsia="Arial" w:hAnsi="Arial"/>
          <w:sz w:val="18"/>
          <w:szCs w:val="18"/>
          <w:color w:val="auto"/>
        </w:rPr>
      </w:pPr>
    </w:p>
    <w:p>
      <w:pPr>
        <w:jc w:val="both"/>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ind w:left="7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2016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jc w:val="right"/>
        <w:ind w:right="2720"/>
        <w:spacing w:after="0" w:line="242" w:lineRule="auto"/>
        <w:rPr>
          <w:sz w:val="20"/>
          <w:szCs w:val="20"/>
          <w:color w:val="auto"/>
        </w:rPr>
      </w:pPr>
      <w:r>
        <w:rPr>
          <w:rFonts w:ascii="Arial" w:cs="Arial" w:eastAsia="Arial" w:hAnsi="Arial"/>
          <w:sz w:val="18"/>
          <w:szCs w:val="18"/>
          <w:color w:val="auto"/>
        </w:rPr>
        <w:t xml:space="preserve">Date: July 22, 2016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2016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July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5"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ind w:left="7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lowerLetter"/>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upperLetter"/>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lowerLetter"/>
      <w:start w:val="1"/>
    </w:lvl>
  </w:abstractNum>
  <w:abstractNum w:abstractNumId="9">
    <w:nsid w:val="153EA438"/>
    <w:multiLevelType w:val="hybridMultilevel"/>
    <w:lvl w:ilvl="0">
      <w:lvlJc w:val="left"/>
      <w:lvlText w:val="%1"/>
      <w:numFmt w:val="decimal"/>
      <w:start w:val="1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4"/>
    </w:lvl>
    <w:lvl w:ilvl="1">
      <w:lvlJc w:val="left"/>
      <w:lvlText w:val="%2."/>
      <w:numFmt w:val="lowerLetter"/>
      <w:start w:val="1"/>
    </w:lvl>
  </w:abstractNum>
  <w:abstractNum w:abstractNumId="13">
    <w:nsid w:val="2A487CB0"/>
    <w:multiLevelType w:val="hybridMultilevel"/>
    <w:lvl w:ilvl="0">
      <w:lvlJc w:val="left"/>
      <w:lvlText w:val="%1"/>
      <w:numFmt w:val="decimal"/>
      <w:start w:val="1"/>
    </w:lvl>
    <w:lvl w:ilvl="1">
      <w:lvlJc w:val="left"/>
      <w:lvlText w:val="%2."/>
      <w:numFmt w:val="lowerLetter"/>
      <w:start w:val="1"/>
    </w:lvl>
  </w:abstractNum>
  <w:abstractNum w:abstractNumId="14">
    <w:nsid w:val="1D4ED43B"/>
    <w:multiLevelType w:val="hybridMultilevel"/>
    <w:lvl w:ilvl="0">
      <w:lvlJc w:val="left"/>
      <w:lvlText w:val="%1."/>
      <w:numFmt w:val="decimal"/>
      <w:start w:val="9"/>
    </w:lvl>
    <w:lvl w:ilvl="1">
      <w:lvlJc w:val="left"/>
      <w:lvlText w:val="%2"/>
      <w:numFmt w:val="lowerLetter"/>
      <w:start w:val="1"/>
    </w:lvl>
  </w:abstractNum>
  <w:abstractNum w:abstractNumId="15">
    <w:nsid w:val="725A06FB"/>
    <w:multiLevelType w:val="hybridMultilevel"/>
    <w:lvl w:ilvl="0">
      <w:lvlJc w:val="left"/>
      <w:lvlText w:val="%1."/>
      <w:numFmt w:val="lowerLetter"/>
      <w:start w:val="1"/>
    </w:lvl>
    <w:lvl w:ilvl="1">
      <w:lvlJc w:val="left"/>
      <w:lvlText w:val="%2."/>
      <w:numFmt w:val="decimal"/>
      <w:start w:val="1"/>
    </w:lvl>
  </w:abstractNum>
  <w:abstractNum w:abstractNumId="16">
    <w:nsid w:val="2CD89A32"/>
    <w:multiLevelType w:val="hybridMultilevel"/>
    <w:lvl w:ilvl="0">
      <w:lvlJc w:val="left"/>
      <w:lvlText w:val="%1"/>
      <w:numFmt w:val="decimal"/>
      <w:start w:val="1"/>
    </w:lvl>
    <w:lvl w:ilvl="1">
      <w:lvlJc w:val="left"/>
      <w:lvlText w:val="%2."/>
      <w:numFmt w:val="decimal"/>
      <w:start w:val="2"/>
    </w:lvl>
  </w:abstractNum>
  <w:abstractNum w:abstractNumId="17">
    <w:nsid w:val="57E4CCAF"/>
    <w:multiLevelType w:val="hybridMultilevel"/>
    <w:lvl w:ilvl="0">
      <w:lvlJc w:val="left"/>
      <w:lvlText w:val="%1."/>
      <w:numFmt w:val="decimal"/>
      <w:start w:val="12"/>
    </w:lvl>
    <w:lvl w:ilvl="1">
      <w:lvlJc w:val="left"/>
      <w:lvlText w:val="%2"/>
      <w:numFmt w:val="decimal"/>
      <w:start w:val="1"/>
    </w:lvl>
  </w:abstractNum>
  <w:abstractNum w:abstractNumId="18">
    <w:nsid w:val="7A6D8D3C"/>
    <w:multiLevelType w:val="hybridMultilevel"/>
    <w:lvl w:ilvl="0">
      <w:lvlJc w:val="left"/>
      <w:lvlText w:val="%1."/>
      <w:numFmt w:val="decimal"/>
      <w:start w:val="15"/>
    </w:lvl>
    <w:lvl w:ilvl="1">
      <w:lvlJc w:val="left"/>
      <w:lvlText w:val="%2."/>
      <w:numFmt w:val="lowerLetter"/>
      <w:start w:val="1"/>
    </w:lvl>
  </w:abstractNum>
  <w:abstractNum w:abstractNumId="19">
    <w:nsid w:val="4B588F54"/>
    <w:multiLevelType w:val="hybridMultilevel"/>
    <w:lvl w:ilvl="0">
      <w:lvlJc w:val="left"/>
      <w:lvlText w:val="%1"/>
      <w:numFmt w:val="decimal"/>
      <w:start w:val="1"/>
    </w:lvl>
    <w:lvl w:ilvl="1">
      <w:lvlJc w:val="left"/>
      <w:lvlText w:val="%2."/>
      <w:numFmt w:val="lowerLetter"/>
      <w:start w:val="6"/>
    </w:lvl>
  </w:abstractNum>
  <w:abstractNum w:abstractNumId="20">
    <w:nsid w:val="542289EC"/>
    <w:multiLevelType w:val="hybridMultilevel"/>
    <w:lvl w:ilvl="0">
      <w:lvlJc w:val="left"/>
      <w:lvlText w:val="%1."/>
      <w:numFmt w:val="decimal"/>
      <w:start w:val="17"/>
    </w:lvl>
    <w:lvl w:ilvl="1">
      <w:lvlJc w:val="left"/>
      <w:lvlText w:val="%2."/>
      <w:numFmt w:val="lowerLetter"/>
      <w:start w:val="1"/>
    </w:lvl>
  </w:abstractNum>
  <w:abstractNum w:abstractNumId="21">
    <w:nsid w:val="6DE91B18"/>
    <w:multiLevelType w:val="hybridMultilevel"/>
    <w:lvl w:ilvl="0">
      <w:lvlJc w:val="left"/>
      <w:lvlText w:val="%1"/>
      <w:numFmt w:val="decimal"/>
      <w:start w:val="1"/>
    </w:lvl>
    <w:lvl w:ilvl="1">
      <w:lvlJc w:val="left"/>
      <w:lvlText w:val="%2."/>
      <w:numFmt w:val="lowerLetter"/>
      <w:start w:val="7"/>
    </w:lvl>
  </w:abstractNum>
  <w:abstractNum w:abstractNumId="22">
    <w:nsid w:val="38437FDB"/>
    <w:multiLevelType w:val="hybridMultilevel"/>
    <w:lvl w:ilvl="0">
      <w:lvlJc w:val="left"/>
      <w:lvlText w:val="%1."/>
      <w:numFmt w:val="decimal"/>
      <w:start w:val="18"/>
    </w:lvl>
    <w:lvl w:ilvl="1">
      <w:lvlJc w:val="left"/>
      <w:lvlText w:val="%2"/>
      <w:numFmt w:val="lowerLetter"/>
      <w:start w:val="1"/>
    </w:lvl>
  </w:abstractNum>
  <w:abstractNum w:abstractNumId="23">
    <w:nsid w:val="7644A45C"/>
    <w:multiLevelType w:val="hybridMultilevel"/>
    <w:lvl w:ilvl="0">
      <w:lvlJc w:val="left"/>
      <w:lvlText w:val="%1."/>
      <w:numFmt w:val="decimal"/>
      <w:start w:val="1"/>
    </w:lvl>
    <w:lvl w:ilvl="1">
      <w:lvlJc w:val="left"/>
      <w:lvlText w:val="%2."/>
      <w:numFmt w:val="lowerLetter"/>
      <w:start w:val="1"/>
    </w:lvl>
  </w:abstractNum>
  <w:abstractNum w:abstractNumId="24">
    <w:nsid w:val="32FFF902"/>
    <w:multiLevelType w:val="hybridMultilevel"/>
    <w:lvl w:ilvl="0">
      <w:lvlJc w:val="left"/>
      <w:lvlText w:val="%1."/>
      <w:numFmt w:val="decimal"/>
      <w:start w:val="3"/>
    </w:lvl>
  </w:abstractNum>
  <w:abstractNum w:abstractNumId="25">
    <w:nsid w:val="684A481A"/>
    <w:multiLevelType w:val="hybridMultilevel"/>
    <w:lvl w:ilvl="0">
      <w:lvlJc w:val="left"/>
      <w:lvlText w:val="%1."/>
      <w:numFmt w:val="decimal"/>
      <w:start w:val="6"/>
    </w:lvl>
  </w:abstractNum>
  <w:abstractNum w:abstractNumId="26">
    <w:nsid w:val="579478FE"/>
    <w:multiLevelType w:val="hybridMultilevel"/>
    <w:lvl w:ilvl="0">
      <w:lvlJc w:val="left"/>
      <w:lvlText w:val="%1."/>
      <w:numFmt w:val="decimal"/>
      <w:start w:val="10"/>
    </w:lvl>
    <w:lvl w:ilvl="1">
      <w:lvlJc w:val="left"/>
      <w:lvlText w:val="%2."/>
      <w:numFmt w:val="lowerLetter"/>
      <w:start w:val="1"/>
    </w:lvl>
  </w:abstractNum>
  <w:abstractNum w:abstractNumId="27">
    <w:nsid w:val="749ABB43"/>
    <w:multiLevelType w:val="hybridMultilevel"/>
    <w:lvl w:ilvl="0">
      <w:lvlJc w:val="left"/>
      <w:lvlText w:val="%1."/>
      <w:numFmt w:val="decimal"/>
      <w:start w:val="11"/>
    </w:lvl>
    <w:lvl w:ilvl="1">
      <w:lvlJc w:val="left"/>
      <w:lvlText w:val="%2."/>
      <w:numFmt w:val="lowerLetter"/>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2"/>
    </w:lvl>
  </w:abstractNum>
  <w:abstractNum w:abstractNumId="30">
    <w:nsid w:val="79A1DEAA"/>
    <w:multiLevelType w:val="hybridMultilevel"/>
    <w:lvl w:ilvl="0">
      <w:lvlJc w:val="left"/>
      <w:lvlText w:val="%1"/>
      <w:numFmt w:val="decimal"/>
      <w:start w:val="1"/>
    </w:lvl>
    <w:lvl w:ilvl="1">
      <w:lvlJc w:val="left"/>
      <w:lvlText w:val="%2."/>
      <w:numFmt w:val="decimal"/>
      <w:start w:val="3"/>
    </w:lvl>
  </w:abstractNum>
  <w:abstractNum w:abstractNumId="31">
    <w:nsid w:val="75C6C33A"/>
    <w:multiLevelType w:val="hybridMultilevel"/>
    <w:lvl w:ilvl="0">
      <w:lvlJc w:val="left"/>
      <w:lvlText w:val="%1."/>
      <w:numFmt w:val="decimal"/>
      <w:start w:val="15"/>
    </w:lvl>
    <w:lvl w:ilvl="1">
      <w:lvlJc w:val="left"/>
      <w:lvlText w:val="%2"/>
      <w:numFmt w:val="decimal"/>
      <w:start w:val="1"/>
    </w:lvl>
  </w:abstractNum>
  <w:abstractNum w:abstractNumId="32">
    <w:nsid w:val="12E685FB"/>
    <w:multiLevelType w:val="hybridMultilevel"/>
    <w:lvl w:ilvl="0">
      <w:lvlJc w:val="left"/>
      <w:lvlText w:val="%1."/>
      <w:numFmt w:val="decimal"/>
      <w:start w:val="19"/>
    </w:lvl>
    <w:lvl w:ilvl="1">
      <w:lvlJc w:val="left"/>
      <w:lvlText w:val="%2."/>
      <w:numFmt w:val="lowerLetter"/>
      <w:start w:val="1"/>
    </w:lvl>
  </w:abstractNum>
  <w:abstractNum w:abstractNumId="33">
    <w:nsid w:val="70C6A529"/>
    <w:multiLevelType w:val="hybridMultilevel"/>
    <w:lvl w:ilvl="0">
      <w:lvlJc w:val="left"/>
      <w:lvlText w:val="%1."/>
      <w:numFmt w:val="lowerLetter"/>
      <w:start w:val="2"/>
    </w:lvl>
  </w:abstractNum>
  <w:abstractNum w:abstractNumId="34">
    <w:nsid w:val="520EEDD1"/>
    <w:multiLevelType w:val="hybridMultilevel"/>
    <w:lvl w:ilvl="0">
      <w:lvlJc w:val="left"/>
      <w:lvlText w:val="%1."/>
      <w:numFmt w:val="decimal"/>
      <w:start w:val="21"/>
    </w:lvl>
  </w:abstractNum>
  <w:abstractNum w:abstractNumId="35">
    <w:nsid w:val="374A3FE6"/>
    <w:multiLevelType w:val="hybridMultilevel"/>
    <w:lvl w:ilvl="0">
      <w:lvlJc w:val="left"/>
      <w:lvlText w:val="%1."/>
      <w:numFmt w:val="decimal"/>
      <w:start w:val="22"/>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7"/>
    </w:lvl>
  </w:abstractNum>
  <w:abstractNum w:abstractNumId="38">
    <w:nsid w:val="649BB77C"/>
    <w:multiLevelType w:val="hybridMultilevel"/>
    <w:lvl w:ilvl="0">
      <w:lvlJc w:val="left"/>
      <w:lvlText w:val="%1."/>
      <w:numFmt w:val="decimal"/>
      <w:start w:val="8"/>
    </w:lvl>
  </w:abstractNum>
  <w:abstractNum w:abstractNumId="39">
    <w:nsid w:val="275AC79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40">
    <w:nsid w:val="39386575"/>
    <w:multiLevelType w:val="hybridMultilevel"/>
    <w:lvl w:ilvl="0">
      <w:lvlJc w:val="left"/>
      <w:lvlText w:val="%1"/>
      <w:numFmt w:val="decimal"/>
      <w:start w:val="1"/>
    </w:lvl>
    <w:lvl w:ilvl="1">
      <w:lvlJc w:val="left"/>
      <w:lvlText w:val="%2."/>
      <w:numFmt w:val="decimal"/>
      <w:start w:val="2"/>
    </w:lvl>
  </w:abstractNum>
  <w:abstractNum w:abstractNumId="41">
    <w:nsid w:val="1CF10FD8"/>
    <w:multiLevelType w:val="hybridMultilevel"/>
    <w:lvl w:ilvl="0">
      <w:lvlJc w:val="left"/>
      <w:lvlText w:val="%1."/>
      <w:numFmt w:val="decimal"/>
      <w:start w:val="12"/>
    </w:lvl>
    <w:lvl w:ilvl="1">
      <w:lvlJc w:val="left"/>
      <w:lvlText w:val="%2"/>
      <w:numFmt w:val="decimal"/>
      <w:start w:val="1"/>
    </w:lvl>
  </w:abstractNum>
  <w:abstractNum w:abstractNumId="42">
    <w:nsid w:val="180115BE"/>
    <w:multiLevelType w:val="hybridMultilevel"/>
    <w:lvl w:ilvl="0">
      <w:lvlJc w:val="left"/>
      <w:lvlText w:val="%1."/>
      <w:numFmt w:val="decimal"/>
      <w:start w:val="15"/>
    </w:lvl>
    <w:lvl w:ilvl="1">
      <w:lvlJc w:val="left"/>
      <w:lvlText w:val="%2."/>
      <w:numFmt w:val="lowerLetter"/>
      <w:start w:val="1"/>
    </w:lvl>
  </w:abstractNum>
  <w:abstractNum w:abstractNumId="43">
    <w:nsid w:val="235BA861"/>
    <w:multiLevelType w:val="hybridMultilevel"/>
    <w:lvl w:ilvl="0">
      <w:lvlJc w:val="left"/>
      <w:lvlText w:val="%1"/>
      <w:numFmt w:val="decimal"/>
      <w:start w:val="1"/>
    </w:lvl>
    <w:lvl w:ilvl="1">
      <w:lvlJc w:val="left"/>
      <w:lvlText w:val="%2."/>
      <w:numFmt w:val="lowerLetter"/>
      <w:start w:val="6"/>
    </w:lvl>
  </w:abstractNum>
  <w:abstractNum w:abstractNumId="44">
    <w:nsid w:val="47398C89"/>
    <w:multiLevelType w:val="hybridMultilevel"/>
    <w:lvl w:ilvl="0">
      <w:lvlJc w:val="left"/>
      <w:lvlText w:val="%1."/>
      <w:numFmt w:val="decimal"/>
      <w:start w:val="17"/>
    </w:lvl>
    <w:lvl w:ilvl="1">
      <w:lvlJc w:val="left"/>
      <w:lvlText w:val="%2."/>
      <w:numFmt w:val="lowerLetter"/>
      <w:start w:val="1"/>
    </w:lvl>
  </w:abstractNum>
  <w:abstractNum w:abstractNumId="45">
    <w:nsid w:val="354FE9F9"/>
    <w:multiLevelType w:val="hybridMultilevel"/>
    <w:lvl w:ilvl="0">
      <w:lvlJc w:val="left"/>
      <w:lvlText w:val="%1."/>
      <w:numFmt w:val="decimal"/>
      <w:start w:val="19"/>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6"/>
    </w:lvl>
  </w:abstractNum>
  <w:abstractNum w:abstractNumId="48">
    <w:nsid w:val="D34B6A8"/>
    <w:multiLevelType w:val="hybridMultilevel"/>
    <w:lvl w:ilvl="0">
      <w:lvlJc w:val="left"/>
      <w:lvlText w:val="%1."/>
      <w:numFmt w:val="decimal"/>
      <w:start w:val="9"/>
    </w:lvl>
    <w:lvl w:ilvl="1">
      <w:lvlJc w:val="left"/>
      <w:lvlText w:val="%2."/>
      <w:numFmt w:val="lowerLetter"/>
      <w:start w:val="1"/>
    </w:lvl>
  </w:abstractNum>
  <w:abstractNum w:abstractNumId="49">
    <w:nsid w:val="10233C99"/>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0">
    <w:nsid w:val="3F6AB60F"/>
    <w:multiLevelType w:val="hybridMultilevel"/>
    <w:lvl w:ilvl="0">
      <w:lvlJc w:val="left"/>
      <w:lvlText w:val="%1"/>
      <w:numFmt w:val="decimal"/>
      <w:start w:val="1"/>
    </w:lvl>
    <w:lvl w:ilvl="1">
      <w:lvlJc w:val="left"/>
      <w:lvlText w:val="%2."/>
      <w:numFmt w:val="decimal"/>
      <w:start w:val="2"/>
    </w:lvl>
  </w:abstractNum>
  <w:abstractNum w:abstractNumId="51">
    <w:nsid w:val="61574095"/>
    <w:multiLevelType w:val="hybridMultilevel"/>
    <w:lvl w:ilvl="0">
      <w:lvlJc w:val="left"/>
      <w:lvlText w:val="%1."/>
      <w:numFmt w:val="decimal"/>
      <w:start w:val="12"/>
    </w:lvl>
    <w:lvl w:ilvl="1">
      <w:lvlJc w:val="left"/>
      <w:lvlText w:val="%2"/>
      <w:numFmt w:val="decimal"/>
      <w:start w:val="1"/>
    </w:lvl>
  </w:abstractNum>
  <w:abstractNum w:abstractNumId="52">
    <w:nsid w:val="7E0C57B1"/>
    <w:multiLevelType w:val="hybridMultilevel"/>
    <w:lvl w:ilvl="0">
      <w:lvlJc w:val="left"/>
      <w:lvlText w:val="%1."/>
      <w:numFmt w:val="decimal"/>
      <w:start w:val="16"/>
    </w:lvl>
    <w:lvl w:ilvl="1">
      <w:lvlJc w:val="left"/>
      <w:lvlText w:val="%2."/>
      <w:numFmt w:val="lowerLetter"/>
      <w:start w:val="1"/>
    </w:lvl>
  </w:abstractNum>
  <w:abstractNum w:abstractNumId="53">
    <w:nsid w:val="77AE35EB"/>
    <w:multiLevelType w:val="hybridMultilevel"/>
    <w:lvl w:ilvl="0">
      <w:lvlJc w:val="left"/>
      <w:lvlText w:val="%1."/>
      <w:numFmt w:val="decimal"/>
      <w:start w:val="17"/>
    </w:lvl>
    <w:lvl w:ilvl="1">
      <w:lvlJc w:val="left"/>
      <w:lvlText w:val="%2."/>
      <w:numFmt w:val="lowerLetter"/>
      <w:start w:val="1"/>
    </w:lvl>
  </w:abstractNum>
  <w:abstractNum w:abstractNumId="54">
    <w:nsid w:val="579BE4F1"/>
    <w:multiLevelType w:val="hybridMultilevel"/>
    <w:lvl w:ilvl="0">
      <w:lvlJc w:val="left"/>
      <w:lvlText w:val="%1."/>
      <w:numFmt w:val="decimal"/>
      <w:start w:val="19"/>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7"/>
    </w:lvl>
  </w:abstractNum>
  <w:abstractNum w:abstractNumId="57">
    <w:nsid w:val="2F305DEF"/>
    <w:multiLevelType w:val="hybridMultilevel"/>
    <w:lvl w:ilvl="0">
      <w:lvlJc w:val="left"/>
      <w:lvlText w:val="%1."/>
      <w:numFmt w:val="decimal"/>
      <w:start w:val="8"/>
    </w:lvl>
  </w:abstractNum>
  <w:abstractNum w:abstractNumId="58">
    <w:nsid w:val="25A70BF7"/>
    <w:multiLevelType w:val="hybridMultilevel"/>
    <w:lvl w:ilvl="0">
      <w:lvlJc w:val="left"/>
      <w:lvlText w:val="%1."/>
      <w:numFmt w:val="decimal"/>
      <w:start w:val="12"/>
    </w:lvl>
    <w:lvl w:ilvl="1">
      <w:lvlJc w:val="left"/>
      <w:lvlText w:val="%2."/>
      <w:numFmt w:val="lowerLetter"/>
      <w:start w:val="1"/>
    </w:lvl>
  </w:abstractNum>
  <w:abstractNum w:abstractNumId="59">
    <w:nsid w:val="1DBABF00"/>
    <w:multiLevelType w:val="hybridMultilevel"/>
    <w:lvl w:ilvl="0">
      <w:lvlJc w:val="left"/>
      <w:lvlText w:val="%1."/>
      <w:numFmt w:val="decimal"/>
      <w:start w:val="16"/>
    </w:lvl>
    <w:lvl w:ilvl="1">
      <w:lvlJc w:val="left"/>
      <w:lvlText w:val="%2."/>
      <w:numFmt w:val="lowerLetter"/>
      <w:start w:val="1"/>
    </w:lvl>
  </w:abstractNum>
  <w:abstractNum w:abstractNumId="60">
    <w:nsid w:val="4AD084E9"/>
    <w:multiLevelType w:val="hybridMultilevel"/>
    <w:lvl w:ilvl="0">
      <w:lvlJc w:val="left"/>
      <w:lvlText w:val="%1."/>
      <w:numFmt w:val="decimal"/>
      <w:start w:val="20"/>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6"/>
    </w:lvl>
  </w:abstractNum>
  <w:abstractNum w:abstractNumId="63">
    <w:nsid w:val="5DB70AE5"/>
    <w:multiLevelType w:val="hybridMultilevel"/>
    <w:lvl w:ilvl="0">
      <w:lvlJc w:val="left"/>
      <w:lvlText w:val="%1."/>
      <w:numFmt w:val="decimal"/>
      <w:start w:val="12"/>
    </w:lvl>
    <w:lvl w:ilvl="1">
      <w:lvlJc w:val="left"/>
      <w:lvlText w:val="%2."/>
      <w:numFmt w:val="lowerLetter"/>
      <w:start w:val="1"/>
    </w:lvl>
  </w:abstractNum>
  <w:abstractNum w:abstractNumId="64">
    <w:nsid w:val="100F8FCA"/>
    <w:multiLevelType w:val="hybridMultilevel"/>
    <w:lvl w:ilvl="0">
      <w:lvlJc w:val="left"/>
      <w:lvlText w:val="%1"/>
      <w:numFmt w:val="decimal"/>
      <w:start w:val="1"/>
    </w:lvl>
    <w:lvl w:ilvl="1">
      <w:lvlJc w:val="left"/>
      <w:lvlText w:val="%2."/>
      <w:numFmt w:val="lowerLetter"/>
      <w:start w:val="3"/>
    </w:lvl>
  </w:abstractNum>
  <w:abstractNum w:abstractNumId="65">
    <w:nsid w:val="6590700B"/>
    <w:multiLevelType w:val="hybridMultilevel"/>
    <w:lvl w:ilvl="0">
      <w:lvlJc w:val="left"/>
      <w:lvlText w:val="%1."/>
      <w:numFmt w:val="decimal"/>
      <w:start w:val="17"/>
    </w:lvl>
    <w:lvl w:ilvl="1">
      <w:lvlJc w:val="left"/>
      <w:lvlText w:val="%2."/>
      <w:numFmt w:val="lowerLetter"/>
      <w:start w:val="1"/>
    </w:lvl>
  </w:abstractNum>
  <w:abstractNum w:abstractNumId="66">
    <w:nsid w:val="15014ACB"/>
    <w:multiLevelType w:val="hybridMultilevel"/>
    <w:lvl w:ilvl="0">
      <w:lvlJc w:val="left"/>
      <w:lvlText w:val="%1."/>
      <w:numFmt w:val="decimal"/>
      <w:start w:val="19"/>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2020-01-20T21:16:02Z</dcterms:created>
  <dcterms:modified xsi:type="dcterms:W3CDTF">2020-01-20T21:16:02Z</dcterms:modified>
</cp:coreProperties>
</file>