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185420</wp:posOffset>
            </wp:positionH>
            <wp:positionV relativeFrom="page">
              <wp:posOffset>626110</wp:posOffset>
            </wp:positionV>
            <wp:extent cx="704088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4088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603250</wp:posOffset>
            </wp:positionV>
            <wp:extent cx="704088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40880" cy="5715"/>
                    </a:xfrm>
                    <a:prstGeom prst="rect">
                      <a:avLst/>
                    </a:prstGeom>
                    <a:noFill/>
                  </pic:spPr>
                </pic:pic>
              </a:graphicData>
            </a:graphic>
          </wp:anchor>
        </w:drawing>
        <w:t>UNITED STATES</w:t>
      </w:r>
    </w:p>
    <w:p>
      <w:pPr>
        <w:jc w:val="center"/>
        <w:spacing w:after="0" w:line="227" w:lineRule="auto"/>
        <w:rPr>
          <w:sz w:val="20"/>
          <w:szCs w:val="20"/>
          <w:color w:val="auto"/>
        </w:rPr>
      </w:pPr>
      <w:r>
        <w:rPr>
          <w:rFonts w:ascii="Arial" w:cs="Arial" w:eastAsia="Arial" w:hAnsi="Arial"/>
          <w:sz w:val="10"/>
          <w:szCs w:val="10"/>
          <w:color w:val="auto"/>
        </w:rPr>
        <w:t>SECURITIES AND EXCHANGE COMMISSION</w:t>
      </w:r>
    </w:p>
    <w:p>
      <w:pPr>
        <w:jc w:val="center"/>
        <w:spacing w:after="0"/>
        <w:rPr>
          <w:sz w:val="20"/>
          <w:szCs w:val="20"/>
          <w:color w:val="auto"/>
        </w:rPr>
      </w:pPr>
      <w:r>
        <w:rPr>
          <w:rFonts w:ascii="Arial" w:cs="Arial" w:eastAsia="Arial" w:hAnsi="Arial"/>
          <w:sz w:val="10"/>
          <w:szCs w:val="10"/>
          <w:color w:val="auto"/>
        </w:rPr>
        <w:t>Washington, D.C. 20549</w:t>
      </w:r>
    </w:p>
    <w:p>
      <w:pPr>
        <w:spacing w:after="0" w:line="46" w:lineRule="exact"/>
        <w:rPr>
          <w:sz w:val="24"/>
          <w:szCs w:val="24"/>
          <w:color w:val="auto"/>
        </w:rPr>
      </w:pPr>
    </w:p>
    <w:p>
      <w:pPr>
        <w:ind w:left="5400"/>
        <w:spacing w:after="0"/>
        <w:rPr>
          <w:sz w:val="20"/>
          <w:szCs w:val="20"/>
          <w:color w:val="auto"/>
        </w:rPr>
      </w:pPr>
      <w:r>
        <w:rPr>
          <w:rFonts w:ascii="Arial" w:cs="Arial" w:eastAsia="Arial" w:hAnsi="Arial"/>
          <w:sz w:val="10"/>
          <w:szCs w:val="10"/>
          <w:b w:val="1"/>
          <w:bCs w:val="1"/>
          <w:color w:val="auto"/>
        </w:rPr>
        <w:t>Form 10-K</w:t>
      </w:r>
    </w:p>
    <w:p>
      <w:pPr>
        <w:spacing w:after="0" w:line="67" w:lineRule="exact"/>
        <w:rPr>
          <w:sz w:val="24"/>
          <w:szCs w:val="24"/>
          <w:color w:val="auto"/>
        </w:rPr>
      </w:pPr>
    </w:p>
    <w:p>
      <w:pPr>
        <w:ind w:left="4320"/>
        <w:spacing w:after="0"/>
        <w:rPr>
          <w:sz w:val="20"/>
          <w:szCs w:val="20"/>
          <w:color w:val="auto"/>
        </w:rPr>
      </w:pPr>
      <w:r>
        <w:rPr>
          <w:rFonts w:ascii="Wingdings" w:cs="Wingdings" w:eastAsia="Wingdings" w:hAnsi="Wingdings"/>
          <w:sz w:val="10"/>
          <w:szCs w:val="10"/>
          <w:b w:val="1"/>
          <w:bCs w:val="1"/>
          <w:color w:val="auto"/>
        </w:rPr>
        <w:t xml:space="preserve">x </w:t>
      </w:r>
      <w:r>
        <w:rPr>
          <w:rFonts w:ascii="Arial" w:cs="Arial" w:eastAsia="Arial" w:hAnsi="Arial"/>
          <w:sz w:val="10"/>
          <w:szCs w:val="10"/>
          <w:color w:val="auto"/>
        </w:rPr>
        <w:t>ANNUAL REPORT PURSUANT TO SECTION 13 OR 15(d)</w:t>
      </w:r>
    </w:p>
    <w:p>
      <w:pPr>
        <w:ind w:left="4580"/>
        <w:spacing w:after="0" w:line="227" w:lineRule="auto"/>
        <w:rPr>
          <w:sz w:val="20"/>
          <w:szCs w:val="20"/>
          <w:color w:val="auto"/>
        </w:rPr>
      </w:pPr>
      <w:r>
        <w:rPr>
          <w:rFonts w:ascii="Arial" w:cs="Arial" w:eastAsia="Arial" w:hAnsi="Arial"/>
          <w:sz w:val="10"/>
          <w:szCs w:val="10"/>
          <w:color w:val="auto"/>
        </w:rPr>
        <w:t>OF THE SECURITIES EXCHANGE ACT OF 1934</w:t>
      </w:r>
    </w:p>
    <w:p>
      <w:pPr>
        <w:ind w:left="4680"/>
        <w:spacing w:after="0" w:line="207" w:lineRule="auto"/>
        <w:rPr>
          <w:sz w:val="20"/>
          <w:szCs w:val="20"/>
          <w:color w:val="auto"/>
        </w:rPr>
      </w:pPr>
      <w:r>
        <w:rPr>
          <w:rFonts w:ascii="Arial" w:cs="Arial" w:eastAsia="Arial" w:hAnsi="Arial"/>
          <w:sz w:val="10"/>
          <w:szCs w:val="10"/>
          <w:color w:val="auto"/>
        </w:rPr>
        <w:t>For the fiscal year ended December 31, 2023</w:t>
      </w:r>
    </w:p>
    <w:p>
      <w:pPr>
        <w:jc w:val="center"/>
        <w:spacing w:after="0" w:line="220" w:lineRule="auto"/>
        <w:rPr>
          <w:sz w:val="20"/>
          <w:szCs w:val="20"/>
          <w:color w:val="auto"/>
        </w:rPr>
      </w:pPr>
      <w:r>
        <w:rPr>
          <w:rFonts w:ascii="Arial" w:cs="Arial" w:eastAsia="Arial" w:hAnsi="Arial"/>
          <w:sz w:val="10"/>
          <w:szCs w:val="10"/>
          <w:color w:val="auto"/>
        </w:rPr>
        <w:t>OR</w:t>
      </w:r>
    </w:p>
    <w:p>
      <w:pPr>
        <w:ind w:left="4340" w:hanging="117"/>
        <w:spacing w:after="0" w:line="230" w:lineRule="auto"/>
        <w:tabs>
          <w:tab w:leader="none" w:pos="4340" w:val="left"/>
        </w:tabs>
        <w:numPr>
          <w:ilvl w:val="0"/>
          <w:numId w:val="1"/>
        </w:numPr>
        <w:rPr>
          <w:rFonts w:ascii="MS PGothic" w:cs="MS PGothic" w:eastAsia="MS PGothic" w:hAnsi="MS PGothic"/>
          <w:sz w:val="10"/>
          <w:szCs w:val="10"/>
          <w:color w:val="auto"/>
        </w:rPr>
      </w:pPr>
      <w:r>
        <w:rPr>
          <w:rFonts w:ascii="Arial" w:cs="Arial" w:eastAsia="Arial" w:hAnsi="Arial"/>
          <w:sz w:val="10"/>
          <w:szCs w:val="10"/>
          <w:color w:val="auto"/>
        </w:rPr>
        <w:t>TRANSITION REPORT PURSUANT TO SECTION 13 OR 15(d)</w:t>
      </w:r>
    </w:p>
    <w:p>
      <w:pPr>
        <w:ind w:left="4580"/>
        <w:spacing w:after="0" w:line="225" w:lineRule="auto"/>
        <w:rPr>
          <w:rFonts w:ascii="MS PGothic" w:cs="MS PGothic" w:eastAsia="MS PGothic" w:hAnsi="MS PGothic"/>
          <w:sz w:val="10"/>
          <w:szCs w:val="10"/>
          <w:color w:val="auto"/>
        </w:rPr>
      </w:pPr>
      <w:r>
        <w:rPr>
          <w:rFonts w:ascii="Arial" w:cs="Arial" w:eastAsia="Arial" w:hAnsi="Arial"/>
          <w:sz w:val="10"/>
          <w:szCs w:val="10"/>
          <w:color w:val="auto"/>
        </w:rPr>
        <w:t>OF THE SECURITIES EXCHANGE ACT OF 1934</w:t>
      </w:r>
    </w:p>
    <w:p>
      <w:pPr>
        <w:jc w:val="right"/>
        <w:ind w:right="4980"/>
        <w:spacing w:after="0"/>
        <w:tabs>
          <w:tab w:leader="none" w:pos="5040" w:val="left"/>
        </w:tabs>
        <w:rPr>
          <w:sz w:val="20"/>
          <w:szCs w:val="20"/>
          <w:color w:val="auto"/>
        </w:rPr>
      </w:pPr>
      <w:r>
        <w:rPr>
          <w:rFonts w:ascii="Arial" w:cs="Arial" w:eastAsia="Arial" w:hAnsi="Arial"/>
          <w:sz w:val="10"/>
          <w:szCs w:val="10"/>
          <w:color w:val="auto"/>
        </w:rPr>
        <w:t>For the transition period from</w:t>
      </w:r>
      <w:r>
        <w:rPr>
          <w:sz w:val="20"/>
          <w:szCs w:val="20"/>
          <w:color w:val="auto"/>
        </w:rPr>
        <w:tab/>
      </w:r>
      <w:r>
        <w:rPr>
          <w:rFonts w:ascii="Arial" w:cs="Arial" w:eastAsia="Arial" w:hAnsi="Arial"/>
          <w:sz w:val="8"/>
          <w:szCs w:val="8"/>
          <w:color w:val="auto"/>
        </w:rPr>
        <w:t>to</w:t>
      </w:r>
    </w:p>
    <w:p>
      <w:pPr>
        <w:jc w:val="right"/>
        <w:ind w:right="4980"/>
        <w:spacing w:after="0"/>
        <w:rPr>
          <w:sz w:val="20"/>
          <w:szCs w:val="20"/>
          <w:color w:val="auto"/>
        </w:rPr>
      </w:pPr>
      <w:r>
        <w:rPr>
          <w:rFonts w:ascii="Arial" w:cs="Arial" w:eastAsia="Arial" w:hAnsi="Arial"/>
          <w:sz w:val="10"/>
          <w:szCs w:val="10"/>
          <w:color w:val="auto"/>
        </w:rPr>
        <w:t>Commission file number 1-8974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3001010</wp:posOffset>
            </wp:positionH>
            <wp:positionV relativeFrom="paragraph">
              <wp:posOffset>45085</wp:posOffset>
            </wp:positionV>
            <wp:extent cx="1171575" cy="2171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1575" cy="21717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tbl>
      <w:tblPr>
        <w:tblLayout w:type="fixed"/>
        <w:tblInd w:w="0" w:type="dxa"/>
        <w:tblCellMar>
          <w:top w:w="0" w:type="dxa"/>
          <w:left w:w="0" w:type="dxa"/>
          <w:bottom w:w="0" w:type="dxa"/>
          <w:right w:w="0" w:type="dxa"/>
        </w:tblCellMar>
      </w:tblPr>
      <w:tr>
        <w:trPr>
          <w:trHeight w:val="348"/>
        </w:trPr>
        <w:tc>
          <w:tcPr>
            <w:tcW w:w="3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680" w:type="dxa"/>
            <w:vAlign w:val="bottom"/>
            <w:gridSpan w:val="7"/>
          </w:tcPr>
          <w:p>
            <w:pPr>
              <w:jc w:val="center"/>
              <w:ind w:right="220"/>
              <w:spacing w:after="0"/>
              <w:rPr>
                <w:sz w:val="20"/>
                <w:szCs w:val="20"/>
                <w:color w:val="auto"/>
              </w:rPr>
            </w:pPr>
            <w:r>
              <w:rPr>
                <w:rFonts w:ascii="Arial" w:cs="Arial" w:eastAsia="Arial" w:hAnsi="Arial"/>
                <w:sz w:val="25"/>
                <w:szCs w:val="25"/>
                <w:b w:val="1"/>
                <w:bCs w:val="1"/>
                <w:color w:val="auto"/>
              </w:rPr>
              <w:t>Honeywell International Inc.</w:t>
            </w:r>
          </w:p>
        </w:tc>
        <w:tc>
          <w:tcPr>
            <w:tcW w:w="33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43"/>
        </w:trPr>
        <w:tc>
          <w:tcPr>
            <w:tcW w:w="3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680" w:type="dxa"/>
            <w:vAlign w:val="bottom"/>
            <w:gridSpan w:val="7"/>
          </w:tcPr>
          <w:p>
            <w:pPr>
              <w:jc w:val="center"/>
              <w:ind w:right="220"/>
              <w:spacing w:after="0"/>
              <w:rPr>
                <w:sz w:val="20"/>
                <w:szCs w:val="20"/>
                <w:color w:val="auto"/>
              </w:rPr>
            </w:pPr>
            <w:r>
              <w:rPr>
                <w:rFonts w:ascii="Arial" w:cs="Arial" w:eastAsia="Arial" w:hAnsi="Arial"/>
                <w:sz w:val="10"/>
                <w:szCs w:val="10"/>
                <w:color w:val="auto"/>
                <w:w w:val="95"/>
              </w:rPr>
              <w:t>(Exact name of registrant as specified in its charter)</w:t>
            </w:r>
          </w:p>
        </w:tc>
        <w:tc>
          <w:tcPr>
            <w:tcW w:w="33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7"/>
        </w:trPr>
        <w:tc>
          <w:tcPr>
            <w:tcW w:w="320" w:type="dxa"/>
            <w:vAlign w:val="bottom"/>
          </w:tcPr>
          <w:p>
            <w:pPr>
              <w:spacing w:after="0"/>
              <w:rPr>
                <w:sz w:val="12"/>
                <w:szCs w:val="12"/>
                <w:color w:val="auto"/>
              </w:rPr>
            </w:pPr>
          </w:p>
        </w:tc>
        <w:tc>
          <w:tcPr>
            <w:tcW w:w="3600" w:type="dxa"/>
            <w:vAlign w:val="bottom"/>
            <w:tcBorders>
              <w:bottom w:val="single" w:sz="8" w:color="auto"/>
            </w:tcBorders>
          </w:tcPr>
          <w:p>
            <w:pPr>
              <w:jc w:val="center"/>
              <w:ind w:left="1752"/>
              <w:spacing w:after="0"/>
              <w:rPr>
                <w:sz w:val="20"/>
                <w:szCs w:val="20"/>
                <w:color w:val="auto"/>
              </w:rPr>
            </w:pPr>
            <w:r>
              <w:rPr>
                <w:rFonts w:ascii="Arial" w:cs="Arial" w:eastAsia="Arial" w:hAnsi="Arial"/>
                <w:sz w:val="10"/>
                <w:szCs w:val="10"/>
                <w:color w:val="auto"/>
                <w:w w:val="94"/>
              </w:rPr>
              <w:t>Delaware</w:t>
            </w:r>
          </w:p>
        </w:tc>
        <w:tc>
          <w:tcPr>
            <w:tcW w:w="9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3380" w:type="dxa"/>
            <w:vAlign w:val="bottom"/>
            <w:tcBorders>
              <w:bottom w:val="single" w:sz="8" w:color="auto"/>
            </w:tcBorders>
          </w:tcPr>
          <w:p>
            <w:pPr>
              <w:jc w:val="right"/>
              <w:ind w:right="2272"/>
              <w:spacing w:after="0"/>
              <w:rPr>
                <w:sz w:val="20"/>
                <w:szCs w:val="20"/>
                <w:color w:val="auto"/>
              </w:rPr>
            </w:pPr>
            <w:r>
              <w:rPr>
                <w:rFonts w:ascii="Arial" w:cs="Arial" w:eastAsia="Arial" w:hAnsi="Arial"/>
                <w:sz w:val="10"/>
                <w:szCs w:val="10"/>
                <w:color w:val="auto"/>
              </w:rPr>
              <w:t>22-2640650</w:t>
            </w:r>
          </w:p>
        </w:tc>
        <w:tc>
          <w:tcPr>
            <w:tcW w:w="300" w:type="dxa"/>
            <w:vAlign w:val="bottom"/>
          </w:tcPr>
          <w:p>
            <w:pPr>
              <w:spacing w:after="0"/>
              <w:rPr>
                <w:sz w:val="12"/>
                <w:szCs w:val="12"/>
                <w:color w:val="auto"/>
              </w:rPr>
            </w:pPr>
          </w:p>
        </w:tc>
      </w:tr>
      <w:tr>
        <w:trPr>
          <w:trHeight w:val="95"/>
        </w:trPr>
        <w:tc>
          <w:tcPr>
            <w:tcW w:w="320" w:type="dxa"/>
            <w:vAlign w:val="bottom"/>
          </w:tcPr>
          <w:p>
            <w:pPr>
              <w:spacing w:after="0"/>
              <w:rPr>
                <w:sz w:val="8"/>
                <w:szCs w:val="8"/>
                <w:color w:val="auto"/>
              </w:rPr>
            </w:pPr>
          </w:p>
        </w:tc>
        <w:tc>
          <w:tcPr>
            <w:tcW w:w="3600" w:type="dxa"/>
            <w:vAlign w:val="bottom"/>
          </w:tcPr>
          <w:p>
            <w:pPr>
              <w:jc w:val="center"/>
              <w:ind w:left="1752"/>
              <w:spacing w:after="0" w:line="95" w:lineRule="exact"/>
              <w:rPr>
                <w:sz w:val="20"/>
                <w:szCs w:val="20"/>
                <w:color w:val="auto"/>
              </w:rPr>
            </w:pPr>
            <w:r>
              <w:rPr>
                <w:rFonts w:ascii="Arial" w:cs="Arial" w:eastAsia="Arial" w:hAnsi="Arial"/>
                <w:sz w:val="10"/>
                <w:szCs w:val="10"/>
                <w:color w:val="auto"/>
                <w:w w:val="95"/>
              </w:rPr>
              <w:t>(State or other jurisdiction of</w:t>
            </w: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380" w:type="dxa"/>
            <w:vAlign w:val="bottom"/>
          </w:tcPr>
          <w:p>
            <w:pPr>
              <w:jc w:val="center"/>
              <w:ind w:right="1712"/>
              <w:spacing w:after="0" w:line="95" w:lineRule="exact"/>
              <w:rPr>
                <w:sz w:val="20"/>
                <w:szCs w:val="20"/>
                <w:color w:val="auto"/>
              </w:rPr>
            </w:pPr>
            <w:r>
              <w:rPr>
                <w:rFonts w:ascii="Arial" w:cs="Arial" w:eastAsia="Arial" w:hAnsi="Arial"/>
                <w:sz w:val="10"/>
                <w:szCs w:val="10"/>
                <w:color w:val="auto"/>
                <w:w w:val="95"/>
              </w:rPr>
              <w:t>(I.R.S. Employer</w:t>
            </w:r>
          </w:p>
        </w:tc>
        <w:tc>
          <w:tcPr>
            <w:tcW w:w="300" w:type="dxa"/>
            <w:vAlign w:val="bottom"/>
          </w:tcPr>
          <w:p>
            <w:pPr>
              <w:spacing w:after="0"/>
              <w:rPr>
                <w:sz w:val="8"/>
                <w:szCs w:val="8"/>
                <w:color w:val="auto"/>
              </w:rPr>
            </w:pPr>
          </w:p>
        </w:tc>
      </w:tr>
      <w:tr>
        <w:trPr>
          <w:trHeight w:val="125"/>
        </w:trPr>
        <w:tc>
          <w:tcPr>
            <w:tcW w:w="320" w:type="dxa"/>
            <w:vAlign w:val="bottom"/>
          </w:tcPr>
          <w:p>
            <w:pPr>
              <w:spacing w:after="0"/>
              <w:rPr>
                <w:sz w:val="10"/>
                <w:szCs w:val="10"/>
                <w:color w:val="auto"/>
              </w:rPr>
            </w:pPr>
          </w:p>
        </w:tc>
        <w:tc>
          <w:tcPr>
            <w:tcW w:w="3600" w:type="dxa"/>
            <w:vAlign w:val="bottom"/>
          </w:tcPr>
          <w:p>
            <w:pPr>
              <w:jc w:val="center"/>
              <w:ind w:left="1752"/>
              <w:spacing w:after="0"/>
              <w:rPr>
                <w:sz w:val="20"/>
                <w:szCs w:val="20"/>
                <w:color w:val="auto"/>
              </w:rPr>
            </w:pPr>
            <w:r>
              <w:rPr>
                <w:rFonts w:ascii="Arial" w:cs="Arial" w:eastAsia="Arial" w:hAnsi="Arial"/>
                <w:sz w:val="10"/>
                <w:szCs w:val="10"/>
                <w:color w:val="auto"/>
                <w:w w:val="95"/>
              </w:rPr>
              <w:t>incorporation or organization)</w:t>
            </w: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380" w:type="dxa"/>
            <w:vAlign w:val="bottom"/>
          </w:tcPr>
          <w:p>
            <w:pPr>
              <w:jc w:val="center"/>
              <w:ind w:right="1732"/>
              <w:spacing w:after="0"/>
              <w:rPr>
                <w:sz w:val="20"/>
                <w:szCs w:val="20"/>
                <w:color w:val="auto"/>
              </w:rPr>
            </w:pPr>
            <w:r>
              <w:rPr>
                <w:rFonts w:ascii="Arial" w:cs="Arial" w:eastAsia="Arial" w:hAnsi="Arial"/>
                <w:sz w:val="10"/>
                <w:szCs w:val="10"/>
                <w:color w:val="auto"/>
                <w:w w:val="97"/>
              </w:rPr>
              <w:t>Identification No.)</w:t>
            </w:r>
          </w:p>
        </w:tc>
        <w:tc>
          <w:tcPr>
            <w:tcW w:w="300" w:type="dxa"/>
            <w:vAlign w:val="bottom"/>
          </w:tcPr>
          <w:p>
            <w:pPr>
              <w:spacing w:after="0"/>
              <w:rPr>
                <w:sz w:val="10"/>
                <w:szCs w:val="10"/>
                <w:color w:val="auto"/>
              </w:rPr>
            </w:pPr>
          </w:p>
        </w:tc>
      </w:tr>
      <w:tr>
        <w:trPr>
          <w:trHeight w:val="162"/>
        </w:trPr>
        <w:tc>
          <w:tcPr>
            <w:tcW w:w="320" w:type="dxa"/>
            <w:vAlign w:val="bottom"/>
          </w:tcPr>
          <w:p>
            <w:pPr>
              <w:spacing w:after="0"/>
              <w:rPr>
                <w:sz w:val="14"/>
                <w:szCs w:val="14"/>
                <w:color w:val="auto"/>
              </w:rPr>
            </w:pPr>
          </w:p>
        </w:tc>
        <w:tc>
          <w:tcPr>
            <w:tcW w:w="3600" w:type="dxa"/>
            <w:vAlign w:val="bottom"/>
          </w:tcPr>
          <w:p>
            <w:pPr>
              <w:jc w:val="center"/>
              <w:ind w:left="1752"/>
              <w:spacing w:after="0"/>
              <w:rPr>
                <w:sz w:val="20"/>
                <w:szCs w:val="20"/>
                <w:color w:val="auto"/>
              </w:rPr>
            </w:pPr>
            <w:r>
              <w:rPr>
                <w:rFonts w:ascii="Arial" w:cs="Arial" w:eastAsia="Arial" w:hAnsi="Arial"/>
                <w:sz w:val="10"/>
                <w:szCs w:val="10"/>
                <w:color w:val="auto"/>
                <w:w w:val="95"/>
              </w:rPr>
              <w:t>855 South Mint Street</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38"/>
        </w:trPr>
        <w:tc>
          <w:tcPr>
            <w:tcW w:w="320" w:type="dxa"/>
            <w:vAlign w:val="bottom"/>
          </w:tcPr>
          <w:p>
            <w:pPr>
              <w:spacing w:after="0"/>
              <w:rPr>
                <w:sz w:val="12"/>
                <w:szCs w:val="12"/>
                <w:color w:val="auto"/>
              </w:rPr>
            </w:pPr>
          </w:p>
        </w:tc>
        <w:tc>
          <w:tcPr>
            <w:tcW w:w="3600" w:type="dxa"/>
            <w:vAlign w:val="bottom"/>
            <w:tcBorders>
              <w:bottom w:val="single" w:sz="8" w:color="auto"/>
            </w:tcBorders>
          </w:tcPr>
          <w:p>
            <w:pPr>
              <w:ind w:left="2140"/>
              <w:spacing w:after="0"/>
              <w:rPr>
                <w:sz w:val="20"/>
                <w:szCs w:val="20"/>
                <w:color w:val="auto"/>
              </w:rPr>
            </w:pPr>
            <w:r>
              <w:rPr>
                <w:rFonts w:ascii="Arial" w:cs="Arial" w:eastAsia="Arial" w:hAnsi="Arial"/>
                <w:sz w:val="10"/>
                <w:szCs w:val="10"/>
                <w:color w:val="auto"/>
              </w:rPr>
              <w:t>Charlotte, North Carolina</w:t>
            </w:r>
          </w:p>
        </w:tc>
        <w:tc>
          <w:tcPr>
            <w:tcW w:w="9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3380" w:type="dxa"/>
            <w:vAlign w:val="bottom"/>
            <w:tcBorders>
              <w:bottom w:val="single" w:sz="8" w:color="auto"/>
            </w:tcBorders>
          </w:tcPr>
          <w:p>
            <w:pPr>
              <w:jc w:val="right"/>
              <w:ind w:right="2392"/>
              <w:spacing w:after="0"/>
              <w:rPr>
                <w:sz w:val="20"/>
                <w:szCs w:val="20"/>
                <w:color w:val="auto"/>
              </w:rPr>
            </w:pPr>
            <w:r>
              <w:rPr>
                <w:rFonts w:ascii="Arial" w:cs="Arial" w:eastAsia="Arial" w:hAnsi="Arial"/>
                <w:sz w:val="10"/>
                <w:szCs w:val="10"/>
                <w:color w:val="auto"/>
              </w:rPr>
              <w:t>28202</w:t>
            </w:r>
          </w:p>
        </w:tc>
        <w:tc>
          <w:tcPr>
            <w:tcW w:w="300" w:type="dxa"/>
            <w:vAlign w:val="bottom"/>
          </w:tcPr>
          <w:p>
            <w:pPr>
              <w:spacing w:after="0"/>
              <w:rPr>
                <w:sz w:val="12"/>
                <w:szCs w:val="12"/>
                <w:color w:val="auto"/>
              </w:rPr>
            </w:pPr>
          </w:p>
        </w:tc>
      </w:tr>
      <w:tr>
        <w:trPr>
          <w:trHeight w:val="121"/>
        </w:trPr>
        <w:tc>
          <w:tcPr>
            <w:tcW w:w="320" w:type="dxa"/>
            <w:vAlign w:val="bottom"/>
          </w:tcPr>
          <w:p>
            <w:pPr>
              <w:spacing w:after="0"/>
              <w:rPr>
                <w:sz w:val="10"/>
                <w:szCs w:val="10"/>
                <w:color w:val="auto"/>
              </w:rPr>
            </w:pPr>
          </w:p>
        </w:tc>
        <w:tc>
          <w:tcPr>
            <w:tcW w:w="3600" w:type="dxa"/>
            <w:vAlign w:val="bottom"/>
          </w:tcPr>
          <w:p>
            <w:pPr>
              <w:jc w:val="center"/>
              <w:ind w:left="1752"/>
              <w:spacing w:after="0"/>
              <w:rPr>
                <w:sz w:val="20"/>
                <w:szCs w:val="20"/>
                <w:color w:val="auto"/>
              </w:rPr>
            </w:pPr>
            <w:r>
              <w:rPr>
                <w:rFonts w:ascii="Arial" w:cs="Arial" w:eastAsia="Arial" w:hAnsi="Arial"/>
                <w:sz w:val="10"/>
                <w:szCs w:val="10"/>
                <w:color w:val="auto"/>
                <w:w w:val="95"/>
              </w:rPr>
              <w:t>(Address of principal executive offices)</w:t>
            </w: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380" w:type="dxa"/>
            <w:vAlign w:val="bottom"/>
          </w:tcPr>
          <w:p>
            <w:pPr>
              <w:jc w:val="center"/>
              <w:ind w:right="1732"/>
              <w:spacing w:after="0"/>
              <w:rPr>
                <w:sz w:val="20"/>
                <w:szCs w:val="20"/>
                <w:color w:val="auto"/>
              </w:rPr>
            </w:pPr>
            <w:r>
              <w:rPr>
                <w:rFonts w:ascii="Arial" w:cs="Arial" w:eastAsia="Arial" w:hAnsi="Arial"/>
                <w:sz w:val="10"/>
                <w:szCs w:val="10"/>
                <w:color w:val="auto"/>
                <w:w w:val="93"/>
              </w:rPr>
              <w:t>(Zip Code)</w:t>
            </w:r>
          </w:p>
        </w:tc>
        <w:tc>
          <w:tcPr>
            <w:tcW w:w="300" w:type="dxa"/>
            <w:vAlign w:val="bottom"/>
          </w:tcPr>
          <w:p>
            <w:pPr>
              <w:spacing w:after="0"/>
              <w:rPr>
                <w:sz w:val="10"/>
                <w:szCs w:val="10"/>
                <w:color w:val="auto"/>
              </w:rPr>
            </w:pPr>
          </w:p>
        </w:tc>
      </w:tr>
      <w:tr>
        <w:trPr>
          <w:trHeight w:val="225"/>
        </w:trPr>
        <w:tc>
          <w:tcPr>
            <w:tcW w:w="3920" w:type="dxa"/>
            <w:vAlign w:val="bottom"/>
            <w:gridSpan w:val="2"/>
          </w:tcPr>
          <w:p>
            <w:pPr>
              <w:spacing w:after="0"/>
              <w:rPr>
                <w:sz w:val="20"/>
                <w:szCs w:val="20"/>
                <w:color w:val="auto"/>
              </w:rPr>
            </w:pPr>
            <w:r>
              <w:rPr>
                <w:rFonts w:ascii="Arial" w:cs="Arial" w:eastAsia="Arial" w:hAnsi="Arial"/>
                <w:sz w:val="10"/>
                <w:szCs w:val="10"/>
                <w:color w:val="auto"/>
              </w:rPr>
              <w:t>Registrant’s telephone number, including area code (704) 627-6200</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153"/>
        </w:trPr>
        <w:tc>
          <w:tcPr>
            <w:tcW w:w="3920" w:type="dxa"/>
            <w:vAlign w:val="bottom"/>
            <w:gridSpan w:val="2"/>
          </w:tcPr>
          <w:p>
            <w:pPr>
              <w:spacing w:after="0"/>
              <w:rPr>
                <w:sz w:val="20"/>
                <w:szCs w:val="20"/>
                <w:color w:val="auto"/>
              </w:rPr>
            </w:pPr>
            <w:r>
              <w:rPr>
                <w:rFonts w:ascii="Arial" w:cs="Arial" w:eastAsia="Arial" w:hAnsi="Arial"/>
                <w:sz w:val="10"/>
                <w:szCs w:val="10"/>
                <w:color w:val="auto"/>
              </w:rPr>
              <w:t>Securities registered pursuant to Section 12(b) of the Act:</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92"/>
        </w:trPr>
        <w:tc>
          <w:tcPr>
            <w:tcW w:w="32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tcPr>
          <w:p>
            <w:pPr>
              <w:jc w:val="center"/>
              <w:ind w:left="552"/>
              <w:spacing w:after="0"/>
              <w:rPr>
                <w:sz w:val="20"/>
                <w:szCs w:val="20"/>
                <w:color w:val="auto"/>
              </w:rPr>
            </w:pPr>
            <w:r>
              <w:rPr>
                <w:rFonts w:ascii="Arial" w:cs="Arial" w:eastAsia="Arial" w:hAnsi="Arial"/>
                <w:sz w:val="10"/>
                <w:szCs w:val="10"/>
                <w:color w:val="auto"/>
                <w:w w:val="95"/>
              </w:rPr>
              <w:t>Title of Each Class</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color w:val="auto"/>
                <w:w w:val="95"/>
              </w:rPr>
              <w:t>Trading Symbol(s)</w:t>
            </w:r>
          </w:p>
        </w:tc>
        <w:tc>
          <w:tcPr>
            <w:tcW w:w="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tcPr>
          <w:p>
            <w:pPr>
              <w:jc w:val="center"/>
              <w:ind w:right="832"/>
              <w:spacing w:after="0"/>
              <w:rPr>
                <w:sz w:val="20"/>
                <w:szCs w:val="20"/>
                <w:color w:val="auto"/>
              </w:rPr>
            </w:pPr>
            <w:r>
              <w:rPr>
                <w:rFonts w:ascii="Arial" w:cs="Arial" w:eastAsia="Arial" w:hAnsi="Arial"/>
                <w:sz w:val="10"/>
                <w:szCs w:val="10"/>
                <w:color w:val="auto"/>
                <w:w w:val="95"/>
              </w:rPr>
              <w:t>Name of each exchange on which registered</w:t>
            </w:r>
          </w:p>
        </w:tc>
        <w:tc>
          <w:tcPr>
            <w:tcW w:w="300" w:type="dxa"/>
            <w:vAlign w:val="bottom"/>
            <w:tcBorders>
              <w:bottom w:val="single" w:sz="8" w:color="auto"/>
            </w:tcBorders>
          </w:tcPr>
          <w:p>
            <w:pPr>
              <w:spacing w:after="0"/>
              <w:rPr>
                <w:sz w:val="16"/>
                <w:szCs w:val="16"/>
                <w:color w:val="auto"/>
              </w:rPr>
            </w:pPr>
          </w:p>
        </w:tc>
      </w:tr>
      <w:tr>
        <w:trPr>
          <w:trHeight w:val="121"/>
        </w:trPr>
        <w:tc>
          <w:tcPr>
            <w:tcW w:w="320" w:type="dxa"/>
            <w:vAlign w:val="bottom"/>
          </w:tcPr>
          <w:p>
            <w:pPr>
              <w:spacing w:after="0"/>
              <w:rPr>
                <w:sz w:val="10"/>
                <w:szCs w:val="10"/>
                <w:color w:val="auto"/>
              </w:rPr>
            </w:pPr>
          </w:p>
        </w:tc>
        <w:tc>
          <w:tcPr>
            <w:tcW w:w="3600" w:type="dxa"/>
            <w:vAlign w:val="bottom"/>
          </w:tcPr>
          <w:p>
            <w:pPr>
              <w:jc w:val="center"/>
              <w:ind w:left="532"/>
              <w:spacing w:after="0"/>
              <w:rPr>
                <w:sz w:val="20"/>
                <w:szCs w:val="20"/>
                <w:color w:val="auto"/>
              </w:rPr>
            </w:pPr>
            <w:r>
              <w:rPr>
                <w:rFonts w:ascii="Arial" w:cs="Arial" w:eastAsia="Arial" w:hAnsi="Arial"/>
                <w:sz w:val="10"/>
                <w:szCs w:val="10"/>
                <w:color w:val="auto"/>
                <w:w w:val="95"/>
              </w:rPr>
              <w:t>Common Stock, par value $1 per share</w:t>
            </w: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80" w:type="dxa"/>
            <w:vAlign w:val="bottom"/>
            <w:gridSpan w:val="5"/>
          </w:tcPr>
          <w:p>
            <w:pPr>
              <w:jc w:val="center"/>
              <w:ind w:right="1260"/>
              <w:spacing w:after="0"/>
              <w:rPr>
                <w:sz w:val="20"/>
                <w:szCs w:val="20"/>
                <w:color w:val="auto"/>
              </w:rPr>
            </w:pPr>
            <w:r>
              <w:rPr>
                <w:rFonts w:ascii="Arial" w:cs="Arial" w:eastAsia="Arial" w:hAnsi="Arial"/>
                <w:sz w:val="10"/>
                <w:szCs w:val="10"/>
                <w:color w:val="auto"/>
                <w:w w:val="98"/>
              </w:rPr>
              <w:t>HON</w:t>
            </w:r>
          </w:p>
        </w:tc>
        <w:tc>
          <w:tcPr>
            <w:tcW w:w="3380" w:type="dxa"/>
            <w:vAlign w:val="bottom"/>
          </w:tcPr>
          <w:p>
            <w:pPr>
              <w:jc w:val="center"/>
              <w:ind w:right="832"/>
              <w:spacing w:after="0"/>
              <w:rPr>
                <w:sz w:val="20"/>
                <w:szCs w:val="20"/>
                <w:color w:val="auto"/>
              </w:rPr>
            </w:pPr>
            <w:r>
              <w:rPr>
                <w:rFonts w:ascii="Arial" w:cs="Arial" w:eastAsia="Arial" w:hAnsi="Arial"/>
                <w:sz w:val="10"/>
                <w:szCs w:val="10"/>
                <w:color w:val="auto"/>
                <w:w w:val="95"/>
              </w:rPr>
              <w:t>The Nasdaq Stock Market LLC</w:t>
            </w:r>
          </w:p>
        </w:tc>
        <w:tc>
          <w:tcPr>
            <w:tcW w:w="300" w:type="dxa"/>
            <w:vAlign w:val="bottom"/>
          </w:tcPr>
          <w:p>
            <w:pPr>
              <w:spacing w:after="0"/>
              <w:rPr>
                <w:sz w:val="10"/>
                <w:szCs w:val="10"/>
                <w:color w:val="auto"/>
              </w:rPr>
            </w:pPr>
          </w:p>
        </w:tc>
      </w:tr>
      <w:tr>
        <w:trPr>
          <w:trHeight w:val="135"/>
        </w:trPr>
        <w:tc>
          <w:tcPr>
            <w:tcW w:w="320" w:type="dxa"/>
            <w:vAlign w:val="bottom"/>
          </w:tcPr>
          <w:p>
            <w:pPr>
              <w:spacing w:after="0"/>
              <w:rPr>
                <w:sz w:val="11"/>
                <w:szCs w:val="11"/>
                <w:color w:val="auto"/>
              </w:rPr>
            </w:pPr>
          </w:p>
        </w:tc>
        <w:tc>
          <w:tcPr>
            <w:tcW w:w="3600" w:type="dxa"/>
            <w:vAlign w:val="bottom"/>
          </w:tcPr>
          <w:p>
            <w:pPr>
              <w:jc w:val="center"/>
              <w:ind w:left="532"/>
              <w:spacing w:after="0"/>
              <w:rPr>
                <w:sz w:val="20"/>
                <w:szCs w:val="20"/>
                <w:color w:val="auto"/>
              </w:rPr>
            </w:pPr>
            <w:r>
              <w:rPr>
                <w:rFonts w:ascii="Arial" w:cs="Arial" w:eastAsia="Arial" w:hAnsi="Arial"/>
                <w:sz w:val="10"/>
                <w:szCs w:val="10"/>
                <w:color w:val="auto"/>
                <w:w w:val="96"/>
              </w:rPr>
              <w:t>0.000% Senior Notes due 2024</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80" w:type="dxa"/>
            <w:vAlign w:val="bottom"/>
            <w:gridSpan w:val="5"/>
          </w:tcPr>
          <w:p>
            <w:pPr>
              <w:jc w:val="center"/>
              <w:ind w:right="1260"/>
              <w:spacing w:after="0"/>
              <w:rPr>
                <w:sz w:val="20"/>
                <w:szCs w:val="20"/>
                <w:color w:val="auto"/>
              </w:rPr>
            </w:pPr>
            <w:r>
              <w:rPr>
                <w:rFonts w:ascii="Arial" w:cs="Arial" w:eastAsia="Arial" w:hAnsi="Arial"/>
                <w:sz w:val="10"/>
                <w:szCs w:val="10"/>
                <w:color w:val="auto"/>
                <w:w w:val="98"/>
              </w:rPr>
              <w:t>HON 24A</w:t>
            </w:r>
          </w:p>
        </w:tc>
        <w:tc>
          <w:tcPr>
            <w:tcW w:w="3380" w:type="dxa"/>
            <w:vAlign w:val="bottom"/>
          </w:tcPr>
          <w:p>
            <w:pPr>
              <w:jc w:val="center"/>
              <w:ind w:right="832"/>
              <w:spacing w:after="0"/>
              <w:rPr>
                <w:sz w:val="20"/>
                <w:szCs w:val="20"/>
                <w:color w:val="auto"/>
              </w:rPr>
            </w:pPr>
            <w:r>
              <w:rPr>
                <w:rFonts w:ascii="Arial" w:cs="Arial" w:eastAsia="Arial" w:hAnsi="Arial"/>
                <w:sz w:val="10"/>
                <w:szCs w:val="10"/>
                <w:color w:val="auto"/>
                <w:w w:val="95"/>
              </w:rPr>
              <w:t>The Nasdaq Stock Market LLC</w:t>
            </w:r>
          </w:p>
        </w:tc>
        <w:tc>
          <w:tcPr>
            <w:tcW w:w="300" w:type="dxa"/>
            <w:vAlign w:val="bottom"/>
          </w:tcPr>
          <w:p>
            <w:pPr>
              <w:spacing w:after="0"/>
              <w:rPr>
                <w:sz w:val="11"/>
                <w:szCs w:val="11"/>
                <w:color w:val="auto"/>
              </w:rPr>
            </w:pPr>
          </w:p>
        </w:tc>
      </w:tr>
      <w:tr>
        <w:trPr>
          <w:trHeight w:val="135"/>
        </w:trPr>
        <w:tc>
          <w:tcPr>
            <w:tcW w:w="320" w:type="dxa"/>
            <w:vAlign w:val="bottom"/>
          </w:tcPr>
          <w:p>
            <w:pPr>
              <w:spacing w:after="0"/>
              <w:rPr>
                <w:sz w:val="11"/>
                <w:szCs w:val="11"/>
                <w:color w:val="auto"/>
              </w:rPr>
            </w:pPr>
          </w:p>
        </w:tc>
        <w:tc>
          <w:tcPr>
            <w:tcW w:w="3600" w:type="dxa"/>
            <w:vAlign w:val="bottom"/>
          </w:tcPr>
          <w:p>
            <w:pPr>
              <w:jc w:val="center"/>
              <w:ind w:left="532"/>
              <w:spacing w:after="0"/>
              <w:rPr>
                <w:sz w:val="20"/>
                <w:szCs w:val="20"/>
                <w:color w:val="auto"/>
              </w:rPr>
            </w:pPr>
            <w:r>
              <w:rPr>
                <w:rFonts w:ascii="Arial" w:cs="Arial" w:eastAsia="Arial" w:hAnsi="Arial"/>
                <w:sz w:val="10"/>
                <w:szCs w:val="10"/>
                <w:color w:val="auto"/>
                <w:w w:val="96"/>
              </w:rPr>
              <w:t>3.500% Senior Notes due 2027</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80" w:type="dxa"/>
            <w:vAlign w:val="bottom"/>
            <w:gridSpan w:val="5"/>
          </w:tcPr>
          <w:p>
            <w:pPr>
              <w:jc w:val="center"/>
              <w:ind w:right="1260"/>
              <w:spacing w:after="0"/>
              <w:rPr>
                <w:sz w:val="20"/>
                <w:szCs w:val="20"/>
                <w:color w:val="auto"/>
              </w:rPr>
            </w:pPr>
            <w:r>
              <w:rPr>
                <w:rFonts w:ascii="Arial" w:cs="Arial" w:eastAsia="Arial" w:hAnsi="Arial"/>
                <w:sz w:val="10"/>
                <w:szCs w:val="10"/>
                <w:color w:val="auto"/>
                <w:w w:val="93"/>
              </w:rPr>
              <w:t>HON 27</w:t>
            </w:r>
          </w:p>
        </w:tc>
        <w:tc>
          <w:tcPr>
            <w:tcW w:w="3380" w:type="dxa"/>
            <w:vAlign w:val="bottom"/>
          </w:tcPr>
          <w:p>
            <w:pPr>
              <w:jc w:val="center"/>
              <w:ind w:right="832"/>
              <w:spacing w:after="0"/>
              <w:rPr>
                <w:sz w:val="20"/>
                <w:szCs w:val="20"/>
                <w:color w:val="auto"/>
              </w:rPr>
            </w:pPr>
            <w:r>
              <w:rPr>
                <w:rFonts w:ascii="Arial" w:cs="Arial" w:eastAsia="Arial" w:hAnsi="Arial"/>
                <w:sz w:val="10"/>
                <w:szCs w:val="10"/>
                <w:color w:val="auto"/>
                <w:w w:val="95"/>
              </w:rPr>
              <w:t>The Nasdaq Stock Market LLC</w:t>
            </w:r>
          </w:p>
        </w:tc>
        <w:tc>
          <w:tcPr>
            <w:tcW w:w="300" w:type="dxa"/>
            <w:vAlign w:val="bottom"/>
          </w:tcPr>
          <w:p>
            <w:pPr>
              <w:spacing w:after="0"/>
              <w:rPr>
                <w:sz w:val="11"/>
                <w:szCs w:val="11"/>
                <w:color w:val="auto"/>
              </w:rPr>
            </w:pPr>
          </w:p>
        </w:tc>
      </w:tr>
      <w:tr>
        <w:trPr>
          <w:trHeight w:val="135"/>
        </w:trPr>
        <w:tc>
          <w:tcPr>
            <w:tcW w:w="320" w:type="dxa"/>
            <w:vAlign w:val="bottom"/>
          </w:tcPr>
          <w:p>
            <w:pPr>
              <w:spacing w:after="0"/>
              <w:rPr>
                <w:sz w:val="11"/>
                <w:szCs w:val="11"/>
                <w:color w:val="auto"/>
              </w:rPr>
            </w:pPr>
          </w:p>
        </w:tc>
        <w:tc>
          <w:tcPr>
            <w:tcW w:w="3600" w:type="dxa"/>
            <w:vAlign w:val="bottom"/>
          </w:tcPr>
          <w:p>
            <w:pPr>
              <w:jc w:val="center"/>
              <w:ind w:left="532"/>
              <w:spacing w:after="0"/>
              <w:rPr>
                <w:sz w:val="20"/>
                <w:szCs w:val="20"/>
                <w:color w:val="auto"/>
              </w:rPr>
            </w:pPr>
            <w:r>
              <w:rPr>
                <w:rFonts w:ascii="Arial" w:cs="Arial" w:eastAsia="Arial" w:hAnsi="Arial"/>
                <w:sz w:val="10"/>
                <w:szCs w:val="10"/>
                <w:color w:val="auto"/>
                <w:w w:val="96"/>
              </w:rPr>
              <w:t>2.250% Senior Notes due 2028</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80" w:type="dxa"/>
            <w:vAlign w:val="bottom"/>
            <w:gridSpan w:val="5"/>
          </w:tcPr>
          <w:p>
            <w:pPr>
              <w:jc w:val="center"/>
              <w:ind w:right="1260"/>
              <w:spacing w:after="0"/>
              <w:rPr>
                <w:sz w:val="20"/>
                <w:szCs w:val="20"/>
                <w:color w:val="auto"/>
              </w:rPr>
            </w:pPr>
            <w:r>
              <w:rPr>
                <w:rFonts w:ascii="Arial" w:cs="Arial" w:eastAsia="Arial" w:hAnsi="Arial"/>
                <w:sz w:val="10"/>
                <w:szCs w:val="10"/>
                <w:color w:val="auto"/>
                <w:w w:val="98"/>
              </w:rPr>
              <w:t>HON 28A</w:t>
            </w:r>
          </w:p>
        </w:tc>
        <w:tc>
          <w:tcPr>
            <w:tcW w:w="3380" w:type="dxa"/>
            <w:vAlign w:val="bottom"/>
          </w:tcPr>
          <w:p>
            <w:pPr>
              <w:jc w:val="center"/>
              <w:ind w:right="832"/>
              <w:spacing w:after="0"/>
              <w:rPr>
                <w:sz w:val="20"/>
                <w:szCs w:val="20"/>
                <w:color w:val="auto"/>
              </w:rPr>
            </w:pPr>
            <w:r>
              <w:rPr>
                <w:rFonts w:ascii="Arial" w:cs="Arial" w:eastAsia="Arial" w:hAnsi="Arial"/>
                <w:sz w:val="10"/>
                <w:szCs w:val="10"/>
                <w:color w:val="auto"/>
                <w:w w:val="95"/>
              </w:rPr>
              <w:t>The Nasdaq Stock Market LLC</w:t>
            </w:r>
          </w:p>
        </w:tc>
        <w:tc>
          <w:tcPr>
            <w:tcW w:w="300" w:type="dxa"/>
            <w:vAlign w:val="bottom"/>
          </w:tcPr>
          <w:p>
            <w:pPr>
              <w:spacing w:after="0"/>
              <w:rPr>
                <w:sz w:val="11"/>
                <w:szCs w:val="11"/>
                <w:color w:val="auto"/>
              </w:rPr>
            </w:pPr>
          </w:p>
        </w:tc>
      </w:tr>
      <w:tr>
        <w:trPr>
          <w:trHeight w:val="135"/>
        </w:trPr>
        <w:tc>
          <w:tcPr>
            <w:tcW w:w="320" w:type="dxa"/>
            <w:vAlign w:val="bottom"/>
          </w:tcPr>
          <w:p>
            <w:pPr>
              <w:spacing w:after="0"/>
              <w:rPr>
                <w:sz w:val="11"/>
                <w:szCs w:val="11"/>
                <w:color w:val="auto"/>
              </w:rPr>
            </w:pPr>
          </w:p>
        </w:tc>
        <w:tc>
          <w:tcPr>
            <w:tcW w:w="3600" w:type="dxa"/>
            <w:vAlign w:val="bottom"/>
          </w:tcPr>
          <w:p>
            <w:pPr>
              <w:jc w:val="center"/>
              <w:ind w:left="532"/>
              <w:spacing w:after="0"/>
              <w:rPr>
                <w:sz w:val="20"/>
                <w:szCs w:val="20"/>
                <w:color w:val="auto"/>
              </w:rPr>
            </w:pPr>
            <w:r>
              <w:rPr>
                <w:rFonts w:ascii="Arial" w:cs="Arial" w:eastAsia="Arial" w:hAnsi="Arial"/>
                <w:sz w:val="10"/>
                <w:szCs w:val="10"/>
                <w:color w:val="auto"/>
                <w:w w:val="96"/>
              </w:rPr>
              <w:t>0.750% Senior Notes due 2032</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80" w:type="dxa"/>
            <w:vAlign w:val="bottom"/>
            <w:gridSpan w:val="5"/>
          </w:tcPr>
          <w:p>
            <w:pPr>
              <w:jc w:val="center"/>
              <w:ind w:right="1260"/>
              <w:spacing w:after="0"/>
              <w:rPr>
                <w:sz w:val="20"/>
                <w:szCs w:val="20"/>
                <w:color w:val="auto"/>
              </w:rPr>
            </w:pPr>
            <w:r>
              <w:rPr>
                <w:rFonts w:ascii="Arial" w:cs="Arial" w:eastAsia="Arial" w:hAnsi="Arial"/>
                <w:sz w:val="10"/>
                <w:szCs w:val="10"/>
                <w:color w:val="auto"/>
                <w:w w:val="93"/>
              </w:rPr>
              <w:t>HON 32</w:t>
            </w:r>
          </w:p>
        </w:tc>
        <w:tc>
          <w:tcPr>
            <w:tcW w:w="3380" w:type="dxa"/>
            <w:vAlign w:val="bottom"/>
          </w:tcPr>
          <w:p>
            <w:pPr>
              <w:jc w:val="center"/>
              <w:ind w:right="832"/>
              <w:spacing w:after="0"/>
              <w:rPr>
                <w:sz w:val="20"/>
                <w:szCs w:val="20"/>
                <w:color w:val="auto"/>
              </w:rPr>
            </w:pPr>
            <w:r>
              <w:rPr>
                <w:rFonts w:ascii="Arial" w:cs="Arial" w:eastAsia="Arial" w:hAnsi="Arial"/>
                <w:sz w:val="10"/>
                <w:szCs w:val="10"/>
                <w:color w:val="auto"/>
                <w:w w:val="95"/>
              </w:rPr>
              <w:t>The Nasdaq Stock Market LLC</w:t>
            </w:r>
          </w:p>
        </w:tc>
        <w:tc>
          <w:tcPr>
            <w:tcW w:w="300" w:type="dxa"/>
            <w:vAlign w:val="bottom"/>
          </w:tcPr>
          <w:p>
            <w:pPr>
              <w:spacing w:after="0"/>
              <w:rPr>
                <w:sz w:val="11"/>
                <w:szCs w:val="11"/>
                <w:color w:val="auto"/>
              </w:rPr>
            </w:pPr>
          </w:p>
        </w:tc>
      </w:tr>
      <w:tr>
        <w:trPr>
          <w:trHeight w:val="135"/>
        </w:trPr>
        <w:tc>
          <w:tcPr>
            <w:tcW w:w="320" w:type="dxa"/>
            <w:vAlign w:val="bottom"/>
          </w:tcPr>
          <w:p>
            <w:pPr>
              <w:spacing w:after="0"/>
              <w:rPr>
                <w:sz w:val="11"/>
                <w:szCs w:val="11"/>
                <w:color w:val="auto"/>
              </w:rPr>
            </w:pPr>
          </w:p>
        </w:tc>
        <w:tc>
          <w:tcPr>
            <w:tcW w:w="3600" w:type="dxa"/>
            <w:vAlign w:val="bottom"/>
          </w:tcPr>
          <w:p>
            <w:pPr>
              <w:jc w:val="center"/>
              <w:ind w:left="532"/>
              <w:spacing w:after="0"/>
              <w:rPr>
                <w:sz w:val="20"/>
                <w:szCs w:val="20"/>
                <w:color w:val="auto"/>
              </w:rPr>
            </w:pPr>
            <w:r>
              <w:rPr>
                <w:rFonts w:ascii="Arial" w:cs="Arial" w:eastAsia="Arial" w:hAnsi="Arial"/>
                <w:sz w:val="10"/>
                <w:szCs w:val="10"/>
                <w:color w:val="auto"/>
                <w:w w:val="96"/>
              </w:rPr>
              <w:t>3.750% Senior Notes due 2032</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80" w:type="dxa"/>
            <w:vAlign w:val="bottom"/>
            <w:gridSpan w:val="5"/>
          </w:tcPr>
          <w:p>
            <w:pPr>
              <w:jc w:val="center"/>
              <w:ind w:right="1260"/>
              <w:spacing w:after="0"/>
              <w:rPr>
                <w:sz w:val="20"/>
                <w:szCs w:val="20"/>
                <w:color w:val="auto"/>
              </w:rPr>
            </w:pPr>
            <w:r>
              <w:rPr>
                <w:rFonts w:ascii="Arial" w:cs="Arial" w:eastAsia="Arial" w:hAnsi="Arial"/>
                <w:sz w:val="10"/>
                <w:szCs w:val="10"/>
                <w:color w:val="auto"/>
                <w:w w:val="98"/>
              </w:rPr>
              <w:t>HON 32A</w:t>
            </w:r>
          </w:p>
        </w:tc>
        <w:tc>
          <w:tcPr>
            <w:tcW w:w="3380" w:type="dxa"/>
            <w:vAlign w:val="bottom"/>
          </w:tcPr>
          <w:p>
            <w:pPr>
              <w:jc w:val="center"/>
              <w:ind w:right="832"/>
              <w:spacing w:after="0"/>
              <w:rPr>
                <w:sz w:val="20"/>
                <w:szCs w:val="20"/>
                <w:color w:val="auto"/>
              </w:rPr>
            </w:pPr>
            <w:r>
              <w:rPr>
                <w:rFonts w:ascii="Arial" w:cs="Arial" w:eastAsia="Arial" w:hAnsi="Arial"/>
                <w:sz w:val="10"/>
                <w:szCs w:val="10"/>
                <w:color w:val="auto"/>
                <w:w w:val="95"/>
              </w:rPr>
              <w:t>The Nasdaq Stock Market LLC</w:t>
            </w:r>
          </w:p>
        </w:tc>
        <w:tc>
          <w:tcPr>
            <w:tcW w:w="300" w:type="dxa"/>
            <w:vAlign w:val="bottom"/>
          </w:tcPr>
          <w:p>
            <w:pPr>
              <w:spacing w:after="0"/>
              <w:rPr>
                <w:sz w:val="11"/>
                <w:szCs w:val="11"/>
                <w:color w:val="auto"/>
              </w:rPr>
            </w:pPr>
          </w:p>
        </w:tc>
      </w:tr>
      <w:tr>
        <w:trPr>
          <w:trHeight w:val="135"/>
        </w:trPr>
        <w:tc>
          <w:tcPr>
            <w:tcW w:w="320" w:type="dxa"/>
            <w:vAlign w:val="bottom"/>
          </w:tcPr>
          <w:p>
            <w:pPr>
              <w:spacing w:after="0"/>
              <w:rPr>
                <w:sz w:val="11"/>
                <w:szCs w:val="11"/>
                <w:color w:val="auto"/>
              </w:rPr>
            </w:pPr>
          </w:p>
        </w:tc>
        <w:tc>
          <w:tcPr>
            <w:tcW w:w="3600" w:type="dxa"/>
            <w:vAlign w:val="bottom"/>
          </w:tcPr>
          <w:p>
            <w:pPr>
              <w:jc w:val="center"/>
              <w:ind w:left="532"/>
              <w:spacing w:after="0"/>
              <w:rPr>
                <w:sz w:val="20"/>
                <w:szCs w:val="20"/>
                <w:color w:val="auto"/>
              </w:rPr>
            </w:pPr>
            <w:r>
              <w:rPr>
                <w:rFonts w:ascii="Arial" w:cs="Arial" w:eastAsia="Arial" w:hAnsi="Arial"/>
                <w:sz w:val="10"/>
                <w:szCs w:val="10"/>
                <w:color w:val="auto"/>
                <w:w w:val="96"/>
              </w:rPr>
              <w:t>4.125% Senior Notes due 2034</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80" w:type="dxa"/>
            <w:vAlign w:val="bottom"/>
            <w:gridSpan w:val="5"/>
          </w:tcPr>
          <w:p>
            <w:pPr>
              <w:jc w:val="center"/>
              <w:ind w:right="1260"/>
              <w:spacing w:after="0"/>
              <w:rPr>
                <w:sz w:val="20"/>
                <w:szCs w:val="20"/>
                <w:color w:val="auto"/>
              </w:rPr>
            </w:pPr>
            <w:r>
              <w:rPr>
                <w:rFonts w:ascii="Arial" w:cs="Arial" w:eastAsia="Arial" w:hAnsi="Arial"/>
                <w:sz w:val="10"/>
                <w:szCs w:val="10"/>
                <w:color w:val="auto"/>
                <w:w w:val="93"/>
              </w:rPr>
              <w:t>HON 34</w:t>
            </w:r>
          </w:p>
        </w:tc>
        <w:tc>
          <w:tcPr>
            <w:tcW w:w="3380" w:type="dxa"/>
            <w:vAlign w:val="bottom"/>
          </w:tcPr>
          <w:p>
            <w:pPr>
              <w:jc w:val="center"/>
              <w:ind w:right="832"/>
              <w:spacing w:after="0"/>
              <w:rPr>
                <w:sz w:val="20"/>
                <w:szCs w:val="20"/>
                <w:color w:val="auto"/>
              </w:rPr>
            </w:pPr>
            <w:r>
              <w:rPr>
                <w:rFonts w:ascii="Arial" w:cs="Arial" w:eastAsia="Arial" w:hAnsi="Arial"/>
                <w:sz w:val="10"/>
                <w:szCs w:val="10"/>
                <w:color w:val="auto"/>
                <w:w w:val="95"/>
              </w:rPr>
              <w:t>The Nasdaq Stock Market LLC</w:t>
            </w:r>
          </w:p>
        </w:tc>
        <w:tc>
          <w:tcPr>
            <w:tcW w:w="300" w:type="dxa"/>
            <w:vAlign w:val="bottom"/>
          </w:tcPr>
          <w:p>
            <w:pPr>
              <w:spacing w:after="0"/>
              <w:rPr>
                <w:sz w:val="11"/>
                <w:szCs w:val="11"/>
                <w:color w:val="auto"/>
              </w:rPr>
            </w:pPr>
          </w:p>
        </w:tc>
      </w:tr>
    </w:tbl>
    <w:p>
      <w:pPr>
        <w:spacing w:after="0" w:line="55" w:lineRule="exact"/>
        <w:rPr>
          <w:sz w:val="24"/>
          <w:szCs w:val="24"/>
          <w:color w:val="auto"/>
        </w:rPr>
      </w:pPr>
    </w:p>
    <w:p>
      <w:pPr>
        <w:spacing w:after="0"/>
        <w:rPr>
          <w:sz w:val="20"/>
          <w:szCs w:val="20"/>
          <w:color w:val="auto"/>
        </w:rPr>
      </w:pPr>
      <w:r>
        <w:rPr>
          <w:rFonts w:ascii="Arial" w:cs="Arial" w:eastAsia="Arial" w:hAnsi="Arial"/>
          <w:sz w:val="10"/>
          <w:szCs w:val="10"/>
          <w:color w:val="auto"/>
        </w:rPr>
        <w:t>Securities registered pursuant to Section 12(g) of the Act: None</w:t>
      </w:r>
    </w:p>
    <w:p>
      <w:pPr>
        <w:spacing w:after="0" w:line="16"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Wingdings" w:cs="Wingdings" w:eastAsia="Wingdings" w:hAnsi="Wingdings"/>
          <w:sz w:val="10"/>
          <w:szCs w:val="10"/>
          <w:b w:val="1"/>
          <w:bCs w:val="1"/>
          <w:color w:val="auto"/>
        </w:rPr>
        <w:t>x</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46"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Indicate by check mark if the Registrant is not required to file reports pursuant to Section 13 or Section 15(d) of the Exchange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Wingdings" w:cs="Wingdings" w:eastAsia="Wingdings" w:hAnsi="Wingdings"/>
          <w:sz w:val="10"/>
          <w:szCs w:val="10"/>
          <w:b w:val="1"/>
          <w:bCs w:val="1"/>
          <w:color w:val="auto"/>
        </w:rPr>
        <w:t>x</w:t>
      </w:r>
    </w:p>
    <w:p>
      <w:pPr>
        <w:spacing w:after="0" w:line="52" w:lineRule="exact"/>
        <w:rPr>
          <w:sz w:val="24"/>
          <w:szCs w:val="24"/>
          <w:color w:val="auto"/>
        </w:rPr>
      </w:pPr>
    </w:p>
    <w:p>
      <w:pPr>
        <w:jc w:val="both"/>
        <w:ind w:right="20"/>
        <w:spacing w:after="0" w:line="124"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0"/>
          <w:szCs w:val="10"/>
          <w:b w:val="1"/>
          <w:bCs w:val="1"/>
          <w:color w:val="auto"/>
        </w:rPr>
        <w:t>x</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5" w:lineRule="exact"/>
        <w:rPr>
          <w:sz w:val="24"/>
          <w:szCs w:val="24"/>
          <w:color w:val="auto"/>
        </w:rPr>
      </w:pPr>
    </w:p>
    <w:p>
      <w:pPr>
        <w:jc w:val="both"/>
        <w:spacing w:after="0" w:line="119"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0"/>
          <w:szCs w:val="10"/>
          <w:b w:val="1"/>
          <w:bCs w:val="1"/>
          <w:color w:val="auto"/>
        </w:rPr>
        <w:t>x</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23" w:lineRule="exact"/>
        <w:rPr>
          <w:sz w:val="24"/>
          <w:szCs w:val="24"/>
          <w:color w:val="auto"/>
        </w:rPr>
      </w:pPr>
    </w:p>
    <w:p>
      <w:pPr>
        <w:jc w:val="both"/>
        <w:ind w:right="20"/>
        <w:spacing w:after="0" w:line="233"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16" w:lineRule="exact"/>
        <w:tabs>
          <w:tab w:leader="none" w:pos="1920" w:val="left"/>
          <w:tab w:leader="none" w:pos="2240" w:val="left"/>
          <w:tab w:leader="none" w:pos="4000" w:val="left"/>
          <w:tab w:leader="none" w:pos="6140" w:val="left"/>
          <w:tab w:leader="none" w:pos="8400" w:val="left"/>
          <w:tab w:leader="none" w:pos="8720" w:val="left"/>
          <w:tab w:leader="none" w:pos="10980" w:val="left"/>
        </w:tabs>
        <w:rPr>
          <w:sz w:val="20"/>
          <w:szCs w:val="20"/>
          <w:color w:val="auto"/>
        </w:rPr>
      </w:pPr>
      <w:r>
        <w:rPr>
          <w:rFonts w:ascii="Arial" w:cs="Arial" w:eastAsia="Arial" w:hAnsi="Arial"/>
          <w:sz w:val="10"/>
          <w:szCs w:val="10"/>
          <w:color w:val="auto"/>
        </w:rPr>
        <w:t>Large accelerated filer</w:t>
      </w:r>
      <w:r>
        <w:rPr>
          <w:sz w:val="20"/>
          <w:szCs w:val="20"/>
          <w:color w:val="auto"/>
        </w:rPr>
        <w:tab/>
      </w:r>
      <w:r>
        <w:rPr>
          <w:rFonts w:ascii="Wingdings" w:cs="Wingdings" w:eastAsia="Wingdings" w:hAnsi="Wingdings"/>
          <w:sz w:val="10"/>
          <w:szCs w:val="10"/>
          <w:b w:val="1"/>
          <w:bCs w:val="1"/>
          <w:color w:val="auto"/>
        </w:rPr>
        <w:t>x</w:t>
      </w:r>
      <w:r>
        <w:rPr>
          <w:sz w:val="20"/>
          <w:szCs w:val="20"/>
          <w:color w:val="auto"/>
        </w:rPr>
        <w:tab/>
      </w:r>
      <w:r>
        <w:rPr>
          <w:rFonts w:ascii="Arial" w:cs="Arial" w:eastAsia="Arial" w:hAnsi="Arial"/>
          <w:sz w:val="10"/>
          <w:szCs w:val="10"/>
          <w:color w:val="auto"/>
        </w:rPr>
        <w:t xml:space="preserve">Accelerated filer </w:t>
      </w:r>
      <w:r>
        <w:rPr>
          <w:rFonts w:ascii="MS PGothic" w:cs="MS PGothic" w:eastAsia="MS PGothic" w:hAnsi="MS PGothic"/>
          <w:sz w:val="10"/>
          <w:szCs w:val="10"/>
          <w:color w:val="auto"/>
        </w:rPr>
        <w:t>☐</w:t>
      </w:r>
      <w:r>
        <w:rPr>
          <w:sz w:val="20"/>
          <w:szCs w:val="20"/>
          <w:color w:val="auto"/>
        </w:rPr>
        <w:tab/>
      </w:r>
      <w:r>
        <w:rPr>
          <w:rFonts w:ascii="Arial" w:cs="Arial" w:eastAsia="Arial" w:hAnsi="Arial"/>
          <w:sz w:val="10"/>
          <w:szCs w:val="10"/>
          <w:color w:val="auto"/>
        </w:rPr>
        <w:t xml:space="preserve">Non-accelerated filer </w:t>
      </w:r>
      <w:r>
        <w:rPr>
          <w:rFonts w:ascii="MS PGothic" w:cs="MS PGothic" w:eastAsia="MS PGothic" w:hAnsi="MS PGothic"/>
          <w:sz w:val="10"/>
          <w:szCs w:val="10"/>
          <w:color w:val="auto"/>
        </w:rPr>
        <w:t>☐</w:t>
      </w:r>
      <w:r>
        <w:rPr>
          <w:sz w:val="20"/>
          <w:szCs w:val="20"/>
          <w:color w:val="auto"/>
        </w:rPr>
        <w:tab/>
      </w:r>
      <w:r>
        <w:rPr>
          <w:rFonts w:ascii="Arial" w:cs="Arial" w:eastAsia="Arial" w:hAnsi="Arial"/>
          <w:sz w:val="10"/>
          <w:szCs w:val="10"/>
          <w:color w:val="auto"/>
        </w:rPr>
        <w:t>Smaller reporting company</w:t>
      </w:r>
      <w:r>
        <w:rPr>
          <w:sz w:val="20"/>
          <w:szCs w:val="20"/>
          <w:color w:val="auto"/>
        </w:rPr>
        <w:tab/>
      </w:r>
      <w:r>
        <w:rPr>
          <w:rFonts w:ascii="MS PGothic" w:cs="MS PGothic" w:eastAsia="MS PGothic" w:hAnsi="MS PGothic"/>
          <w:sz w:val="10"/>
          <w:szCs w:val="10"/>
          <w:color w:val="auto"/>
        </w:rPr>
        <w:t>☐</w:t>
      </w:r>
      <w:r>
        <w:rPr>
          <w:sz w:val="20"/>
          <w:szCs w:val="20"/>
          <w:color w:val="auto"/>
        </w:rPr>
        <w:tab/>
      </w:r>
      <w:r>
        <w:rPr>
          <w:rFonts w:ascii="Arial" w:cs="Arial" w:eastAsia="Arial" w:hAnsi="Arial"/>
          <w:sz w:val="10"/>
          <w:szCs w:val="10"/>
          <w:color w:val="auto"/>
        </w:rPr>
        <w:t>Emerging growth company</w:t>
      </w:r>
      <w:r>
        <w:rPr>
          <w:sz w:val="20"/>
          <w:szCs w:val="20"/>
          <w:color w:val="auto"/>
        </w:rPr>
        <w:tab/>
      </w:r>
      <w:r>
        <w:rPr>
          <w:rFonts w:ascii="MS PGothic" w:cs="MS PGothic" w:eastAsia="MS PGothic" w:hAnsi="MS PGothic"/>
          <w:sz w:val="8"/>
          <w:szCs w:val="8"/>
          <w:color w:val="auto"/>
        </w:rPr>
        <w:t>☐</w:t>
      </w:r>
    </w:p>
    <w:p>
      <w:pPr>
        <w:spacing w:after="0" w:line="62"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60" w:lineRule="exact"/>
        <w:rPr>
          <w:sz w:val="24"/>
          <w:szCs w:val="24"/>
          <w:color w:val="auto"/>
        </w:rPr>
      </w:pPr>
    </w:p>
    <w:p>
      <w:pPr>
        <w:jc w:val="both"/>
        <w:spacing w:after="0" w:line="233" w:lineRule="auto"/>
        <w:rPr>
          <w:sz w:val="20"/>
          <w:szCs w:val="20"/>
          <w:color w:val="auto"/>
        </w:rPr>
      </w:pPr>
      <w:r>
        <w:rPr>
          <w:rFonts w:ascii="Arial" w:cs="Arial" w:eastAsia="Arial" w:hAnsi="Arial"/>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0"/>
          <w:szCs w:val="10"/>
          <w:b w:val="1"/>
          <w:bCs w:val="1"/>
          <w:color w:val="auto"/>
        </w:rPr>
        <w:t>x</w:t>
      </w:r>
    </w:p>
    <w:p>
      <w:pPr>
        <w:spacing w:after="0" w:line="7"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0"/>
          <w:szCs w:val="10"/>
          <w:color w:val="auto"/>
        </w:rPr>
        <w:t>☐</w:t>
      </w:r>
    </w:p>
    <w:p>
      <w:pPr>
        <w:spacing w:after="0" w:line="47" w:lineRule="exact"/>
        <w:rPr>
          <w:sz w:val="24"/>
          <w:szCs w:val="24"/>
          <w:color w:val="auto"/>
        </w:rPr>
      </w:pPr>
    </w:p>
    <w:p>
      <w:pPr>
        <w:jc w:val="both"/>
        <w:spacing w:after="0" w:line="157" w:lineRule="exact"/>
        <w:rPr>
          <w:sz w:val="20"/>
          <w:szCs w:val="20"/>
          <w:color w:val="auto"/>
        </w:rPr>
      </w:pPr>
      <w:r>
        <w:rPr>
          <w:rFonts w:ascii="Arial" w:cs="Arial" w:eastAsia="Arial" w:hAnsi="Arial"/>
          <w:sz w:val="10"/>
          <w:szCs w:val="1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check mark whether the Registrant is a shell company (as defined in Rule 12b-2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Wingdings" w:cs="Wingdings" w:eastAsia="Wingdings" w:hAnsi="Wingdings"/>
          <w:sz w:val="10"/>
          <w:szCs w:val="10"/>
          <w:b w:val="1"/>
          <w:bCs w:val="1"/>
          <w:color w:val="auto"/>
        </w:rPr>
        <w:t>x</w:t>
      </w:r>
    </w:p>
    <w:p>
      <w:pPr>
        <w:spacing w:after="0" w:line="15" w:lineRule="exact"/>
        <w:rPr>
          <w:sz w:val="24"/>
          <w:szCs w:val="24"/>
          <w:color w:val="auto"/>
        </w:rPr>
      </w:pPr>
    </w:p>
    <w:p>
      <w:pPr>
        <w:spacing w:after="0"/>
        <w:rPr>
          <w:sz w:val="20"/>
          <w:szCs w:val="20"/>
          <w:color w:val="auto"/>
        </w:rPr>
      </w:pPr>
      <w:r>
        <w:rPr>
          <w:rFonts w:ascii="Arial" w:cs="Arial" w:eastAsia="Arial" w:hAnsi="Arial"/>
          <w:sz w:val="10"/>
          <w:szCs w:val="10"/>
          <w:color w:val="auto"/>
        </w:rPr>
        <w:t>The aggregate market value of the common stock held by non-affiliates of the Registrant was approximately $137.8 billion at June 30, 2023.</w:t>
      </w:r>
    </w:p>
    <w:p>
      <w:pPr>
        <w:spacing w:after="0" w:line="38" w:lineRule="exact"/>
        <w:rPr>
          <w:sz w:val="24"/>
          <w:szCs w:val="24"/>
          <w:color w:val="auto"/>
        </w:rPr>
      </w:pPr>
    </w:p>
    <w:p>
      <w:pPr>
        <w:spacing w:after="0"/>
        <w:rPr>
          <w:sz w:val="20"/>
          <w:szCs w:val="20"/>
          <w:color w:val="auto"/>
        </w:rPr>
      </w:pPr>
      <w:r>
        <w:rPr>
          <w:rFonts w:ascii="Arial" w:cs="Arial" w:eastAsia="Arial" w:hAnsi="Arial"/>
          <w:sz w:val="10"/>
          <w:szCs w:val="10"/>
          <w:color w:val="auto"/>
        </w:rPr>
        <w:t>There were 652,181,812 shares of Common Stock outstanding at January 26, 2024.</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0"/>
          <w:szCs w:val="10"/>
          <w:u w:val="single" w:color="auto"/>
          <w:color w:val="auto"/>
        </w:rPr>
        <w:t>Documents Incorporated by Reference</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Part III: Proxy Statement for Annual Meeting of Shareowners to be held May 14,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431800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78740</wp:posOffset>
            </wp:positionV>
            <wp:extent cx="70408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0880" cy="571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55880</wp:posOffset>
            </wp:positionV>
            <wp:extent cx="70408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40880" cy="5715"/>
                    </a:xfrm>
                    <a:prstGeom prst="rect">
                      <a:avLst/>
                    </a:prstGeom>
                    <a:noFill/>
                  </pic:spPr>
                </pic:pic>
              </a:graphicData>
            </a:graphic>
          </wp:anchor>
        </w:drawing>
      </w:r>
    </w:p>
    <w:p>
      <w:pPr>
        <w:sectPr>
          <w:pgSz w:w="11900" w:h="16838" w:orient="portrait"/>
          <w:cols w:equalWidth="0" w:num="1">
            <w:col w:w="11300"/>
          </w:cols>
          <w:pgMar w:left="300" w:top="1098" w:right="299" w:bottom="1440" w:gutter="0" w:footer="0" w:header="0"/>
        </w:sectPr>
      </w:pPr>
    </w:p>
    <w:bookmarkStart w:id="1" w:name="page2"/>
    <w:bookmarkEnd w:id="1"/>
    <w:p>
      <w:pPr>
        <w:spacing w:after="0"/>
        <w:rPr>
          <w:sz w:val="20"/>
          <w:szCs w:val="20"/>
          <w:color w:val="auto"/>
        </w:rPr>
      </w:pPr>
      <w:r>
        <w:rPr>
          <w:rFonts w:ascii="Arial" w:cs="Arial" w:eastAsia="Arial" w:hAnsi="Arial"/>
          <w:sz w:val="24"/>
          <w:szCs w:val="24"/>
          <w:b w:val="1"/>
          <w:bCs w:val="1"/>
          <w:color w:val="auto"/>
        </w:rPr>
        <w:t>TABLE OF CONTENTS</w:t>
      </w: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color w:val="D7282F"/>
        </w:rPr>
        <w:t>ORGANIZATION OF OUR ANNUAL REPORT ON FORM 10-K</w:t>
      </w:r>
    </w:p>
    <w:p>
      <w:pPr>
        <w:spacing w:after="0" w:line="163"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The order and presentation of content in our Annual Report on Form 10-K (Form 10-K) differs from the traditional U.S. Securities and Exchange Commission (SEC) Form 10-K format. We believe that our format improves readability and better presents how we organize and manage our business. See Form 10-K Cross-Reference Index for a cross-reference to the traditional SEC Form 10-K format.</w:t>
      </w:r>
    </w:p>
    <w:p>
      <w:pPr>
        <w:spacing w:after="0" w:line="60" w:lineRule="exact"/>
        <w:rPr>
          <w:sz w:val="20"/>
          <w:szCs w:val="20"/>
          <w:color w:val="auto"/>
        </w:rPr>
      </w:pPr>
    </w:p>
    <w:p>
      <w:pPr>
        <w:ind w:left="720" w:hanging="161"/>
        <w:spacing w:after="0"/>
        <w:tabs>
          <w:tab w:leader="none" w:pos="720" w:val="left"/>
        </w:tabs>
        <w:numPr>
          <w:ilvl w:val="0"/>
          <w:numId w:val="2"/>
        </w:numPr>
        <w:rPr>
          <w:rFonts w:ascii="Arial" w:cs="Arial" w:eastAsia="Arial" w:hAnsi="Arial"/>
          <w:sz w:val="11"/>
          <w:szCs w:val="11"/>
          <w:b w:val="1"/>
          <w:bCs w:val="1"/>
          <w:color w:val="D7282F"/>
        </w:rPr>
      </w:pPr>
      <w:r>
        <w:rPr>
          <w:rFonts w:ascii="Arial" w:cs="Arial" w:eastAsia="Arial" w:hAnsi="Arial"/>
          <w:sz w:val="11"/>
          <w:szCs w:val="11"/>
          <w:color w:val="auto"/>
        </w:rPr>
        <w:t>Cautionary Statement about Forward-Looking Statements</w:t>
      </w:r>
    </w:p>
    <w:p>
      <w:pPr>
        <w:spacing w:after="0" w:line="26" w:lineRule="exact"/>
        <w:rPr>
          <w:rFonts w:ascii="Arial" w:cs="Arial" w:eastAsia="Arial" w:hAnsi="Arial"/>
          <w:sz w:val="11"/>
          <w:szCs w:val="11"/>
          <w:b w:val="1"/>
          <w:bCs w:val="1"/>
          <w:color w:val="D7282F"/>
        </w:rPr>
      </w:pPr>
    </w:p>
    <w:p>
      <w:pPr>
        <w:ind w:left="560"/>
        <w:spacing w:after="0"/>
        <w:rPr>
          <w:rFonts w:ascii="Arial" w:cs="Arial" w:eastAsia="Arial" w:hAnsi="Arial"/>
          <w:sz w:val="11"/>
          <w:szCs w:val="11"/>
          <w:b w:val="1"/>
          <w:bCs w:val="1"/>
          <w:color w:val="D7282F"/>
        </w:rPr>
      </w:pPr>
      <w:r>
        <w:rPr>
          <w:rFonts w:ascii="Arial" w:cs="Arial" w:eastAsia="Arial" w:hAnsi="Arial"/>
          <w:sz w:val="11"/>
          <w:szCs w:val="11"/>
          <w:b w:val="1"/>
          <w:bCs w:val="1"/>
          <w:color w:val="D7282F"/>
        </w:rPr>
        <w:t xml:space="preserve">2  </w:t>
      </w:r>
      <w:r>
        <w:rPr>
          <w:rFonts w:ascii="Arial" w:cs="Arial" w:eastAsia="Arial" w:hAnsi="Arial"/>
          <w:sz w:val="11"/>
          <w:szCs w:val="11"/>
          <w:color w:val="000000"/>
        </w:rPr>
        <w:t>About Honeywell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10795</wp:posOffset>
            </wp:positionV>
            <wp:extent cx="713232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-85725</wp:posOffset>
            </wp:positionV>
            <wp:extent cx="713232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pacing w:after="0" w:line="7" w:lineRule="exact"/>
        <w:rPr>
          <w:sz w:val="20"/>
          <w:szCs w:val="20"/>
          <w:color w:val="auto"/>
        </w:rPr>
      </w:pPr>
    </w:p>
    <w:p>
      <w:pPr>
        <w:ind w:left="720" w:hanging="221"/>
        <w:spacing w:after="0"/>
        <w:tabs>
          <w:tab w:leader="none" w:pos="720" w:val="left"/>
        </w:tabs>
        <w:numPr>
          <w:ilvl w:val="0"/>
          <w:numId w:val="3"/>
        </w:numPr>
        <w:rPr>
          <w:rFonts w:ascii="Arial" w:cs="Arial" w:eastAsia="Arial" w:hAnsi="Arial"/>
          <w:sz w:val="11"/>
          <w:szCs w:val="11"/>
          <w:b w:val="1"/>
          <w:bCs w:val="1"/>
          <w:color w:val="D7282F"/>
        </w:rPr>
      </w:pPr>
      <w:r>
        <w:rPr>
          <w:rFonts w:ascii="Arial" w:cs="Arial" w:eastAsia="Arial" w:hAnsi="Arial"/>
          <w:sz w:val="11"/>
          <w:szCs w:val="11"/>
          <w:color w:val="auto"/>
        </w:rPr>
        <w:t>Management’s Discussion and Analysis of Financial Condition and Results of Operations</w:t>
      </w:r>
    </w:p>
    <w:p>
      <w:pPr>
        <w:spacing w:after="0" w:line="26" w:lineRule="exact"/>
        <w:rPr>
          <w:rFonts w:ascii="Arial" w:cs="Arial" w:eastAsia="Arial" w:hAnsi="Arial"/>
          <w:sz w:val="11"/>
          <w:szCs w:val="11"/>
          <w:b w:val="1"/>
          <w:bCs w:val="1"/>
          <w:color w:val="D7282F"/>
        </w:rPr>
      </w:pPr>
    </w:p>
    <w:p>
      <w:pPr>
        <w:ind w:left="720" w:hanging="221"/>
        <w:spacing w:after="0"/>
        <w:tabs>
          <w:tab w:leader="none" w:pos="720" w:val="left"/>
        </w:tabs>
        <w:numPr>
          <w:ilvl w:val="0"/>
          <w:numId w:val="4"/>
        </w:numPr>
        <w:rPr>
          <w:rFonts w:ascii="Arial" w:cs="Arial" w:eastAsia="Arial" w:hAnsi="Arial"/>
          <w:sz w:val="11"/>
          <w:szCs w:val="11"/>
          <w:b w:val="1"/>
          <w:bCs w:val="1"/>
          <w:color w:val="D7282F"/>
        </w:rPr>
      </w:pPr>
      <w:r>
        <w:rPr>
          <w:rFonts w:ascii="Arial" w:cs="Arial" w:eastAsia="Arial" w:hAnsi="Arial"/>
          <w:sz w:val="11"/>
          <w:szCs w:val="11"/>
          <w:color w:val="auto"/>
        </w:rPr>
        <w:t>Review of Business Segments</w:t>
      </w:r>
    </w:p>
    <w:p>
      <w:pPr>
        <w:spacing w:after="0" w:line="26" w:lineRule="exact"/>
        <w:rPr>
          <w:rFonts w:ascii="Arial" w:cs="Arial" w:eastAsia="Arial" w:hAnsi="Arial"/>
          <w:sz w:val="11"/>
          <w:szCs w:val="11"/>
          <w:b w:val="1"/>
          <w:bCs w:val="1"/>
          <w:color w:val="D7282F"/>
        </w:rPr>
      </w:pPr>
    </w:p>
    <w:p>
      <w:pPr>
        <w:ind w:left="720" w:hanging="221"/>
        <w:spacing w:after="0"/>
        <w:tabs>
          <w:tab w:leader="none" w:pos="720" w:val="left"/>
        </w:tabs>
        <w:numPr>
          <w:ilvl w:val="0"/>
          <w:numId w:val="5"/>
        </w:numPr>
        <w:rPr>
          <w:rFonts w:ascii="Arial" w:cs="Arial" w:eastAsia="Arial" w:hAnsi="Arial"/>
          <w:sz w:val="11"/>
          <w:szCs w:val="11"/>
          <w:b w:val="1"/>
          <w:bCs w:val="1"/>
          <w:color w:val="D7282F"/>
        </w:rPr>
      </w:pPr>
      <w:r>
        <w:rPr>
          <w:rFonts w:ascii="Arial" w:cs="Arial" w:eastAsia="Arial" w:hAnsi="Arial"/>
          <w:sz w:val="11"/>
          <w:szCs w:val="11"/>
          <w:color w:val="auto"/>
        </w:rPr>
        <w:t>Risk Factors</w:t>
      </w:r>
    </w:p>
    <w:p>
      <w:pPr>
        <w:spacing w:after="0" w:line="26" w:lineRule="exact"/>
        <w:rPr>
          <w:rFonts w:ascii="Arial" w:cs="Arial" w:eastAsia="Arial" w:hAnsi="Arial"/>
          <w:sz w:val="11"/>
          <w:szCs w:val="11"/>
          <w:b w:val="1"/>
          <w:bCs w:val="1"/>
          <w:color w:val="D7282F"/>
        </w:rPr>
      </w:pPr>
    </w:p>
    <w:p>
      <w:pPr>
        <w:ind w:left="720" w:hanging="221"/>
        <w:spacing w:after="0"/>
        <w:tabs>
          <w:tab w:leader="none" w:pos="720" w:val="left"/>
        </w:tabs>
        <w:numPr>
          <w:ilvl w:val="0"/>
          <w:numId w:val="6"/>
        </w:numPr>
        <w:rPr>
          <w:rFonts w:ascii="Arial" w:cs="Arial" w:eastAsia="Arial" w:hAnsi="Arial"/>
          <w:sz w:val="11"/>
          <w:szCs w:val="11"/>
          <w:b w:val="1"/>
          <w:bCs w:val="1"/>
          <w:color w:val="D7282F"/>
        </w:rPr>
      </w:pPr>
      <w:r>
        <w:rPr>
          <w:rFonts w:ascii="Arial" w:cs="Arial" w:eastAsia="Arial" w:hAnsi="Arial"/>
          <w:sz w:val="11"/>
          <w:szCs w:val="11"/>
          <w:color w:val="auto"/>
        </w:rPr>
        <w:t>Quantitative and Qualitative Disclosures about Market Risks</w:t>
      </w:r>
    </w:p>
    <w:p>
      <w:pPr>
        <w:spacing w:after="0" w:line="26" w:lineRule="exact"/>
        <w:rPr>
          <w:rFonts w:ascii="Arial" w:cs="Arial" w:eastAsia="Arial" w:hAnsi="Arial"/>
          <w:sz w:val="11"/>
          <w:szCs w:val="11"/>
          <w:b w:val="1"/>
          <w:bCs w:val="1"/>
          <w:color w:val="D7282F"/>
        </w:rPr>
      </w:pPr>
    </w:p>
    <w:p>
      <w:pPr>
        <w:ind w:left="720" w:hanging="221"/>
        <w:spacing w:after="0"/>
        <w:tabs>
          <w:tab w:leader="none" w:pos="720" w:val="left"/>
        </w:tabs>
        <w:numPr>
          <w:ilvl w:val="0"/>
          <w:numId w:val="7"/>
        </w:numPr>
        <w:rPr>
          <w:rFonts w:ascii="Arial" w:cs="Arial" w:eastAsia="Arial" w:hAnsi="Arial"/>
          <w:sz w:val="11"/>
          <w:szCs w:val="11"/>
          <w:b w:val="1"/>
          <w:bCs w:val="1"/>
          <w:color w:val="D7282F"/>
        </w:rPr>
      </w:pPr>
      <w:r>
        <w:rPr>
          <w:rFonts w:ascii="Arial" w:cs="Arial" w:eastAsia="Arial" w:hAnsi="Arial"/>
          <w:sz w:val="11"/>
          <w:szCs w:val="11"/>
          <w:color w:val="auto"/>
        </w:rPr>
        <w:t>Liquidity and Capital Resources</w:t>
      </w:r>
    </w:p>
    <w:p>
      <w:pPr>
        <w:spacing w:after="0" w:line="26" w:lineRule="exact"/>
        <w:rPr>
          <w:rFonts w:ascii="Arial" w:cs="Arial" w:eastAsia="Arial" w:hAnsi="Arial"/>
          <w:sz w:val="11"/>
          <w:szCs w:val="11"/>
          <w:b w:val="1"/>
          <w:bCs w:val="1"/>
          <w:color w:val="D7282F"/>
        </w:rPr>
      </w:pPr>
    </w:p>
    <w:p>
      <w:pPr>
        <w:ind w:left="720" w:hanging="221"/>
        <w:spacing w:after="0"/>
        <w:tabs>
          <w:tab w:leader="none" w:pos="720" w:val="left"/>
        </w:tabs>
        <w:numPr>
          <w:ilvl w:val="0"/>
          <w:numId w:val="8"/>
        </w:numPr>
        <w:rPr>
          <w:rFonts w:ascii="Arial" w:cs="Arial" w:eastAsia="Arial" w:hAnsi="Arial"/>
          <w:sz w:val="11"/>
          <w:szCs w:val="11"/>
          <w:b w:val="1"/>
          <w:bCs w:val="1"/>
          <w:color w:val="D7282F"/>
        </w:rPr>
      </w:pPr>
      <w:r>
        <w:rPr>
          <w:rFonts w:ascii="Arial" w:cs="Arial" w:eastAsia="Arial" w:hAnsi="Arial"/>
          <w:sz w:val="11"/>
          <w:szCs w:val="11"/>
          <w:color w:val="auto"/>
        </w:rPr>
        <w:t>Critical Accounting Estimates</w:t>
      </w:r>
    </w:p>
    <w:p>
      <w:pPr>
        <w:spacing w:after="0" w:line="26" w:lineRule="exact"/>
        <w:rPr>
          <w:rFonts w:ascii="Arial" w:cs="Arial" w:eastAsia="Arial" w:hAnsi="Arial"/>
          <w:sz w:val="11"/>
          <w:szCs w:val="11"/>
          <w:b w:val="1"/>
          <w:bCs w:val="1"/>
          <w:color w:val="D7282F"/>
        </w:rPr>
      </w:pPr>
    </w:p>
    <w:p>
      <w:pPr>
        <w:ind w:left="720" w:hanging="221"/>
        <w:spacing w:after="0"/>
        <w:tabs>
          <w:tab w:leader="none" w:pos="720" w:val="left"/>
        </w:tabs>
        <w:numPr>
          <w:ilvl w:val="0"/>
          <w:numId w:val="9"/>
        </w:numPr>
        <w:rPr>
          <w:rFonts w:ascii="Arial" w:cs="Arial" w:eastAsia="Arial" w:hAnsi="Arial"/>
          <w:sz w:val="11"/>
          <w:szCs w:val="11"/>
          <w:b w:val="1"/>
          <w:bCs w:val="1"/>
          <w:color w:val="D7282F"/>
        </w:rPr>
      </w:pPr>
      <w:r>
        <w:rPr>
          <w:rFonts w:ascii="Arial" w:cs="Arial" w:eastAsia="Arial" w:hAnsi="Arial"/>
          <w:sz w:val="11"/>
          <w:szCs w:val="11"/>
          <w:color w:val="auto"/>
        </w:rPr>
        <w:t>Other Matters</w:t>
      </w:r>
    </w:p>
    <w:p>
      <w:pPr>
        <w:spacing w:after="0" w:line="26" w:lineRule="exact"/>
        <w:rPr>
          <w:rFonts w:ascii="Arial" w:cs="Arial" w:eastAsia="Arial" w:hAnsi="Arial"/>
          <w:sz w:val="11"/>
          <w:szCs w:val="11"/>
          <w:b w:val="1"/>
          <w:bCs w:val="1"/>
          <w:color w:val="D7282F"/>
        </w:rPr>
      </w:pPr>
    </w:p>
    <w:p>
      <w:pPr>
        <w:ind w:left="720" w:hanging="221"/>
        <w:spacing w:after="0"/>
        <w:tabs>
          <w:tab w:leader="none" w:pos="720" w:val="left"/>
        </w:tabs>
        <w:numPr>
          <w:ilvl w:val="0"/>
          <w:numId w:val="9"/>
        </w:numPr>
        <w:rPr>
          <w:rFonts w:ascii="Arial" w:cs="Arial" w:eastAsia="Arial" w:hAnsi="Arial"/>
          <w:sz w:val="11"/>
          <w:szCs w:val="11"/>
          <w:b w:val="1"/>
          <w:bCs w:val="1"/>
          <w:color w:val="D7282F"/>
        </w:rPr>
      </w:pPr>
      <w:r>
        <w:rPr>
          <w:rFonts w:ascii="Arial" w:cs="Arial" w:eastAsia="Arial" w:hAnsi="Arial"/>
          <w:sz w:val="11"/>
          <w:szCs w:val="11"/>
          <w:color w:val="auto"/>
        </w:rPr>
        <w:t>Information about Our Executive Officers</w:t>
      </w:r>
    </w:p>
    <w:p>
      <w:pPr>
        <w:spacing w:after="0" w:line="26" w:lineRule="exact"/>
        <w:rPr>
          <w:rFonts w:ascii="Arial" w:cs="Arial" w:eastAsia="Arial" w:hAnsi="Arial"/>
          <w:sz w:val="11"/>
          <w:szCs w:val="11"/>
          <w:b w:val="1"/>
          <w:bCs w:val="1"/>
          <w:color w:val="D7282F"/>
        </w:rPr>
      </w:pPr>
    </w:p>
    <w:p>
      <w:pPr>
        <w:ind w:left="720" w:hanging="221"/>
        <w:spacing w:after="0"/>
        <w:tabs>
          <w:tab w:leader="none" w:pos="720" w:val="left"/>
        </w:tabs>
        <w:numPr>
          <w:ilvl w:val="0"/>
          <w:numId w:val="9"/>
        </w:numPr>
        <w:rPr>
          <w:rFonts w:ascii="Arial" w:cs="Arial" w:eastAsia="Arial" w:hAnsi="Arial"/>
          <w:sz w:val="11"/>
          <w:szCs w:val="11"/>
          <w:b w:val="1"/>
          <w:bCs w:val="1"/>
          <w:color w:val="D7282F"/>
        </w:rPr>
      </w:pPr>
      <w:r>
        <w:rPr>
          <w:rFonts w:ascii="Arial" w:cs="Arial" w:eastAsia="Arial" w:hAnsi="Arial"/>
          <w:sz w:val="11"/>
          <w:szCs w:val="11"/>
          <w:color w:val="auto"/>
        </w:rPr>
        <w:t>Unresolved Staff Comments</w:t>
      </w:r>
    </w:p>
    <w:p>
      <w:pPr>
        <w:spacing w:after="0" w:line="26" w:lineRule="exact"/>
        <w:rPr>
          <w:rFonts w:ascii="Arial" w:cs="Arial" w:eastAsia="Arial" w:hAnsi="Arial"/>
          <w:sz w:val="11"/>
          <w:szCs w:val="11"/>
          <w:b w:val="1"/>
          <w:bCs w:val="1"/>
          <w:color w:val="D7282F"/>
        </w:rPr>
      </w:pPr>
    </w:p>
    <w:p>
      <w:pPr>
        <w:ind w:left="720" w:hanging="221"/>
        <w:spacing w:after="0"/>
        <w:tabs>
          <w:tab w:leader="none" w:pos="720" w:val="left"/>
        </w:tabs>
        <w:numPr>
          <w:ilvl w:val="0"/>
          <w:numId w:val="10"/>
        </w:numPr>
        <w:rPr>
          <w:rFonts w:ascii="Arial" w:cs="Arial" w:eastAsia="Arial" w:hAnsi="Arial"/>
          <w:sz w:val="11"/>
          <w:szCs w:val="11"/>
          <w:b w:val="1"/>
          <w:bCs w:val="1"/>
          <w:color w:val="D7282F"/>
        </w:rPr>
      </w:pPr>
      <w:r>
        <w:rPr>
          <w:rFonts w:ascii="Arial" w:cs="Arial" w:eastAsia="Arial" w:hAnsi="Arial"/>
          <w:sz w:val="11"/>
          <w:szCs w:val="11"/>
          <w:color w:val="auto"/>
        </w:rPr>
        <w:t>Cybersecurity</w:t>
      </w:r>
    </w:p>
    <w:p>
      <w:pPr>
        <w:spacing w:after="0" w:line="26" w:lineRule="exact"/>
        <w:rPr>
          <w:rFonts w:ascii="Arial" w:cs="Arial" w:eastAsia="Arial" w:hAnsi="Arial"/>
          <w:sz w:val="11"/>
          <w:szCs w:val="11"/>
          <w:b w:val="1"/>
          <w:bCs w:val="1"/>
          <w:color w:val="D7282F"/>
        </w:rPr>
      </w:pPr>
    </w:p>
    <w:p>
      <w:pPr>
        <w:ind w:left="720" w:hanging="221"/>
        <w:spacing w:after="0"/>
        <w:tabs>
          <w:tab w:leader="none" w:pos="720" w:val="left"/>
        </w:tabs>
        <w:numPr>
          <w:ilvl w:val="0"/>
          <w:numId w:val="10"/>
        </w:numPr>
        <w:rPr>
          <w:rFonts w:ascii="Arial" w:cs="Arial" w:eastAsia="Arial" w:hAnsi="Arial"/>
          <w:sz w:val="11"/>
          <w:szCs w:val="11"/>
          <w:b w:val="1"/>
          <w:bCs w:val="1"/>
          <w:color w:val="D7282F"/>
        </w:rPr>
      </w:pPr>
      <w:r>
        <w:rPr>
          <w:rFonts w:ascii="Arial" w:cs="Arial" w:eastAsia="Arial" w:hAnsi="Arial"/>
          <w:sz w:val="11"/>
          <w:szCs w:val="11"/>
          <w:color w:val="auto"/>
        </w:rPr>
        <w:t>Properties</w:t>
      </w:r>
    </w:p>
    <w:p>
      <w:pPr>
        <w:spacing w:after="0" w:line="26" w:lineRule="exact"/>
        <w:rPr>
          <w:rFonts w:ascii="Arial" w:cs="Arial" w:eastAsia="Arial" w:hAnsi="Arial"/>
          <w:sz w:val="11"/>
          <w:szCs w:val="11"/>
          <w:b w:val="1"/>
          <w:bCs w:val="1"/>
          <w:color w:val="D7282F"/>
        </w:rPr>
      </w:pPr>
    </w:p>
    <w:p>
      <w:pPr>
        <w:ind w:left="720" w:hanging="221"/>
        <w:spacing w:after="0"/>
        <w:tabs>
          <w:tab w:leader="none" w:pos="720" w:val="left"/>
        </w:tabs>
        <w:numPr>
          <w:ilvl w:val="0"/>
          <w:numId w:val="11"/>
        </w:numPr>
        <w:rPr>
          <w:rFonts w:ascii="Arial" w:cs="Arial" w:eastAsia="Arial" w:hAnsi="Arial"/>
          <w:sz w:val="11"/>
          <w:szCs w:val="11"/>
          <w:b w:val="1"/>
          <w:bCs w:val="1"/>
          <w:color w:val="D7282F"/>
        </w:rPr>
      </w:pPr>
      <w:r>
        <w:rPr>
          <w:rFonts w:ascii="Arial" w:cs="Arial" w:eastAsia="Arial" w:hAnsi="Arial"/>
          <w:sz w:val="11"/>
          <w:szCs w:val="11"/>
          <w:color w:val="auto"/>
        </w:rPr>
        <w:t>Legal Proceedings</w:t>
      </w:r>
    </w:p>
    <w:p>
      <w:pPr>
        <w:spacing w:after="0" w:line="26" w:lineRule="exact"/>
        <w:rPr>
          <w:rFonts w:ascii="Arial" w:cs="Arial" w:eastAsia="Arial" w:hAnsi="Arial"/>
          <w:sz w:val="11"/>
          <w:szCs w:val="11"/>
          <w:b w:val="1"/>
          <w:bCs w:val="1"/>
          <w:color w:val="D7282F"/>
        </w:rPr>
      </w:pPr>
    </w:p>
    <w:p>
      <w:pPr>
        <w:ind w:left="720" w:hanging="221"/>
        <w:spacing w:after="0"/>
        <w:tabs>
          <w:tab w:leader="none" w:pos="720" w:val="left"/>
        </w:tabs>
        <w:numPr>
          <w:ilvl w:val="0"/>
          <w:numId w:val="12"/>
        </w:numPr>
        <w:rPr>
          <w:rFonts w:ascii="Arial" w:cs="Arial" w:eastAsia="Arial" w:hAnsi="Arial"/>
          <w:sz w:val="11"/>
          <w:szCs w:val="11"/>
          <w:b w:val="1"/>
          <w:bCs w:val="1"/>
          <w:color w:val="D7282F"/>
        </w:rPr>
      </w:pPr>
      <w:r>
        <w:rPr>
          <w:rFonts w:ascii="Arial" w:cs="Arial" w:eastAsia="Arial" w:hAnsi="Arial"/>
          <w:sz w:val="11"/>
          <w:szCs w:val="11"/>
          <w:color w:val="auto"/>
        </w:rPr>
        <w:t>Mine Safety Disclosures</w:t>
      </w:r>
    </w:p>
    <w:p>
      <w:pPr>
        <w:spacing w:after="0" w:line="26" w:lineRule="exact"/>
        <w:rPr>
          <w:rFonts w:ascii="Arial" w:cs="Arial" w:eastAsia="Arial" w:hAnsi="Arial"/>
          <w:sz w:val="11"/>
          <w:szCs w:val="11"/>
          <w:b w:val="1"/>
          <w:bCs w:val="1"/>
          <w:color w:val="D7282F"/>
        </w:rPr>
      </w:pPr>
    </w:p>
    <w:p>
      <w:pPr>
        <w:ind w:left="720" w:hanging="221"/>
        <w:spacing w:after="0"/>
        <w:tabs>
          <w:tab w:leader="none" w:pos="720" w:val="left"/>
        </w:tabs>
        <w:numPr>
          <w:ilvl w:val="0"/>
          <w:numId w:val="12"/>
        </w:numPr>
        <w:rPr>
          <w:rFonts w:ascii="Arial" w:cs="Arial" w:eastAsia="Arial" w:hAnsi="Arial"/>
          <w:sz w:val="11"/>
          <w:szCs w:val="11"/>
          <w:b w:val="1"/>
          <w:bCs w:val="1"/>
          <w:color w:val="D7282F"/>
        </w:rPr>
      </w:pPr>
      <w:r>
        <w:rPr>
          <w:rFonts w:ascii="Arial" w:cs="Arial" w:eastAsia="Arial" w:hAnsi="Arial"/>
          <w:sz w:val="11"/>
          <w:szCs w:val="11"/>
          <w:color w:val="auto"/>
        </w:rPr>
        <w:t>Market for Registrant’s Common Equity, Related Stockholder Matters and Issuer Purchases of Equity Securities</w:t>
      </w:r>
    </w:p>
    <w:p>
      <w:pPr>
        <w:spacing w:after="0" w:line="26" w:lineRule="exact"/>
        <w:rPr>
          <w:rFonts w:ascii="Arial" w:cs="Arial" w:eastAsia="Arial" w:hAnsi="Arial"/>
          <w:sz w:val="11"/>
          <w:szCs w:val="11"/>
          <w:b w:val="1"/>
          <w:bCs w:val="1"/>
          <w:color w:val="D7282F"/>
        </w:rPr>
      </w:pPr>
    </w:p>
    <w:p>
      <w:pPr>
        <w:ind w:left="720" w:hanging="221"/>
        <w:spacing w:after="0"/>
        <w:tabs>
          <w:tab w:leader="none" w:pos="720" w:val="left"/>
        </w:tabs>
        <w:numPr>
          <w:ilvl w:val="0"/>
          <w:numId w:val="13"/>
        </w:numPr>
        <w:rPr>
          <w:rFonts w:ascii="Arial" w:cs="Arial" w:eastAsia="Arial" w:hAnsi="Arial"/>
          <w:sz w:val="11"/>
          <w:szCs w:val="11"/>
          <w:b w:val="1"/>
          <w:bCs w:val="1"/>
          <w:color w:val="D7282F"/>
        </w:rPr>
      </w:pPr>
      <w:r>
        <w:rPr>
          <w:rFonts w:ascii="Arial" w:cs="Arial" w:eastAsia="Arial" w:hAnsi="Arial"/>
          <w:sz w:val="11"/>
          <w:szCs w:val="11"/>
          <w:color w:val="auto"/>
        </w:rPr>
        <w:t>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10795</wp:posOffset>
            </wp:positionV>
            <wp:extent cx="713232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-85725</wp:posOffset>
            </wp:positionV>
            <wp:extent cx="713232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-182880</wp:posOffset>
            </wp:positionV>
            <wp:extent cx="713232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-280035</wp:posOffset>
            </wp:positionV>
            <wp:extent cx="713232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-377190</wp:posOffset>
            </wp:positionV>
            <wp:extent cx="713232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-474345</wp:posOffset>
            </wp:positionV>
            <wp:extent cx="713232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-571500</wp:posOffset>
            </wp:positionV>
            <wp:extent cx="713232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-668655</wp:posOffset>
            </wp:positionV>
            <wp:extent cx="713232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-765810</wp:posOffset>
            </wp:positionV>
            <wp:extent cx="713232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-862965</wp:posOffset>
            </wp:positionV>
            <wp:extent cx="713232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-960120</wp:posOffset>
            </wp:positionV>
            <wp:extent cx="713232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-1057275</wp:posOffset>
            </wp:positionV>
            <wp:extent cx="713232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-1154430</wp:posOffset>
            </wp:positionV>
            <wp:extent cx="713232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-1251585</wp:posOffset>
            </wp:positionV>
            <wp:extent cx="713232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-1348740</wp:posOffset>
            </wp:positionV>
            <wp:extent cx="713232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pacing w:after="0" w:line="7" w:lineRule="exact"/>
        <w:rPr>
          <w:sz w:val="20"/>
          <w:szCs w:val="20"/>
          <w:color w:val="auto"/>
        </w:rPr>
      </w:pPr>
    </w:p>
    <w:p>
      <w:pPr>
        <w:ind w:left="720" w:hanging="275"/>
        <w:spacing w:after="0"/>
        <w:tabs>
          <w:tab w:leader="none" w:pos="720" w:val="left"/>
        </w:tabs>
        <w:numPr>
          <w:ilvl w:val="0"/>
          <w:numId w:val="14"/>
        </w:numPr>
        <w:rPr>
          <w:rFonts w:ascii="Arial" w:cs="Arial" w:eastAsia="Arial" w:hAnsi="Arial"/>
          <w:sz w:val="11"/>
          <w:szCs w:val="11"/>
          <w:b w:val="1"/>
          <w:bCs w:val="1"/>
          <w:color w:val="D7282F"/>
        </w:rPr>
      </w:pPr>
      <w:r>
        <w:rPr>
          <w:rFonts w:ascii="Arial" w:cs="Arial" w:eastAsia="Arial" w:hAnsi="Arial"/>
          <w:sz w:val="11"/>
          <w:szCs w:val="1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10795</wp:posOffset>
            </wp:positionV>
            <wp:extent cx="713232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pacing w:after="0" w:line="7" w:lineRule="exact"/>
        <w:rPr>
          <w:sz w:val="20"/>
          <w:szCs w:val="20"/>
          <w:color w:val="auto"/>
        </w:rPr>
      </w:pPr>
    </w:p>
    <w:p>
      <w:pPr>
        <w:ind w:left="720" w:hanging="275"/>
        <w:spacing w:after="0"/>
        <w:tabs>
          <w:tab w:leader="none" w:pos="720" w:val="left"/>
        </w:tabs>
        <w:numPr>
          <w:ilvl w:val="0"/>
          <w:numId w:val="15"/>
        </w:numPr>
        <w:rPr>
          <w:rFonts w:ascii="Arial" w:cs="Arial" w:eastAsia="Arial" w:hAnsi="Arial"/>
          <w:sz w:val="11"/>
          <w:szCs w:val="11"/>
          <w:b w:val="1"/>
          <w:bCs w:val="1"/>
          <w:color w:val="D7282F"/>
        </w:rPr>
      </w:pPr>
      <w:r>
        <w:rPr>
          <w:rFonts w:ascii="Arial" w:cs="Arial" w:eastAsia="Arial" w:hAnsi="Arial"/>
          <w:sz w:val="11"/>
          <w:szCs w:val="11"/>
          <w:color w:val="auto"/>
        </w:rPr>
        <w:t>Changes in and Disagreements with Accountants on Accounting and Financial Disclosure</w:t>
      </w:r>
    </w:p>
    <w:p>
      <w:pPr>
        <w:spacing w:after="0" w:line="26" w:lineRule="exact"/>
        <w:rPr>
          <w:rFonts w:ascii="Arial" w:cs="Arial" w:eastAsia="Arial" w:hAnsi="Arial"/>
          <w:sz w:val="11"/>
          <w:szCs w:val="11"/>
          <w:b w:val="1"/>
          <w:bCs w:val="1"/>
          <w:color w:val="D7282F"/>
        </w:rPr>
      </w:pPr>
    </w:p>
    <w:p>
      <w:pPr>
        <w:ind w:left="720" w:hanging="275"/>
        <w:spacing w:after="0"/>
        <w:tabs>
          <w:tab w:leader="none" w:pos="720" w:val="left"/>
        </w:tabs>
        <w:numPr>
          <w:ilvl w:val="0"/>
          <w:numId w:val="16"/>
        </w:numPr>
        <w:rPr>
          <w:rFonts w:ascii="Arial" w:cs="Arial" w:eastAsia="Arial" w:hAnsi="Arial"/>
          <w:sz w:val="11"/>
          <w:szCs w:val="11"/>
          <w:b w:val="1"/>
          <w:bCs w:val="1"/>
          <w:color w:val="D7282F"/>
        </w:rPr>
      </w:pPr>
      <w:r>
        <w:rPr>
          <w:rFonts w:ascii="Arial" w:cs="Arial" w:eastAsia="Arial" w:hAnsi="Arial"/>
          <w:sz w:val="11"/>
          <w:szCs w:val="11"/>
          <w:color w:val="auto"/>
        </w:rPr>
        <w:t>Controls and Procedures</w:t>
      </w:r>
    </w:p>
    <w:p>
      <w:pPr>
        <w:spacing w:after="0" w:line="26" w:lineRule="exact"/>
        <w:rPr>
          <w:rFonts w:ascii="Arial" w:cs="Arial" w:eastAsia="Arial" w:hAnsi="Arial"/>
          <w:sz w:val="11"/>
          <w:szCs w:val="11"/>
          <w:b w:val="1"/>
          <w:bCs w:val="1"/>
          <w:color w:val="D7282F"/>
        </w:rPr>
      </w:pPr>
    </w:p>
    <w:p>
      <w:pPr>
        <w:ind w:left="720" w:hanging="275"/>
        <w:spacing w:after="0"/>
        <w:tabs>
          <w:tab w:leader="none" w:pos="720" w:val="left"/>
        </w:tabs>
        <w:numPr>
          <w:ilvl w:val="0"/>
          <w:numId w:val="17"/>
        </w:numPr>
        <w:rPr>
          <w:rFonts w:ascii="Arial" w:cs="Arial" w:eastAsia="Arial" w:hAnsi="Arial"/>
          <w:sz w:val="11"/>
          <w:szCs w:val="11"/>
          <w:b w:val="1"/>
          <w:bCs w:val="1"/>
          <w:color w:val="D7282F"/>
        </w:rPr>
      </w:pPr>
      <w:r>
        <w:rPr>
          <w:rFonts w:ascii="Arial" w:cs="Arial" w:eastAsia="Arial" w:hAnsi="Arial"/>
          <w:sz w:val="11"/>
          <w:szCs w:val="11"/>
          <w:color w:val="auto"/>
        </w:rPr>
        <w:t>Management's Report on Internal Control over Financial Reporting</w:t>
      </w:r>
    </w:p>
    <w:p>
      <w:pPr>
        <w:spacing w:after="0" w:line="26" w:lineRule="exact"/>
        <w:rPr>
          <w:rFonts w:ascii="Arial" w:cs="Arial" w:eastAsia="Arial" w:hAnsi="Arial"/>
          <w:sz w:val="11"/>
          <w:szCs w:val="11"/>
          <w:b w:val="1"/>
          <w:bCs w:val="1"/>
          <w:color w:val="D7282F"/>
        </w:rPr>
      </w:pPr>
    </w:p>
    <w:p>
      <w:pPr>
        <w:ind w:left="720" w:hanging="275"/>
        <w:spacing w:after="0"/>
        <w:tabs>
          <w:tab w:leader="none" w:pos="720" w:val="left"/>
        </w:tabs>
        <w:numPr>
          <w:ilvl w:val="0"/>
          <w:numId w:val="17"/>
        </w:numPr>
        <w:rPr>
          <w:rFonts w:ascii="Arial" w:cs="Arial" w:eastAsia="Arial" w:hAnsi="Arial"/>
          <w:sz w:val="11"/>
          <w:szCs w:val="11"/>
          <w:b w:val="1"/>
          <w:bCs w:val="1"/>
          <w:color w:val="D7282F"/>
        </w:rPr>
      </w:pPr>
      <w:r>
        <w:rPr>
          <w:rFonts w:ascii="Arial" w:cs="Arial" w:eastAsia="Arial" w:hAnsi="Arial"/>
          <w:sz w:val="11"/>
          <w:szCs w:val="1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10795</wp:posOffset>
            </wp:positionV>
            <wp:extent cx="713232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-85725</wp:posOffset>
            </wp:positionV>
            <wp:extent cx="713232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-182880</wp:posOffset>
            </wp:positionV>
            <wp:extent cx="713232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-280035</wp:posOffset>
            </wp:positionV>
            <wp:extent cx="713232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pacing w:after="0" w:line="7" w:lineRule="exact"/>
        <w:rPr>
          <w:sz w:val="20"/>
          <w:szCs w:val="20"/>
          <w:color w:val="auto"/>
        </w:rPr>
      </w:pPr>
    </w:p>
    <w:p>
      <w:pPr>
        <w:ind w:left="720" w:hanging="275"/>
        <w:spacing w:after="0"/>
        <w:tabs>
          <w:tab w:leader="none" w:pos="720" w:val="left"/>
        </w:tabs>
        <w:numPr>
          <w:ilvl w:val="0"/>
          <w:numId w:val="18"/>
        </w:numPr>
        <w:rPr>
          <w:rFonts w:ascii="Arial" w:cs="Arial" w:eastAsia="Arial" w:hAnsi="Arial"/>
          <w:sz w:val="11"/>
          <w:szCs w:val="11"/>
          <w:b w:val="1"/>
          <w:bCs w:val="1"/>
          <w:color w:val="D7282F"/>
        </w:rPr>
      </w:pPr>
      <w:r>
        <w:rPr>
          <w:rFonts w:ascii="Arial" w:cs="Arial" w:eastAsia="Arial" w:hAnsi="Arial"/>
          <w:sz w:val="11"/>
          <w:szCs w:val="11"/>
          <w:color w:val="auto"/>
        </w:rPr>
        <w:t>Disclosure Regarding Foreign Jurisdictions that Prevent Inspections</w:t>
      </w:r>
    </w:p>
    <w:p>
      <w:pPr>
        <w:spacing w:after="0" w:line="26" w:lineRule="exact"/>
        <w:rPr>
          <w:rFonts w:ascii="Arial" w:cs="Arial" w:eastAsia="Arial" w:hAnsi="Arial"/>
          <w:sz w:val="11"/>
          <w:szCs w:val="11"/>
          <w:b w:val="1"/>
          <w:bCs w:val="1"/>
          <w:color w:val="D7282F"/>
        </w:rPr>
      </w:pPr>
    </w:p>
    <w:p>
      <w:pPr>
        <w:ind w:left="720" w:hanging="275"/>
        <w:spacing w:after="0"/>
        <w:tabs>
          <w:tab w:leader="none" w:pos="720" w:val="left"/>
        </w:tabs>
        <w:numPr>
          <w:ilvl w:val="0"/>
          <w:numId w:val="19"/>
        </w:numPr>
        <w:rPr>
          <w:rFonts w:ascii="Arial" w:cs="Arial" w:eastAsia="Arial" w:hAnsi="Arial"/>
          <w:sz w:val="11"/>
          <w:szCs w:val="11"/>
          <w:b w:val="1"/>
          <w:bCs w:val="1"/>
          <w:color w:val="D7282F"/>
        </w:rPr>
      </w:pPr>
      <w:r>
        <w:rPr>
          <w:rFonts w:ascii="Arial" w:cs="Arial" w:eastAsia="Arial" w:hAnsi="Arial"/>
          <w:sz w:val="11"/>
          <w:szCs w:val="11"/>
          <w:color w:val="auto"/>
        </w:rPr>
        <w:t>Directors, Executive Officers, and Corporate Governance</w:t>
      </w:r>
    </w:p>
    <w:p>
      <w:pPr>
        <w:spacing w:after="0" w:line="26" w:lineRule="exact"/>
        <w:rPr>
          <w:rFonts w:ascii="Arial" w:cs="Arial" w:eastAsia="Arial" w:hAnsi="Arial"/>
          <w:sz w:val="11"/>
          <w:szCs w:val="11"/>
          <w:b w:val="1"/>
          <w:bCs w:val="1"/>
          <w:color w:val="D7282F"/>
        </w:rPr>
      </w:pPr>
    </w:p>
    <w:p>
      <w:pPr>
        <w:ind w:left="720" w:hanging="275"/>
        <w:spacing w:after="0"/>
        <w:tabs>
          <w:tab w:leader="none" w:pos="720" w:val="left"/>
        </w:tabs>
        <w:numPr>
          <w:ilvl w:val="0"/>
          <w:numId w:val="20"/>
        </w:numPr>
        <w:rPr>
          <w:rFonts w:ascii="Arial" w:cs="Arial" w:eastAsia="Arial" w:hAnsi="Arial"/>
          <w:sz w:val="11"/>
          <w:szCs w:val="11"/>
          <w:b w:val="1"/>
          <w:bCs w:val="1"/>
          <w:color w:val="D7282F"/>
        </w:rPr>
      </w:pPr>
      <w:r>
        <w:rPr>
          <w:rFonts w:ascii="Arial" w:cs="Arial" w:eastAsia="Arial" w:hAnsi="Arial"/>
          <w:sz w:val="11"/>
          <w:szCs w:val="11"/>
          <w:color w:val="auto"/>
        </w:rPr>
        <w:t>Executive Compensation</w:t>
      </w:r>
    </w:p>
    <w:p>
      <w:pPr>
        <w:spacing w:after="0" w:line="26" w:lineRule="exact"/>
        <w:rPr>
          <w:rFonts w:ascii="Arial" w:cs="Arial" w:eastAsia="Arial" w:hAnsi="Arial"/>
          <w:sz w:val="11"/>
          <w:szCs w:val="11"/>
          <w:b w:val="1"/>
          <w:bCs w:val="1"/>
          <w:color w:val="D7282F"/>
        </w:rPr>
      </w:pPr>
    </w:p>
    <w:p>
      <w:pPr>
        <w:ind w:left="720" w:hanging="275"/>
        <w:spacing w:after="0"/>
        <w:tabs>
          <w:tab w:leader="none" w:pos="720" w:val="left"/>
        </w:tabs>
        <w:numPr>
          <w:ilvl w:val="0"/>
          <w:numId w:val="20"/>
        </w:numPr>
        <w:rPr>
          <w:rFonts w:ascii="Arial" w:cs="Arial" w:eastAsia="Arial" w:hAnsi="Arial"/>
          <w:sz w:val="11"/>
          <w:szCs w:val="11"/>
          <w:b w:val="1"/>
          <w:bCs w:val="1"/>
          <w:color w:val="D7282F"/>
        </w:rPr>
      </w:pPr>
      <w:r>
        <w:rPr>
          <w:rFonts w:ascii="Arial" w:cs="Arial" w:eastAsia="Arial" w:hAnsi="Arial"/>
          <w:sz w:val="11"/>
          <w:szCs w:val="11"/>
          <w:color w:val="auto"/>
        </w:rPr>
        <w:t>Security Ownership of Certain Beneficial Owners and Management and Related Stockholder Matters</w:t>
      </w:r>
    </w:p>
    <w:p>
      <w:pPr>
        <w:spacing w:after="0" w:line="26" w:lineRule="exact"/>
        <w:rPr>
          <w:rFonts w:ascii="Arial" w:cs="Arial" w:eastAsia="Arial" w:hAnsi="Arial"/>
          <w:sz w:val="11"/>
          <w:szCs w:val="11"/>
          <w:b w:val="1"/>
          <w:bCs w:val="1"/>
          <w:color w:val="D7282F"/>
        </w:rPr>
      </w:pPr>
    </w:p>
    <w:p>
      <w:pPr>
        <w:ind w:left="720" w:hanging="281"/>
        <w:spacing w:after="0"/>
        <w:tabs>
          <w:tab w:leader="none" w:pos="720" w:val="left"/>
        </w:tabs>
        <w:numPr>
          <w:ilvl w:val="0"/>
          <w:numId w:val="20"/>
        </w:numPr>
        <w:rPr>
          <w:rFonts w:ascii="Arial" w:cs="Arial" w:eastAsia="Arial" w:hAnsi="Arial"/>
          <w:sz w:val="11"/>
          <w:szCs w:val="11"/>
          <w:b w:val="1"/>
          <w:bCs w:val="1"/>
          <w:color w:val="D7282F"/>
        </w:rPr>
      </w:pPr>
      <w:r>
        <w:rPr>
          <w:rFonts w:ascii="Arial" w:cs="Arial" w:eastAsia="Arial" w:hAnsi="Arial"/>
          <w:sz w:val="11"/>
          <w:szCs w:val="11"/>
          <w:color w:val="auto"/>
        </w:rPr>
        <w:t>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10795</wp:posOffset>
            </wp:positionV>
            <wp:extent cx="713232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-85725</wp:posOffset>
            </wp:positionV>
            <wp:extent cx="713232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-182880</wp:posOffset>
            </wp:positionV>
            <wp:extent cx="713232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-280035</wp:posOffset>
            </wp:positionV>
            <wp:extent cx="713232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-377190</wp:posOffset>
            </wp:positionV>
            <wp:extent cx="713232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pacing w:after="0" w:line="7" w:lineRule="exact"/>
        <w:rPr>
          <w:sz w:val="20"/>
          <w:szCs w:val="20"/>
          <w:color w:val="auto"/>
        </w:rPr>
      </w:pPr>
    </w:p>
    <w:p>
      <w:pPr>
        <w:ind w:left="720" w:hanging="281"/>
        <w:spacing w:after="0"/>
        <w:tabs>
          <w:tab w:leader="none" w:pos="720" w:val="left"/>
        </w:tabs>
        <w:numPr>
          <w:ilvl w:val="0"/>
          <w:numId w:val="21"/>
        </w:numPr>
        <w:rPr>
          <w:rFonts w:ascii="Arial" w:cs="Arial" w:eastAsia="Arial" w:hAnsi="Arial"/>
          <w:sz w:val="11"/>
          <w:szCs w:val="11"/>
          <w:b w:val="1"/>
          <w:bCs w:val="1"/>
          <w:color w:val="D7282F"/>
        </w:rPr>
      </w:pPr>
      <w:r>
        <w:rPr>
          <w:rFonts w:ascii="Arial" w:cs="Arial" w:eastAsia="Arial" w:hAnsi="Arial"/>
          <w:sz w:val="11"/>
          <w:szCs w:val="11"/>
          <w:color w:val="auto"/>
        </w:rPr>
        <w:t>Principal Accounting Fees and Services</w:t>
      </w:r>
    </w:p>
    <w:p>
      <w:pPr>
        <w:spacing w:after="0" w:line="26" w:lineRule="exact"/>
        <w:rPr>
          <w:rFonts w:ascii="Arial" w:cs="Arial" w:eastAsia="Arial" w:hAnsi="Arial"/>
          <w:sz w:val="11"/>
          <w:szCs w:val="11"/>
          <w:b w:val="1"/>
          <w:bCs w:val="1"/>
          <w:color w:val="D7282F"/>
        </w:rPr>
      </w:pPr>
    </w:p>
    <w:p>
      <w:pPr>
        <w:ind w:left="720" w:hanging="281"/>
        <w:spacing w:after="0"/>
        <w:tabs>
          <w:tab w:leader="none" w:pos="720" w:val="left"/>
        </w:tabs>
        <w:numPr>
          <w:ilvl w:val="0"/>
          <w:numId w:val="22"/>
        </w:numPr>
        <w:rPr>
          <w:rFonts w:ascii="Arial" w:cs="Arial" w:eastAsia="Arial" w:hAnsi="Arial"/>
          <w:sz w:val="11"/>
          <w:szCs w:val="11"/>
          <w:b w:val="1"/>
          <w:bCs w:val="1"/>
          <w:color w:val="D7282F"/>
        </w:rPr>
      </w:pPr>
      <w:r>
        <w:rPr>
          <w:rFonts w:ascii="Arial" w:cs="Arial" w:eastAsia="Arial" w:hAnsi="Arial"/>
          <w:sz w:val="11"/>
          <w:szCs w:val="11"/>
          <w:color w:val="auto"/>
        </w:rPr>
        <w:t>Exhibits and Financial Statement Schedules</w:t>
      </w:r>
    </w:p>
    <w:p>
      <w:pPr>
        <w:spacing w:after="0" w:line="26" w:lineRule="exact"/>
        <w:rPr>
          <w:rFonts w:ascii="Arial" w:cs="Arial" w:eastAsia="Arial" w:hAnsi="Arial"/>
          <w:sz w:val="11"/>
          <w:szCs w:val="11"/>
          <w:b w:val="1"/>
          <w:bCs w:val="1"/>
          <w:color w:val="D7282F"/>
        </w:rPr>
      </w:pPr>
    </w:p>
    <w:p>
      <w:pPr>
        <w:ind w:left="720" w:hanging="281"/>
        <w:spacing w:after="0"/>
        <w:tabs>
          <w:tab w:leader="none" w:pos="720" w:val="left"/>
        </w:tabs>
        <w:numPr>
          <w:ilvl w:val="0"/>
          <w:numId w:val="23"/>
        </w:numPr>
        <w:rPr>
          <w:rFonts w:ascii="Arial" w:cs="Arial" w:eastAsia="Arial" w:hAnsi="Arial"/>
          <w:sz w:val="11"/>
          <w:szCs w:val="11"/>
          <w:b w:val="1"/>
          <w:bCs w:val="1"/>
          <w:color w:val="D7282F"/>
        </w:rPr>
      </w:pPr>
      <w:r>
        <w:rPr>
          <w:rFonts w:ascii="Arial" w:cs="Arial" w:eastAsia="Arial" w:hAnsi="Arial"/>
          <w:sz w:val="11"/>
          <w:szCs w:val="11"/>
          <w:color w:val="auto"/>
        </w:rPr>
        <w:t>Form 10-K Summary</w:t>
      </w:r>
    </w:p>
    <w:p>
      <w:pPr>
        <w:spacing w:after="0" w:line="26" w:lineRule="exact"/>
        <w:rPr>
          <w:rFonts w:ascii="Arial" w:cs="Arial" w:eastAsia="Arial" w:hAnsi="Arial"/>
          <w:sz w:val="11"/>
          <w:szCs w:val="11"/>
          <w:b w:val="1"/>
          <w:bCs w:val="1"/>
          <w:color w:val="D7282F"/>
        </w:rPr>
      </w:pPr>
    </w:p>
    <w:p>
      <w:pPr>
        <w:ind w:left="720" w:hanging="281"/>
        <w:spacing w:after="0"/>
        <w:tabs>
          <w:tab w:leader="none" w:pos="720" w:val="left"/>
        </w:tabs>
        <w:numPr>
          <w:ilvl w:val="0"/>
          <w:numId w:val="23"/>
        </w:numPr>
        <w:rPr>
          <w:rFonts w:ascii="Arial" w:cs="Arial" w:eastAsia="Arial" w:hAnsi="Arial"/>
          <w:sz w:val="11"/>
          <w:szCs w:val="11"/>
          <w:b w:val="1"/>
          <w:bCs w:val="1"/>
          <w:color w:val="D7282F"/>
        </w:rPr>
      </w:pPr>
      <w:r>
        <w:rPr>
          <w:rFonts w:ascii="Arial" w:cs="Arial" w:eastAsia="Arial" w:hAnsi="Arial"/>
          <w:sz w:val="11"/>
          <w:szCs w:val="1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10795</wp:posOffset>
            </wp:positionV>
            <wp:extent cx="713232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-85725</wp:posOffset>
            </wp:positionV>
            <wp:extent cx="713232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-182880</wp:posOffset>
            </wp:positionV>
            <wp:extent cx="713232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-280035</wp:posOffset>
            </wp:positionV>
            <wp:extent cx="713232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pacing w:after="0" w:line="7" w:lineRule="exact"/>
        <w:rPr>
          <w:sz w:val="20"/>
          <w:szCs w:val="20"/>
          <w:color w:val="auto"/>
        </w:rPr>
      </w:pPr>
    </w:p>
    <w:p>
      <w:pPr>
        <w:ind w:left="720" w:hanging="281"/>
        <w:spacing w:after="0"/>
        <w:tabs>
          <w:tab w:leader="none" w:pos="720" w:val="left"/>
        </w:tabs>
        <w:numPr>
          <w:ilvl w:val="0"/>
          <w:numId w:val="24"/>
        </w:numPr>
        <w:rPr>
          <w:rFonts w:ascii="Arial" w:cs="Arial" w:eastAsia="Arial" w:hAnsi="Arial"/>
          <w:sz w:val="11"/>
          <w:szCs w:val="11"/>
          <w:b w:val="1"/>
          <w:bCs w:val="1"/>
          <w:color w:val="D7282F"/>
        </w:rPr>
      </w:pPr>
      <w:r>
        <w:rPr>
          <w:rFonts w:ascii="Arial" w:cs="Arial" w:eastAsia="Arial" w:hAnsi="Arial"/>
          <w:sz w:val="11"/>
          <w:szCs w:val="1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10795</wp:posOffset>
            </wp:positionV>
            <wp:extent cx="713232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pacing w:after="0" w:line="7" w:lineRule="exact"/>
        <w:rPr>
          <w:sz w:val="20"/>
          <w:szCs w:val="20"/>
          <w:color w:val="auto"/>
        </w:rPr>
      </w:pPr>
    </w:p>
    <w:p>
      <w:pPr>
        <w:ind w:left="720" w:hanging="281"/>
        <w:spacing w:after="0"/>
        <w:tabs>
          <w:tab w:leader="none" w:pos="720" w:val="left"/>
        </w:tabs>
        <w:numPr>
          <w:ilvl w:val="0"/>
          <w:numId w:val="25"/>
        </w:numPr>
        <w:rPr>
          <w:rFonts w:ascii="Arial" w:cs="Arial" w:eastAsia="Arial" w:hAnsi="Arial"/>
          <w:sz w:val="11"/>
          <w:szCs w:val="11"/>
          <w:b w:val="1"/>
          <w:bCs w:val="1"/>
          <w:color w:val="D7282F"/>
        </w:rPr>
      </w:pPr>
      <w:r>
        <w:rPr>
          <w:rFonts w:ascii="Arial" w:cs="Arial" w:eastAsia="Arial" w:hAnsi="Arial"/>
          <w:sz w:val="11"/>
          <w:szCs w:val="11"/>
          <w:color w:val="auto"/>
        </w:rPr>
        <w:t>Form 10-K Cross-Reference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363855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10795</wp:posOffset>
            </wp:positionV>
            <wp:extent cx="713232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300"/>
          </w:cols>
          <w:pgMar w:left="300" w:top="843" w:right="299" w:bottom="1440" w:gutter="0" w:footer="0" w:header="0"/>
        </w:sectPr>
      </w:pPr>
    </w:p>
    <w:bookmarkStart w:id="2" w:name="page3"/>
    <w:bookmarkEnd w:id="2"/>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CAUTIONARY STATEMENT ABOUT</w:t>
      </w:r>
    </w:p>
    <w:p>
      <w:pPr>
        <w:spacing w:after="0" w:line="36"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FORWARD-LOOKING STATEMENTS</w:t>
      </w:r>
    </w:p>
    <w:p>
      <w:pPr>
        <w:spacing w:after="0" w:line="238" w:lineRule="exact"/>
        <w:rPr>
          <w:sz w:val="20"/>
          <w:szCs w:val="20"/>
          <w:color w:val="auto"/>
        </w:rPr>
      </w:pPr>
    </w:p>
    <w:p>
      <w:pPr>
        <w:jc w:val="both"/>
        <w:ind w:left="8"/>
        <w:spacing w:after="0" w:line="276" w:lineRule="auto"/>
        <w:rPr>
          <w:sz w:val="20"/>
          <w:szCs w:val="20"/>
          <w:color w:val="auto"/>
        </w:rPr>
      </w:pPr>
      <w:r>
        <w:rPr>
          <w:rFonts w:ascii="Arial" w:cs="Arial" w:eastAsia="Arial" w:hAnsi="Arial"/>
          <w:sz w:val="10"/>
          <w:szCs w:val="10"/>
          <w:color w:val="auto"/>
        </w:rPr>
        <w:t>We describe many of the trends and other factors that drive our business and future results in the section titled Management’s Discussion and Analysis of Financial Condition and Results of Operations and in other parts of this report (including under the section titled Risk Factors). Such discussions contain forward-looking statements within the meaning of Section 21E of the Securities Exchange Act of 1934, as amended (the Exchange Act). 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economic and industry conditions, expected future developments, and other relevant factors, many of which are difficult to predict and outside of our control. They are not guarantees of future performance, and actual results, developments, and business decisions may differ significantly from those envisaged by our forward-looking statements. We do not undertake to update or revise any of our forward-looking statements, except as required by applicable securities law. Our forward-looking statements are also subject to material risks and uncertainties, including ongoing macroeconomic and geopolitical risks, such as lower GDP growth or recession, capital markets volatility, inflation, and certain regional conflicts, that can affect our performance in both the near- and long-term. In addition, no assurance can be given that any plan, initiative, projection, goal, commitment, expectation, or prospect set forth in this Form 10-K can or will be achieved. These forward-looking statements should be considered in light of the information included in this Form 10-K, including, in particular, the factors discussed within the section titled Risk Factors. Such factors may be revised or supplemented in subsequent reports on Forms 10-Q and 8-K. Any forward-looking plans described herein are not final and may be modified or abandoned at any time.</w:t>
      </w:r>
    </w:p>
    <w:p>
      <w:pPr>
        <w:spacing w:after="0" w:line="200" w:lineRule="exact"/>
        <w:rPr>
          <w:sz w:val="20"/>
          <w:szCs w:val="20"/>
          <w:color w:val="auto"/>
        </w:rPr>
      </w:pPr>
    </w:p>
    <w:p>
      <w:pPr>
        <w:spacing w:after="0" w:line="302" w:lineRule="exact"/>
        <w:rPr>
          <w:sz w:val="20"/>
          <w:szCs w:val="20"/>
          <w:color w:val="auto"/>
        </w:rPr>
      </w:pPr>
    </w:p>
    <w:p>
      <w:pPr>
        <w:ind w:left="208" w:hanging="208"/>
        <w:spacing w:after="0"/>
        <w:tabs>
          <w:tab w:leader="none" w:pos="208" w:val="left"/>
        </w:tabs>
        <w:numPr>
          <w:ilvl w:val="0"/>
          <w:numId w:val="26"/>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3" w:name="page4"/>
    <w:bookmarkEnd w:id="3"/>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ABOUT HONEYWELL</w:t>
      </w:r>
    </w:p>
    <w:p>
      <w:pPr>
        <w:spacing w:after="0" w:line="262"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Honeywell International Inc. (Honeywell, we, us, our, or the Company) is an integrated operating company serving a broad range of industries and geographies around the world. Our portfolio of solutions is uniquely positioned to blend physical products with software to serve customers worldwide with aerospace products and services, energy efficient products and solutions for businesses, specialty chemicals, electronic and advanced materials, process technology for refining and petrochemicals, and productivity, sensing, safety, and security technologies for buildings and industries. Our products and solutions enable a safer, more comfortable, and more productive world, enhancing the quality of life of people around the globe. The Honeywell brand dates back to 1906, and the Company was incorporated in Delaware in 1985.</w:t>
      </w:r>
    </w:p>
    <w:p>
      <w:pPr>
        <w:spacing w:after="0" w:line="50"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color w:val="auto"/>
        </w:rPr>
        <w:t>Our Annual Report on Form 10-K, Quarterly Reports on Form 10-Q, Current Reports on Form 8-K, and any amendments to those reports, are available free of charge on our Investor Relations website (investor.honeywell.com) under the heading Financials (see SEC Filings) immediately after they are filed with, or furnished to, the Securities and Exchange Commission. Honeywell uses our Investor Relations website, along with press releases on our primary Honeywell website (honeywell.com) under the heading News, as a means of disclosing information which may be of interest or material to our investors and for complying with disclosure obligations under Regulation FD. Accordingly, investors should monitor our Investor Relations website and Honeywell News feed, in addition to following our press releases, SEC filings, public conference calls, webcasts, and social media. Information contained on or accessible through, including any reports available on, our website is not a part of, and is not incorporated by reference into, this Form 10-K or any other report or document we file with the SEC. Any reference to our website in this Form 10-K is intended to be an inactive textual reference only.</w:t>
      </w:r>
    </w:p>
    <w:p>
      <w:pPr>
        <w:spacing w:after="0" w:line="61"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In addition, in this Form 10-K, the Company incorporates by reference certain information from its definitive Proxy Statement for the 2024 Annual Meeting of Stockholders (the Proxy Statement), which we expect to file with the SEC on or about April 2, 2024, and which will also be available free of charge on our website.</w:t>
      </w:r>
    </w:p>
    <w:p>
      <w:pPr>
        <w:spacing w:after="0" w:line="266" w:lineRule="exact"/>
        <w:rPr>
          <w:sz w:val="20"/>
          <w:szCs w:val="20"/>
          <w:color w:val="auto"/>
        </w:rPr>
      </w:pPr>
    </w:p>
    <w:p>
      <w:pPr>
        <w:ind w:left="208" w:hanging="208"/>
        <w:spacing w:after="0"/>
        <w:tabs>
          <w:tab w:leader="none" w:pos="208" w:val="left"/>
        </w:tabs>
        <w:numPr>
          <w:ilvl w:val="0"/>
          <w:numId w:val="27"/>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4" w:name="page5"/>
    <w:bookmarkEnd w:id="4"/>
    <w:p>
      <w:pPr>
        <w:ind w:left="8"/>
        <w:spacing w:after="0"/>
        <w:tabs>
          <w:tab w:leader="none" w:pos="1040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
        <w:spacing w:after="0"/>
        <w:rPr>
          <w:sz w:val="20"/>
          <w:szCs w:val="20"/>
          <w:color w:val="auto"/>
        </w:rPr>
      </w:pPr>
      <w:r>
        <w:rPr>
          <w:rFonts w:ascii="Arial" w:cs="Arial" w:eastAsia="Arial" w:hAnsi="Arial"/>
          <w:sz w:val="19"/>
          <w:szCs w:val="19"/>
          <w:color w:val="D7282F"/>
        </w:rPr>
        <w:t>EXECUTIVE SUMMARY</w:t>
      </w:r>
    </w:p>
    <w:p>
      <w:pPr>
        <w:spacing w:after="0" w:line="172"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Leveraging our Honeywell Accelerator operating model, we delivered strong performance in 2023, remaining focused on creating long-term shareholder value. In 2023, we delivered sales growth of 3%, to $36.7 billion, led by strong demand in our Commercial Aviation, Defense and Space, and Process Solutions businesses, and sales growth in three of our four reportable business segments.</w:t>
      </w:r>
    </w:p>
    <w:p>
      <w:pPr>
        <w:spacing w:after="0" w:line="51"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In 2023, we announced the next phase of Accelerator, version 3.0 of Honeywell's robust operating system, taking an important step toward standardizing our organization end-to-end across our four main business models - products, aftermarket services, projects, and software - and facilitating knowledge transfer of best practices to drive incremental growth, margin expansion, and cash generation. We are completing the buildout of our full suite of information technology (IT) platforms covering all different aspects of the value chain, and implementing digital threads to provide valuable data that will improve our business performance. Over the last six years, the efforts of the “Great Integration” of Honeywell transformed the organization into an integrated operating company, deploying world-class capabilities and multiple growth enablers that benefit each strategic business group.</w:t>
      </w:r>
    </w:p>
    <w:p>
      <w:pPr>
        <w:spacing w:after="0" w:line="41" w:lineRule="exact"/>
        <w:rPr>
          <w:sz w:val="20"/>
          <w:szCs w:val="20"/>
          <w:color w:val="auto"/>
        </w:rPr>
      </w:pPr>
    </w:p>
    <w:p>
      <w:pPr>
        <w:ind w:left="8"/>
        <w:spacing w:after="0"/>
        <w:rPr>
          <w:sz w:val="20"/>
          <w:szCs w:val="20"/>
          <w:color w:val="auto"/>
        </w:rPr>
      </w:pPr>
      <w:r>
        <w:rPr>
          <w:rFonts w:ascii="Arial" w:cs="Arial" w:eastAsia="Arial" w:hAnsi="Arial"/>
          <w:sz w:val="10"/>
          <w:szCs w:val="10"/>
          <w:color w:val="auto"/>
        </w:rPr>
        <w:t>We are focused on aligning our businesses with three distinct megatrends (automation, future of aviation, and energy transition), all underpinned by digitization</w:t>
      </w:r>
      <w:r>
        <w:rPr>
          <w:rFonts w:ascii="Calibri" w:cs="Calibri" w:eastAsia="Calibri" w:hAnsi="Calibri"/>
          <w:sz w:val="12"/>
          <w:szCs w:val="12"/>
          <w:color w:val="auto"/>
        </w:rPr>
        <w:t>.</w:t>
      </w:r>
      <w:r>
        <w:rPr>
          <w:rFonts w:ascii="Arial" w:cs="Arial" w:eastAsia="Arial" w:hAnsi="Arial"/>
          <w:sz w:val="10"/>
          <w:szCs w:val="10"/>
          <w:color w:val="auto"/>
        </w:rPr>
        <w:t xml:space="preserve"> During the year, we deployed $8.3 billion to capital expenditures, dividends,</w:t>
      </w:r>
    </w:p>
    <w:p>
      <w:pPr>
        <w:spacing w:after="0" w:line="24"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share repurchases, and mergers and acquisitions. We opportunistically repurchased shares to maintain our commitment to reduce share count by at least 1% per year, and increased our dividend for the fourteenth time in the last thirteen years. Our mergers and acquisition activities focused on key acquisitions to align with our megatrends. We announced three acquisitions - our acquisitions of Compressor Controls Corporation and SCADAfence, as well as our agreement to acquire Carrier Global Corporation’s Global Access Solutions business.</w:t>
      </w:r>
    </w:p>
    <w:p>
      <w:pPr>
        <w:spacing w:after="0" w:line="45"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As we look forward, we intend to continue deploying capital to high-return opportunities. We continue to carry a robust backlog of $31.8 billion as of December 31, 2023, that provides a strong foundation for future and sustained capital deployment to accelerate growth.</w:t>
      </w:r>
    </w:p>
    <w:p>
      <w:pPr>
        <w:spacing w:after="0" w:line="57" w:lineRule="exact"/>
        <w:rPr>
          <w:sz w:val="20"/>
          <w:szCs w:val="20"/>
          <w:color w:val="auto"/>
        </w:rPr>
      </w:pPr>
    </w:p>
    <w:tbl>
      <w:tblPr>
        <w:tblLayout w:type="fixed"/>
        <w:tblInd w:w="18" w:type="dxa"/>
        <w:tblCellMar>
          <w:top w:w="0" w:type="dxa"/>
          <w:left w:w="0" w:type="dxa"/>
          <w:bottom w:w="0" w:type="dxa"/>
          <w:right w:w="0" w:type="dxa"/>
        </w:tblCellMar>
      </w:tblPr>
      <w:tr>
        <w:trPr>
          <w:trHeight w:val="247"/>
        </w:trPr>
        <w:tc>
          <w:tcPr>
            <w:tcW w:w="3780" w:type="dxa"/>
            <w:vAlign w:val="bottom"/>
            <w:tcBorders>
              <w:top w:val="single" w:sz="8" w:color="D7282F"/>
              <w:left w:val="single" w:sz="8" w:color="D7282F"/>
            </w:tcBorders>
          </w:tcPr>
          <w:p>
            <w:pPr>
              <w:spacing w:after="0"/>
              <w:rPr>
                <w:sz w:val="21"/>
                <w:szCs w:val="21"/>
                <w:color w:val="auto"/>
              </w:rPr>
            </w:pPr>
          </w:p>
        </w:tc>
        <w:tc>
          <w:tcPr>
            <w:tcW w:w="20" w:type="dxa"/>
            <w:vAlign w:val="bottom"/>
            <w:tcBorders>
              <w:top w:val="single" w:sz="8" w:color="D7282F"/>
            </w:tcBorders>
          </w:tcPr>
          <w:p>
            <w:pPr>
              <w:spacing w:after="0"/>
              <w:rPr>
                <w:sz w:val="21"/>
                <w:szCs w:val="21"/>
                <w:color w:val="auto"/>
              </w:rPr>
            </w:pPr>
          </w:p>
        </w:tc>
        <w:tc>
          <w:tcPr>
            <w:tcW w:w="3680" w:type="dxa"/>
            <w:vAlign w:val="bottom"/>
            <w:tcBorders>
              <w:top w:val="single" w:sz="8" w:color="D7282F"/>
            </w:tcBorders>
          </w:tcPr>
          <w:p>
            <w:pPr>
              <w:ind w:left="1380"/>
              <w:spacing w:after="0"/>
              <w:rPr>
                <w:sz w:val="20"/>
                <w:szCs w:val="20"/>
                <w:color w:val="auto"/>
              </w:rPr>
            </w:pPr>
            <w:r>
              <w:rPr>
                <w:rFonts w:ascii="Arial" w:cs="Arial" w:eastAsia="Arial" w:hAnsi="Arial"/>
                <w:sz w:val="11"/>
                <w:szCs w:val="11"/>
                <w:b w:val="1"/>
                <w:bCs w:val="1"/>
                <w:color w:val="616161"/>
              </w:rPr>
              <w:t>YEAR IN REVIEW</w:t>
            </w:r>
          </w:p>
        </w:tc>
        <w:tc>
          <w:tcPr>
            <w:tcW w:w="20" w:type="dxa"/>
            <w:vAlign w:val="bottom"/>
            <w:tcBorders>
              <w:top w:val="single" w:sz="8" w:color="D7282F"/>
            </w:tcBorders>
          </w:tcPr>
          <w:p>
            <w:pPr>
              <w:spacing w:after="0"/>
              <w:rPr>
                <w:sz w:val="21"/>
                <w:szCs w:val="21"/>
                <w:color w:val="auto"/>
              </w:rPr>
            </w:pPr>
          </w:p>
        </w:tc>
        <w:tc>
          <w:tcPr>
            <w:tcW w:w="3800" w:type="dxa"/>
            <w:vAlign w:val="bottom"/>
            <w:tcBorders>
              <w:top w:val="single" w:sz="8" w:color="D7282F"/>
              <w:right w:val="single" w:sz="8" w:color="D7282F"/>
            </w:tcBorders>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3780" w:type="dxa"/>
            <w:vAlign w:val="bottom"/>
            <w:tcBorders>
              <w:left w:val="single" w:sz="8" w:color="D7282F"/>
            </w:tcBorders>
            <w:vMerge w:val="restart"/>
          </w:tcPr>
          <w:p>
            <w:pPr>
              <w:ind w:left="320"/>
              <w:spacing w:after="0"/>
              <w:rPr>
                <w:sz w:val="20"/>
                <w:szCs w:val="20"/>
                <w:color w:val="auto"/>
              </w:rPr>
            </w:pPr>
            <w:r>
              <w:rPr>
                <w:rFonts w:ascii="Arial" w:cs="Arial" w:eastAsia="Arial" w:hAnsi="Arial"/>
                <w:sz w:val="11"/>
                <w:szCs w:val="11"/>
                <w:color w:val="auto"/>
              </w:rPr>
              <w:t>Sales up 3</w:t>
            </w:r>
            <w:r>
              <w:rPr>
                <w:rFonts w:ascii="Arial" w:cs="Arial" w:eastAsia="Arial" w:hAnsi="Arial"/>
                <w:sz w:val="11"/>
                <w:szCs w:val="11"/>
                <w:b w:val="1"/>
                <w:bCs w:val="1"/>
                <w:color w:val="auto"/>
              </w:rPr>
              <w:t>%</w:t>
            </w:r>
          </w:p>
        </w:tc>
        <w:tc>
          <w:tcPr>
            <w:tcW w:w="20" w:type="dxa"/>
            <w:vAlign w:val="bottom"/>
          </w:tcPr>
          <w:p>
            <w:pPr>
              <w:spacing w:after="0"/>
              <w:rPr>
                <w:sz w:val="8"/>
                <w:szCs w:val="8"/>
                <w:color w:val="auto"/>
              </w:rPr>
            </w:pPr>
          </w:p>
        </w:tc>
        <w:tc>
          <w:tcPr>
            <w:tcW w:w="3680" w:type="dxa"/>
            <w:vAlign w:val="bottom"/>
            <w:vMerge w:val="restart"/>
          </w:tcPr>
          <w:p>
            <w:pPr>
              <w:ind w:left="200"/>
              <w:spacing w:after="0"/>
              <w:rPr>
                <w:sz w:val="20"/>
                <w:szCs w:val="20"/>
                <w:color w:val="auto"/>
              </w:rPr>
            </w:pPr>
            <w:r>
              <w:rPr>
                <w:rFonts w:ascii="Arial" w:cs="Arial" w:eastAsia="Arial" w:hAnsi="Arial"/>
                <w:sz w:val="11"/>
                <w:szCs w:val="11"/>
                <w:color w:val="auto"/>
              </w:rPr>
              <w:t>Robust backlog of</w:t>
            </w:r>
          </w:p>
        </w:tc>
        <w:tc>
          <w:tcPr>
            <w:tcW w:w="20" w:type="dxa"/>
            <w:vAlign w:val="bottom"/>
          </w:tcPr>
          <w:p>
            <w:pPr>
              <w:spacing w:after="0"/>
              <w:rPr>
                <w:sz w:val="8"/>
                <w:szCs w:val="8"/>
                <w:color w:val="auto"/>
              </w:rPr>
            </w:pPr>
          </w:p>
        </w:tc>
        <w:tc>
          <w:tcPr>
            <w:tcW w:w="3800" w:type="dxa"/>
            <w:vAlign w:val="bottom"/>
            <w:tcBorders>
              <w:right w:val="single" w:sz="8" w:color="D7282F"/>
            </w:tcBorders>
            <w:vMerge w:val="restart"/>
          </w:tcPr>
          <w:p>
            <w:pPr>
              <w:ind w:left="200"/>
              <w:spacing w:after="0"/>
              <w:rPr>
                <w:sz w:val="20"/>
                <w:szCs w:val="20"/>
                <w:color w:val="auto"/>
              </w:rPr>
            </w:pPr>
            <w:r>
              <w:rPr>
                <w:rFonts w:ascii="Arial" w:cs="Arial" w:eastAsia="Arial" w:hAnsi="Arial"/>
                <w:sz w:val="11"/>
                <w:szCs w:val="11"/>
                <w:color w:val="auto"/>
              </w:rPr>
              <w:t>Operating cash flows of</w:t>
            </w:r>
          </w:p>
        </w:tc>
        <w:tc>
          <w:tcPr>
            <w:tcW w:w="0" w:type="dxa"/>
            <w:vAlign w:val="bottom"/>
          </w:tcPr>
          <w:p>
            <w:pPr>
              <w:spacing w:after="0"/>
              <w:rPr>
                <w:sz w:val="1"/>
                <w:szCs w:val="1"/>
                <w:color w:val="auto"/>
              </w:rPr>
            </w:pPr>
          </w:p>
        </w:tc>
      </w:tr>
      <w:tr>
        <w:trPr>
          <w:trHeight w:val="589"/>
        </w:trPr>
        <w:tc>
          <w:tcPr>
            <w:tcW w:w="3780" w:type="dxa"/>
            <w:vAlign w:val="bottom"/>
            <w:tcBorders>
              <w:left w:val="single" w:sz="8" w:color="D7282F"/>
            </w:tcBorders>
            <w:vMerge w:val="continue"/>
          </w:tcPr>
          <w:p>
            <w:pPr>
              <w:spacing w:after="0"/>
              <w:rPr>
                <w:sz w:val="24"/>
                <w:szCs w:val="24"/>
                <w:color w:val="auto"/>
              </w:rPr>
            </w:pPr>
          </w:p>
        </w:tc>
        <w:tc>
          <w:tcPr>
            <w:tcW w:w="20" w:type="dxa"/>
            <w:vAlign w:val="bottom"/>
            <w:shd w:val="clear" w:color="auto" w:fill="D7282F"/>
          </w:tcPr>
          <w:p>
            <w:pPr>
              <w:spacing w:after="0"/>
              <w:rPr>
                <w:sz w:val="24"/>
                <w:szCs w:val="24"/>
                <w:color w:val="auto"/>
              </w:rPr>
            </w:pPr>
          </w:p>
        </w:tc>
        <w:tc>
          <w:tcPr>
            <w:tcW w:w="3680" w:type="dxa"/>
            <w:vAlign w:val="bottom"/>
            <w:vMerge w:val="continue"/>
          </w:tcPr>
          <w:p>
            <w:pPr>
              <w:spacing w:after="0"/>
              <w:rPr>
                <w:sz w:val="24"/>
                <w:szCs w:val="24"/>
                <w:color w:val="auto"/>
              </w:rPr>
            </w:pPr>
          </w:p>
        </w:tc>
        <w:tc>
          <w:tcPr>
            <w:tcW w:w="20" w:type="dxa"/>
            <w:vAlign w:val="bottom"/>
            <w:shd w:val="clear" w:color="auto" w:fill="D7282F"/>
          </w:tcPr>
          <w:p>
            <w:pPr>
              <w:spacing w:after="0"/>
              <w:rPr>
                <w:sz w:val="24"/>
                <w:szCs w:val="24"/>
                <w:color w:val="auto"/>
              </w:rPr>
            </w:pPr>
          </w:p>
        </w:tc>
        <w:tc>
          <w:tcPr>
            <w:tcW w:w="3800" w:type="dxa"/>
            <w:vAlign w:val="bottom"/>
            <w:tcBorders>
              <w:right w:val="single" w:sz="8" w:color="D7282F"/>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780" w:type="dxa"/>
            <w:vAlign w:val="bottom"/>
            <w:tcBorders>
              <w:left w:val="single" w:sz="8" w:color="D7282F"/>
            </w:tcBorders>
          </w:tcPr>
          <w:p>
            <w:pPr>
              <w:ind w:left="320"/>
              <w:spacing w:after="0"/>
              <w:rPr>
                <w:sz w:val="20"/>
                <w:szCs w:val="20"/>
                <w:color w:val="auto"/>
              </w:rPr>
            </w:pPr>
            <w:r>
              <w:rPr>
                <w:rFonts w:ascii="Arial" w:cs="Arial" w:eastAsia="Arial" w:hAnsi="Arial"/>
                <w:sz w:val="24"/>
                <w:szCs w:val="24"/>
                <w:b w:val="1"/>
                <w:bCs w:val="1"/>
                <w:color w:val="D7282F"/>
              </w:rPr>
              <w:t>$36.7 BILLION</w:t>
            </w:r>
          </w:p>
        </w:tc>
        <w:tc>
          <w:tcPr>
            <w:tcW w:w="20" w:type="dxa"/>
            <w:vAlign w:val="bottom"/>
            <w:shd w:val="clear" w:color="auto" w:fill="D7282F"/>
          </w:tcPr>
          <w:p>
            <w:pPr>
              <w:spacing w:after="0"/>
              <w:rPr>
                <w:sz w:val="24"/>
                <w:szCs w:val="24"/>
                <w:color w:val="auto"/>
              </w:rPr>
            </w:pPr>
          </w:p>
        </w:tc>
        <w:tc>
          <w:tcPr>
            <w:tcW w:w="3680" w:type="dxa"/>
            <w:vAlign w:val="bottom"/>
          </w:tcPr>
          <w:p>
            <w:pPr>
              <w:ind w:left="200"/>
              <w:spacing w:after="0"/>
              <w:rPr>
                <w:sz w:val="20"/>
                <w:szCs w:val="20"/>
                <w:color w:val="auto"/>
              </w:rPr>
            </w:pPr>
            <w:r>
              <w:rPr>
                <w:rFonts w:ascii="Arial" w:cs="Arial" w:eastAsia="Arial" w:hAnsi="Arial"/>
                <w:sz w:val="24"/>
                <w:szCs w:val="24"/>
                <w:b w:val="1"/>
                <w:bCs w:val="1"/>
                <w:color w:val="D7282F"/>
              </w:rPr>
              <w:t>$31.8 BILLION</w:t>
            </w:r>
          </w:p>
        </w:tc>
        <w:tc>
          <w:tcPr>
            <w:tcW w:w="20" w:type="dxa"/>
            <w:vAlign w:val="bottom"/>
            <w:shd w:val="clear" w:color="auto" w:fill="D7282F"/>
          </w:tcPr>
          <w:p>
            <w:pPr>
              <w:spacing w:after="0"/>
              <w:rPr>
                <w:sz w:val="24"/>
                <w:szCs w:val="24"/>
                <w:color w:val="auto"/>
              </w:rPr>
            </w:pPr>
          </w:p>
        </w:tc>
        <w:tc>
          <w:tcPr>
            <w:tcW w:w="3800" w:type="dxa"/>
            <w:vAlign w:val="bottom"/>
            <w:tcBorders>
              <w:right w:val="single" w:sz="8" w:color="D7282F"/>
            </w:tcBorders>
          </w:tcPr>
          <w:p>
            <w:pPr>
              <w:ind w:left="200"/>
              <w:spacing w:after="0"/>
              <w:rPr>
                <w:sz w:val="20"/>
                <w:szCs w:val="20"/>
                <w:color w:val="auto"/>
              </w:rPr>
            </w:pPr>
            <w:r>
              <w:rPr>
                <w:rFonts w:ascii="Arial" w:cs="Arial" w:eastAsia="Arial" w:hAnsi="Arial"/>
                <w:sz w:val="24"/>
                <w:szCs w:val="24"/>
                <w:b w:val="1"/>
                <w:bCs w:val="1"/>
                <w:color w:val="D7282F"/>
              </w:rPr>
              <w:t>$5.3 BILLION</w:t>
            </w:r>
          </w:p>
        </w:tc>
        <w:tc>
          <w:tcPr>
            <w:tcW w:w="0" w:type="dxa"/>
            <w:vAlign w:val="bottom"/>
          </w:tcPr>
          <w:p>
            <w:pPr>
              <w:spacing w:after="0"/>
              <w:rPr>
                <w:sz w:val="1"/>
                <w:szCs w:val="1"/>
                <w:color w:val="auto"/>
              </w:rPr>
            </w:pPr>
          </w:p>
        </w:tc>
      </w:tr>
      <w:tr>
        <w:trPr>
          <w:trHeight w:val="108"/>
        </w:trPr>
        <w:tc>
          <w:tcPr>
            <w:tcW w:w="3780" w:type="dxa"/>
            <w:vAlign w:val="bottom"/>
            <w:tcBorders>
              <w:left w:val="single" w:sz="8" w:color="D7282F"/>
            </w:tcBorders>
          </w:tcPr>
          <w:p>
            <w:pPr>
              <w:ind w:left="320"/>
              <w:spacing w:after="0" w:line="108" w:lineRule="exact"/>
              <w:rPr>
                <w:sz w:val="20"/>
                <w:szCs w:val="20"/>
                <w:color w:val="auto"/>
              </w:rPr>
            </w:pPr>
            <w:r>
              <w:rPr>
                <w:rFonts w:ascii="Arial" w:cs="Arial" w:eastAsia="Arial" w:hAnsi="Arial"/>
                <w:sz w:val="11"/>
                <w:szCs w:val="11"/>
                <w:color w:val="auto"/>
              </w:rPr>
              <w:t>as we remain focused on leveraging and evolving our Honeywell</w:t>
            </w:r>
          </w:p>
        </w:tc>
        <w:tc>
          <w:tcPr>
            <w:tcW w:w="20" w:type="dxa"/>
            <w:vAlign w:val="bottom"/>
            <w:shd w:val="clear" w:color="auto" w:fill="D7282F"/>
          </w:tcPr>
          <w:p>
            <w:pPr>
              <w:spacing w:after="0"/>
              <w:rPr>
                <w:sz w:val="9"/>
                <w:szCs w:val="9"/>
                <w:color w:val="auto"/>
              </w:rPr>
            </w:pPr>
          </w:p>
        </w:tc>
        <w:tc>
          <w:tcPr>
            <w:tcW w:w="3680" w:type="dxa"/>
            <w:vAlign w:val="bottom"/>
          </w:tcPr>
          <w:p>
            <w:pPr>
              <w:ind w:left="200"/>
              <w:spacing w:after="0" w:line="108" w:lineRule="exact"/>
              <w:rPr>
                <w:sz w:val="20"/>
                <w:szCs w:val="20"/>
                <w:color w:val="auto"/>
              </w:rPr>
            </w:pPr>
            <w:r>
              <w:rPr>
                <w:rFonts w:ascii="Arial" w:cs="Arial" w:eastAsia="Arial" w:hAnsi="Arial"/>
                <w:sz w:val="11"/>
                <w:szCs w:val="11"/>
                <w:color w:val="auto"/>
              </w:rPr>
              <w:t>as of year-end, demonstrating continued strong demand in our end</w:t>
            </w:r>
          </w:p>
        </w:tc>
        <w:tc>
          <w:tcPr>
            <w:tcW w:w="20" w:type="dxa"/>
            <w:vAlign w:val="bottom"/>
            <w:shd w:val="clear" w:color="auto" w:fill="D7282F"/>
          </w:tcPr>
          <w:p>
            <w:pPr>
              <w:spacing w:after="0"/>
              <w:rPr>
                <w:sz w:val="9"/>
                <w:szCs w:val="9"/>
                <w:color w:val="auto"/>
              </w:rPr>
            </w:pPr>
          </w:p>
        </w:tc>
        <w:tc>
          <w:tcPr>
            <w:tcW w:w="3800" w:type="dxa"/>
            <w:vAlign w:val="bottom"/>
            <w:tcBorders>
              <w:right w:val="single" w:sz="8" w:color="D7282F"/>
            </w:tcBorders>
          </w:tcPr>
          <w:p>
            <w:pPr>
              <w:ind w:left="200"/>
              <w:spacing w:after="0" w:line="108" w:lineRule="exact"/>
              <w:rPr>
                <w:sz w:val="20"/>
                <w:szCs w:val="20"/>
                <w:color w:val="auto"/>
              </w:rPr>
            </w:pPr>
            <w:r>
              <w:rPr>
                <w:rFonts w:ascii="Arial" w:cs="Arial" w:eastAsia="Arial" w:hAnsi="Arial"/>
                <w:sz w:val="11"/>
                <w:szCs w:val="11"/>
                <w:color w:val="auto"/>
              </w:rPr>
              <w:t>as we remain focused on increasing operating cash flows through</w:t>
            </w:r>
          </w:p>
        </w:tc>
        <w:tc>
          <w:tcPr>
            <w:tcW w:w="0" w:type="dxa"/>
            <w:vAlign w:val="bottom"/>
          </w:tcPr>
          <w:p>
            <w:pPr>
              <w:spacing w:after="0"/>
              <w:rPr>
                <w:sz w:val="1"/>
                <w:szCs w:val="1"/>
                <w:color w:val="auto"/>
              </w:rPr>
            </w:pPr>
          </w:p>
        </w:tc>
      </w:tr>
      <w:tr>
        <w:trPr>
          <w:trHeight w:val="108"/>
        </w:trPr>
        <w:tc>
          <w:tcPr>
            <w:tcW w:w="3780" w:type="dxa"/>
            <w:vAlign w:val="bottom"/>
            <w:tcBorders>
              <w:left w:val="single" w:sz="8" w:color="D7282F"/>
            </w:tcBorders>
          </w:tcPr>
          <w:p>
            <w:pPr>
              <w:ind w:left="320"/>
              <w:spacing w:after="0" w:line="108" w:lineRule="exact"/>
              <w:rPr>
                <w:sz w:val="20"/>
                <w:szCs w:val="20"/>
                <w:color w:val="auto"/>
              </w:rPr>
            </w:pPr>
            <w:r>
              <w:rPr>
                <w:rFonts w:ascii="Arial" w:cs="Arial" w:eastAsia="Arial" w:hAnsi="Arial"/>
                <w:sz w:val="11"/>
                <w:szCs w:val="11"/>
                <w:color w:val="auto"/>
              </w:rPr>
              <w:t>Accelerator operating model to deliver growth</w:t>
            </w:r>
          </w:p>
        </w:tc>
        <w:tc>
          <w:tcPr>
            <w:tcW w:w="20" w:type="dxa"/>
            <w:vAlign w:val="bottom"/>
            <w:shd w:val="clear" w:color="auto" w:fill="D7282F"/>
          </w:tcPr>
          <w:p>
            <w:pPr>
              <w:spacing w:after="0"/>
              <w:rPr>
                <w:sz w:val="9"/>
                <w:szCs w:val="9"/>
                <w:color w:val="auto"/>
              </w:rPr>
            </w:pPr>
          </w:p>
        </w:tc>
        <w:tc>
          <w:tcPr>
            <w:tcW w:w="3680" w:type="dxa"/>
            <w:vAlign w:val="bottom"/>
          </w:tcPr>
          <w:p>
            <w:pPr>
              <w:ind w:left="200"/>
              <w:spacing w:after="0" w:line="108" w:lineRule="exact"/>
              <w:rPr>
                <w:sz w:val="20"/>
                <w:szCs w:val="20"/>
                <w:color w:val="auto"/>
              </w:rPr>
            </w:pPr>
            <w:r>
              <w:rPr>
                <w:rFonts w:ascii="Arial" w:cs="Arial" w:eastAsia="Arial" w:hAnsi="Arial"/>
                <w:sz w:val="11"/>
                <w:szCs w:val="11"/>
                <w:color w:val="auto"/>
              </w:rPr>
              <w:t>markets and positioning us well to convert for future growth</w:t>
            </w:r>
          </w:p>
        </w:tc>
        <w:tc>
          <w:tcPr>
            <w:tcW w:w="20" w:type="dxa"/>
            <w:vAlign w:val="bottom"/>
            <w:shd w:val="clear" w:color="auto" w:fill="D7282F"/>
          </w:tcPr>
          <w:p>
            <w:pPr>
              <w:spacing w:after="0"/>
              <w:rPr>
                <w:sz w:val="9"/>
                <w:szCs w:val="9"/>
                <w:color w:val="auto"/>
              </w:rPr>
            </w:pPr>
          </w:p>
        </w:tc>
        <w:tc>
          <w:tcPr>
            <w:tcW w:w="3800" w:type="dxa"/>
            <w:vAlign w:val="bottom"/>
            <w:tcBorders>
              <w:right w:val="single" w:sz="8" w:color="D7282F"/>
            </w:tcBorders>
          </w:tcPr>
          <w:p>
            <w:pPr>
              <w:ind w:left="200"/>
              <w:spacing w:after="0" w:line="108" w:lineRule="exact"/>
              <w:rPr>
                <w:sz w:val="20"/>
                <w:szCs w:val="20"/>
                <w:color w:val="auto"/>
              </w:rPr>
            </w:pPr>
            <w:r>
              <w:rPr>
                <w:rFonts w:ascii="Arial" w:cs="Arial" w:eastAsia="Arial" w:hAnsi="Arial"/>
                <w:sz w:val="11"/>
                <w:szCs w:val="11"/>
                <w:color w:val="auto"/>
              </w:rPr>
              <w:t>revenue growth, margin expansion, and improved working capital</w:t>
            </w:r>
          </w:p>
        </w:tc>
        <w:tc>
          <w:tcPr>
            <w:tcW w:w="0" w:type="dxa"/>
            <w:vAlign w:val="bottom"/>
          </w:tcPr>
          <w:p>
            <w:pPr>
              <w:spacing w:after="0"/>
              <w:rPr>
                <w:sz w:val="1"/>
                <w:szCs w:val="1"/>
                <w:color w:val="auto"/>
              </w:rPr>
            </w:pPr>
          </w:p>
        </w:tc>
      </w:tr>
      <w:tr>
        <w:trPr>
          <w:trHeight w:val="144"/>
        </w:trPr>
        <w:tc>
          <w:tcPr>
            <w:tcW w:w="3780" w:type="dxa"/>
            <w:vAlign w:val="bottom"/>
            <w:tcBorders>
              <w:left w:val="single" w:sz="8" w:color="D7282F"/>
            </w:tcBorders>
          </w:tcPr>
          <w:p>
            <w:pPr>
              <w:spacing w:after="0"/>
              <w:rPr>
                <w:sz w:val="12"/>
                <w:szCs w:val="12"/>
                <w:color w:val="auto"/>
              </w:rPr>
            </w:pPr>
          </w:p>
        </w:tc>
        <w:tc>
          <w:tcPr>
            <w:tcW w:w="20" w:type="dxa"/>
            <w:vAlign w:val="bottom"/>
            <w:shd w:val="clear" w:color="auto" w:fill="D7282F"/>
          </w:tcPr>
          <w:p>
            <w:pPr>
              <w:spacing w:after="0"/>
              <w:rPr>
                <w:sz w:val="12"/>
                <w:szCs w:val="12"/>
                <w:color w:val="auto"/>
              </w:rPr>
            </w:pPr>
          </w:p>
        </w:tc>
        <w:tc>
          <w:tcPr>
            <w:tcW w:w="3680" w:type="dxa"/>
            <w:vAlign w:val="bottom"/>
          </w:tcPr>
          <w:p>
            <w:pPr>
              <w:spacing w:after="0"/>
              <w:rPr>
                <w:sz w:val="12"/>
                <w:szCs w:val="12"/>
                <w:color w:val="auto"/>
              </w:rPr>
            </w:pPr>
          </w:p>
        </w:tc>
        <w:tc>
          <w:tcPr>
            <w:tcW w:w="20" w:type="dxa"/>
            <w:vAlign w:val="bottom"/>
            <w:shd w:val="clear" w:color="auto" w:fill="D7282F"/>
          </w:tcPr>
          <w:p>
            <w:pPr>
              <w:spacing w:after="0"/>
              <w:rPr>
                <w:sz w:val="12"/>
                <w:szCs w:val="12"/>
                <w:color w:val="auto"/>
              </w:rPr>
            </w:pPr>
          </w:p>
        </w:tc>
        <w:tc>
          <w:tcPr>
            <w:tcW w:w="3800" w:type="dxa"/>
            <w:vAlign w:val="bottom"/>
            <w:tcBorders>
              <w:right w:val="single" w:sz="8" w:color="D7282F"/>
            </w:tcBorders>
          </w:tcPr>
          <w:p>
            <w:pPr>
              <w:ind w:left="200"/>
              <w:spacing w:after="0"/>
              <w:rPr>
                <w:sz w:val="20"/>
                <w:szCs w:val="20"/>
                <w:color w:val="auto"/>
              </w:rPr>
            </w:pPr>
            <w:r>
              <w:rPr>
                <w:rFonts w:ascii="Arial" w:cs="Arial" w:eastAsia="Arial" w:hAnsi="Arial"/>
                <w:sz w:val="11"/>
                <w:szCs w:val="11"/>
                <w:color w:val="auto"/>
              </w:rPr>
              <w:t>turnover</w:t>
            </w:r>
          </w:p>
        </w:tc>
        <w:tc>
          <w:tcPr>
            <w:tcW w:w="0" w:type="dxa"/>
            <w:vAlign w:val="bottom"/>
          </w:tcPr>
          <w:p>
            <w:pPr>
              <w:spacing w:after="0"/>
              <w:rPr>
                <w:sz w:val="1"/>
                <w:szCs w:val="1"/>
                <w:color w:val="auto"/>
              </w:rPr>
            </w:pPr>
          </w:p>
        </w:tc>
      </w:tr>
      <w:tr>
        <w:trPr>
          <w:trHeight w:val="99"/>
        </w:trPr>
        <w:tc>
          <w:tcPr>
            <w:tcW w:w="3780" w:type="dxa"/>
            <w:vAlign w:val="bottom"/>
            <w:tcBorders>
              <w:left w:val="single" w:sz="8" w:color="D7282F"/>
              <w:bottom w:val="single" w:sz="8" w:color="D7282F"/>
            </w:tcBorders>
          </w:tcPr>
          <w:p>
            <w:pPr>
              <w:spacing w:after="0"/>
              <w:rPr>
                <w:sz w:val="8"/>
                <w:szCs w:val="8"/>
                <w:color w:val="auto"/>
              </w:rPr>
            </w:pPr>
          </w:p>
        </w:tc>
        <w:tc>
          <w:tcPr>
            <w:tcW w:w="20" w:type="dxa"/>
            <w:vAlign w:val="bottom"/>
            <w:tcBorders>
              <w:bottom w:val="single" w:sz="8" w:color="D7282F"/>
            </w:tcBorders>
          </w:tcPr>
          <w:p>
            <w:pPr>
              <w:spacing w:after="0"/>
              <w:rPr>
                <w:sz w:val="8"/>
                <w:szCs w:val="8"/>
                <w:color w:val="auto"/>
              </w:rPr>
            </w:pPr>
          </w:p>
        </w:tc>
        <w:tc>
          <w:tcPr>
            <w:tcW w:w="3680" w:type="dxa"/>
            <w:vAlign w:val="bottom"/>
            <w:tcBorders>
              <w:bottom w:val="single" w:sz="8" w:color="D7282F"/>
            </w:tcBorders>
          </w:tcPr>
          <w:p>
            <w:pPr>
              <w:spacing w:after="0"/>
              <w:rPr>
                <w:sz w:val="8"/>
                <w:szCs w:val="8"/>
                <w:color w:val="auto"/>
              </w:rPr>
            </w:pPr>
          </w:p>
        </w:tc>
        <w:tc>
          <w:tcPr>
            <w:tcW w:w="20" w:type="dxa"/>
            <w:vAlign w:val="bottom"/>
            <w:tcBorders>
              <w:bottom w:val="single" w:sz="8" w:color="D7282F"/>
            </w:tcBorders>
          </w:tcPr>
          <w:p>
            <w:pPr>
              <w:spacing w:after="0"/>
              <w:rPr>
                <w:sz w:val="8"/>
                <w:szCs w:val="8"/>
                <w:color w:val="auto"/>
              </w:rPr>
            </w:pPr>
          </w:p>
        </w:tc>
        <w:tc>
          <w:tcPr>
            <w:tcW w:w="3800" w:type="dxa"/>
            <w:vAlign w:val="bottom"/>
            <w:tcBorders>
              <w:bottom w:val="single" w:sz="8" w:color="D7282F"/>
              <w:right w:val="single" w:sz="8" w:color="D7282F"/>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2554605</wp:posOffset>
            </wp:positionH>
            <wp:positionV relativeFrom="paragraph">
              <wp:posOffset>-845185</wp:posOffset>
            </wp:positionV>
            <wp:extent cx="200025" cy="1943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0025" cy="194310"/>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-856615</wp:posOffset>
            </wp:positionV>
            <wp:extent cx="211455" cy="2171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1455" cy="217170"/>
                    </a:xfrm>
                    <a:prstGeom prst="rect">
                      <a:avLst/>
                    </a:prstGeom>
                    <a:noFill/>
                  </pic:spPr>
                </pic:pic>
              </a:graphicData>
            </a:graphic>
          </wp:anchor>
        </w:drawing>
      </w:r>
    </w:p>
    <w:p>
      <w:pPr>
        <w:spacing w:after="0" w:line="322" w:lineRule="exact"/>
        <w:rPr>
          <w:sz w:val="20"/>
          <w:szCs w:val="20"/>
          <w:color w:val="auto"/>
        </w:rPr>
      </w:pPr>
    </w:p>
    <w:p>
      <w:pPr>
        <w:ind w:left="208" w:hanging="208"/>
        <w:spacing w:after="0"/>
        <w:tabs>
          <w:tab w:leader="none" w:pos="208" w:val="left"/>
        </w:tabs>
        <w:numPr>
          <w:ilvl w:val="0"/>
          <w:numId w:val="28"/>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5" w:name="page6"/>
    <w:bookmarkEnd w:id="5"/>
    <w:p>
      <w:pPr>
        <w:ind w:left="8"/>
        <w:spacing w:after="0"/>
        <w:tabs>
          <w:tab w:leader="none" w:pos="1040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
        <w:spacing w:after="0"/>
        <w:rPr>
          <w:sz w:val="20"/>
          <w:szCs w:val="20"/>
          <w:color w:val="auto"/>
        </w:rPr>
      </w:pPr>
      <w:r>
        <w:rPr>
          <w:rFonts w:ascii="Arial" w:cs="Arial" w:eastAsia="Arial" w:hAnsi="Arial"/>
          <w:sz w:val="19"/>
          <w:szCs w:val="19"/>
          <w:color w:val="D7282F"/>
        </w:rPr>
        <w:t>BUSINESS OBJECTIVES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1"/>
          <w:szCs w:val="11"/>
          <w:color w:val="auto"/>
        </w:rPr>
        <w:t>Our businesses focus on the following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3977640" cy="38862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977640" cy="388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8" w:hanging="208"/>
        <w:spacing w:after="0"/>
        <w:tabs>
          <w:tab w:leader="none" w:pos="208" w:val="left"/>
        </w:tabs>
        <w:numPr>
          <w:ilvl w:val="0"/>
          <w:numId w:val="29"/>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227" w:right="319" w:bottom="1440" w:gutter="0" w:footer="0" w:header="0"/>
        </w:sectPr>
      </w:pPr>
    </w:p>
    <w:bookmarkStart w:id="6" w:name="page7"/>
    <w:bookmarkEnd w:id="6"/>
    <w:p>
      <w:pPr>
        <w:spacing w:after="0"/>
        <w:tabs>
          <w:tab w:leader="none" w:pos="1040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color w:val="D7282F"/>
        </w:rPr>
        <w:t>MAJOR BUSINESSES</w:t>
      </w:r>
    </w:p>
    <w:p>
      <w:pPr>
        <w:spacing w:after="0" w:line="172"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We globally manage our business operations through four reportable business segments: Aerospace, Honeywell Building Technologies, Performance Materials and Technologies, and Safety and Productivity Solutions. The remainder of Honeywell's operations is presented in Corporate and All Other, which is not a reportable business segment. Financial information related to our reportable business segments is included in Note 22 Segment Financial Data of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6024245</wp:posOffset>
            </wp:positionH>
            <wp:positionV relativeFrom="paragraph">
              <wp:posOffset>142875</wp:posOffset>
            </wp:positionV>
            <wp:extent cx="1131570" cy="1177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31570" cy="1177290"/>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AEROSPACE</w:t>
      </w:r>
    </w:p>
    <w:p>
      <w:pPr>
        <w:spacing w:after="0" w:line="72" w:lineRule="exact"/>
        <w:rPr>
          <w:sz w:val="20"/>
          <w:szCs w:val="20"/>
          <w:color w:val="auto"/>
        </w:rPr>
      </w:pPr>
    </w:p>
    <w:p>
      <w:pPr>
        <w:jc w:val="both"/>
        <w:ind w:right="3500"/>
        <w:spacing w:after="0" w:line="230" w:lineRule="auto"/>
        <w:rPr>
          <w:sz w:val="20"/>
          <w:szCs w:val="20"/>
          <w:color w:val="auto"/>
        </w:rPr>
      </w:pPr>
      <w:r>
        <w:rPr>
          <w:rFonts w:ascii="Arial" w:cs="Arial" w:eastAsia="Arial" w:hAnsi="Arial"/>
          <w:sz w:val="11"/>
          <w:szCs w:val="11"/>
          <w:color w:val="auto"/>
        </w:rPr>
        <w:t>Aerospace is a leading global supplier of products, software, and services for aircrafts that it sells to original equipment manufacturers (OEM) and other customers in a variety of end markets including: air transport, regional, business and general aviation aircraft, airlines, aircraft operators, and defense and space contractors. Aerospace products and services include auxiliary power units, propulsion engines, environmental control systems, integrated avionics, wireless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and thermal systems. Aerospace also provides spare parts, repair, overhaul, and maintenance services (principally to aircraft operators), and sells licenses or intellectual property to other parties. Our Honeywell Forge solutions enable our customers to turn data into predictive maintenance and predictive analytics to enable better fleet management and make flight operations more efficient.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2023 Full-year revenue of $13,624 million</w:t>
      </w:r>
    </w:p>
    <w:p>
      <w:pPr>
        <w:spacing w:after="0" w:line="21" w:lineRule="exact"/>
        <w:rPr>
          <w:sz w:val="20"/>
          <w:szCs w:val="20"/>
          <w:color w:val="auto"/>
        </w:rPr>
      </w:pPr>
    </w:p>
    <w:p>
      <w:pPr>
        <w:spacing w:after="0"/>
        <w:rPr>
          <w:sz w:val="20"/>
          <w:szCs w:val="20"/>
          <w:color w:val="auto"/>
        </w:rPr>
      </w:pPr>
      <w:r>
        <w:rPr>
          <w:rFonts w:ascii="Arial" w:cs="Arial" w:eastAsia="Arial" w:hAnsi="Arial"/>
          <w:sz w:val="10"/>
          <w:szCs w:val="10"/>
          <w:color w:val="auto"/>
        </w:rPr>
        <w:t>2023 Full-year revenue by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10160</wp:posOffset>
            </wp:positionV>
            <wp:extent cx="5715" cy="1143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15" cy="114300"/>
                    </a:xfrm>
                    <a:prstGeom prst="rect">
                      <a:avLst/>
                    </a:prstGeom>
                    <a:noFill/>
                  </pic:spPr>
                </pic:pic>
              </a:graphicData>
            </a:graphic>
          </wp:anchor>
        </w:drawing>
        <w:drawing>
          <wp:anchor simplePos="0" relativeHeight="251657728" behindDoc="1" locked="0" layoutInCell="0" allowOverlap="1">
            <wp:simplePos x="0" y="0"/>
            <wp:positionH relativeFrom="column">
              <wp:posOffset>1263650</wp:posOffset>
            </wp:positionH>
            <wp:positionV relativeFrom="paragraph">
              <wp:posOffset>10160</wp:posOffset>
            </wp:positionV>
            <wp:extent cx="5715" cy="1143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15" cy="114300"/>
                    </a:xfrm>
                    <a:prstGeom prst="rect">
                      <a:avLst/>
                    </a:prstGeom>
                    <a:noFill/>
                  </pic:spPr>
                </pic:pic>
              </a:graphicData>
            </a:graphic>
          </wp:anchor>
        </w:drawing>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00" w:type="dxa"/>
            <w:vAlign w:val="bottom"/>
            <w:tcBorders>
              <w:right w:val="single" w:sz="8" w:color="auto"/>
            </w:tcBorders>
            <w:shd w:val="clear" w:color="auto" w:fill="D7282F"/>
          </w:tcPr>
          <w:p>
            <w:pPr>
              <w:spacing w:after="0"/>
              <w:rPr>
                <w:sz w:val="14"/>
                <w:szCs w:val="14"/>
                <w:color w:val="auto"/>
              </w:rPr>
            </w:pPr>
          </w:p>
        </w:tc>
        <w:tc>
          <w:tcPr>
            <w:tcW w:w="4900" w:type="dxa"/>
            <w:vAlign w:val="bottom"/>
            <w:tcBorders>
              <w:right w:val="single" w:sz="8" w:color="6D6D6D"/>
            </w:tcBorders>
            <w:shd w:val="clear" w:color="auto" w:fill="000000"/>
          </w:tcPr>
          <w:p>
            <w:pPr>
              <w:spacing w:after="0"/>
              <w:rPr>
                <w:sz w:val="14"/>
                <w:szCs w:val="14"/>
                <w:color w:val="auto"/>
              </w:rPr>
            </w:pPr>
          </w:p>
        </w:tc>
        <w:tc>
          <w:tcPr>
            <w:tcW w:w="4400" w:type="dxa"/>
            <w:vAlign w:val="bottom"/>
            <w:shd w:val="clear" w:color="auto" w:fill="6D6D6D"/>
          </w:tcPr>
          <w:p>
            <w:pPr>
              <w:spacing w:after="0"/>
              <w:rPr>
                <w:sz w:val="14"/>
                <w:szCs w:val="14"/>
                <w:color w:val="auto"/>
              </w:rPr>
            </w:pPr>
          </w:p>
        </w:tc>
      </w:tr>
      <w:tr>
        <w:trPr>
          <w:trHeight w:val="144"/>
        </w:trPr>
        <w:tc>
          <w:tcPr>
            <w:tcW w:w="2000" w:type="dxa"/>
            <w:vAlign w:val="bottom"/>
            <w:tcBorders>
              <w:right w:val="single" w:sz="8" w:color="939598"/>
            </w:tcBorders>
          </w:tcPr>
          <w:p>
            <w:pPr>
              <w:spacing w:after="0"/>
              <w:rPr>
                <w:sz w:val="20"/>
                <w:szCs w:val="20"/>
                <w:color w:val="auto"/>
              </w:rPr>
            </w:pPr>
            <w:r>
              <w:rPr>
                <w:rFonts w:ascii="Arial" w:cs="Arial" w:eastAsia="Arial" w:hAnsi="Arial"/>
                <w:sz w:val="11"/>
                <w:szCs w:val="11"/>
                <w:b w:val="1"/>
                <w:bCs w:val="1"/>
                <w:color w:val="auto"/>
              </w:rPr>
              <w:t>$2,397 million</w:t>
            </w:r>
          </w:p>
        </w:tc>
        <w:tc>
          <w:tcPr>
            <w:tcW w:w="4900" w:type="dxa"/>
            <w:vAlign w:val="bottom"/>
            <w:tcBorders>
              <w:right w:val="single" w:sz="8" w:color="939598"/>
            </w:tcBorders>
          </w:tcPr>
          <w:p>
            <w:pPr>
              <w:ind w:left="60"/>
              <w:spacing w:after="0"/>
              <w:rPr>
                <w:sz w:val="20"/>
                <w:szCs w:val="20"/>
                <w:color w:val="auto"/>
              </w:rPr>
            </w:pPr>
            <w:r>
              <w:rPr>
                <w:rFonts w:ascii="Arial" w:cs="Arial" w:eastAsia="Arial" w:hAnsi="Arial"/>
                <w:sz w:val="11"/>
                <w:szCs w:val="11"/>
                <w:b w:val="1"/>
                <w:bCs w:val="1"/>
                <w:color w:val="auto"/>
              </w:rPr>
              <w:t>$6,241 million</w:t>
            </w:r>
          </w:p>
        </w:tc>
        <w:tc>
          <w:tcPr>
            <w:tcW w:w="4400" w:type="dxa"/>
            <w:vAlign w:val="bottom"/>
          </w:tcPr>
          <w:p>
            <w:pPr>
              <w:ind w:left="40"/>
              <w:spacing w:after="0"/>
              <w:rPr>
                <w:sz w:val="20"/>
                <w:szCs w:val="20"/>
                <w:color w:val="auto"/>
              </w:rPr>
            </w:pPr>
            <w:r>
              <w:rPr>
                <w:rFonts w:ascii="Arial" w:cs="Arial" w:eastAsia="Arial" w:hAnsi="Arial"/>
                <w:sz w:val="11"/>
                <w:szCs w:val="11"/>
                <w:b w:val="1"/>
                <w:bCs w:val="1"/>
                <w:color w:val="auto"/>
              </w:rPr>
              <w:t>$4,986 million</w:t>
            </w:r>
          </w:p>
        </w:tc>
      </w:tr>
      <w:tr>
        <w:trPr>
          <w:trHeight w:val="108"/>
        </w:trPr>
        <w:tc>
          <w:tcPr>
            <w:tcW w:w="2000" w:type="dxa"/>
            <w:vAlign w:val="bottom"/>
            <w:tcBorders>
              <w:right w:val="single" w:sz="8" w:color="939598"/>
            </w:tcBorders>
          </w:tcPr>
          <w:p>
            <w:pPr>
              <w:spacing w:after="0" w:line="108" w:lineRule="exact"/>
              <w:rPr>
                <w:sz w:val="20"/>
                <w:szCs w:val="20"/>
                <w:color w:val="auto"/>
              </w:rPr>
            </w:pPr>
            <w:r>
              <w:rPr>
                <w:rFonts w:ascii="Arial" w:cs="Arial" w:eastAsia="Arial" w:hAnsi="Arial"/>
                <w:sz w:val="11"/>
                <w:szCs w:val="11"/>
                <w:b w:val="1"/>
                <w:bCs w:val="1"/>
                <w:color w:val="D7282F"/>
              </w:rPr>
              <w:t>Commercial Aviation Original</w:t>
            </w:r>
          </w:p>
        </w:tc>
        <w:tc>
          <w:tcPr>
            <w:tcW w:w="4900" w:type="dxa"/>
            <w:vAlign w:val="bottom"/>
            <w:tcBorders>
              <w:right w:val="single" w:sz="8" w:color="939598"/>
            </w:tcBorders>
          </w:tcPr>
          <w:p>
            <w:pPr>
              <w:ind w:left="60"/>
              <w:spacing w:after="0" w:line="108" w:lineRule="exact"/>
              <w:rPr>
                <w:sz w:val="20"/>
                <w:szCs w:val="20"/>
                <w:color w:val="auto"/>
              </w:rPr>
            </w:pPr>
            <w:r>
              <w:rPr>
                <w:rFonts w:ascii="Arial" w:cs="Arial" w:eastAsia="Arial" w:hAnsi="Arial"/>
                <w:sz w:val="11"/>
                <w:szCs w:val="11"/>
                <w:b w:val="1"/>
                <w:bCs w:val="1"/>
                <w:color w:val="auto"/>
              </w:rPr>
              <w:t>Commercial Aviation Aftermarket</w:t>
            </w:r>
          </w:p>
        </w:tc>
        <w:tc>
          <w:tcPr>
            <w:tcW w:w="4400" w:type="dxa"/>
            <w:vAlign w:val="bottom"/>
          </w:tcPr>
          <w:p>
            <w:pPr>
              <w:ind w:left="40"/>
              <w:spacing w:after="0" w:line="108" w:lineRule="exact"/>
              <w:rPr>
                <w:sz w:val="20"/>
                <w:szCs w:val="20"/>
                <w:color w:val="auto"/>
              </w:rPr>
            </w:pPr>
            <w:r>
              <w:rPr>
                <w:rFonts w:ascii="Arial" w:cs="Arial" w:eastAsia="Arial" w:hAnsi="Arial"/>
                <w:sz w:val="11"/>
                <w:szCs w:val="11"/>
                <w:b w:val="1"/>
                <w:bCs w:val="1"/>
                <w:color w:val="616161"/>
              </w:rPr>
              <w:t>Defense and Space</w:t>
            </w:r>
          </w:p>
        </w:tc>
      </w:tr>
      <w:tr>
        <w:trPr>
          <w:trHeight w:val="144"/>
        </w:trPr>
        <w:tc>
          <w:tcPr>
            <w:tcW w:w="2000" w:type="dxa"/>
            <w:vAlign w:val="bottom"/>
            <w:tcBorders>
              <w:right w:val="single" w:sz="8" w:color="939598"/>
            </w:tcBorders>
          </w:tcPr>
          <w:p>
            <w:pPr>
              <w:spacing w:after="0"/>
              <w:rPr>
                <w:sz w:val="20"/>
                <w:szCs w:val="20"/>
                <w:color w:val="auto"/>
              </w:rPr>
            </w:pPr>
            <w:r>
              <w:rPr>
                <w:rFonts w:ascii="Arial" w:cs="Arial" w:eastAsia="Arial" w:hAnsi="Arial"/>
                <w:sz w:val="11"/>
                <w:szCs w:val="11"/>
                <w:b w:val="1"/>
                <w:bCs w:val="1"/>
                <w:color w:val="D7282F"/>
              </w:rPr>
              <w:t>Equipment</w:t>
            </w:r>
          </w:p>
        </w:tc>
        <w:tc>
          <w:tcPr>
            <w:tcW w:w="4900" w:type="dxa"/>
            <w:vAlign w:val="bottom"/>
            <w:tcBorders>
              <w:right w:val="single" w:sz="8" w:color="939598"/>
            </w:tcBorders>
          </w:tcPr>
          <w:p>
            <w:pPr>
              <w:spacing w:after="0"/>
              <w:rPr>
                <w:sz w:val="12"/>
                <w:szCs w:val="12"/>
                <w:color w:val="auto"/>
              </w:rPr>
            </w:pPr>
          </w:p>
        </w:tc>
        <w:tc>
          <w:tcPr>
            <w:tcW w:w="44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6035675</wp:posOffset>
            </wp:positionH>
            <wp:positionV relativeFrom="paragraph">
              <wp:posOffset>131445</wp:posOffset>
            </wp:positionV>
            <wp:extent cx="1131570" cy="1177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31570" cy="11772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HONEYWELL BUILDING TECHNOLOGIES</w:t>
      </w:r>
    </w:p>
    <w:p>
      <w:pPr>
        <w:spacing w:after="0" w:line="81" w:lineRule="exact"/>
        <w:rPr>
          <w:sz w:val="20"/>
          <w:szCs w:val="20"/>
          <w:color w:val="auto"/>
        </w:rPr>
      </w:pPr>
    </w:p>
    <w:p>
      <w:pPr>
        <w:jc w:val="both"/>
        <w:ind w:right="3500"/>
        <w:spacing w:after="0" w:line="254" w:lineRule="auto"/>
        <w:rPr>
          <w:sz w:val="20"/>
          <w:szCs w:val="20"/>
          <w:color w:val="auto"/>
        </w:rPr>
      </w:pPr>
      <w:r>
        <w:rPr>
          <w:rFonts w:ascii="Arial" w:cs="Arial" w:eastAsia="Arial" w:hAnsi="Arial"/>
          <w:sz w:val="11"/>
          <w:szCs w:val="11"/>
          <w:color w:val="auto"/>
        </w:rPr>
        <w:t>Honeywell Building Technologies is a leading global provider of products, software, solutions, and technologies that enable building owners and occupants to ensure their facilities are safe, energy efficient, sustainable, and productive. Honeywell Building Technologies products and services include advanced software applications for building control and optimization; sensors, switches, control systems, and instruments for energy management; access control; video surveillance; fire products; and installation, maintenance, and upgrades of systems. Our Honeywell Forge solutions enable our customers to digitally manage buildings, connecting data from different assets to enable smart maintenance, improve building performance, and even protect from incoming security threats.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2023 Full-year revenue of $6,031 million</w:t>
      </w:r>
    </w:p>
    <w:p>
      <w:pPr>
        <w:spacing w:after="0" w:line="30" w:lineRule="exact"/>
        <w:rPr>
          <w:sz w:val="20"/>
          <w:szCs w:val="20"/>
          <w:color w:val="auto"/>
        </w:rPr>
      </w:pPr>
    </w:p>
    <w:p>
      <w:pPr>
        <w:spacing w:after="0"/>
        <w:rPr>
          <w:sz w:val="20"/>
          <w:szCs w:val="20"/>
          <w:color w:val="auto"/>
        </w:rPr>
      </w:pPr>
      <w:r>
        <w:rPr>
          <w:rFonts w:ascii="Arial" w:cs="Arial" w:eastAsia="Arial" w:hAnsi="Arial"/>
          <w:sz w:val="10"/>
          <w:szCs w:val="10"/>
          <w:color w:val="auto"/>
        </w:rPr>
        <w:t>2023 Full-year revenue by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10160</wp:posOffset>
            </wp:positionV>
            <wp:extent cx="5715" cy="1143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15" cy="114300"/>
                    </a:xfrm>
                    <a:prstGeom prst="rect">
                      <a:avLst/>
                    </a:prstGeom>
                    <a:noFill/>
                  </pic:spPr>
                </pic:pic>
              </a:graphicData>
            </a:graphic>
          </wp:anchor>
        </w:drawing>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880" w:type="dxa"/>
            <w:vAlign w:val="bottom"/>
            <w:tcBorders>
              <w:right w:val="single" w:sz="8" w:color="auto"/>
            </w:tcBorders>
            <w:shd w:val="clear" w:color="auto" w:fill="D7282F"/>
          </w:tcPr>
          <w:p>
            <w:pPr>
              <w:spacing w:after="0"/>
              <w:rPr>
                <w:sz w:val="14"/>
                <w:szCs w:val="14"/>
                <w:color w:val="auto"/>
              </w:rPr>
            </w:pPr>
          </w:p>
        </w:tc>
        <w:tc>
          <w:tcPr>
            <w:tcW w:w="4420" w:type="dxa"/>
            <w:vAlign w:val="bottom"/>
            <w:shd w:val="clear" w:color="auto" w:fill="000000"/>
          </w:tcPr>
          <w:p>
            <w:pPr>
              <w:spacing w:after="0"/>
              <w:rPr>
                <w:sz w:val="14"/>
                <w:szCs w:val="14"/>
                <w:color w:val="auto"/>
              </w:rPr>
            </w:pPr>
          </w:p>
        </w:tc>
      </w:tr>
      <w:tr>
        <w:trPr>
          <w:trHeight w:val="144"/>
        </w:trPr>
        <w:tc>
          <w:tcPr>
            <w:tcW w:w="6880" w:type="dxa"/>
            <w:vAlign w:val="bottom"/>
            <w:tcBorders>
              <w:right w:val="single" w:sz="8" w:color="939598"/>
            </w:tcBorders>
          </w:tcPr>
          <w:p>
            <w:pPr>
              <w:spacing w:after="0"/>
              <w:rPr>
                <w:sz w:val="20"/>
                <w:szCs w:val="20"/>
                <w:color w:val="auto"/>
              </w:rPr>
            </w:pPr>
            <w:r>
              <w:rPr>
                <w:rFonts w:ascii="Arial" w:cs="Arial" w:eastAsia="Arial" w:hAnsi="Arial"/>
                <w:sz w:val="11"/>
                <w:szCs w:val="11"/>
                <w:b w:val="1"/>
                <w:bCs w:val="1"/>
                <w:color w:val="auto"/>
              </w:rPr>
              <w:t>$3,583 million</w:t>
            </w:r>
          </w:p>
        </w:tc>
        <w:tc>
          <w:tcPr>
            <w:tcW w:w="4420" w:type="dxa"/>
            <w:vAlign w:val="bottom"/>
          </w:tcPr>
          <w:p>
            <w:pPr>
              <w:ind w:left="60"/>
              <w:spacing w:after="0"/>
              <w:rPr>
                <w:sz w:val="20"/>
                <w:szCs w:val="20"/>
                <w:color w:val="auto"/>
              </w:rPr>
            </w:pPr>
            <w:r>
              <w:rPr>
                <w:rFonts w:ascii="Arial" w:cs="Arial" w:eastAsia="Arial" w:hAnsi="Arial"/>
                <w:sz w:val="11"/>
                <w:szCs w:val="11"/>
                <w:b w:val="1"/>
                <w:bCs w:val="1"/>
                <w:color w:val="auto"/>
              </w:rPr>
              <w:t>$2,448 million</w:t>
            </w:r>
          </w:p>
        </w:tc>
      </w:tr>
      <w:tr>
        <w:trPr>
          <w:trHeight w:val="144"/>
        </w:trPr>
        <w:tc>
          <w:tcPr>
            <w:tcW w:w="6880" w:type="dxa"/>
            <w:vAlign w:val="bottom"/>
            <w:tcBorders>
              <w:right w:val="single" w:sz="8" w:color="939598"/>
            </w:tcBorders>
          </w:tcPr>
          <w:p>
            <w:pPr>
              <w:spacing w:after="0"/>
              <w:rPr>
                <w:sz w:val="20"/>
                <w:szCs w:val="20"/>
                <w:color w:val="auto"/>
              </w:rPr>
            </w:pPr>
            <w:r>
              <w:rPr>
                <w:rFonts w:ascii="Arial" w:cs="Arial" w:eastAsia="Arial" w:hAnsi="Arial"/>
                <w:sz w:val="11"/>
                <w:szCs w:val="11"/>
                <w:b w:val="1"/>
                <w:bCs w:val="1"/>
                <w:color w:val="D7282F"/>
              </w:rPr>
              <w:t>Products</w:t>
            </w:r>
          </w:p>
        </w:tc>
        <w:tc>
          <w:tcPr>
            <w:tcW w:w="4420" w:type="dxa"/>
            <w:vAlign w:val="bottom"/>
          </w:tcPr>
          <w:p>
            <w:pPr>
              <w:ind w:left="60"/>
              <w:spacing w:after="0"/>
              <w:rPr>
                <w:sz w:val="20"/>
                <w:szCs w:val="20"/>
                <w:color w:val="auto"/>
              </w:rPr>
            </w:pPr>
            <w:r>
              <w:rPr>
                <w:rFonts w:ascii="Arial" w:cs="Arial" w:eastAsia="Arial" w:hAnsi="Arial"/>
                <w:sz w:val="11"/>
                <w:szCs w:val="11"/>
                <w:b w:val="1"/>
                <w:bCs w:val="1"/>
                <w:color w:val="auto"/>
              </w:rPr>
              <w:t>Building Solutions</w:t>
            </w:r>
          </w:p>
        </w:tc>
      </w:tr>
      <w:tr>
        <w:trPr>
          <w:trHeight w:val="503"/>
        </w:trPr>
        <w:tc>
          <w:tcPr>
            <w:tcW w:w="6880" w:type="dxa"/>
            <w:vAlign w:val="bottom"/>
          </w:tcPr>
          <w:p>
            <w:pPr>
              <w:spacing w:after="0"/>
              <w:rPr>
                <w:sz w:val="20"/>
                <w:szCs w:val="20"/>
                <w:color w:val="auto"/>
              </w:rPr>
            </w:pPr>
            <w:r>
              <w:rPr>
                <w:rFonts w:ascii="Arial" w:cs="Arial" w:eastAsia="Arial" w:hAnsi="Arial"/>
                <w:sz w:val="12"/>
                <w:szCs w:val="12"/>
                <w:b w:val="1"/>
                <w:bCs w:val="1"/>
                <w:color w:val="D7282F"/>
              </w:rPr>
              <w:t xml:space="preserve">5  </w:t>
            </w:r>
            <w:r>
              <w:rPr>
                <w:rFonts w:ascii="Arial" w:cs="Arial" w:eastAsia="Arial" w:hAnsi="Arial"/>
                <w:sz w:val="9"/>
                <w:szCs w:val="9"/>
                <w:color w:val="000000"/>
              </w:rPr>
              <w:t>Honeywell International Inc.</w:t>
            </w:r>
          </w:p>
        </w:tc>
        <w:tc>
          <w:tcPr>
            <w:tcW w:w="4420" w:type="dxa"/>
            <w:vAlign w:val="bottom"/>
          </w:tcPr>
          <w:p>
            <w:pPr>
              <w:spacing w:after="0"/>
              <w:rPr>
                <w:sz w:val="24"/>
                <w:szCs w:val="24"/>
                <w:color w:val="auto"/>
              </w:rPr>
            </w:pPr>
          </w:p>
        </w:tc>
      </w:tr>
      <w:tr>
        <w:trPr>
          <w:trHeight w:val="136"/>
        </w:trPr>
        <w:tc>
          <w:tcPr>
            <w:tcW w:w="6880" w:type="dxa"/>
            <w:vAlign w:val="bottom"/>
            <w:tcBorders>
              <w:bottom w:val="single" w:sz="8" w:color="9A9A9A"/>
            </w:tcBorders>
          </w:tcPr>
          <w:p>
            <w:pPr>
              <w:spacing w:after="0"/>
              <w:rPr>
                <w:sz w:val="11"/>
                <w:szCs w:val="11"/>
                <w:color w:val="auto"/>
              </w:rPr>
            </w:pPr>
          </w:p>
        </w:tc>
        <w:tc>
          <w:tcPr>
            <w:tcW w:w="44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27" w:right="299" w:bottom="1440" w:gutter="0" w:footer="0" w:header="0"/>
        </w:sectPr>
      </w:pPr>
    </w:p>
    <w:bookmarkStart w:id="7" w:name="page8"/>
    <w:bookmarkEnd w:id="7"/>
    <w:p>
      <w:pPr>
        <w:spacing w:after="0"/>
        <w:tabs>
          <w:tab w:leader="none" w:pos="1040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PERFORMANCE MATERIALS AND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6035675</wp:posOffset>
            </wp:positionH>
            <wp:positionV relativeFrom="paragraph">
              <wp:posOffset>-119380</wp:posOffset>
            </wp:positionV>
            <wp:extent cx="1131570" cy="1177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31570" cy="1177290"/>
                    </a:xfrm>
                    <a:prstGeom prst="rect">
                      <a:avLst/>
                    </a:prstGeom>
                    <a:noFill/>
                  </pic:spPr>
                </pic:pic>
              </a:graphicData>
            </a:graphic>
          </wp:anchor>
        </w:drawing>
      </w:r>
    </w:p>
    <w:p>
      <w:pPr>
        <w:spacing w:after="0" w:line="52" w:lineRule="exact"/>
        <w:rPr>
          <w:sz w:val="20"/>
          <w:szCs w:val="20"/>
          <w:color w:val="auto"/>
        </w:rPr>
      </w:pPr>
    </w:p>
    <w:p>
      <w:pPr>
        <w:jc w:val="both"/>
        <w:ind w:right="3500"/>
        <w:spacing w:after="0" w:line="228" w:lineRule="auto"/>
        <w:rPr>
          <w:sz w:val="20"/>
          <w:szCs w:val="20"/>
          <w:color w:val="auto"/>
        </w:rPr>
      </w:pPr>
      <w:r>
        <w:rPr>
          <w:rFonts w:ascii="Arial" w:cs="Arial" w:eastAsia="Arial" w:hAnsi="Arial"/>
          <w:sz w:val="11"/>
          <w:szCs w:val="11"/>
          <w:color w:val="auto"/>
        </w:rPr>
        <w:t>Performance Materials and Technologies is a leading global provider in developing and manufacturing high-quality performance chemicals and materials, process technologies, and automation solutions. The reportable business segment is comprised of Process Solutions, UOP, and Advanced Materials. Process Solutions provides automation control, instrumentation, advanced software, and related services for the oil and gas, refining, pulp and paper, industrial power generation, chemicals and petrochemicals, biofuels, life sciences, and metals, minerals, and mining industries. Our smart energy products enable utilities and distribution companies to deploy advanced capabilities to improve operations, reliability, and environmental sustainability. UOP provides process technology, products, including catalysts and adsorbents, equipment, and consulting services that enable customers to efficiently produce gasoline, diesel, jet fuel, petrochemicals, and renewable fuels for the petroleum refining, gas processing, petrochemical, and other industries. Advanced Materials manufactures a wide variety of high-performance products, including materials used to manufacture end products such as bullet-resistant armor, nylon, computer chips, and pharmaceutical packaging, and provides reduced and low global warming potential materials based on hydrofluoro-olefin technology. In the industrial environment, our Honeywell Forge solutions enable integration and connectivity to provide a holistic view of operations and turn data into clear actions to maximize productivity and efficiency. Our Honeywell Forge's cybersecurity capabilities help identify risks and act on cyber-related incidents, together enabling improved operations and protecting processes, people, and assets.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2023 Full-year revenue of $11,506 million</w:t>
      </w:r>
    </w:p>
    <w:p>
      <w:pPr>
        <w:spacing w:after="0" w:line="21" w:lineRule="exact"/>
        <w:rPr>
          <w:sz w:val="20"/>
          <w:szCs w:val="20"/>
          <w:color w:val="auto"/>
        </w:rPr>
      </w:pPr>
    </w:p>
    <w:p>
      <w:pPr>
        <w:spacing w:after="0"/>
        <w:rPr>
          <w:sz w:val="20"/>
          <w:szCs w:val="20"/>
          <w:color w:val="auto"/>
        </w:rPr>
      </w:pPr>
      <w:r>
        <w:rPr>
          <w:rFonts w:ascii="Arial" w:cs="Arial" w:eastAsia="Arial" w:hAnsi="Arial"/>
          <w:sz w:val="10"/>
          <w:szCs w:val="10"/>
          <w:color w:val="auto"/>
        </w:rPr>
        <w:t>2023 Full-year revenue by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4784090</wp:posOffset>
            </wp:positionH>
            <wp:positionV relativeFrom="paragraph">
              <wp:posOffset>10160</wp:posOffset>
            </wp:positionV>
            <wp:extent cx="5715" cy="1143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15" cy="114300"/>
                    </a:xfrm>
                    <a:prstGeom prst="rect">
                      <a:avLst/>
                    </a:prstGeom>
                    <a:noFill/>
                  </pic:spPr>
                </pic:pic>
              </a:graphicData>
            </a:graphic>
          </wp:anchor>
        </w:drawing>
        <w:drawing>
          <wp:anchor simplePos="0" relativeHeight="251657728" behindDoc="1" locked="0" layoutInCell="0" allowOverlap="1">
            <wp:simplePos x="0" y="0"/>
            <wp:positionH relativeFrom="column">
              <wp:posOffset>1612265</wp:posOffset>
            </wp:positionH>
            <wp:positionV relativeFrom="paragraph">
              <wp:posOffset>10160</wp:posOffset>
            </wp:positionV>
            <wp:extent cx="5715" cy="1143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15" cy="114300"/>
                    </a:xfrm>
                    <a:prstGeom prst="rect">
                      <a:avLst/>
                    </a:prstGeom>
                    <a:noFill/>
                  </pic:spPr>
                </pic:pic>
              </a:graphicData>
            </a:graphic>
          </wp:anchor>
        </w:drawing>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560" w:type="dxa"/>
            <w:vAlign w:val="bottom"/>
            <w:tcBorders>
              <w:right w:val="single" w:sz="8" w:color="auto"/>
            </w:tcBorders>
            <w:shd w:val="clear" w:color="auto" w:fill="D7282F"/>
          </w:tcPr>
          <w:p>
            <w:pPr>
              <w:spacing w:after="0"/>
              <w:rPr>
                <w:sz w:val="14"/>
                <w:szCs w:val="14"/>
                <w:color w:val="auto"/>
              </w:rPr>
            </w:pPr>
          </w:p>
        </w:tc>
        <w:tc>
          <w:tcPr>
            <w:tcW w:w="5000" w:type="dxa"/>
            <w:vAlign w:val="bottom"/>
            <w:tcBorders>
              <w:right w:val="single" w:sz="8" w:color="6D6D6D"/>
            </w:tcBorders>
            <w:shd w:val="clear" w:color="auto" w:fill="000000"/>
          </w:tcPr>
          <w:p>
            <w:pPr>
              <w:spacing w:after="0"/>
              <w:rPr>
                <w:sz w:val="14"/>
                <w:szCs w:val="14"/>
                <w:color w:val="auto"/>
              </w:rPr>
            </w:pPr>
          </w:p>
        </w:tc>
        <w:tc>
          <w:tcPr>
            <w:tcW w:w="3740" w:type="dxa"/>
            <w:vAlign w:val="bottom"/>
            <w:shd w:val="clear" w:color="auto" w:fill="6D6D6D"/>
          </w:tcPr>
          <w:p>
            <w:pPr>
              <w:spacing w:after="0"/>
              <w:rPr>
                <w:sz w:val="14"/>
                <w:szCs w:val="14"/>
                <w:color w:val="auto"/>
              </w:rPr>
            </w:pPr>
          </w:p>
        </w:tc>
      </w:tr>
      <w:tr>
        <w:trPr>
          <w:trHeight w:val="144"/>
        </w:trPr>
        <w:tc>
          <w:tcPr>
            <w:tcW w:w="2560" w:type="dxa"/>
            <w:vAlign w:val="bottom"/>
            <w:tcBorders>
              <w:right w:val="single" w:sz="8" w:color="939598"/>
            </w:tcBorders>
          </w:tcPr>
          <w:p>
            <w:pPr>
              <w:spacing w:after="0"/>
              <w:rPr>
                <w:sz w:val="20"/>
                <w:szCs w:val="20"/>
                <w:color w:val="auto"/>
              </w:rPr>
            </w:pPr>
            <w:r>
              <w:rPr>
                <w:rFonts w:ascii="Arial" w:cs="Arial" w:eastAsia="Arial" w:hAnsi="Arial"/>
                <w:sz w:val="11"/>
                <w:szCs w:val="11"/>
                <w:b w:val="1"/>
                <w:bCs w:val="1"/>
                <w:color w:val="auto"/>
              </w:rPr>
              <w:t>$2,586 million</w:t>
            </w:r>
          </w:p>
        </w:tc>
        <w:tc>
          <w:tcPr>
            <w:tcW w:w="5000" w:type="dxa"/>
            <w:vAlign w:val="bottom"/>
            <w:tcBorders>
              <w:right w:val="single" w:sz="8" w:color="939598"/>
            </w:tcBorders>
          </w:tcPr>
          <w:p>
            <w:pPr>
              <w:ind w:left="60"/>
              <w:spacing w:after="0"/>
              <w:rPr>
                <w:sz w:val="20"/>
                <w:szCs w:val="20"/>
                <w:color w:val="auto"/>
              </w:rPr>
            </w:pPr>
            <w:r>
              <w:rPr>
                <w:rFonts w:ascii="Arial" w:cs="Arial" w:eastAsia="Arial" w:hAnsi="Arial"/>
                <w:sz w:val="11"/>
                <w:szCs w:val="11"/>
                <w:b w:val="1"/>
                <w:bCs w:val="1"/>
                <w:color w:val="auto"/>
              </w:rPr>
              <w:t>$5,267 million</w:t>
            </w:r>
          </w:p>
        </w:tc>
        <w:tc>
          <w:tcPr>
            <w:tcW w:w="3740" w:type="dxa"/>
            <w:vAlign w:val="bottom"/>
          </w:tcPr>
          <w:p>
            <w:pPr>
              <w:ind w:left="40"/>
              <w:spacing w:after="0"/>
              <w:rPr>
                <w:sz w:val="20"/>
                <w:szCs w:val="20"/>
                <w:color w:val="auto"/>
              </w:rPr>
            </w:pPr>
            <w:r>
              <w:rPr>
                <w:rFonts w:ascii="Arial" w:cs="Arial" w:eastAsia="Arial" w:hAnsi="Arial"/>
                <w:sz w:val="11"/>
                <w:szCs w:val="11"/>
                <w:b w:val="1"/>
                <w:bCs w:val="1"/>
                <w:color w:val="auto"/>
              </w:rPr>
              <w:t>$3,653 million</w:t>
            </w:r>
          </w:p>
        </w:tc>
      </w:tr>
      <w:tr>
        <w:trPr>
          <w:trHeight w:val="144"/>
        </w:trPr>
        <w:tc>
          <w:tcPr>
            <w:tcW w:w="2560" w:type="dxa"/>
            <w:vAlign w:val="bottom"/>
            <w:tcBorders>
              <w:right w:val="single" w:sz="8" w:color="939598"/>
            </w:tcBorders>
          </w:tcPr>
          <w:p>
            <w:pPr>
              <w:spacing w:after="0"/>
              <w:rPr>
                <w:sz w:val="20"/>
                <w:szCs w:val="20"/>
                <w:color w:val="auto"/>
              </w:rPr>
            </w:pPr>
            <w:r>
              <w:rPr>
                <w:rFonts w:ascii="Arial" w:cs="Arial" w:eastAsia="Arial" w:hAnsi="Arial"/>
                <w:sz w:val="11"/>
                <w:szCs w:val="11"/>
                <w:b w:val="1"/>
                <w:bCs w:val="1"/>
                <w:color w:val="D7282F"/>
              </w:rPr>
              <w:t>UOP</w:t>
            </w:r>
          </w:p>
        </w:tc>
        <w:tc>
          <w:tcPr>
            <w:tcW w:w="5000" w:type="dxa"/>
            <w:vAlign w:val="bottom"/>
            <w:tcBorders>
              <w:right w:val="single" w:sz="8" w:color="939598"/>
            </w:tcBorders>
          </w:tcPr>
          <w:p>
            <w:pPr>
              <w:ind w:left="60"/>
              <w:spacing w:after="0"/>
              <w:rPr>
                <w:sz w:val="20"/>
                <w:szCs w:val="20"/>
                <w:color w:val="auto"/>
              </w:rPr>
            </w:pPr>
            <w:r>
              <w:rPr>
                <w:rFonts w:ascii="Arial" w:cs="Arial" w:eastAsia="Arial" w:hAnsi="Arial"/>
                <w:sz w:val="11"/>
                <w:szCs w:val="11"/>
                <w:b w:val="1"/>
                <w:bCs w:val="1"/>
                <w:color w:val="auto"/>
              </w:rPr>
              <w:t>Process Solutions</w:t>
            </w:r>
          </w:p>
        </w:tc>
        <w:tc>
          <w:tcPr>
            <w:tcW w:w="3740" w:type="dxa"/>
            <w:vAlign w:val="bottom"/>
          </w:tcPr>
          <w:p>
            <w:pPr>
              <w:ind w:left="40"/>
              <w:spacing w:after="0"/>
              <w:rPr>
                <w:sz w:val="20"/>
                <w:szCs w:val="20"/>
                <w:color w:val="auto"/>
              </w:rPr>
            </w:pPr>
            <w:r>
              <w:rPr>
                <w:rFonts w:ascii="Arial" w:cs="Arial" w:eastAsia="Arial" w:hAnsi="Arial"/>
                <w:sz w:val="11"/>
                <w:szCs w:val="11"/>
                <w:b w:val="1"/>
                <w:bCs w:val="1"/>
                <w:color w:val="616161"/>
              </w:rPr>
              <w:t>Advanced Materials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6035675</wp:posOffset>
            </wp:positionH>
            <wp:positionV relativeFrom="paragraph">
              <wp:posOffset>131445</wp:posOffset>
            </wp:positionV>
            <wp:extent cx="1131570" cy="1177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31570" cy="11772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SAFETY AND PRODUCTIVITY SOLUTIONS</w:t>
      </w:r>
    </w:p>
    <w:p>
      <w:pPr>
        <w:spacing w:after="0" w:line="72" w:lineRule="exact"/>
        <w:rPr>
          <w:sz w:val="20"/>
          <w:szCs w:val="20"/>
          <w:color w:val="auto"/>
        </w:rPr>
      </w:pPr>
    </w:p>
    <w:p>
      <w:pPr>
        <w:jc w:val="both"/>
        <w:ind w:right="3500"/>
        <w:spacing w:after="0" w:line="231" w:lineRule="auto"/>
        <w:rPr>
          <w:sz w:val="20"/>
          <w:szCs w:val="20"/>
          <w:color w:val="auto"/>
        </w:rPr>
      </w:pPr>
      <w:r>
        <w:rPr>
          <w:rFonts w:ascii="Arial" w:cs="Arial" w:eastAsia="Arial" w:hAnsi="Arial"/>
          <w:sz w:val="11"/>
          <w:szCs w:val="11"/>
          <w:color w:val="auto"/>
        </w:rPr>
        <w:t>Safety and Productivity Solutions is a leading global provider of products and software that improve productivity, workplace safety, and asset performance to customers around the globe. Sensing and Safety Technologies products include personal protective equipment (PPE), apparel, gear, and footwear; gas detection technology; custom-engineered sensors, switches, and controls for sensing and productivity solutions; and cloud-based notification and emergency messaging. Productivity Solutions and Services products and services include mobile devices and software for computing, data collection, and thermal printing; and software-based data and asset management productivity solutions. Warehouse and Workflow Solutions products and services include system design and simulation, automation solutions, performance optimization software, and lifecycle services to enable accuracy, productivity, and predictability of warehouse operations. Our Honeywell Forge solutions digitally automate processes to improve efficiency while reducing downtime and safety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2023 Full-year revenue of $5,489 million</w:t>
      </w:r>
    </w:p>
    <w:p>
      <w:pPr>
        <w:spacing w:after="0" w:line="21" w:lineRule="exact"/>
        <w:rPr>
          <w:sz w:val="20"/>
          <w:szCs w:val="20"/>
          <w:color w:val="auto"/>
        </w:rPr>
      </w:pPr>
    </w:p>
    <w:p>
      <w:pPr>
        <w:spacing w:after="0"/>
        <w:rPr>
          <w:sz w:val="20"/>
          <w:szCs w:val="20"/>
          <w:color w:val="auto"/>
        </w:rPr>
      </w:pPr>
      <w:r>
        <w:rPr>
          <w:rFonts w:ascii="Arial" w:cs="Arial" w:eastAsia="Arial" w:hAnsi="Arial"/>
          <w:sz w:val="10"/>
          <w:szCs w:val="10"/>
          <w:color w:val="auto"/>
        </w:rPr>
        <w:t>2023 Full-year revenue by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4766945</wp:posOffset>
            </wp:positionH>
            <wp:positionV relativeFrom="paragraph">
              <wp:posOffset>10160</wp:posOffset>
            </wp:positionV>
            <wp:extent cx="5715" cy="1143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15" cy="11430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10160</wp:posOffset>
            </wp:positionV>
            <wp:extent cx="5715" cy="1143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15" cy="114300"/>
                    </a:xfrm>
                    <a:prstGeom prst="rect">
                      <a:avLst/>
                    </a:prstGeom>
                    <a:noFill/>
                  </pic:spPr>
                </pic:pic>
              </a:graphicData>
            </a:graphic>
          </wp:anchor>
        </w:drawing>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860" w:type="dxa"/>
            <w:vAlign w:val="bottom"/>
            <w:tcBorders>
              <w:right w:val="single" w:sz="8" w:color="auto"/>
            </w:tcBorders>
            <w:shd w:val="clear" w:color="auto" w:fill="D7282F"/>
          </w:tcPr>
          <w:p>
            <w:pPr>
              <w:spacing w:after="0"/>
              <w:rPr>
                <w:sz w:val="14"/>
                <w:szCs w:val="14"/>
                <w:color w:val="auto"/>
              </w:rPr>
            </w:pPr>
          </w:p>
        </w:tc>
        <w:tc>
          <w:tcPr>
            <w:tcW w:w="2660" w:type="dxa"/>
            <w:vAlign w:val="bottom"/>
            <w:tcBorders>
              <w:right w:val="single" w:sz="8" w:color="6D6D6D"/>
            </w:tcBorders>
            <w:shd w:val="clear" w:color="auto" w:fill="000000"/>
          </w:tcPr>
          <w:p>
            <w:pPr>
              <w:spacing w:after="0"/>
              <w:rPr>
                <w:sz w:val="14"/>
                <w:szCs w:val="14"/>
                <w:color w:val="auto"/>
              </w:rPr>
            </w:pPr>
          </w:p>
        </w:tc>
        <w:tc>
          <w:tcPr>
            <w:tcW w:w="3780" w:type="dxa"/>
            <w:vAlign w:val="bottom"/>
            <w:shd w:val="clear" w:color="auto" w:fill="6D6D6D"/>
          </w:tcPr>
          <w:p>
            <w:pPr>
              <w:spacing w:after="0"/>
              <w:rPr>
                <w:sz w:val="14"/>
                <w:szCs w:val="14"/>
                <w:color w:val="auto"/>
              </w:rPr>
            </w:pPr>
          </w:p>
        </w:tc>
      </w:tr>
      <w:tr>
        <w:trPr>
          <w:trHeight w:val="144"/>
        </w:trPr>
        <w:tc>
          <w:tcPr>
            <w:tcW w:w="4860" w:type="dxa"/>
            <w:vAlign w:val="bottom"/>
            <w:tcBorders>
              <w:right w:val="single" w:sz="8" w:color="939598"/>
            </w:tcBorders>
          </w:tcPr>
          <w:p>
            <w:pPr>
              <w:spacing w:after="0"/>
              <w:rPr>
                <w:sz w:val="20"/>
                <w:szCs w:val="20"/>
                <w:color w:val="auto"/>
              </w:rPr>
            </w:pPr>
            <w:r>
              <w:rPr>
                <w:rFonts w:ascii="Arial" w:cs="Arial" w:eastAsia="Arial" w:hAnsi="Arial"/>
                <w:sz w:val="11"/>
                <w:szCs w:val="11"/>
                <w:b w:val="1"/>
                <w:bCs w:val="1"/>
                <w:color w:val="auto"/>
              </w:rPr>
              <w:t>$2,733 million</w:t>
            </w:r>
          </w:p>
        </w:tc>
        <w:tc>
          <w:tcPr>
            <w:tcW w:w="2660" w:type="dxa"/>
            <w:vAlign w:val="bottom"/>
            <w:tcBorders>
              <w:right w:val="single" w:sz="8" w:color="939598"/>
            </w:tcBorders>
          </w:tcPr>
          <w:p>
            <w:pPr>
              <w:ind w:left="60"/>
              <w:spacing w:after="0"/>
              <w:rPr>
                <w:sz w:val="20"/>
                <w:szCs w:val="20"/>
                <w:color w:val="auto"/>
              </w:rPr>
            </w:pPr>
            <w:r>
              <w:rPr>
                <w:rFonts w:ascii="Arial" w:cs="Arial" w:eastAsia="Arial" w:hAnsi="Arial"/>
                <w:sz w:val="11"/>
                <w:szCs w:val="11"/>
                <w:b w:val="1"/>
                <w:bCs w:val="1"/>
                <w:color w:val="auto"/>
              </w:rPr>
              <w:t>$1,313 million</w:t>
            </w:r>
          </w:p>
        </w:tc>
        <w:tc>
          <w:tcPr>
            <w:tcW w:w="3780" w:type="dxa"/>
            <w:vAlign w:val="bottom"/>
          </w:tcPr>
          <w:p>
            <w:pPr>
              <w:ind w:left="60"/>
              <w:spacing w:after="0"/>
              <w:rPr>
                <w:sz w:val="20"/>
                <w:szCs w:val="20"/>
                <w:color w:val="auto"/>
              </w:rPr>
            </w:pPr>
            <w:r>
              <w:rPr>
                <w:rFonts w:ascii="Arial" w:cs="Arial" w:eastAsia="Arial" w:hAnsi="Arial"/>
                <w:sz w:val="11"/>
                <w:szCs w:val="11"/>
                <w:b w:val="1"/>
                <w:bCs w:val="1"/>
                <w:color w:val="auto"/>
              </w:rPr>
              <w:t>$1,443 million</w:t>
            </w:r>
          </w:p>
        </w:tc>
      </w:tr>
      <w:tr>
        <w:trPr>
          <w:trHeight w:val="144"/>
        </w:trPr>
        <w:tc>
          <w:tcPr>
            <w:tcW w:w="4860" w:type="dxa"/>
            <w:vAlign w:val="bottom"/>
            <w:tcBorders>
              <w:right w:val="single" w:sz="8" w:color="939598"/>
            </w:tcBorders>
          </w:tcPr>
          <w:p>
            <w:pPr>
              <w:spacing w:after="0"/>
              <w:rPr>
                <w:sz w:val="20"/>
                <w:szCs w:val="20"/>
                <w:color w:val="auto"/>
              </w:rPr>
            </w:pPr>
            <w:r>
              <w:rPr>
                <w:rFonts w:ascii="Arial" w:cs="Arial" w:eastAsia="Arial" w:hAnsi="Arial"/>
                <w:sz w:val="11"/>
                <w:szCs w:val="11"/>
                <w:b w:val="1"/>
                <w:bCs w:val="1"/>
                <w:color w:val="D7282F"/>
              </w:rPr>
              <w:t>Sensing and Safety Technologies</w:t>
            </w:r>
          </w:p>
        </w:tc>
        <w:tc>
          <w:tcPr>
            <w:tcW w:w="2660" w:type="dxa"/>
            <w:vAlign w:val="bottom"/>
            <w:tcBorders>
              <w:right w:val="single" w:sz="8" w:color="939598"/>
            </w:tcBorders>
          </w:tcPr>
          <w:p>
            <w:pPr>
              <w:ind w:left="60"/>
              <w:spacing w:after="0"/>
              <w:rPr>
                <w:sz w:val="20"/>
                <w:szCs w:val="20"/>
                <w:color w:val="auto"/>
              </w:rPr>
            </w:pPr>
            <w:r>
              <w:rPr>
                <w:rFonts w:ascii="Arial" w:cs="Arial" w:eastAsia="Arial" w:hAnsi="Arial"/>
                <w:sz w:val="11"/>
                <w:szCs w:val="11"/>
                <w:b w:val="1"/>
                <w:bCs w:val="1"/>
                <w:color w:val="auto"/>
              </w:rPr>
              <w:t>Productivity Solutions and Services</w:t>
            </w:r>
          </w:p>
        </w:tc>
        <w:tc>
          <w:tcPr>
            <w:tcW w:w="3780" w:type="dxa"/>
            <w:vAlign w:val="bottom"/>
          </w:tcPr>
          <w:p>
            <w:pPr>
              <w:ind w:left="60"/>
              <w:spacing w:after="0"/>
              <w:rPr>
                <w:sz w:val="20"/>
                <w:szCs w:val="20"/>
                <w:color w:val="auto"/>
              </w:rPr>
            </w:pPr>
            <w:r>
              <w:rPr>
                <w:rFonts w:ascii="Arial" w:cs="Arial" w:eastAsia="Arial" w:hAnsi="Arial"/>
                <w:sz w:val="11"/>
                <w:szCs w:val="11"/>
                <w:b w:val="1"/>
                <w:bCs w:val="1"/>
                <w:color w:val="616161"/>
              </w:rPr>
              <w:t>Warehouse and Workflow Solutions</w:t>
            </w:r>
          </w:p>
        </w:tc>
      </w:tr>
    </w:tbl>
    <w:p>
      <w:pPr>
        <w:spacing w:after="0" w:line="338" w:lineRule="exact"/>
        <w:rPr>
          <w:sz w:val="20"/>
          <w:szCs w:val="20"/>
          <w:color w:val="auto"/>
        </w:rPr>
      </w:pPr>
    </w:p>
    <w:p>
      <w:pPr>
        <w:spacing w:after="0"/>
        <w:tabs>
          <w:tab w:leader="none" w:pos="180" w:val="left"/>
        </w:tabs>
        <w:rPr>
          <w:sz w:val="20"/>
          <w:szCs w:val="20"/>
          <w:color w:val="auto"/>
        </w:rPr>
      </w:pPr>
      <w:r>
        <w:rPr>
          <w:rFonts w:ascii="Arial" w:cs="Arial" w:eastAsia="Arial" w:hAnsi="Arial"/>
          <w:sz w:val="12"/>
          <w:szCs w:val="12"/>
          <w:b w:val="1"/>
          <w:bCs w:val="1"/>
          <w:color w:val="D7282F"/>
        </w:rPr>
        <w:t>6</w:t>
      </w:r>
      <w:r>
        <w:rPr>
          <w:sz w:val="20"/>
          <w:szCs w:val="20"/>
          <w:color w:val="auto"/>
        </w:rPr>
        <w:tab/>
      </w:r>
      <w:r>
        <w:rPr>
          <w:rFonts w:ascii="Arial" w:cs="Arial" w:eastAsia="Arial" w:hAnsi="Arial"/>
          <w:sz w:val="8"/>
          <w:szCs w:val="8"/>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90805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27" w:right="299" w:bottom="1440" w:gutter="0" w:footer="0" w:header="0"/>
        </w:sectPr>
      </w:pPr>
    </w:p>
    <w:bookmarkStart w:id="8" w:name="page9"/>
    <w:bookmarkEnd w:id="8"/>
    <w:p>
      <w:pPr>
        <w:spacing w:after="0"/>
        <w:tabs>
          <w:tab w:leader="none" w:pos="1040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color w:val="D7282F"/>
        </w:rPr>
        <w:t>COMPETITION</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We are subject to competition in substantially all product and service areas. Some of our key competitors include but are not limited to:</w:t>
      </w:r>
    </w:p>
    <w:p>
      <w:pPr>
        <w:spacing w:after="0" w:line="78"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1940" w:type="dxa"/>
            <w:vAlign w:val="bottom"/>
            <w:tcBorders>
              <w:top w:val="single" w:sz="8" w:color="D7282F"/>
            </w:tcBorders>
            <w:gridSpan w:val="2"/>
            <w:shd w:val="clear" w:color="auto" w:fill="E7E7E8"/>
          </w:tcPr>
          <w:p>
            <w:pPr>
              <w:ind w:left="60"/>
              <w:spacing w:after="0"/>
              <w:rPr>
                <w:sz w:val="20"/>
                <w:szCs w:val="20"/>
                <w:color w:val="auto"/>
              </w:rPr>
            </w:pPr>
            <w:r>
              <w:rPr>
                <w:rFonts w:ascii="Arial" w:cs="Arial" w:eastAsia="Arial" w:hAnsi="Arial"/>
                <w:sz w:val="12"/>
                <w:szCs w:val="12"/>
                <w:b w:val="1"/>
                <w:bCs w:val="1"/>
                <w:color w:val="auto"/>
              </w:rPr>
              <w:t>AEROSPACE</w:t>
            </w:r>
          </w:p>
        </w:tc>
        <w:tc>
          <w:tcPr>
            <w:tcW w:w="920" w:type="dxa"/>
            <w:vAlign w:val="bottom"/>
            <w:tcBorders>
              <w:top w:val="single" w:sz="8" w:color="D7282F"/>
            </w:tcBorders>
            <w:shd w:val="clear" w:color="auto" w:fill="E7E7E8"/>
          </w:tcPr>
          <w:p>
            <w:pPr>
              <w:spacing w:after="0"/>
              <w:rPr>
                <w:sz w:val="20"/>
                <w:szCs w:val="20"/>
                <w:color w:val="auto"/>
              </w:rPr>
            </w:pPr>
          </w:p>
        </w:tc>
        <w:tc>
          <w:tcPr>
            <w:tcW w:w="2620" w:type="dxa"/>
            <w:vAlign w:val="bottom"/>
            <w:tcBorders>
              <w:top w:val="single" w:sz="8" w:color="D7282F"/>
              <w:right w:val="single" w:sz="8" w:color="D7282F"/>
            </w:tcBorders>
            <w:shd w:val="clear" w:color="auto" w:fill="E7E7E8"/>
          </w:tcPr>
          <w:p>
            <w:pPr>
              <w:spacing w:after="0"/>
              <w:rPr>
                <w:sz w:val="20"/>
                <w:szCs w:val="20"/>
                <w:color w:val="auto"/>
              </w:rPr>
            </w:pPr>
          </w:p>
        </w:tc>
        <w:tc>
          <w:tcPr>
            <w:tcW w:w="2660" w:type="dxa"/>
            <w:vAlign w:val="bottom"/>
            <w:tcBorders>
              <w:top w:val="single" w:sz="8" w:color="D7282F"/>
            </w:tcBorders>
            <w:gridSpan w:val="2"/>
            <w:shd w:val="clear" w:color="auto" w:fill="E7E7E8"/>
          </w:tcPr>
          <w:p>
            <w:pPr>
              <w:ind w:left="60"/>
              <w:spacing w:after="0"/>
              <w:rPr>
                <w:sz w:val="20"/>
                <w:szCs w:val="20"/>
                <w:color w:val="auto"/>
              </w:rPr>
            </w:pPr>
            <w:r>
              <w:rPr>
                <w:rFonts w:ascii="Arial" w:cs="Arial" w:eastAsia="Arial" w:hAnsi="Arial"/>
                <w:sz w:val="12"/>
                <w:szCs w:val="12"/>
                <w:b w:val="1"/>
                <w:bCs w:val="1"/>
                <w:color w:val="auto"/>
              </w:rPr>
              <w:t>HONEYWELL BUILDING TECHNOLOGIES</w:t>
            </w:r>
          </w:p>
        </w:tc>
        <w:tc>
          <w:tcPr>
            <w:tcW w:w="300" w:type="dxa"/>
            <w:vAlign w:val="bottom"/>
            <w:tcBorders>
              <w:top w:val="single" w:sz="8" w:color="D7282F"/>
            </w:tcBorders>
            <w:shd w:val="clear" w:color="auto" w:fill="E7E7E8"/>
          </w:tcPr>
          <w:p>
            <w:pPr>
              <w:spacing w:after="0"/>
              <w:rPr>
                <w:sz w:val="20"/>
                <w:szCs w:val="20"/>
                <w:color w:val="auto"/>
              </w:rPr>
            </w:pPr>
          </w:p>
        </w:tc>
        <w:tc>
          <w:tcPr>
            <w:tcW w:w="2680" w:type="dxa"/>
            <w:vAlign w:val="bottom"/>
            <w:tcBorders>
              <w:top w:val="single" w:sz="8" w:color="D7282F"/>
            </w:tcBorders>
            <w:shd w:val="clear" w:color="auto" w:fill="E7E7E8"/>
          </w:tcPr>
          <w:p>
            <w:pPr>
              <w:spacing w:after="0"/>
              <w:rPr>
                <w:sz w:val="20"/>
                <w:szCs w:val="20"/>
                <w:color w:val="auto"/>
              </w:rPr>
            </w:pPr>
          </w:p>
        </w:tc>
      </w:tr>
      <w:tr>
        <w:trPr>
          <w:trHeight w:val="215"/>
        </w:trPr>
        <w:tc>
          <w:tcPr>
            <w:tcW w:w="140" w:type="dxa"/>
            <w:vAlign w:val="bottom"/>
            <w:shd w:val="clear" w:color="auto" w:fill="E7E7E8"/>
          </w:tcPr>
          <w:p>
            <w:pPr>
              <w:ind w:left="60"/>
              <w:spacing w:after="0"/>
              <w:rPr>
                <w:sz w:val="20"/>
                <w:szCs w:val="20"/>
                <w:color w:val="auto"/>
              </w:rPr>
            </w:pPr>
            <w:r>
              <w:rPr>
                <w:rFonts w:ascii="Arial" w:cs="Arial" w:eastAsia="Arial" w:hAnsi="Arial"/>
                <w:sz w:val="11"/>
                <w:szCs w:val="11"/>
                <w:color w:val="D7282F"/>
              </w:rPr>
              <w:t>•</w:t>
            </w:r>
          </w:p>
        </w:tc>
        <w:tc>
          <w:tcPr>
            <w:tcW w:w="1800" w:type="dxa"/>
            <w:vAlign w:val="bottom"/>
            <w:shd w:val="clear" w:color="auto" w:fill="E7E7E8"/>
          </w:tcPr>
          <w:p>
            <w:pPr>
              <w:ind w:left="40"/>
              <w:spacing w:after="0"/>
              <w:rPr>
                <w:sz w:val="20"/>
                <w:szCs w:val="20"/>
                <w:color w:val="auto"/>
              </w:rPr>
            </w:pPr>
            <w:r>
              <w:rPr>
                <w:rFonts w:ascii="Arial" w:cs="Arial" w:eastAsia="Arial" w:hAnsi="Arial"/>
                <w:sz w:val="11"/>
                <w:szCs w:val="11"/>
                <w:color w:val="auto"/>
              </w:rPr>
              <w:t>Garmin</w:t>
            </w:r>
          </w:p>
        </w:tc>
        <w:tc>
          <w:tcPr>
            <w:tcW w:w="920" w:type="dxa"/>
            <w:vAlign w:val="bottom"/>
            <w:shd w:val="clear" w:color="auto" w:fill="E7E7E8"/>
          </w:tcPr>
          <w:p>
            <w:pPr>
              <w:ind w:left="840"/>
              <w:spacing w:after="0"/>
              <w:rPr>
                <w:sz w:val="20"/>
                <w:szCs w:val="20"/>
                <w:color w:val="auto"/>
              </w:rPr>
            </w:pPr>
            <w:r>
              <w:rPr>
                <w:rFonts w:ascii="Arial" w:cs="Arial" w:eastAsia="Arial" w:hAnsi="Arial"/>
                <w:sz w:val="11"/>
                <w:szCs w:val="11"/>
                <w:color w:val="D7282F"/>
              </w:rPr>
              <w:t>•</w:t>
            </w:r>
          </w:p>
        </w:tc>
        <w:tc>
          <w:tcPr>
            <w:tcW w:w="2620" w:type="dxa"/>
            <w:vAlign w:val="bottom"/>
            <w:tcBorders>
              <w:right w:val="single" w:sz="8" w:color="D7282F"/>
            </w:tcBorders>
            <w:shd w:val="clear" w:color="auto" w:fill="E7E7E8"/>
          </w:tcPr>
          <w:p>
            <w:pPr>
              <w:ind w:left="60"/>
              <w:spacing w:after="0"/>
              <w:rPr>
                <w:sz w:val="20"/>
                <w:szCs w:val="20"/>
                <w:color w:val="auto"/>
              </w:rPr>
            </w:pPr>
            <w:r>
              <w:rPr>
                <w:rFonts w:ascii="Arial" w:cs="Arial" w:eastAsia="Arial" w:hAnsi="Arial"/>
                <w:sz w:val="11"/>
                <w:szCs w:val="11"/>
                <w:color w:val="auto"/>
              </w:rPr>
              <w:t>RTX Corporation</w:t>
            </w:r>
          </w:p>
        </w:tc>
        <w:tc>
          <w:tcPr>
            <w:tcW w:w="140" w:type="dxa"/>
            <w:vAlign w:val="bottom"/>
            <w:shd w:val="clear" w:color="auto" w:fill="E7E7E8"/>
          </w:tcPr>
          <w:p>
            <w:pPr>
              <w:ind w:left="60"/>
              <w:spacing w:after="0"/>
              <w:rPr>
                <w:sz w:val="20"/>
                <w:szCs w:val="20"/>
                <w:color w:val="auto"/>
              </w:rPr>
            </w:pPr>
            <w:r>
              <w:rPr>
                <w:rFonts w:ascii="Arial" w:cs="Arial" w:eastAsia="Arial" w:hAnsi="Arial"/>
                <w:sz w:val="11"/>
                <w:szCs w:val="11"/>
                <w:color w:val="D7282F"/>
              </w:rPr>
              <w:t>•</w:t>
            </w:r>
          </w:p>
        </w:tc>
        <w:tc>
          <w:tcPr>
            <w:tcW w:w="2520" w:type="dxa"/>
            <w:vAlign w:val="bottom"/>
            <w:shd w:val="clear" w:color="auto" w:fill="E7E7E8"/>
          </w:tcPr>
          <w:p>
            <w:pPr>
              <w:ind w:left="40"/>
              <w:spacing w:after="0"/>
              <w:rPr>
                <w:sz w:val="20"/>
                <w:szCs w:val="20"/>
                <w:color w:val="auto"/>
              </w:rPr>
            </w:pPr>
            <w:r>
              <w:rPr>
                <w:rFonts w:ascii="Arial" w:cs="Arial" w:eastAsia="Arial" w:hAnsi="Arial"/>
                <w:sz w:val="11"/>
                <w:szCs w:val="11"/>
                <w:color w:val="auto"/>
              </w:rPr>
              <w:t>Carrier Global</w:t>
            </w:r>
          </w:p>
        </w:tc>
        <w:tc>
          <w:tcPr>
            <w:tcW w:w="300" w:type="dxa"/>
            <w:vAlign w:val="bottom"/>
            <w:shd w:val="clear" w:color="auto" w:fill="E7E7E8"/>
          </w:tcPr>
          <w:p>
            <w:pPr>
              <w:ind w:left="200"/>
              <w:spacing w:after="0"/>
              <w:rPr>
                <w:sz w:val="20"/>
                <w:szCs w:val="20"/>
                <w:color w:val="auto"/>
              </w:rPr>
            </w:pPr>
            <w:r>
              <w:rPr>
                <w:rFonts w:ascii="Arial" w:cs="Arial" w:eastAsia="Arial" w:hAnsi="Arial"/>
                <w:sz w:val="11"/>
                <w:szCs w:val="11"/>
                <w:color w:val="D7282F"/>
              </w:rPr>
              <w:t>•</w:t>
            </w:r>
          </w:p>
        </w:tc>
        <w:tc>
          <w:tcPr>
            <w:tcW w:w="2680" w:type="dxa"/>
            <w:vAlign w:val="bottom"/>
            <w:shd w:val="clear" w:color="auto" w:fill="E7E7E8"/>
          </w:tcPr>
          <w:p>
            <w:pPr>
              <w:ind w:left="40"/>
              <w:spacing w:after="0"/>
              <w:rPr>
                <w:sz w:val="20"/>
                <w:szCs w:val="20"/>
                <w:color w:val="auto"/>
              </w:rPr>
            </w:pPr>
            <w:r>
              <w:rPr>
                <w:rFonts w:ascii="Arial" w:cs="Arial" w:eastAsia="Arial" w:hAnsi="Arial"/>
                <w:sz w:val="11"/>
                <w:szCs w:val="11"/>
                <w:color w:val="auto"/>
              </w:rPr>
              <w:t>Schneider Electric</w:t>
            </w:r>
          </w:p>
        </w:tc>
      </w:tr>
      <w:tr>
        <w:trPr>
          <w:trHeight w:val="171"/>
        </w:trPr>
        <w:tc>
          <w:tcPr>
            <w:tcW w:w="140" w:type="dxa"/>
            <w:vAlign w:val="bottom"/>
            <w:shd w:val="clear" w:color="auto" w:fill="E7E7E8"/>
          </w:tcPr>
          <w:p>
            <w:pPr>
              <w:ind w:left="60"/>
              <w:spacing w:after="0"/>
              <w:rPr>
                <w:sz w:val="20"/>
                <w:szCs w:val="20"/>
                <w:color w:val="auto"/>
              </w:rPr>
            </w:pPr>
            <w:r>
              <w:rPr>
                <w:rFonts w:ascii="Arial" w:cs="Arial" w:eastAsia="Arial" w:hAnsi="Arial"/>
                <w:sz w:val="11"/>
                <w:szCs w:val="11"/>
                <w:color w:val="D7282F"/>
              </w:rPr>
              <w:t>•</w:t>
            </w:r>
          </w:p>
        </w:tc>
        <w:tc>
          <w:tcPr>
            <w:tcW w:w="1800" w:type="dxa"/>
            <w:vAlign w:val="bottom"/>
            <w:shd w:val="clear" w:color="auto" w:fill="E7E7E8"/>
          </w:tcPr>
          <w:p>
            <w:pPr>
              <w:ind w:left="40"/>
              <w:spacing w:after="0"/>
              <w:rPr>
                <w:sz w:val="20"/>
                <w:szCs w:val="20"/>
                <w:color w:val="auto"/>
              </w:rPr>
            </w:pPr>
            <w:r>
              <w:rPr>
                <w:rFonts w:ascii="Arial" w:cs="Arial" w:eastAsia="Arial" w:hAnsi="Arial"/>
                <w:sz w:val="11"/>
                <w:szCs w:val="11"/>
                <w:color w:val="auto"/>
              </w:rPr>
              <w:t>L3 Harris</w:t>
            </w:r>
          </w:p>
        </w:tc>
        <w:tc>
          <w:tcPr>
            <w:tcW w:w="920" w:type="dxa"/>
            <w:vAlign w:val="bottom"/>
            <w:shd w:val="clear" w:color="auto" w:fill="E7E7E8"/>
          </w:tcPr>
          <w:p>
            <w:pPr>
              <w:ind w:left="840"/>
              <w:spacing w:after="0"/>
              <w:rPr>
                <w:sz w:val="20"/>
                <w:szCs w:val="20"/>
                <w:color w:val="auto"/>
              </w:rPr>
            </w:pPr>
            <w:r>
              <w:rPr>
                <w:rFonts w:ascii="Arial" w:cs="Arial" w:eastAsia="Arial" w:hAnsi="Arial"/>
                <w:sz w:val="11"/>
                <w:szCs w:val="11"/>
                <w:color w:val="D7282F"/>
              </w:rPr>
              <w:t>•</w:t>
            </w:r>
          </w:p>
        </w:tc>
        <w:tc>
          <w:tcPr>
            <w:tcW w:w="2620" w:type="dxa"/>
            <w:vAlign w:val="bottom"/>
            <w:tcBorders>
              <w:right w:val="single" w:sz="8" w:color="D7282F"/>
            </w:tcBorders>
            <w:shd w:val="clear" w:color="auto" w:fill="E7E7E8"/>
          </w:tcPr>
          <w:p>
            <w:pPr>
              <w:ind w:left="60"/>
              <w:spacing w:after="0"/>
              <w:rPr>
                <w:sz w:val="20"/>
                <w:szCs w:val="20"/>
                <w:color w:val="auto"/>
              </w:rPr>
            </w:pPr>
            <w:r>
              <w:rPr>
                <w:rFonts w:ascii="Arial" w:cs="Arial" w:eastAsia="Arial" w:hAnsi="Arial"/>
                <w:sz w:val="11"/>
                <w:szCs w:val="11"/>
                <w:color w:val="auto"/>
              </w:rPr>
              <w:t>Safran</w:t>
            </w:r>
          </w:p>
        </w:tc>
        <w:tc>
          <w:tcPr>
            <w:tcW w:w="140" w:type="dxa"/>
            <w:vAlign w:val="bottom"/>
            <w:shd w:val="clear" w:color="auto" w:fill="E7E7E8"/>
          </w:tcPr>
          <w:p>
            <w:pPr>
              <w:ind w:left="60"/>
              <w:spacing w:after="0"/>
              <w:rPr>
                <w:sz w:val="20"/>
                <w:szCs w:val="20"/>
                <w:color w:val="auto"/>
              </w:rPr>
            </w:pPr>
            <w:r>
              <w:rPr>
                <w:rFonts w:ascii="Arial" w:cs="Arial" w:eastAsia="Arial" w:hAnsi="Arial"/>
                <w:sz w:val="11"/>
                <w:szCs w:val="11"/>
                <w:color w:val="D7282F"/>
              </w:rPr>
              <w:t>•</w:t>
            </w:r>
          </w:p>
        </w:tc>
        <w:tc>
          <w:tcPr>
            <w:tcW w:w="2520" w:type="dxa"/>
            <w:vAlign w:val="bottom"/>
            <w:shd w:val="clear" w:color="auto" w:fill="E7E7E8"/>
          </w:tcPr>
          <w:p>
            <w:pPr>
              <w:ind w:left="40"/>
              <w:spacing w:after="0"/>
              <w:rPr>
                <w:sz w:val="20"/>
                <w:szCs w:val="20"/>
                <w:color w:val="auto"/>
              </w:rPr>
            </w:pPr>
            <w:r>
              <w:rPr>
                <w:rFonts w:ascii="Arial" w:cs="Arial" w:eastAsia="Arial" w:hAnsi="Arial"/>
                <w:sz w:val="11"/>
                <w:szCs w:val="11"/>
                <w:color w:val="auto"/>
              </w:rPr>
              <w:t>Johnson Controls</w:t>
            </w:r>
          </w:p>
        </w:tc>
        <w:tc>
          <w:tcPr>
            <w:tcW w:w="300" w:type="dxa"/>
            <w:vAlign w:val="bottom"/>
            <w:shd w:val="clear" w:color="auto" w:fill="E7E7E8"/>
          </w:tcPr>
          <w:p>
            <w:pPr>
              <w:ind w:left="200"/>
              <w:spacing w:after="0"/>
              <w:rPr>
                <w:sz w:val="20"/>
                <w:szCs w:val="20"/>
                <w:color w:val="auto"/>
              </w:rPr>
            </w:pPr>
            <w:r>
              <w:rPr>
                <w:rFonts w:ascii="Arial" w:cs="Arial" w:eastAsia="Arial" w:hAnsi="Arial"/>
                <w:sz w:val="11"/>
                <w:szCs w:val="11"/>
                <w:color w:val="D7282F"/>
              </w:rPr>
              <w:t>•</w:t>
            </w:r>
          </w:p>
        </w:tc>
        <w:tc>
          <w:tcPr>
            <w:tcW w:w="2680" w:type="dxa"/>
            <w:vAlign w:val="bottom"/>
            <w:shd w:val="clear" w:color="auto" w:fill="E7E7E8"/>
          </w:tcPr>
          <w:p>
            <w:pPr>
              <w:ind w:left="40"/>
              <w:spacing w:after="0"/>
              <w:rPr>
                <w:sz w:val="20"/>
                <w:szCs w:val="20"/>
                <w:color w:val="auto"/>
              </w:rPr>
            </w:pPr>
            <w:r>
              <w:rPr>
                <w:rFonts w:ascii="Arial" w:cs="Arial" w:eastAsia="Arial" w:hAnsi="Arial"/>
                <w:sz w:val="11"/>
                <w:szCs w:val="11"/>
                <w:color w:val="auto"/>
              </w:rPr>
              <w:t>Siemens</w:t>
            </w:r>
          </w:p>
        </w:tc>
      </w:tr>
      <w:tr>
        <w:trPr>
          <w:trHeight w:val="180"/>
        </w:trPr>
        <w:tc>
          <w:tcPr>
            <w:tcW w:w="140" w:type="dxa"/>
            <w:vAlign w:val="bottom"/>
            <w:shd w:val="clear" w:color="auto" w:fill="E7E7E8"/>
          </w:tcPr>
          <w:p>
            <w:pPr>
              <w:ind w:left="60"/>
              <w:spacing w:after="0"/>
              <w:rPr>
                <w:sz w:val="20"/>
                <w:szCs w:val="20"/>
                <w:color w:val="auto"/>
              </w:rPr>
            </w:pPr>
            <w:r>
              <w:rPr>
                <w:rFonts w:ascii="Arial" w:cs="Arial" w:eastAsia="Arial" w:hAnsi="Arial"/>
                <w:sz w:val="11"/>
                <w:szCs w:val="11"/>
                <w:color w:val="D7282F"/>
              </w:rPr>
              <w:t>•</w:t>
            </w:r>
          </w:p>
        </w:tc>
        <w:tc>
          <w:tcPr>
            <w:tcW w:w="1800" w:type="dxa"/>
            <w:vAlign w:val="bottom"/>
            <w:shd w:val="clear" w:color="auto" w:fill="E7E7E8"/>
          </w:tcPr>
          <w:p>
            <w:pPr>
              <w:ind w:left="40"/>
              <w:spacing w:after="0"/>
              <w:rPr>
                <w:sz w:val="20"/>
                <w:szCs w:val="20"/>
                <w:color w:val="auto"/>
              </w:rPr>
            </w:pPr>
            <w:r>
              <w:rPr>
                <w:rFonts w:ascii="Arial" w:cs="Arial" w:eastAsia="Arial" w:hAnsi="Arial"/>
                <w:sz w:val="11"/>
                <w:szCs w:val="11"/>
                <w:color w:val="auto"/>
              </w:rPr>
              <w:t>Northrop Grumman</w:t>
            </w:r>
          </w:p>
        </w:tc>
        <w:tc>
          <w:tcPr>
            <w:tcW w:w="920" w:type="dxa"/>
            <w:vAlign w:val="bottom"/>
            <w:shd w:val="clear" w:color="auto" w:fill="E7E7E8"/>
          </w:tcPr>
          <w:p>
            <w:pPr>
              <w:ind w:left="840"/>
              <w:spacing w:after="0"/>
              <w:rPr>
                <w:sz w:val="20"/>
                <w:szCs w:val="20"/>
                <w:color w:val="auto"/>
              </w:rPr>
            </w:pPr>
            <w:r>
              <w:rPr>
                <w:rFonts w:ascii="Arial" w:cs="Arial" w:eastAsia="Arial" w:hAnsi="Arial"/>
                <w:sz w:val="11"/>
                <w:szCs w:val="11"/>
                <w:color w:val="D7282F"/>
              </w:rPr>
              <w:t>•</w:t>
            </w:r>
          </w:p>
        </w:tc>
        <w:tc>
          <w:tcPr>
            <w:tcW w:w="2620" w:type="dxa"/>
            <w:vAlign w:val="bottom"/>
            <w:tcBorders>
              <w:right w:val="single" w:sz="8" w:color="D7282F"/>
            </w:tcBorders>
            <w:shd w:val="clear" w:color="auto" w:fill="E7E7E8"/>
          </w:tcPr>
          <w:p>
            <w:pPr>
              <w:ind w:left="60"/>
              <w:spacing w:after="0"/>
              <w:rPr>
                <w:sz w:val="20"/>
                <w:szCs w:val="20"/>
                <w:color w:val="auto"/>
              </w:rPr>
            </w:pPr>
            <w:r>
              <w:rPr>
                <w:rFonts w:ascii="Arial" w:cs="Arial" w:eastAsia="Arial" w:hAnsi="Arial"/>
                <w:sz w:val="11"/>
                <w:szCs w:val="11"/>
                <w:color w:val="auto"/>
              </w:rPr>
              <w:t>Thales</w:t>
            </w:r>
          </w:p>
        </w:tc>
        <w:tc>
          <w:tcPr>
            <w:tcW w:w="140" w:type="dxa"/>
            <w:vAlign w:val="bottom"/>
            <w:shd w:val="clear" w:color="auto" w:fill="E7E7E8"/>
          </w:tcPr>
          <w:p>
            <w:pPr>
              <w:spacing w:after="0"/>
              <w:rPr>
                <w:sz w:val="15"/>
                <w:szCs w:val="15"/>
                <w:color w:val="auto"/>
              </w:rPr>
            </w:pPr>
          </w:p>
        </w:tc>
        <w:tc>
          <w:tcPr>
            <w:tcW w:w="2520" w:type="dxa"/>
            <w:vAlign w:val="bottom"/>
            <w:shd w:val="clear" w:color="auto" w:fill="E7E7E8"/>
          </w:tcPr>
          <w:p>
            <w:pPr>
              <w:spacing w:after="0"/>
              <w:rPr>
                <w:sz w:val="15"/>
                <w:szCs w:val="15"/>
                <w:color w:val="auto"/>
              </w:rPr>
            </w:pPr>
          </w:p>
        </w:tc>
        <w:tc>
          <w:tcPr>
            <w:tcW w:w="300" w:type="dxa"/>
            <w:vAlign w:val="bottom"/>
            <w:shd w:val="clear" w:color="auto" w:fill="E7E7E8"/>
          </w:tcPr>
          <w:p>
            <w:pPr>
              <w:spacing w:after="0"/>
              <w:rPr>
                <w:sz w:val="15"/>
                <w:szCs w:val="15"/>
                <w:color w:val="auto"/>
              </w:rPr>
            </w:pPr>
          </w:p>
        </w:tc>
        <w:tc>
          <w:tcPr>
            <w:tcW w:w="2680" w:type="dxa"/>
            <w:vAlign w:val="bottom"/>
            <w:shd w:val="clear" w:color="auto" w:fill="E7E7E8"/>
          </w:tcPr>
          <w:p>
            <w:pPr>
              <w:spacing w:after="0"/>
              <w:rPr>
                <w:sz w:val="15"/>
                <w:szCs w:val="15"/>
                <w:color w:val="auto"/>
              </w:rPr>
            </w:pPr>
          </w:p>
        </w:tc>
      </w:tr>
      <w:tr>
        <w:trPr>
          <w:trHeight w:val="56"/>
        </w:trPr>
        <w:tc>
          <w:tcPr>
            <w:tcW w:w="140" w:type="dxa"/>
            <w:vAlign w:val="bottom"/>
            <w:shd w:val="clear" w:color="auto" w:fill="E7E7E8"/>
          </w:tcPr>
          <w:p>
            <w:pPr>
              <w:spacing w:after="0"/>
              <w:rPr>
                <w:sz w:val="4"/>
                <w:szCs w:val="4"/>
                <w:color w:val="auto"/>
              </w:rPr>
            </w:pPr>
          </w:p>
        </w:tc>
        <w:tc>
          <w:tcPr>
            <w:tcW w:w="1800" w:type="dxa"/>
            <w:vAlign w:val="bottom"/>
            <w:shd w:val="clear" w:color="auto" w:fill="E7E7E8"/>
          </w:tcPr>
          <w:p>
            <w:pPr>
              <w:spacing w:after="0"/>
              <w:rPr>
                <w:sz w:val="4"/>
                <w:szCs w:val="4"/>
                <w:color w:val="auto"/>
              </w:rPr>
            </w:pPr>
          </w:p>
        </w:tc>
        <w:tc>
          <w:tcPr>
            <w:tcW w:w="920" w:type="dxa"/>
            <w:vAlign w:val="bottom"/>
            <w:shd w:val="clear" w:color="auto" w:fill="E7E7E8"/>
          </w:tcPr>
          <w:p>
            <w:pPr>
              <w:spacing w:after="0"/>
              <w:rPr>
                <w:sz w:val="4"/>
                <w:szCs w:val="4"/>
                <w:color w:val="auto"/>
              </w:rPr>
            </w:pPr>
          </w:p>
        </w:tc>
        <w:tc>
          <w:tcPr>
            <w:tcW w:w="2620" w:type="dxa"/>
            <w:vAlign w:val="bottom"/>
            <w:tcBorders>
              <w:right w:val="single" w:sz="8" w:color="D7282F"/>
            </w:tcBorders>
            <w:shd w:val="clear" w:color="auto" w:fill="E7E7E8"/>
          </w:tcPr>
          <w:p>
            <w:pPr>
              <w:spacing w:after="0"/>
              <w:rPr>
                <w:sz w:val="4"/>
                <w:szCs w:val="4"/>
                <w:color w:val="auto"/>
              </w:rPr>
            </w:pPr>
          </w:p>
        </w:tc>
        <w:tc>
          <w:tcPr>
            <w:tcW w:w="140" w:type="dxa"/>
            <w:vAlign w:val="bottom"/>
            <w:shd w:val="clear" w:color="auto" w:fill="E7E7E8"/>
          </w:tcPr>
          <w:p>
            <w:pPr>
              <w:spacing w:after="0"/>
              <w:rPr>
                <w:sz w:val="4"/>
                <w:szCs w:val="4"/>
                <w:color w:val="auto"/>
              </w:rPr>
            </w:pPr>
          </w:p>
        </w:tc>
        <w:tc>
          <w:tcPr>
            <w:tcW w:w="2520" w:type="dxa"/>
            <w:vAlign w:val="bottom"/>
            <w:shd w:val="clear" w:color="auto" w:fill="E7E7E8"/>
          </w:tcPr>
          <w:p>
            <w:pPr>
              <w:spacing w:after="0"/>
              <w:rPr>
                <w:sz w:val="4"/>
                <w:szCs w:val="4"/>
                <w:color w:val="auto"/>
              </w:rPr>
            </w:pPr>
          </w:p>
        </w:tc>
        <w:tc>
          <w:tcPr>
            <w:tcW w:w="300" w:type="dxa"/>
            <w:vAlign w:val="bottom"/>
            <w:shd w:val="clear" w:color="auto" w:fill="E7E7E8"/>
          </w:tcPr>
          <w:p>
            <w:pPr>
              <w:spacing w:after="0"/>
              <w:rPr>
                <w:sz w:val="4"/>
                <w:szCs w:val="4"/>
                <w:color w:val="auto"/>
              </w:rPr>
            </w:pPr>
          </w:p>
        </w:tc>
        <w:tc>
          <w:tcPr>
            <w:tcW w:w="2680" w:type="dxa"/>
            <w:vAlign w:val="bottom"/>
            <w:shd w:val="clear" w:color="auto" w:fill="E7E7E8"/>
          </w:tcPr>
          <w:p>
            <w:pPr>
              <w:spacing w:after="0"/>
              <w:rPr>
                <w:sz w:val="4"/>
                <w:szCs w:val="4"/>
                <w:color w:val="auto"/>
              </w:rPr>
            </w:pPr>
          </w:p>
        </w:tc>
      </w:tr>
    </w:tbl>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5480" w:type="dxa"/>
            <w:vAlign w:val="bottom"/>
            <w:tcBorders>
              <w:top w:val="single" w:sz="8" w:color="D7282F"/>
              <w:right w:val="single" w:sz="8" w:color="D7282F"/>
            </w:tcBorders>
            <w:gridSpan w:val="4"/>
            <w:shd w:val="clear" w:color="auto" w:fill="E7E7E8"/>
          </w:tcPr>
          <w:p>
            <w:pPr>
              <w:ind w:left="60"/>
              <w:spacing w:after="0"/>
              <w:rPr>
                <w:sz w:val="20"/>
                <w:szCs w:val="20"/>
                <w:color w:val="auto"/>
              </w:rPr>
            </w:pPr>
            <w:r>
              <w:rPr>
                <w:rFonts w:ascii="Arial" w:cs="Arial" w:eastAsia="Arial" w:hAnsi="Arial"/>
                <w:sz w:val="12"/>
                <w:szCs w:val="12"/>
                <w:b w:val="1"/>
                <w:bCs w:val="1"/>
                <w:color w:val="auto"/>
              </w:rPr>
              <w:t>PERFORMANCE MATERIALS AND TECHNOLOGIES</w:t>
            </w:r>
          </w:p>
        </w:tc>
        <w:tc>
          <w:tcPr>
            <w:tcW w:w="2680" w:type="dxa"/>
            <w:vAlign w:val="bottom"/>
            <w:tcBorders>
              <w:top w:val="single" w:sz="8" w:color="D7282F"/>
            </w:tcBorders>
            <w:gridSpan w:val="2"/>
            <w:shd w:val="clear" w:color="auto" w:fill="E7E7E8"/>
          </w:tcPr>
          <w:p>
            <w:pPr>
              <w:ind w:left="60"/>
              <w:spacing w:after="0"/>
              <w:rPr>
                <w:sz w:val="20"/>
                <w:szCs w:val="20"/>
                <w:color w:val="auto"/>
              </w:rPr>
            </w:pPr>
            <w:r>
              <w:rPr>
                <w:rFonts w:ascii="Arial" w:cs="Arial" w:eastAsia="Arial" w:hAnsi="Arial"/>
                <w:sz w:val="12"/>
                <w:szCs w:val="12"/>
                <w:b w:val="1"/>
                <w:bCs w:val="1"/>
                <w:color w:val="auto"/>
              </w:rPr>
              <w:t>SAFETY AND PRODUCTIVITY SOLUTIONS</w:t>
            </w:r>
          </w:p>
        </w:tc>
        <w:tc>
          <w:tcPr>
            <w:tcW w:w="280" w:type="dxa"/>
            <w:vAlign w:val="bottom"/>
            <w:tcBorders>
              <w:top w:val="single" w:sz="8" w:color="D7282F"/>
            </w:tcBorders>
            <w:shd w:val="clear" w:color="auto" w:fill="E7E7E8"/>
          </w:tcPr>
          <w:p>
            <w:pPr>
              <w:spacing w:after="0"/>
              <w:rPr>
                <w:sz w:val="20"/>
                <w:szCs w:val="20"/>
                <w:color w:val="auto"/>
              </w:rPr>
            </w:pPr>
          </w:p>
        </w:tc>
        <w:tc>
          <w:tcPr>
            <w:tcW w:w="2680" w:type="dxa"/>
            <w:vAlign w:val="bottom"/>
            <w:tcBorders>
              <w:top w:val="single" w:sz="8" w:color="D7282F"/>
            </w:tcBorders>
            <w:shd w:val="clear" w:color="auto" w:fill="E7E7E8"/>
          </w:tcPr>
          <w:p>
            <w:pPr>
              <w:spacing w:after="0"/>
              <w:rPr>
                <w:sz w:val="20"/>
                <w:szCs w:val="20"/>
                <w:color w:val="auto"/>
              </w:rPr>
            </w:pPr>
          </w:p>
        </w:tc>
      </w:tr>
      <w:tr>
        <w:trPr>
          <w:trHeight w:val="206"/>
        </w:trPr>
        <w:tc>
          <w:tcPr>
            <w:tcW w:w="140" w:type="dxa"/>
            <w:vAlign w:val="bottom"/>
            <w:shd w:val="clear" w:color="auto" w:fill="E7E7E8"/>
          </w:tcPr>
          <w:p>
            <w:pPr>
              <w:ind w:left="60"/>
              <w:spacing w:after="0"/>
              <w:rPr>
                <w:sz w:val="20"/>
                <w:szCs w:val="20"/>
                <w:color w:val="auto"/>
              </w:rPr>
            </w:pPr>
            <w:r>
              <w:rPr>
                <w:rFonts w:ascii="Arial" w:cs="Arial" w:eastAsia="Arial" w:hAnsi="Arial"/>
                <w:sz w:val="11"/>
                <w:szCs w:val="11"/>
                <w:color w:val="D7282F"/>
              </w:rPr>
              <w:t>•</w:t>
            </w:r>
          </w:p>
        </w:tc>
        <w:tc>
          <w:tcPr>
            <w:tcW w:w="1600" w:type="dxa"/>
            <w:vAlign w:val="bottom"/>
            <w:shd w:val="clear" w:color="auto" w:fill="E7E7E8"/>
          </w:tcPr>
          <w:p>
            <w:pPr>
              <w:ind w:left="40"/>
              <w:spacing w:after="0"/>
              <w:rPr>
                <w:sz w:val="20"/>
                <w:szCs w:val="20"/>
                <w:color w:val="auto"/>
              </w:rPr>
            </w:pPr>
            <w:r>
              <w:rPr>
                <w:rFonts w:ascii="Arial" w:cs="Arial" w:eastAsia="Arial" w:hAnsi="Arial"/>
                <w:sz w:val="11"/>
                <w:szCs w:val="11"/>
                <w:color w:val="auto"/>
              </w:rPr>
              <w:t>ABB</w:t>
            </w:r>
          </w:p>
        </w:tc>
        <w:tc>
          <w:tcPr>
            <w:tcW w:w="1120" w:type="dxa"/>
            <w:vAlign w:val="bottom"/>
            <w:shd w:val="clear" w:color="auto" w:fill="E7E7E8"/>
          </w:tcPr>
          <w:p>
            <w:pPr>
              <w:ind w:left="1040"/>
              <w:spacing w:after="0"/>
              <w:rPr>
                <w:sz w:val="20"/>
                <w:szCs w:val="20"/>
                <w:color w:val="auto"/>
              </w:rPr>
            </w:pPr>
            <w:r>
              <w:rPr>
                <w:rFonts w:ascii="Arial" w:cs="Arial" w:eastAsia="Arial" w:hAnsi="Arial"/>
                <w:sz w:val="11"/>
                <w:szCs w:val="11"/>
                <w:color w:val="D7282F"/>
              </w:rPr>
              <w:t>•</w:t>
            </w:r>
          </w:p>
        </w:tc>
        <w:tc>
          <w:tcPr>
            <w:tcW w:w="2620" w:type="dxa"/>
            <w:vAlign w:val="bottom"/>
            <w:tcBorders>
              <w:right w:val="single" w:sz="8" w:color="D7282F"/>
            </w:tcBorders>
            <w:shd w:val="clear" w:color="auto" w:fill="E7E7E8"/>
          </w:tcPr>
          <w:p>
            <w:pPr>
              <w:ind w:left="60"/>
              <w:spacing w:after="0"/>
              <w:rPr>
                <w:sz w:val="20"/>
                <w:szCs w:val="20"/>
                <w:color w:val="auto"/>
              </w:rPr>
            </w:pPr>
            <w:r>
              <w:rPr>
                <w:rFonts w:ascii="Arial" w:cs="Arial" w:eastAsia="Arial" w:hAnsi="Arial"/>
                <w:sz w:val="11"/>
                <w:szCs w:val="11"/>
                <w:color w:val="auto"/>
              </w:rPr>
              <w:t>Emerson Electric</w:t>
            </w:r>
          </w:p>
        </w:tc>
        <w:tc>
          <w:tcPr>
            <w:tcW w:w="140" w:type="dxa"/>
            <w:vAlign w:val="bottom"/>
            <w:shd w:val="clear" w:color="auto" w:fill="E7E7E8"/>
          </w:tcPr>
          <w:p>
            <w:pPr>
              <w:ind w:left="60"/>
              <w:spacing w:after="0"/>
              <w:rPr>
                <w:sz w:val="20"/>
                <w:szCs w:val="20"/>
                <w:color w:val="auto"/>
              </w:rPr>
            </w:pPr>
            <w:r>
              <w:rPr>
                <w:rFonts w:ascii="Arial" w:cs="Arial" w:eastAsia="Arial" w:hAnsi="Arial"/>
                <w:sz w:val="11"/>
                <w:szCs w:val="11"/>
                <w:color w:val="D7282F"/>
              </w:rPr>
              <w:t>•</w:t>
            </w:r>
          </w:p>
        </w:tc>
        <w:tc>
          <w:tcPr>
            <w:tcW w:w="2540" w:type="dxa"/>
            <w:vAlign w:val="bottom"/>
            <w:shd w:val="clear" w:color="auto" w:fill="E7E7E8"/>
          </w:tcPr>
          <w:p>
            <w:pPr>
              <w:ind w:left="40"/>
              <w:spacing w:after="0"/>
              <w:rPr>
                <w:sz w:val="20"/>
                <w:szCs w:val="20"/>
                <w:color w:val="auto"/>
              </w:rPr>
            </w:pPr>
            <w:r>
              <w:rPr>
                <w:rFonts w:ascii="Arial" w:cs="Arial" w:eastAsia="Arial" w:hAnsi="Arial"/>
                <w:sz w:val="11"/>
                <w:szCs w:val="11"/>
                <w:color w:val="auto"/>
              </w:rPr>
              <w:t>3M</w:t>
            </w:r>
          </w:p>
        </w:tc>
        <w:tc>
          <w:tcPr>
            <w:tcW w:w="280" w:type="dxa"/>
            <w:vAlign w:val="bottom"/>
            <w:shd w:val="clear" w:color="auto" w:fill="E7E7E8"/>
          </w:tcPr>
          <w:p>
            <w:pPr>
              <w:ind w:left="180"/>
              <w:spacing w:after="0"/>
              <w:rPr>
                <w:sz w:val="20"/>
                <w:szCs w:val="20"/>
                <w:color w:val="auto"/>
              </w:rPr>
            </w:pPr>
            <w:r>
              <w:rPr>
                <w:rFonts w:ascii="Arial" w:cs="Arial" w:eastAsia="Arial" w:hAnsi="Arial"/>
                <w:sz w:val="11"/>
                <w:szCs w:val="11"/>
                <w:color w:val="D7282F"/>
              </w:rPr>
              <w:t>•</w:t>
            </w:r>
          </w:p>
        </w:tc>
        <w:tc>
          <w:tcPr>
            <w:tcW w:w="2680" w:type="dxa"/>
            <w:vAlign w:val="bottom"/>
            <w:shd w:val="clear" w:color="auto" w:fill="E7E7E8"/>
          </w:tcPr>
          <w:p>
            <w:pPr>
              <w:ind w:left="40"/>
              <w:spacing w:after="0"/>
              <w:rPr>
                <w:sz w:val="20"/>
                <w:szCs w:val="20"/>
                <w:color w:val="auto"/>
              </w:rPr>
            </w:pPr>
            <w:r>
              <w:rPr>
                <w:rFonts w:ascii="Arial" w:cs="Arial" w:eastAsia="Arial" w:hAnsi="Arial"/>
                <w:sz w:val="11"/>
                <w:szCs w:val="11"/>
                <w:color w:val="auto"/>
              </w:rPr>
              <w:t>TE Connectivity</w:t>
            </w:r>
          </w:p>
        </w:tc>
      </w:tr>
      <w:tr>
        <w:trPr>
          <w:trHeight w:val="180"/>
        </w:trPr>
        <w:tc>
          <w:tcPr>
            <w:tcW w:w="140" w:type="dxa"/>
            <w:vAlign w:val="bottom"/>
            <w:shd w:val="clear" w:color="auto" w:fill="E7E7E8"/>
          </w:tcPr>
          <w:p>
            <w:pPr>
              <w:ind w:left="60"/>
              <w:spacing w:after="0"/>
              <w:rPr>
                <w:sz w:val="20"/>
                <w:szCs w:val="20"/>
                <w:color w:val="auto"/>
              </w:rPr>
            </w:pPr>
            <w:r>
              <w:rPr>
                <w:rFonts w:ascii="Arial" w:cs="Arial" w:eastAsia="Arial" w:hAnsi="Arial"/>
                <w:sz w:val="11"/>
                <w:szCs w:val="11"/>
                <w:color w:val="D7282F"/>
              </w:rPr>
              <w:t>•</w:t>
            </w:r>
          </w:p>
        </w:tc>
        <w:tc>
          <w:tcPr>
            <w:tcW w:w="1600" w:type="dxa"/>
            <w:vAlign w:val="bottom"/>
            <w:shd w:val="clear" w:color="auto" w:fill="E7E7E8"/>
          </w:tcPr>
          <w:p>
            <w:pPr>
              <w:ind w:left="40"/>
              <w:spacing w:after="0"/>
              <w:rPr>
                <w:sz w:val="20"/>
                <w:szCs w:val="20"/>
                <w:color w:val="auto"/>
              </w:rPr>
            </w:pPr>
            <w:r>
              <w:rPr>
                <w:rFonts w:ascii="Arial" w:cs="Arial" w:eastAsia="Arial" w:hAnsi="Arial"/>
                <w:sz w:val="11"/>
                <w:szCs w:val="11"/>
                <w:color w:val="auto"/>
              </w:rPr>
              <w:t>Arkema</w:t>
            </w:r>
          </w:p>
        </w:tc>
        <w:tc>
          <w:tcPr>
            <w:tcW w:w="1120" w:type="dxa"/>
            <w:vAlign w:val="bottom"/>
            <w:shd w:val="clear" w:color="auto" w:fill="E7E7E8"/>
          </w:tcPr>
          <w:p>
            <w:pPr>
              <w:ind w:left="1040"/>
              <w:spacing w:after="0"/>
              <w:rPr>
                <w:sz w:val="20"/>
                <w:szCs w:val="20"/>
                <w:color w:val="auto"/>
              </w:rPr>
            </w:pPr>
            <w:r>
              <w:rPr>
                <w:rFonts w:ascii="Arial" w:cs="Arial" w:eastAsia="Arial" w:hAnsi="Arial"/>
                <w:sz w:val="11"/>
                <w:szCs w:val="11"/>
                <w:color w:val="D7282F"/>
              </w:rPr>
              <w:t>•</w:t>
            </w:r>
          </w:p>
        </w:tc>
        <w:tc>
          <w:tcPr>
            <w:tcW w:w="2620" w:type="dxa"/>
            <w:vAlign w:val="bottom"/>
            <w:tcBorders>
              <w:right w:val="single" w:sz="8" w:color="D7282F"/>
            </w:tcBorders>
            <w:shd w:val="clear" w:color="auto" w:fill="E7E7E8"/>
          </w:tcPr>
          <w:p>
            <w:pPr>
              <w:ind w:left="60"/>
              <w:spacing w:after="0"/>
              <w:rPr>
                <w:sz w:val="20"/>
                <w:szCs w:val="20"/>
                <w:color w:val="auto"/>
              </w:rPr>
            </w:pPr>
            <w:r>
              <w:rPr>
                <w:rFonts w:ascii="Arial" w:cs="Arial" w:eastAsia="Arial" w:hAnsi="Arial"/>
                <w:sz w:val="11"/>
                <w:szCs w:val="11"/>
                <w:color w:val="auto"/>
              </w:rPr>
              <w:t>Haldor Topsoe</w:t>
            </w:r>
          </w:p>
        </w:tc>
        <w:tc>
          <w:tcPr>
            <w:tcW w:w="140" w:type="dxa"/>
            <w:vAlign w:val="bottom"/>
            <w:shd w:val="clear" w:color="auto" w:fill="E7E7E8"/>
          </w:tcPr>
          <w:p>
            <w:pPr>
              <w:ind w:left="60"/>
              <w:spacing w:after="0"/>
              <w:rPr>
                <w:sz w:val="20"/>
                <w:szCs w:val="20"/>
                <w:color w:val="auto"/>
              </w:rPr>
            </w:pPr>
            <w:r>
              <w:rPr>
                <w:rFonts w:ascii="Arial" w:cs="Arial" w:eastAsia="Arial" w:hAnsi="Arial"/>
                <w:sz w:val="11"/>
                <w:szCs w:val="11"/>
                <w:color w:val="D7282F"/>
              </w:rPr>
              <w:t>•</w:t>
            </w:r>
          </w:p>
        </w:tc>
        <w:tc>
          <w:tcPr>
            <w:tcW w:w="2540" w:type="dxa"/>
            <w:vAlign w:val="bottom"/>
            <w:shd w:val="clear" w:color="auto" w:fill="E7E7E8"/>
          </w:tcPr>
          <w:p>
            <w:pPr>
              <w:ind w:left="40"/>
              <w:spacing w:after="0"/>
              <w:rPr>
                <w:sz w:val="20"/>
                <w:szCs w:val="20"/>
                <w:color w:val="auto"/>
              </w:rPr>
            </w:pPr>
            <w:r>
              <w:rPr>
                <w:rFonts w:ascii="Arial" w:cs="Arial" w:eastAsia="Arial" w:hAnsi="Arial"/>
                <w:sz w:val="11"/>
                <w:szCs w:val="11"/>
                <w:color w:val="auto"/>
              </w:rPr>
              <w:t>Kion Group</w:t>
            </w:r>
          </w:p>
        </w:tc>
        <w:tc>
          <w:tcPr>
            <w:tcW w:w="280" w:type="dxa"/>
            <w:vAlign w:val="bottom"/>
            <w:shd w:val="clear" w:color="auto" w:fill="E7E7E8"/>
          </w:tcPr>
          <w:p>
            <w:pPr>
              <w:ind w:left="180"/>
              <w:spacing w:after="0"/>
              <w:rPr>
                <w:sz w:val="20"/>
                <w:szCs w:val="20"/>
                <w:color w:val="auto"/>
              </w:rPr>
            </w:pPr>
            <w:r>
              <w:rPr>
                <w:rFonts w:ascii="Arial" w:cs="Arial" w:eastAsia="Arial" w:hAnsi="Arial"/>
                <w:sz w:val="11"/>
                <w:szCs w:val="11"/>
                <w:color w:val="D7282F"/>
              </w:rPr>
              <w:t>•</w:t>
            </w:r>
          </w:p>
        </w:tc>
        <w:tc>
          <w:tcPr>
            <w:tcW w:w="2680" w:type="dxa"/>
            <w:vAlign w:val="bottom"/>
            <w:shd w:val="clear" w:color="auto" w:fill="E7E7E8"/>
          </w:tcPr>
          <w:p>
            <w:pPr>
              <w:ind w:left="40"/>
              <w:spacing w:after="0"/>
              <w:rPr>
                <w:sz w:val="20"/>
                <w:szCs w:val="20"/>
                <w:color w:val="auto"/>
              </w:rPr>
            </w:pPr>
            <w:r>
              <w:rPr>
                <w:rFonts w:ascii="Arial" w:cs="Arial" w:eastAsia="Arial" w:hAnsi="Arial"/>
                <w:sz w:val="11"/>
                <w:szCs w:val="11"/>
                <w:color w:val="auto"/>
              </w:rPr>
              <w:t>Zebra Technologies</w:t>
            </w:r>
          </w:p>
        </w:tc>
      </w:tr>
      <w:tr>
        <w:trPr>
          <w:trHeight w:val="180"/>
        </w:trPr>
        <w:tc>
          <w:tcPr>
            <w:tcW w:w="140" w:type="dxa"/>
            <w:vAlign w:val="bottom"/>
            <w:shd w:val="clear" w:color="auto" w:fill="E7E7E8"/>
          </w:tcPr>
          <w:p>
            <w:pPr>
              <w:ind w:left="60"/>
              <w:spacing w:after="0"/>
              <w:rPr>
                <w:sz w:val="20"/>
                <w:szCs w:val="20"/>
                <w:color w:val="auto"/>
              </w:rPr>
            </w:pPr>
            <w:r>
              <w:rPr>
                <w:rFonts w:ascii="Arial" w:cs="Arial" w:eastAsia="Arial" w:hAnsi="Arial"/>
                <w:sz w:val="11"/>
                <w:szCs w:val="11"/>
                <w:color w:val="D7282F"/>
              </w:rPr>
              <w:t>•</w:t>
            </w:r>
          </w:p>
        </w:tc>
        <w:tc>
          <w:tcPr>
            <w:tcW w:w="1600" w:type="dxa"/>
            <w:vAlign w:val="bottom"/>
            <w:shd w:val="clear" w:color="auto" w:fill="E7E7E8"/>
          </w:tcPr>
          <w:p>
            <w:pPr>
              <w:ind w:left="40"/>
              <w:spacing w:after="0"/>
              <w:rPr>
                <w:sz w:val="20"/>
                <w:szCs w:val="20"/>
                <w:color w:val="auto"/>
              </w:rPr>
            </w:pPr>
            <w:r>
              <w:rPr>
                <w:rFonts w:ascii="Arial" w:cs="Arial" w:eastAsia="Arial" w:hAnsi="Arial"/>
                <w:sz w:val="11"/>
                <w:szCs w:val="11"/>
                <w:color w:val="auto"/>
              </w:rPr>
              <w:t>Axens</w:t>
            </w:r>
          </w:p>
        </w:tc>
        <w:tc>
          <w:tcPr>
            <w:tcW w:w="1120" w:type="dxa"/>
            <w:vAlign w:val="bottom"/>
            <w:shd w:val="clear" w:color="auto" w:fill="E7E7E8"/>
          </w:tcPr>
          <w:p>
            <w:pPr>
              <w:ind w:left="1040"/>
              <w:spacing w:after="0"/>
              <w:rPr>
                <w:sz w:val="20"/>
                <w:szCs w:val="20"/>
                <w:color w:val="auto"/>
              </w:rPr>
            </w:pPr>
            <w:r>
              <w:rPr>
                <w:rFonts w:ascii="Arial" w:cs="Arial" w:eastAsia="Arial" w:hAnsi="Arial"/>
                <w:sz w:val="11"/>
                <w:szCs w:val="11"/>
                <w:color w:val="D7282F"/>
              </w:rPr>
              <w:t>•</w:t>
            </w:r>
          </w:p>
        </w:tc>
        <w:tc>
          <w:tcPr>
            <w:tcW w:w="2620" w:type="dxa"/>
            <w:vAlign w:val="bottom"/>
            <w:tcBorders>
              <w:right w:val="single" w:sz="8" w:color="D7282F"/>
            </w:tcBorders>
            <w:shd w:val="clear" w:color="auto" w:fill="E7E7E8"/>
          </w:tcPr>
          <w:p>
            <w:pPr>
              <w:ind w:left="60"/>
              <w:spacing w:after="0"/>
              <w:rPr>
                <w:sz w:val="20"/>
                <w:szCs w:val="20"/>
                <w:color w:val="auto"/>
              </w:rPr>
            </w:pPr>
            <w:r>
              <w:rPr>
                <w:rFonts w:ascii="Arial" w:cs="Arial" w:eastAsia="Arial" w:hAnsi="Arial"/>
                <w:sz w:val="11"/>
                <w:szCs w:val="11"/>
                <w:color w:val="auto"/>
              </w:rPr>
              <w:t>Rockwell Automation</w:t>
            </w:r>
          </w:p>
        </w:tc>
        <w:tc>
          <w:tcPr>
            <w:tcW w:w="140" w:type="dxa"/>
            <w:vAlign w:val="bottom"/>
            <w:shd w:val="clear" w:color="auto" w:fill="E7E7E8"/>
          </w:tcPr>
          <w:p>
            <w:pPr>
              <w:ind w:left="60"/>
              <w:spacing w:after="0"/>
              <w:rPr>
                <w:sz w:val="20"/>
                <w:szCs w:val="20"/>
                <w:color w:val="auto"/>
              </w:rPr>
            </w:pPr>
            <w:r>
              <w:rPr>
                <w:rFonts w:ascii="Arial" w:cs="Arial" w:eastAsia="Arial" w:hAnsi="Arial"/>
                <w:sz w:val="11"/>
                <w:szCs w:val="11"/>
                <w:color w:val="D7282F"/>
              </w:rPr>
              <w:t>•</w:t>
            </w:r>
          </w:p>
        </w:tc>
        <w:tc>
          <w:tcPr>
            <w:tcW w:w="2540" w:type="dxa"/>
            <w:vAlign w:val="bottom"/>
            <w:shd w:val="clear" w:color="auto" w:fill="E7E7E8"/>
          </w:tcPr>
          <w:p>
            <w:pPr>
              <w:ind w:left="40"/>
              <w:spacing w:after="0"/>
              <w:rPr>
                <w:sz w:val="20"/>
                <w:szCs w:val="20"/>
                <w:color w:val="auto"/>
              </w:rPr>
            </w:pPr>
            <w:r>
              <w:rPr>
                <w:rFonts w:ascii="Arial" w:cs="Arial" w:eastAsia="Arial" w:hAnsi="Arial"/>
                <w:sz w:val="11"/>
                <w:szCs w:val="11"/>
                <w:color w:val="auto"/>
              </w:rPr>
              <w:t>MSA Safety Incorporated</w:t>
            </w:r>
          </w:p>
        </w:tc>
        <w:tc>
          <w:tcPr>
            <w:tcW w:w="280" w:type="dxa"/>
            <w:vAlign w:val="bottom"/>
            <w:shd w:val="clear" w:color="auto" w:fill="E7E7E8"/>
          </w:tcPr>
          <w:p>
            <w:pPr>
              <w:spacing w:after="0"/>
              <w:rPr>
                <w:sz w:val="15"/>
                <w:szCs w:val="15"/>
                <w:color w:val="auto"/>
              </w:rPr>
            </w:pPr>
          </w:p>
        </w:tc>
        <w:tc>
          <w:tcPr>
            <w:tcW w:w="2680" w:type="dxa"/>
            <w:vAlign w:val="bottom"/>
            <w:shd w:val="clear" w:color="auto" w:fill="E7E7E8"/>
          </w:tcPr>
          <w:p>
            <w:pPr>
              <w:spacing w:after="0"/>
              <w:rPr>
                <w:sz w:val="15"/>
                <w:szCs w:val="15"/>
                <w:color w:val="auto"/>
              </w:rPr>
            </w:pPr>
          </w:p>
        </w:tc>
      </w:tr>
      <w:tr>
        <w:trPr>
          <w:trHeight w:val="171"/>
        </w:trPr>
        <w:tc>
          <w:tcPr>
            <w:tcW w:w="140" w:type="dxa"/>
            <w:vAlign w:val="bottom"/>
            <w:shd w:val="clear" w:color="auto" w:fill="E7E7E8"/>
          </w:tcPr>
          <w:p>
            <w:pPr>
              <w:ind w:left="60"/>
              <w:spacing w:after="0"/>
              <w:rPr>
                <w:sz w:val="20"/>
                <w:szCs w:val="20"/>
                <w:color w:val="auto"/>
              </w:rPr>
            </w:pPr>
            <w:r>
              <w:rPr>
                <w:rFonts w:ascii="Arial" w:cs="Arial" w:eastAsia="Arial" w:hAnsi="Arial"/>
                <w:sz w:val="11"/>
                <w:szCs w:val="11"/>
                <w:color w:val="D7282F"/>
              </w:rPr>
              <w:t>•</w:t>
            </w:r>
          </w:p>
        </w:tc>
        <w:tc>
          <w:tcPr>
            <w:tcW w:w="1600" w:type="dxa"/>
            <w:vAlign w:val="bottom"/>
            <w:shd w:val="clear" w:color="auto" w:fill="E7E7E8"/>
          </w:tcPr>
          <w:p>
            <w:pPr>
              <w:ind w:left="40"/>
              <w:spacing w:after="0"/>
              <w:rPr>
                <w:sz w:val="20"/>
                <w:szCs w:val="20"/>
                <w:color w:val="auto"/>
              </w:rPr>
            </w:pPr>
            <w:r>
              <w:rPr>
                <w:rFonts w:ascii="Arial" w:cs="Arial" w:eastAsia="Arial" w:hAnsi="Arial"/>
                <w:sz w:val="11"/>
                <w:szCs w:val="11"/>
                <w:color w:val="auto"/>
              </w:rPr>
              <w:t>Chemours</w:t>
            </w:r>
          </w:p>
        </w:tc>
        <w:tc>
          <w:tcPr>
            <w:tcW w:w="1120" w:type="dxa"/>
            <w:vAlign w:val="bottom"/>
            <w:shd w:val="clear" w:color="auto" w:fill="E7E7E8"/>
          </w:tcPr>
          <w:p>
            <w:pPr>
              <w:ind w:left="1040"/>
              <w:spacing w:after="0"/>
              <w:rPr>
                <w:sz w:val="20"/>
                <w:szCs w:val="20"/>
                <w:color w:val="auto"/>
              </w:rPr>
            </w:pPr>
            <w:r>
              <w:rPr>
                <w:rFonts w:ascii="Arial" w:cs="Arial" w:eastAsia="Arial" w:hAnsi="Arial"/>
                <w:sz w:val="11"/>
                <w:szCs w:val="11"/>
                <w:color w:val="D7282F"/>
              </w:rPr>
              <w:t>•</w:t>
            </w:r>
          </w:p>
        </w:tc>
        <w:tc>
          <w:tcPr>
            <w:tcW w:w="2620" w:type="dxa"/>
            <w:vAlign w:val="bottom"/>
            <w:tcBorders>
              <w:right w:val="single" w:sz="8" w:color="D7282F"/>
            </w:tcBorders>
            <w:shd w:val="clear" w:color="auto" w:fill="E7E7E8"/>
          </w:tcPr>
          <w:p>
            <w:pPr>
              <w:ind w:left="60"/>
              <w:spacing w:after="0"/>
              <w:rPr>
                <w:sz w:val="20"/>
                <w:szCs w:val="20"/>
                <w:color w:val="auto"/>
              </w:rPr>
            </w:pPr>
            <w:r>
              <w:rPr>
                <w:rFonts w:ascii="Arial" w:cs="Arial" w:eastAsia="Arial" w:hAnsi="Arial"/>
                <w:sz w:val="11"/>
                <w:szCs w:val="11"/>
                <w:color w:val="auto"/>
              </w:rPr>
              <w:t>Schneider Electric</w:t>
            </w:r>
          </w:p>
        </w:tc>
        <w:tc>
          <w:tcPr>
            <w:tcW w:w="140" w:type="dxa"/>
            <w:vAlign w:val="bottom"/>
            <w:shd w:val="clear" w:color="auto" w:fill="E7E7E8"/>
          </w:tcPr>
          <w:p>
            <w:pPr>
              <w:spacing w:after="0"/>
              <w:rPr>
                <w:sz w:val="14"/>
                <w:szCs w:val="14"/>
                <w:color w:val="auto"/>
              </w:rPr>
            </w:pPr>
          </w:p>
        </w:tc>
        <w:tc>
          <w:tcPr>
            <w:tcW w:w="2540" w:type="dxa"/>
            <w:vAlign w:val="bottom"/>
            <w:shd w:val="clear" w:color="auto" w:fill="E7E7E8"/>
          </w:tcPr>
          <w:p>
            <w:pPr>
              <w:spacing w:after="0"/>
              <w:rPr>
                <w:sz w:val="14"/>
                <w:szCs w:val="14"/>
                <w:color w:val="auto"/>
              </w:rPr>
            </w:pPr>
          </w:p>
        </w:tc>
        <w:tc>
          <w:tcPr>
            <w:tcW w:w="280" w:type="dxa"/>
            <w:vAlign w:val="bottom"/>
            <w:shd w:val="clear" w:color="auto" w:fill="E7E7E8"/>
          </w:tcPr>
          <w:p>
            <w:pPr>
              <w:spacing w:after="0"/>
              <w:rPr>
                <w:sz w:val="14"/>
                <w:szCs w:val="14"/>
                <w:color w:val="auto"/>
              </w:rPr>
            </w:pPr>
          </w:p>
        </w:tc>
        <w:tc>
          <w:tcPr>
            <w:tcW w:w="2680" w:type="dxa"/>
            <w:vAlign w:val="bottom"/>
            <w:shd w:val="clear" w:color="auto" w:fill="E7E7E8"/>
          </w:tcPr>
          <w:p>
            <w:pPr>
              <w:spacing w:after="0"/>
              <w:rPr>
                <w:sz w:val="14"/>
                <w:szCs w:val="14"/>
                <w:color w:val="auto"/>
              </w:rPr>
            </w:pPr>
          </w:p>
        </w:tc>
      </w:tr>
      <w:tr>
        <w:trPr>
          <w:trHeight w:val="65"/>
        </w:trPr>
        <w:tc>
          <w:tcPr>
            <w:tcW w:w="140" w:type="dxa"/>
            <w:vAlign w:val="bottom"/>
            <w:shd w:val="clear" w:color="auto" w:fill="E7E7E8"/>
          </w:tcPr>
          <w:p>
            <w:pPr>
              <w:spacing w:after="0"/>
              <w:rPr>
                <w:sz w:val="5"/>
                <w:szCs w:val="5"/>
                <w:color w:val="auto"/>
              </w:rPr>
            </w:pPr>
          </w:p>
        </w:tc>
        <w:tc>
          <w:tcPr>
            <w:tcW w:w="1600" w:type="dxa"/>
            <w:vAlign w:val="bottom"/>
            <w:shd w:val="clear" w:color="auto" w:fill="E7E7E8"/>
          </w:tcPr>
          <w:p>
            <w:pPr>
              <w:spacing w:after="0"/>
              <w:rPr>
                <w:sz w:val="5"/>
                <w:szCs w:val="5"/>
                <w:color w:val="auto"/>
              </w:rPr>
            </w:pPr>
          </w:p>
        </w:tc>
        <w:tc>
          <w:tcPr>
            <w:tcW w:w="1120" w:type="dxa"/>
            <w:vAlign w:val="bottom"/>
            <w:shd w:val="clear" w:color="auto" w:fill="E7E7E8"/>
          </w:tcPr>
          <w:p>
            <w:pPr>
              <w:spacing w:after="0"/>
              <w:rPr>
                <w:sz w:val="5"/>
                <w:szCs w:val="5"/>
                <w:color w:val="auto"/>
              </w:rPr>
            </w:pPr>
          </w:p>
        </w:tc>
        <w:tc>
          <w:tcPr>
            <w:tcW w:w="2620" w:type="dxa"/>
            <w:vAlign w:val="bottom"/>
            <w:tcBorders>
              <w:right w:val="single" w:sz="8" w:color="D7282F"/>
            </w:tcBorders>
            <w:shd w:val="clear" w:color="auto" w:fill="E7E7E8"/>
          </w:tcPr>
          <w:p>
            <w:pPr>
              <w:spacing w:after="0"/>
              <w:rPr>
                <w:sz w:val="5"/>
                <w:szCs w:val="5"/>
                <w:color w:val="auto"/>
              </w:rPr>
            </w:pPr>
          </w:p>
        </w:tc>
        <w:tc>
          <w:tcPr>
            <w:tcW w:w="140" w:type="dxa"/>
            <w:vAlign w:val="bottom"/>
            <w:shd w:val="clear" w:color="auto" w:fill="E7E7E8"/>
          </w:tcPr>
          <w:p>
            <w:pPr>
              <w:spacing w:after="0"/>
              <w:rPr>
                <w:sz w:val="5"/>
                <w:szCs w:val="5"/>
                <w:color w:val="auto"/>
              </w:rPr>
            </w:pPr>
          </w:p>
        </w:tc>
        <w:tc>
          <w:tcPr>
            <w:tcW w:w="2540" w:type="dxa"/>
            <w:vAlign w:val="bottom"/>
            <w:shd w:val="clear" w:color="auto" w:fill="E7E7E8"/>
          </w:tcPr>
          <w:p>
            <w:pPr>
              <w:spacing w:after="0"/>
              <w:rPr>
                <w:sz w:val="5"/>
                <w:szCs w:val="5"/>
                <w:color w:val="auto"/>
              </w:rPr>
            </w:pPr>
          </w:p>
        </w:tc>
        <w:tc>
          <w:tcPr>
            <w:tcW w:w="280" w:type="dxa"/>
            <w:vAlign w:val="bottom"/>
            <w:shd w:val="clear" w:color="auto" w:fill="E7E7E8"/>
          </w:tcPr>
          <w:p>
            <w:pPr>
              <w:spacing w:after="0"/>
              <w:rPr>
                <w:sz w:val="5"/>
                <w:szCs w:val="5"/>
                <w:color w:val="auto"/>
              </w:rPr>
            </w:pPr>
          </w:p>
        </w:tc>
        <w:tc>
          <w:tcPr>
            <w:tcW w:w="2680" w:type="dxa"/>
            <w:vAlign w:val="bottom"/>
            <w:shd w:val="clear" w:color="auto" w:fill="E7E7E8"/>
          </w:tcPr>
          <w:p>
            <w:pPr>
              <w:spacing w:after="0"/>
              <w:rPr>
                <w:sz w:val="5"/>
                <w:szCs w:val="5"/>
                <w:color w:val="auto"/>
              </w:rPr>
            </w:pPr>
          </w:p>
        </w:tc>
      </w:tr>
    </w:tbl>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1"/>
          <w:szCs w:val="11"/>
          <w:color w:val="auto"/>
        </w:rPr>
        <w:t>Our businesses compete on a variety of factors such as performance, applied technology, product innovation, product recognition, quality, reliability, customer service, delivery, and price. Brand identity, service to customers, and quality are important competitive factors for our products and services. Our products face considerable price competition. While our competitive position varies among our products and services, we are a significant competitor in each of our major product and service areas.</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D7282F"/>
        </w:rPr>
        <w:t>BACKLOG</w:t>
      </w:r>
    </w:p>
    <w:p>
      <w:pPr>
        <w:spacing w:after="0" w:line="172"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Our backlog represents the estimated remaining value of work to be performed under firm contracts. Backlog is equal to our remaining performance obligations under the contracts that meet the guidance on revenue from contracts with customers as discussed in Note 3 Revenue Recognition and Contracts with Customers of Notes to Consolidated Financial Statements. Backlog was $31,777 million and $29,558 million at December 31, 2023, and 2022, respectively. We expect to recognize approximately 60% of our remaining performance obligations as revenue in 2024, and the remaining balance thereafter.</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color w:val="D7282F"/>
        </w:rPr>
        <w:t>U.S. GOVERNMENT SALES</w:t>
      </w:r>
    </w:p>
    <w:p>
      <w:pPr>
        <w:spacing w:after="0" w:line="172"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The Company, principally through our Aerospace reportable business segment, sells to the U.S. government acting through its various departments and agencies and through prime contractors, including the U.S. Department of Defense (as both a prime contractor and subcontractor). We do not expect our overall operating results to be significantly affected by any proposed changes in 2024 federal defense spending due to the varied mix of the government programs which impact us (OEM production, engineering development programs, aftermarket spares and repairs, and overhaul programs), as well as our diversified customer base.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580" w:type="dxa"/>
            <w:vAlign w:val="bottom"/>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560" w:type="dxa"/>
            <w:vAlign w:val="bottom"/>
            <w:tcBorders>
              <w:bottom w:val="single" w:sz="8" w:color="D7282F"/>
            </w:tcBorders>
          </w:tcPr>
          <w:p>
            <w:pPr>
              <w:spacing w:after="0"/>
              <w:rPr>
                <w:sz w:val="11"/>
                <w:szCs w:val="11"/>
                <w:color w:val="auto"/>
              </w:rPr>
            </w:pPr>
          </w:p>
        </w:tc>
        <w:tc>
          <w:tcPr>
            <w:tcW w:w="1400" w:type="dxa"/>
            <w:vAlign w:val="bottom"/>
            <w:tcBorders>
              <w:bottom w:val="single" w:sz="8" w:color="D7282F"/>
            </w:tcBorders>
            <w:gridSpan w:val="3"/>
          </w:tcPr>
          <w:p>
            <w:pPr>
              <w:jc w:val="right"/>
              <w:ind w:right="92"/>
              <w:spacing w:after="0"/>
              <w:rPr>
                <w:sz w:val="20"/>
                <w:szCs w:val="20"/>
                <w:color w:val="auto"/>
              </w:rPr>
            </w:pPr>
            <w:r>
              <w:rPr>
                <w:rFonts w:ascii="Arial" w:cs="Arial" w:eastAsia="Arial" w:hAnsi="Arial"/>
                <w:sz w:val="10"/>
                <w:szCs w:val="10"/>
                <w:b w:val="1"/>
                <w:bCs w:val="1"/>
                <w:color w:val="auto"/>
                <w:w w:val="96"/>
              </w:rPr>
              <w:t>Years Ended December 31,</w:t>
            </w:r>
          </w:p>
        </w:tc>
        <w:tc>
          <w:tcPr>
            <w:tcW w:w="600" w:type="dxa"/>
            <w:vAlign w:val="bottom"/>
            <w:tcBorders>
              <w:bottom w:val="single" w:sz="8" w:color="D7282F"/>
            </w:tcBorders>
          </w:tcPr>
          <w:p>
            <w:pPr>
              <w:spacing w:after="0"/>
              <w:rPr>
                <w:sz w:val="11"/>
                <w:szCs w:val="11"/>
                <w:color w:val="auto"/>
              </w:rPr>
            </w:pPr>
          </w:p>
        </w:tc>
      </w:tr>
      <w:tr>
        <w:trPr>
          <w:trHeight w:val="151"/>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U.S. government sales ($ in millions)</w:t>
            </w:r>
          </w:p>
        </w:tc>
        <w:tc>
          <w:tcPr>
            <w:tcW w:w="160" w:type="dxa"/>
            <w:vAlign w:val="bottom"/>
            <w:tcBorders>
              <w:bottom w:val="single" w:sz="8" w:color="D7282F"/>
            </w:tcBorders>
          </w:tcPr>
          <w:p>
            <w:pPr>
              <w:spacing w:after="0"/>
              <w:rPr>
                <w:sz w:val="13"/>
                <w:szCs w:val="13"/>
                <w:color w:val="auto"/>
              </w:rPr>
            </w:pPr>
          </w:p>
        </w:tc>
        <w:tc>
          <w:tcPr>
            <w:tcW w:w="560" w:type="dxa"/>
            <w:vAlign w:val="bottom"/>
            <w:tcBorders>
              <w:bottom w:val="single" w:sz="8" w:color="D7282F"/>
            </w:tcBorders>
          </w:tcPr>
          <w:p>
            <w:pPr>
              <w:jc w:val="right"/>
              <w:ind w:right="192"/>
              <w:spacing w:after="0"/>
              <w:rPr>
                <w:sz w:val="20"/>
                <w:szCs w:val="20"/>
                <w:color w:val="auto"/>
              </w:rPr>
            </w:pPr>
            <w:r>
              <w:rPr>
                <w:rFonts w:ascii="Arial" w:cs="Arial" w:eastAsia="Arial" w:hAnsi="Arial"/>
                <w:sz w:val="10"/>
                <w:szCs w:val="10"/>
                <w:b w:val="1"/>
                <w:bCs w:val="1"/>
                <w:color w:val="auto"/>
              </w:rPr>
              <w:t>2023</w:t>
            </w:r>
          </w:p>
        </w:tc>
        <w:tc>
          <w:tcPr>
            <w:tcW w:w="42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2022</w:t>
            </w:r>
          </w:p>
        </w:tc>
        <w:tc>
          <w:tcPr>
            <w:tcW w:w="30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2021</w:t>
            </w:r>
          </w:p>
        </w:tc>
      </w:tr>
      <w:tr>
        <w:trPr>
          <w:trHeight w:val="122"/>
        </w:trPr>
        <w:tc>
          <w:tcPr>
            <w:tcW w:w="85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Sales to the U.S. Department of Defense</w:t>
            </w:r>
          </w:p>
        </w:tc>
        <w:tc>
          <w:tcPr>
            <w:tcW w:w="16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2,933</w:t>
            </w:r>
          </w:p>
        </w:tc>
        <w:tc>
          <w:tcPr>
            <w:tcW w:w="42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2,886</w:t>
            </w:r>
          </w:p>
        </w:tc>
        <w:tc>
          <w:tcPr>
            <w:tcW w:w="3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3,219</w:t>
            </w:r>
          </w:p>
        </w:tc>
      </w:tr>
      <w:tr>
        <w:trPr>
          <w:trHeight w:val="124"/>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Sales to other U.S. government departments and agencies</w:t>
            </w:r>
          </w:p>
        </w:tc>
        <w:tc>
          <w:tcPr>
            <w:tcW w:w="16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508</w:t>
            </w:r>
          </w:p>
        </w:tc>
        <w:tc>
          <w:tcPr>
            <w:tcW w:w="42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546</w:t>
            </w:r>
          </w:p>
        </w:tc>
        <w:tc>
          <w:tcPr>
            <w:tcW w:w="30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703</w:t>
            </w:r>
          </w:p>
        </w:tc>
      </w:tr>
      <w:tr>
        <w:trPr>
          <w:trHeight w:val="126"/>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sales to the U.S. government</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3,441</w:t>
            </w:r>
          </w:p>
        </w:tc>
        <w:tc>
          <w:tcPr>
            <w:tcW w:w="42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3,432</w:t>
            </w:r>
          </w:p>
        </w:tc>
        <w:tc>
          <w:tcPr>
            <w:tcW w:w="3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3,922</w:t>
            </w:r>
          </w:p>
        </w:tc>
      </w:tr>
    </w:tbl>
    <w:p>
      <w:pPr>
        <w:spacing w:after="0" w:line="338" w:lineRule="exact"/>
        <w:rPr>
          <w:sz w:val="20"/>
          <w:szCs w:val="20"/>
          <w:color w:val="auto"/>
        </w:rPr>
      </w:pPr>
    </w:p>
    <w:p>
      <w:pPr>
        <w:spacing w:after="0"/>
        <w:tabs>
          <w:tab w:leader="none" w:pos="180" w:val="left"/>
        </w:tabs>
        <w:rPr>
          <w:sz w:val="20"/>
          <w:szCs w:val="20"/>
          <w:color w:val="auto"/>
        </w:rPr>
      </w:pPr>
      <w:r>
        <w:rPr>
          <w:rFonts w:ascii="Arial" w:cs="Arial" w:eastAsia="Arial" w:hAnsi="Arial"/>
          <w:sz w:val="12"/>
          <w:szCs w:val="12"/>
          <w:b w:val="1"/>
          <w:bCs w:val="1"/>
          <w:color w:val="D7282F"/>
        </w:rPr>
        <w:t>7</w:t>
      </w:r>
      <w:r>
        <w:rPr>
          <w:sz w:val="20"/>
          <w:szCs w:val="20"/>
          <w:color w:val="auto"/>
        </w:rPr>
        <w:tab/>
      </w:r>
      <w:r>
        <w:rPr>
          <w:rFonts w:ascii="Arial" w:cs="Arial" w:eastAsia="Arial" w:hAnsi="Arial"/>
          <w:sz w:val="8"/>
          <w:szCs w:val="8"/>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90805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27" w:right="299" w:bottom="1440" w:gutter="0" w:footer="0" w:header="0"/>
        </w:sectPr>
      </w:pPr>
    </w:p>
    <w:bookmarkStart w:id="9" w:name="page10"/>
    <w:bookmarkEnd w:id="9"/>
    <w:p>
      <w:pPr>
        <w:ind w:left="8"/>
        <w:spacing w:after="0"/>
        <w:tabs>
          <w:tab w:leader="none" w:pos="1040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
        <w:spacing w:after="0"/>
        <w:rPr>
          <w:sz w:val="20"/>
          <w:szCs w:val="20"/>
          <w:color w:val="auto"/>
        </w:rPr>
      </w:pPr>
      <w:r>
        <w:rPr>
          <w:rFonts w:ascii="Arial" w:cs="Arial" w:eastAsia="Arial" w:hAnsi="Arial"/>
          <w:sz w:val="19"/>
          <w:szCs w:val="19"/>
          <w:color w:val="D7282F"/>
        </w:rPr>
        <w:t>INTERNATIONAL OPERATIONS</w:t>
      </w:r>
    </w:p>
    <w:p>
      <w:pPr>
        <w:spacing w:after="0" w:line="172"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We engage in manufacturing, sales, service, and research and development globally. U.S. exports and non-U.S. manufactured products are significant to our operations. U.S. exports represented 13% of our total sales in 2023, and 12% in 2022 and 2021. Non-U.S. manufactured products and services, mainly in Europe and Asia, were 42% of our total sales in 2023, and 40% in 2022 and 2021.</w:t>
      </w:r>
    </w:p>
    <w:p>
      <w:pPr>
        <w:spacing w:after="0" w:line="115"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5720" w:type="dxa"/>
            <w:vAlign w:val="bottom"/>
          </w:tcPr>
          <w:p>
            <w:pPr>
              <w:spacing w:after="0"/>
              <w:rPr>
                <w:sz w:val="11"/>
                <w:szCs w:val="11"/>
                <w:color w:val="auto"/>
              </w:rPr>
            </w:pPr>
          </w:p>
        </w:tc>
        <w:tc>
          <w:tcPr>
            <w:tcW w:w="880" w:type="dxa"/>
            <w:vAlign w:val="bottom"/>
            <w:tcBorders>
              <w:bottom w:val="single" w:sz="8" w:color="D7282F"/>
            </w:tcBorders>
          </w:tcPr>
          <w:p>
            <w:pPr>
              <w:spacing w:after="0"/>
              <w:rPr>
                <w:sz w:val="11"/>
                <w:szCs w:val="11"/>
                <w:color w:val="auto"/>
              </w:rPr>
            </w:pPr>
          </w:p>
        </w:tc>
        <w:tc>
          <w:tcPr>
            <w:tcW w:w="3020" w:type="dxa"/>
            <w:vAlign w:val="bottom"/>
            <w:tcBorders>
              <w:bottom w:val="single" w:sz="8" w:color="D7282F"/>
            </w:tcBorders>
            <w:gridSpan w:val="2"/>
          </w:tcPr>
          <w:p>
            <w:pPr>
              <w:jc w:val="right"/>
              <w:ind w:right="352"/>
              <w:spacing w:after="0"/>
              <w:rPr>
                <w:sz w:val="20"/>
                <w:szCs w:val="20"/>
                <w:color w:val="auto"/>
              </w:rPr>
            </w:pPr>
            <w:r>
              <w:rPr>
                <w:rFonts w:ascii="Arial" w:cs="Arial" w:eastAsia="Arial" w:hAnsi="Arial"/>
                <w:sz w:val="10"/>
                <w:szCs w:val="10"/>
                <w:b w:val="1"/>
                <w:bCs w:val="1"/>
                <w:color w:val="auto"/>
              </w:rPr>
              <w:t>Year Ended December 31, 2023</w:t>
            </w:r>
          </w:p>
        </w:tc>
        <w:tc>
          <w:tcPr>
            <w:tcW w:w="540" w:type="dxa"/>
            <w:vAlign w:val="bottom"/>
            <w:tcBorders>
              <w:bottom w:val="single" w:sz="8" w:color="D7282F"/>
            </w:tcBorders>
          </w:tcPr>
          <w:p>
            <w:pPr>
              <w:spacing w:after="0"/>
              <w:rPr>
                <w:sz w:val="11"/>
                <w:szCs w:val="11"/>
                <w:color w:val="auto"/>
              </w:rPr>
            </w:pPr>
          </w:p>
        </w:tc>
        <w:tc>
          <w:tcPr>
            <w:tcW w:w="1140" w:type="dxa"/>
            <w:vAlign w:val="bottom"/>
            <w:tcBorders>
              <w:bottom w:val="single" w:sz="8" w:color="D7282F"/>
            </w:tcBorders>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5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500" w:type="dxa"/>
            <w:vAlign w:val="bottom"/>
          </w:tcPr>
          <w:p>
            <w:pPr>
              <w:jc w:val="center"/>
              <w:ind w:left="732"/>
              <w:spacing w:after="0" w:line="107" w:lineRule="exact"/>
              <w:rPr>
                <w:sz w:val="20"/>
                <w:szCs w:val="20"/>
                <w:color w:val="auto"/>
              </w:rPr>
            </w:pPr>
            <w:r>
              <w:rPr>
                <w:rFonts w:ascii="Arial" w:cs="Arial" w:eastAsia="Arial" w:hAnsi="Arial"/>
                <w:sz w:val="10"/>
                <w:szCs w:val="10"/>
                <w:b w:val="1"/>
                <w:bCs w:val="1"/>
                <w:color w:val="auto"/>
                <w:w w:val="96"/>
              </w:rPr>
              <w:t>Honeywell</w:t>
            </w:r>
          </w:p>
        </w:tc>
        <w:tc>
          <w:tcPr>
            <w:tcW w:w="1520" w:type="dxa"/>
            <w:vAlign w:val="bottom"/>
          </w:tcPr>
          <w:p>
            <w:pPr>
              <w:jc w:val="right"/>
              <w:ind w:right="32"/>
              <w:spacing w:after="0" w:line="107" w:lineRule="exact"/>
              <w:rPr>
                <w:sz w:val="20"/>
                <w:szCs w:val="20"/>
                <w:color w:val="auto"/>
              </w:rPr>
            </w:pPr>
            <w:r>
              <w:rPr>
                <w:rFonts w:ascii="Arial" w:cs="Arial" w:eastAsia="Arial" w:hAnsi="Arial"/>
                <w:sz w:val="10"/>
                <w:szCs w:val="10"/>
                <w:b w:val="1"/>
                <w:bCs w:val="1"/>
                <w:color w:val="auto"/>
              </w:rPr>
              <w:t>Performance</w:t>
            </w:r>
          </w:p>
        </w:tc>
        <w:tc>
          <w:tcPr>
            <w:tcW w:w="540" w:type="dxa"/>
            <w:vAlign w:val="bottom"/>
          </w:tcPr>
          <w:p>
            <w:pPr>
              <w:spacing w:after="0"/>
              <w:rPr>
                <w:sz w:val="9"/>
                <w:szCs w:val="9"/>
                <w:color w:val="auto"/>
              </w:rPr>
            </w:pPr>
          </w:p>
        </w:tc>
        <w:tc>
          <w:tcPr>
            <w:tcW w:w="1140" w:type="dxa"/>
            <w:vAlign w:val="bottom"/>
          </w:tcPr>
          <w:p>
            <w:pPr>
              <w:jc w:val="center"/>
              <w:ind w:right="12"/>
              <w:spacing w:after="0" w:line="107" w:lineRule="exact"/>
              <w:rPr>
                <w:sz w:val="20"/>
                <w:szCs w:val="20"/>
                <w:color w:val="auto"/>
              </w:rPr>
            </w:pPr>
            <w:r>
              <w:rPr>
                <w:rFonts w:ascii="Arial" w:cs="Arial" w:eastAsia="Arial" w:hAnsi="Arial"/>
                <w:sz w:val="10"/>
                <w:szCs w:val="10"/>
                <w:b w:val="1"/>
                <w:bCs w:val="1"/>
                <w:color w:val="auto"/>
                <w:w w:val="94"/>
              </w:rPr>
              <w:t>Safety and</w:t>
            </w:r>
          </w:p>
        </w:tc>
        <w:tc>
          <w:tcPr>
            <w:tcW w:w="0" w:type="dxa"/>
            <w:vAlign w:val="bottom"/>
          </w:tcPr>
          <w:p>
            <w:pPr>
              <w:spacing w:after="0"/>
              <w:rPr>
                <w:sz w:val="1"/>
                <w:szCs w:val="1"/>
                <w:color w:val="auto"/>
              </w:rPr>
            </w:pPr>
          </w:p>
        </w:tc>
      </w:tr>
      <w:tr>
        <w:trPr>
          <w:trHeight w:val="92"/>
        </w:trPr>
        <w:tc>
          <w:tcPr>
            <w:tcW w:w="5720" w:type="dxa"/>
            <w:vAlign w:val="bottom"/>
            <w:vMerge w:val="restart"/>
          </w:tcPr>
          <w:p>
            <w:pPr>
              <w:spacing w:after="0"/>
              <w:rPr>
                <w:sz w:val="20"/>
                <w:szCs w:val="20"/>
                <w:color w:val="auto"/>
              </w:rPr>
            </w:pPr>
            <w:r>
              <w:rPr>
                <w:rFonts w:ascii="Arial" w:cs="Arial" w:eastAsia="Arial" w:hAnsi="Arial"/>
                <w:sz w:val="10"/>
                <w:szCs w:val="10"/>
                <w:b w:val="1"/>
                <w:bCs w:val="1"/>
                <w:color w:val="auto"/>
              </w:rPr>
              <w:t>Manufactured products and systems and performance of services</w:t>
            </w:r>
          </w:p>
        </w:tc>
        <w:tc>
          <w:tcPr>
            <w:tcW w:w="880" w:type="dxa"/>
            <w:vAlign w:val="bottom"/>
            <w:vMerge w:val="restart"/>
          </w:tcPr>
          <w:p>
            <w:pPr>
              <w:ind w:left="340"/>
              <w:spacing w:after="0"/>
              <w:rPr>
                <w:sz w:val="20"/>
                <w:szCs w:val="20"/>
                <w:color w:val="auto"/>
              </w:rPr>
            </w:pPr>
            <w:r>
              <w:rPr>
                <w:rFonts w:ascii="Arial" w:cs="Arial" w:eastAsia="Arial" w:hAnsi="Arial"/>
                <w:sz w:val="10"/>
                <w:szCs w:val="10"/>
                <w:b w:val="1"/>
                <w:bCs w:val="1"/>
                <w:color w:val="auto"/>
              </w:rPr>
              <w:t>Aerospace</w:t>
            </w:r>
          </w:p>
        </w:tc>
        <w:tc>
          <w:tcPr>
            <w:tcW w:w="1500" w:type="dxa"/>
            <w:vAlign w:val="bottom"/>
          </w:tcPr>
          <w:p>
            <w:pPr>
              <w:jc w:val="center"/>
              <w:ind w:left="732"/>
              <w:spacing w:after="0" w:line="92" w:lineRule="exact"/>
              <w:rPr>
                <w:sz w:val="20"/>
                <w:szCs w:val="20"/>
                <w:color w:val="auto"/>
              </w:rPr>
            </w:pPr>
            <w:r>
              <w:rPr>
                <w:rFonts w:ascii="Arial" w:cs="Arial" w:eastAsia="Arial" w:hAnsi="Arial"/>
                <w:sz w:val="10"/>
                <w:szCs w:val="10"/>
                <w:b w:val="1"/>
                <w:bCs w:val="1"/>
                <w:color w:val="auto"/>
                <w:w w:val="99"/>
              </w:rPr>
              <w:t>Building</w:t>
            </w:r>
          </w:p>
        </w:tc>
        <w:tc>
          <w:tcPr>
            <w:tcW w:w="1520" w:type="dxa"/>
            <w:vAlign w:val="bottom"/>
          </w:tcPr>
          <w:p>
            <w:pPr>
              <w:jc w:val="right"/>
              <w:ind w:right="12"/>
              <w:spacing w:after="0" w:line="92" w:lineRule="exact"/>
              <w:rPr>
                <w:sz w:val="20"/>
                <w:szCs w:val="20"/>
                <w:color w:val="auto"/>
              </w:rPr>
            </w:pPr>
            <w:r>
              <w:rPr>
                <w:rFonts w:ascii="Arial" w:cs="Arial" w:eastAsia="Arial" w:hAnsi="Arial"/>
                <w:sz w:val="10"/>
                <w:szCs w:val="10"/>
                <w:b w:val="1"/>
                <w:bCs w:val="1"/>
                <w:color w:val="auto"/>
              </w:rPr>
              <w:t>Materials and</w:t>
            </w:r>
          </w:p>
        </w:tc>
        <w:tc>
          <w:tcPr>
            <w:tcW w:w="540" w:type="dxa"/>
            <w:vAlign w:val="bottom"/>
          </w:tcPr>
          <w:p>
            <w:pPr>
              <w:spacing w:after="0"/>
              <w:rPr>
                <w:sz w:val="8"/>
                <w:szCs w:val="8"/>
                <w:color w:val="auto"/>
              </w:rPr>
            </w:pPr>
          </w:p>
        </w:tc>
        <w:tc>
          <w:tcPr>
            <w:tcW w:w="1140" w:type="dxa"/>
            <w:vAlign w:val="bottom"/>
          </w:tcPr>
          <w:p>
            <w:pPr>
              <w:jc w:val="center"/>
              <w:ind w:right="12"/>
              <w:spacing w:after="0" w:line="92" w:lineRule="exact"/>
              <w:rPr>
                <w:sz w:val="20"/>
                <w:szCs w:val="20"/>
                <w:color w:val="auto"/>
              </w:rPr>
            </w:pPr>
            <w:r>
              <w:rPr>
                <w:rFonts w:ascii="Arial" w:cs="Arial" w:eastAsia="Arial" w:hAnsi="Arial"/>
                <w:sz w:val="10"/>
                <w:szCs w:val="10"/>
                <w:b w:val="1"/>
                <w:bCs w:val="1"/>
                <w:color w:val="auto"/>
                <w:w w:val="96"/>
              </w:rPr>
              <w:t>Productivity</w:t>
            </w:r>
          </w:p>
        </w:tc>
        <w:tc>
          <w:tcPr>
            <w:tcW w:w="0" w:type="dxa"/>
            <w:vAlign w:val="bottom"/>
          </w:tcPr>
          <w:p>
            <w:pPr>
              <w:spacing w:after="0"/>
              <w:rPr>
                <w:sz w:val="1"/>
                <w:szCs w:val="1"/>
                <w:color w:val="auto"/>
              </w:rPr>
            </w:pPr>
          </w:p>
        </w:tc>
      </w:tr>
      <w:tr>
        <w:trPr>
          <w:trHeight w:val="132"/>
        </w:trPr>
        <w:tc>
          <w:tcPr>
            <w:tcW w:w="5720" w:type="dxa"/>
            <w:vAlign w:val="bottom"/>
            <w:tcBorders>
              <w:bottom w:val="single" w:sz="8" w:color="D7282F"/>
            </w:tcBorders>
            <w:vMerge w:val="continue"/>
          </w:tcPr>
          <w:p>
            <w:pPr>
              <w:spacing w:after="0"/>
              <w:rPr>
                <w:sz w:val="11"/>
                <w:szCs w:val="11"/>
                <w:color w:val="auto"/>
              </w:rPr>
            </w:pPr>
          </w:p>
        </w:tc>
        <w:tc>
          <w:tcPr>
            <w:tcW w:w="880" w:type="dxa"/>
            <w:vAlign w:val="bottom"/>
            <w:tcBorders>
              <w:bottom w:val="single" w:sz="8" w:color="D7282F"/>
            </w:tcBorders>
            <w:vMerge w:val="continue"/>
          </w:tcPr>
          <w:p>
            <w:pPr>
              <w:spacing w:after="0"/>
              <w:rPr>
                <w:sz w:val="11"/>
                <w:szCs w:val="11"/>
                <w:color w:val="auto"/>
              </w:rPr>
            </w:pPr>
          </w:p>
        </w:tc>
        <w:tc>
          <w:tcPr>
            <w:tcW w:w="1500" w:type="dxa"/>
            <w:vAlign w:val="bottom"/>
            <w:tcBorders>
              <w:bottom w:val="single" w:sz="8" w:color="D7282F"/>
            </w:tcBorders>
          </w:tcPr>
          <w:p>
            <w:pPr>
              <w:jc w:val="center"/>
              <w:ind w:left="732"/>
              <w:spacing w:after="0"/>
              <w:rPr>
                <w:sz w:val="20"/>
                <w:szCs w:val="20"/>
                <w:color w:val="auto"/>
              </w:rPr>
            </w:pPr>
            <w:r>
              <w:rPr>
                <w:rFonts w:ascii="Arial" w:cs="Arial" w:eastAsia="Arial" w:hAnsi="Arial"/>
                <w:sz w:val="10"/>
                <w:szCs w:val="10"/>
                <w:b w:val="1"/>
                <w:bCs w:val="1"/>
                <w:color w:val="auto"/>
                <w:w w:val="93"/>
              </w:rPr>
              <w:t>Technologies</w:t>
            </w:r>
          </w:p>
        </w:tc>
        <w:tc>
          <w:tcPr>
            <w:tcW w:w="152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Technologies</w:t>
            </w:r>
          </w:p>
        </w:tc>
        <w:tc>
          <w:tcPr>
            <w:tcW w:w="540" w:type="dxa"/>
            <w:vAlign w:val="bottom"/>
            <w:tcBorders>
              <w:bottom w:val="single" w:sz="8" w:color="D7282F"/>
            </w:tcBorders>
          </w:tcPr>
          <w:p>
            <w:pPr>
              <w:spacing w:after="0"/>
              <w:rPr>
                <w:sz w:val="11"/>
                <w:szCs w:val="11"/>
                <w:color w:val="auto"/>
              </w:rPr>
            </w:pPr>
          </w:p>
        </w:tc>
        <w:tc>
          <w:tcPr>
            <w:tcW w:w="1140" w:type="dxa"/>
            <w:vAlign w:val="bottom"/>
            <w:tcBorders>
              <w:bottom w:val="single" w:sz="8" w:color="D7282F"/>
            </w:tcBorders>
          </w:tcPr>
          <w:p>
            <w:pPr>
              <w:jc w:val="center"/>
              <w:ind w:right="12"/>
              <w:spacing w:after="0"/>
              <w:rPr>
                <w:sz w:val="20"/>
                <w:szCs w:val="20"/>
                <w:color w:val="auto"/>
              </w:rPr>
            </w:pPr>
            <w:r>
              <w:rPr>
                <w:rFonts w:ascii="Arial" w:cs="Arial" w:eastAsia="Arial" w:hAnsi="Arial"/>
                <w:sz w:val="10"/>
                <w:szCs w:val="10"/>
                <w:b w:val="1"/>
                <w:bCs w:val="1"/>
                <w:color w:val="auto"/>
                <w:w w:val="96"/>
              </w:rPr>
              <w:t>Solutions</w:t>
            </w:r>
          </w:p>
        </w:tc>
        <w:tc>
          <w:tcPr>
            <w:tcW w:w="0" w:type="dxa"/>
            <w:vAlign w:val="bottom"/>
          </w:tcPr>
          <w:p>
            <w:pPr>
              <w:spacing w:after="0"/>
              <w:rPr>
                <w:sz w:val="1"/>
                <w:szCs w:val="1"/>
                <w:color w:val="auto"/>
              </w:rPr>
            </w:pPr>
          </w:p>
        </w:tc>
      </w:tr>
      <w:tr>
        <w:trPr>
          <w:trHeight w:val="124"/>
        </w:trPr>
        <w:tc>
          <w:tcPr>
            <w:tcW w:w="5720" w:type="dxa"/>
            <w:vAlign w:val="bottom"/>
            <w:tcBorders>
              <w:bottom w:val="single" w:sz="8" w:color="888B8D"/>
            </w:tcBorders>
          </w:tcPr>
          <w:p>
            <w:pPr>
              <w:spacing w:after="0"/>
              <w:rPr>
                <w:sz w:val="10"/>
                <w:szCs w:val="10"/>
                <w:color w:val="auto"/>
              </w:rPr>
            </w:pPr>
          </w:p>
        </w:tc>
        <w:tc>
          <w:tcPr>
            <w:tcW w:w="880" w:type="dxa"/>
            <w:vAlign w:val="bottom"/>
            <w:tcBorders>
              <w:bottom w:val="single" w:sz="8" w:color="888B8D"/>
            </w:tcBorders>
          </w:tcPr>
          <w:p>
            <w:pPr>
              <w:spacing w:after="0"/>
              <w:rPr>
                <w:sz w:val="10"/>
                <w:szCs w:val="10"/>
                <w:color w:val="auto"/>
              </w:rPr>
            </w:pPr>
          </w:p>
        </w:tc>
        <w:tc>
          <w:tcPr>
            <w:tcW w:w="3020" w:type="dxa"/>
            <w:vAlign w:val="bottom"/>
            <w:tcBorders>
              <w:bottom w:val="single" w:sz="8" w:color="888B8D"/>
            </w:tcBorders>
            <w:gridSpan w:val="2"/>
          </w:tcPr>
          <w:p>
            <w:pPr>
              <w:jc w:val="right"/>
              <w:ind w:right="572"/>
              <w:spacing w:after="0"/>
              <w:rPr>
                <w:sz w:val="20"/>
                <w:szCs w:val="20"/>
                <w:color w:val="auto"/>
              </w:rPr>
            </w:pPr>
            <w:r>
              <w:rPr>
                <w:rFonts w:ascii="Arial" w:cs="Arial" w:eastAsia="Arial" w:hAnsi="Arial"/>
                <w:sz w:val="10"/>
                <w:szCs w:val="10"/>
                <w:b w:val="1"/>
                <w:bCs w:val="1"/>
                <w:color w:val="auto"/>
              </w:rPr>
              <w:t>(% of Segment Sales)</w:t>
            </w:r>
          </w:p>
        </w:tc>
        <w:tc>
          <w:tcPr>
            <w:tcW w:w="540" w:type="dxa"/>
            <w:vAlign w:val="bottom"/>
            <w:tcBorders>
              <w:bottom w:val="single" w:sz="8" w:color="888B8D"/>
            </w:tcBorders>
          </w:tcPr>
          <w:p>
            <w:pPr>
              <w:spacing w:after="0"/>
              <w:rPr>
                <w:sz w:val="10"/>
                <w:szCs w:val="10"/>
                <w:color w:val="auto"/>
              </w:rPr>
            </w:pPr>
          </w:p>
        </w:tc>
        <w:tc>
          <w:tcPr>
            <w:tcW w:w="114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7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U.S. exports</w:t>
            </w:r>
          </w:p>
        </w:tc>
        <w:tc>
          <w:tcPr>
            <w:tcW w:w="880" w:type="dxa"/>
            <w:vAlign w:val="bottom"/>
            <w:tcBorders>
              <w:bottom w:val="single" w:sz="8" w:color="888B8D"/>
            </w:tcBorders>
          </w:tcPr>
          <w:p>
            <w:pPr>
              <w:spacing w:after="0"/>
              <w:rPr>
                <w:sz w:val="10"/>
                <w:szCs w:val="10"/>
                <w:color w:val="auto"/>
              </w:rPr>
            </w:pPr>
          </w:p>
        </w:tc>
        <w:tc>
          <w:tcPr>
            <w:tcW w:w="1500" w:type="dxa"/>
            <w:vAlign w:val="bottom"/>
            <w:tcBorders>
              <w:bottom w:val="single" w:sz="8" w:color="888B8D"/>
            </w:tcBorders>
          </w:tcPr>
          <w:p>
            <w:pPr>
              <w:jc w:val="right"/>
              <w:ind w:right="1192"/>
              <w:spacing w:after="0"/>
              <w:rPr>
                <w:sz w:val="20"/>
                <w:szCs w:val="20"/>
                <w:color w:val="auto"/>
              </w:rPr>
            </w:pPr>
            <w:r>
              <w:rPr>
                <w:rFonts w:ascii="Arial" w:cs="Arial" w:eastAsia="Arial" w:hAnsi="Arial"/>
                <w:sz w:val="10"/>
                <w:szCs w:val="10"/>
                <w:color w:val="auto"/>
              </w:rPr>
              <w:t>23 %</w:t>
            </w:r>
          </w:p>
        </w:tc>
        <w:tc>
          <w:tcPr>
            <w:tcW w:w="1520" w:type="dxa"/>
            <w:vAlign w:val="bottom"/>
            <w:tcBorders>
              <w:bottom w:val="single" w:sz="8" w:color="888B8D"/>
            </w:tcBorders>
          </w:tcPr>
          <w:p>
            <w:pPr>
              <w:jc w:val="right"/>
              <w:ind w:right="1192"/>
              <w:spacing w:after="0"/>
              <w:rPr>
                <w:sz w:val="20"/>
                <w:szCs w:val="20"/>
                <w:color w:val="auto"/>
              </w:rPr>
            </w:pPr>
            <w:r>
              <w:rPr>
                <w:rFonts w:ascii="Arial" w:cs="Arial" w:eastAsia="Arial" w:hAnsi="Arial"/>
                <w:sz w:val="10"/>
                <w:szCs w:val="10"/>
                <w:color w:val="auto"/>
              </w:rPr>
              <w:t>2 %</w:t>
            </w:r>
          </w:p>
        </w:tc>
        <w:tc>
          <w:tcPr>
            <w:tcW w:w="54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11 %</w:t>
            </w:r>
          </w:p>
        </w:tc>
        <w:tc>
          <w:tcPr>
            <w:tcW w:w="11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2 %</w:t>
            </w:r>
          </w:p>
        </w:tc>
        <w:tc>
          <w:tcPr>
            <w:tcW w:w="0" w:type="dxa"/>
            <w:vAlign w:val="bottom"/>
          </w:tcPr>
          <w:p>
            <w:pPr>
              <w:spacing w:after="0"/>
              <w:rPr>
                <w:sz w:val="1"/>
                <w:szCs w:val="1"/>
                <w:color w:val="auto"/>
              </w:rPr>
            </w:pPr>
          </w:p>
        </w:tc>
      </w:tr>
      <w:tr>
        <w:trPr>
          <w:trHeight w:val="124"/>
        </w:trPr>
        <w:tc>
          <w:tcPr>
            <w:tcW w:w="572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Non-U.S. manufactured products/services</w:t>
            </w:r>
          </w:p>
        </w:tc>
        <w:tc>
          <w:tcPr>
            <w:tcW w:w="880" w:type="dxa"/>
            <w:vAlign w:val="bottom"/>
            <w:tcBorders>
              <w:bottom w:val="single" w:sz="8" w:color="D7282F"/>
            </w:tcBorders>
          </w:tcPr>
          <w:p>
            <w:pPr>
              <w:spacing w:after="0"/>
              <w:rPr>
                <w:sz w:val="10"/>
                <w:szCs w:val="10"/>
                <w:color w:val="auto"/>
              </w:rPr>
            </w:pPr>
          </w:p>
        </w:tc>
        <w:tc>
          <w:tcPr>
            <w:tcW w:w="1500" w:type="dxa"/>
            <w:vAlign w:val="bottom"/>
            <w:tcBorders>
              <w:bottom w:val="single" w:sz="8" w:color="D7282F"/>
            </w:tcBorders>
          </w:tcPr>
          <w:p>
            <w:pPr>
              <w:jc w:val="right"/>
              <w:ind w:right="1192"/>
              <w:spacing w:after="0"/>
              <w:rPr>
                <w:sz w:val="20"/>
                <w:szCs w:val="20"/>
                <w:color w:val="auto"/>
              </w:rPr>
            </w:pPr>
            <w:r>
              <w:rPr>
                <w:rFonts w:ascii="Arial" w:cs="Arial" w:eastAsia="Arial" w:hAnsi="Arial"/>
                <w:sz w:val="10"/>
                <w:szCs w:val="10"/>
                <w:color w:val="auto"/>
              </w:rPr>
              <w:t>28 %</w:t>
            </w:r>
          </w:p>
        </w:tc>
        <w:tc>
          <w:tcPr>
            <w:tcW w:w="1520" w:type="dxa"/>
            <w:vAlign w:val="bottom"/>
            <w:tcBorders>
              <w:bottom w:val="single" w:sz="8" w:color="D7282F"/>
            </w:tcBorders>
          </w:tcPr>
          <w:p>
            <w:pPr>
              <w:jc w:val="right"/>
              <w:ind w:right="1192"/>
              <w:spacing w:after="0"/>
              <w:rPr>
                <w:sz w:val="20"/>
                <w:szCs w:val="20"/>
                <w:color w:val="auto"/>
              </w:rPr>
            </w:pPr>
            <w:r>
              <w:rPr>
                <w:rFonts w:ascii="Arial" w:cs="Arial" w:eastAsia="Arial" w:hAnsi="Arial"/>
                <w:sz w:val="10"/>
                <w:szCs w:val="10"/>
                <w:color w:val="auto"/>
              </w:rPr>
              <w:t>56 %</w:t>
            </w:r>
          </w:p>
        </w:tc>
        <w:tc>
          <w:tcPr>
            <w:tcW w:w="54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color w:val="auto"/>
              </w:rPr>
              <w:t>53 %</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38 %</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8"/>
        <w:spacing w:after="0"/>
        <w:rPr>
          <w:sz w:val="20"/>
          <w:szCs w:val="20"/>
          <w:color w:val="auto"/>
        </w:rPr>
      </w:pPr>
      <w:r>
        <w:rPr>
          <w:rFonts w:ascii="Arial" w:cs="Arial" w:eastAsia="Arial" w:hAnsi="Arial"/>
          <w:sz w:val="11"/>
          <w:szCs w:val="11"/>
          <w:color w:val="auto"/>
        </w:rPr>
        <w:t>Information related to risks associated with our foreign operations is included in the section titled Risk Factors under the caption “Macroeconomic and Industry Risks.”</w:t>
      </w:r>
    </w:p>
    <w:p>
      <w:pPr>
        <w:spacing w:after="0" w:line="186" w:lineRule="exact"/>
        <w:rPr>
          <w:sz w:val="20"/>
          <w:szCs w:val="20"/>
          <w:color w:val="auto"/>
        </w:rPr>
      </w:pPr>
    </w:p>
    <w:p>
      <w:pPr>
        <w:ind w:left="8"/>
        <w:spacing w:after="0"/>
        <w:rPr>
          <w:sz w:val="20"/>
          <w:szCs w:val="20"/>
          <w:color w:val="auto"/>
        </w:rPr>
      </w:pPr>
      <w:r>
        <w:rPr>
          <w:rFonts w:ascii="Arial" w:cs="Arial" w:eastAsia="Arial" w:hAnsi="Arial"/>
          <w:sz w:val="19"/>
          <w:szCs w:val="19"/>
          <w:color w:val="D7282F"/>
        </w:rPr>
        <w:t>RAW MATERIALS</w:t>
      </w:r>
    </w:p>
    <w:p>
      <w:pPr>
        <w:spacing w:after="0" w:line="172" w:lineRule="exact"/>
        <w:rPr>
          <w:sz w:val="20"/>
          <w:szCs w:val="20"/>
          <w:color w:val="auto"/>
        </w:rPr>
      </w:pPr>
    </w:p>
    <w:p>
      <w:pPr>
        <w:jc w:val="both"/>
        <w:ind w:left="8"/>
        <w:spacing w:after="0" w:line="249" w:lineRule="auto"/>
        <w:rPr>
          <w:sz w:val="20"/>
          <w:szCs w:val="20"/>
          <w:color w:val="auto"/>
        </w:rPr>
      </w:pPr>
      <w:r>
        <w:rPr>
          <w:rFonts w:ascii="Arial" w:cs="Arial" w:eastAsia="Arial" w:hAnsi="Arial"/>
          <w:sz w:val="11"/>
          <w:szCs w:val="11"/>
          <w:color w:val="auto"/>
        </w:rPr>
        <w:t>The vast majority of principal raw materials used in our operations are readily available; however, during 2023, we continued to experience supply chain constraints for certain raw materials. We maintain mitigation strategies to reduce the impact of disruptions, including digital solutions to assist in identifying and managing shortages, pricing actions, longer term planning for constrained materials, material supply tracking tools, and direct engagement with key suppliers to meet customer demand. We assist certain suppliers facing manufacturing challenges by committing our own resources to their sites and facilities. Our relationships with primary and secondary suppliers allow us to reliably source key components and raw materials. Where we cannot procure key components or raw materials, we consider altering existing products and developing new products to satisfy customer needs. Alterations to existing products and the development of new products undergo product quality controls and engineering qualification, prior to releasing to our customers. We continue to leverage existing supplier relationships and are not dependent on any one supplier for a material amount of our raw materials. We believe these mitigation strategies enable us to reduce supply risk, accelerate new product innovation, and expand our penetration in the markets we serve. Additionally, due to the strenuous quality controls and product qualification we perform on a new or altered product, we do not expect these mitigation strategies to impact product quality or reliability.</w:t>
      </w:r>
    </w:p>
    <w:p>
      <w:pPr>
        <w:spacing w:after="0" w:line="53"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Prices of certain key raw materials are expected to moderate. We offset raw material cost increases with formula-driven or long-term supply agreements, price increases, and hedging activities where feasible. We anticipate supply chain constraints for certain raw materials will continue into 2024; however, we believe our short-term and long-term mitigation strategies position us well to mitigate and reduce the impact these factors may have on our businesses. As such, we do not presently anticipate that a shortage of raw materials will cause any material adverse impacts during 2024.</w:t>
      </w:r>
    </w:p>
    <w:p>
      <w:pPr>
        <w:spacing w:after="0" w:line="54" w:lineRule="exact"/>
        <w:rPr>
          <w:sz w:val="20"/>
          <w:szCs w:val="20"/>
          <w:color w:val="auto"/>
        </w:rPr>
      </w:pPr>
    </w:p>
    <w:p>
      <w:pPr>
        <w:ind w:left="8"/>
        <w:spacing w:after="0"/>
        <w:rPr>
          <w:sz w:val="20"/>
          <w:szCs w:val="20"/>
          <w:color w:val="auto"/>
        </w:rPr>
      </w:pPr>
      <w:r>
        <w:rPr>
          <w:rFonts w:ascii="Arial" w:cs="Arial" w:eastAsia="Arial" w:hAnsi="Arial"/>
          <w:sz w:val="11"/>
          <w:szCs w:val="11"/>
          <w:color w:val="auto"/>
        </w:rPr>
        <w:t>See the section titled Risk Factors for additional information on supply chain constraints.</w:t>
      </w:r>
    </w:p>
    <w:p>
      <w:pPr>
        <w:spacing w:after="0" w:line="177" w:lineRule="exact"/>
        <w:rPr>
          <w:sz w:val="20"/>
          <w:szCs w:val="20"/>
          <w:color w:val="auto"/>
        </w:rPr>
      </w:pPr>
    </w:p>
    <w:p>
      <w:pPr>
        <w:ind w:left="8"/>
        <w:spacing w:after="0"/>
        <w:rPr>
          <w:sz w:val="20"/>
          <w:szCs w:val="20"/>
          <w:color w:val="auto"/>
        </w:rPr>
      </w:pPr>
      <w:r>
        <w:rPr>
          <w:rFonts w:ascii="Arial" w:cs="Arial" w:eastAsia="Arial" w:hAnsi="Arial"/>
          <w:sz w:val="19"/>
          <w:szCs w:val="19"/>
          <w:color w:val="D7282F"/>
        </w:rPr>
        <w:t>PATENTS, TRADEMARKS, LICENSES, AND DISTRIBUTION RIGHTS</w:t>
      </w:r>
    </w:p>
    <w:p>
      <w:pPr>
        <w:spacing w:after="0" w:line="172"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Our reportable business segments are not dependent upon any single patent or related group of patents, trademarks, or any licenses or distribution rights. In our judgment, our intellectual property rights are adequate for the conduct of our business. We believe that, in the aggregate, the rights under our patents, trademarks, licenses, and distribution rights are generally important to our operations, but we do not consider any individual patent, trademark, or any licensing or distribution rights related to a specific process or product to be of material importance in relation to our total business.</w:t>
      </w:r>
    </w:p>
    <w:p>
      <w:pPr>
        <w:spacing w:after="0" w:line="270" w:lineRule="exact"/>
        <w:rPr>
          <w:sz w:val="20"/>
          <w:szCs w:val="20"/>
          <w:color w:val="auto"/>
        </w:rPr>
      </w:pPr>
    </w:p>
    <w:p>
      <w:pPr>
        <w:ind w:left="208" w:hanging="208"/>
        <w:spacing w:after="0"/>
        <w:tabs>
          <w:tab w:leader="none" w:pos="208" w:val="left"/>
        </w:tabs>
        <w:numPr>
          <w:ilvl w:val="0"/>
          <w:numId w:val="30"/>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10" w:name="page11"/>
    <w:bookmarkEnd w:id="10"/>
    <w:p>
      <w:pPr>
        <w:ind w:left="8"/>
        <w:spacing w:after="0"/>
        <w:tabs>
          <w:tab w:leader="none" w:pos="1040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
        <w:spacing w:after="0"/>
        <w:rPr>
          <w:sz w:val="20"/>
          <w:szCs w:val="20"/>
          <w:color w:val="auto"/>
        </w:rPr>
      </w:pPr>
      <w:r>
        <w:rPr>
          <w:rFonts w:ascii="Arial" w:cs="Arial" w:eastAsia="Arial" w:hAnsi="Arial"/>
          <w:sz w:val="19"/>
          <w:szCs w:val="19"/>
          <w:color w:val="D7282F"/>
        </w:rPr>
        <w:t>REGULATIONS</w:t>
      </w:r>
    </w:p>
    <w:p>
      <w:pPr>
        <w:spacing w:after="0" w:line="172"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Our operations are subject to various federal, state, local, and foreign government regulations, including requirements regarding the protection of human health and the environment. We design our policies, practices, and procedures to prevent unreasonable risk of environmental damage, and of resulting financial liability, in connection with our business. Some risk of environmental damage is, however, inherent in some of our operations and products, as it is with other companies engaged in similar businesses.</w:t>
      </w:r>
    </w:p>
    <w:p>
      <w:pPr>
        <w:spacing w:after="0" w:line="45"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We engage in the handling, manufacturing, use, and disposal of many substances classified as hazardous by one or more regulatory agencies. We design policies, practices, and procedures to prevent unreasonable risk of environmental damage and personal injury, and to ensure that our handling, manufacture, use, and disposal of these substances meet or exceed environmental and safety laws and regulations. It is possible that future knowledge or other developments, such as improved capability to detect substances in the environment or increasingly strict environmental laws and standards and enforcement policies, could bring into question our current or past handling, manufacture, use, or disposal of these substances.</w:t>
      </w:r>
    </w:p>
    <w:p>
      <w:pPr>
        <w:spacing w:after="0" w:line="59" w:lineRule="exact"/>
        <w:rPr>
          <w:sz w:val="20"/>
          <w:szCs w:val="20"/>
          <w:color w:val="auto"/>
        </w:rPr>
      </w:pPr>
    </w:p>
    <w:p>
      <w:pPr>
        <w:jc w:val="both"/>
        <w:ind w:left="8" w:right="20"/>
        <w:spacing w:after="0" w:line="253" w:lineRule="auto"/>
        <w:rPr>
          <w:sz w:val="20"/>
          <w:szCs w:val="20"/>
          <w:color w:val="auto"/>
        </w:rPr>
      </w:pPr>
      <w:r>
        <w:rPr>
          <w:rFonts w:ascii="Arial" w:cs="Arial" w:eastAsia="Arial" w:hAnsi="Arial"/>
          <w:sz w:val="11"/>
          <w:szCs w:val="11"/>
          <w:color w:val="auto"/>
        </w:rPr>
        <w:t>Among other environmental requirements, we are subject to the Federal Superfund and similar state and foreign laws and regulations, under which we have been designated as a potentially responsible party that may be liable for cleanup costs associated with current and former operating sites and various hazardous waste sites, some of which are on the U.S. Environmental Protection Agency’s National Priority List. While there is a possibility that a responsible party might be unable to obtain appropriate contribution from other responsible parties, we do not anticipate having to bear significantly more than our proportional share in multi-party situations taken as a whole.</w:t>
      </w:r>
    </w:p>
    <w:p>
      <w:pPr>
        <w:spacing w:after="0" w:line="59"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We do not believe that federal, state, and local provisions regulating the discharge of materials into the environment, or otherwise relating to the protection of the environment, or any existing or pending climate change legislation, regulation, or international treaties or accords are reasonably likely to have a material adverse effect in the foreseeable future on our business and we will continue to monitor emerging developments in this area.</w:t>
      </w:r>
    </w:p>
    <w:p>
      <w:pPr>
        <w:spacing w:after="0" w:line="51" w:lineRule="exact"/>
        <w:rPr>
          <w:sz w:val="20"/>
          <w:szCs w:val="20"/>
          <w:color w:val="auto"/>
        </w:rPr>
      </w:pPr>
    </w:p>
    <w:p>
      <w:pPr>
        <w:jc w:val="both"/>
        <w:ind w:left="8" w:right="20"/>
        <w:spacing w:after="0" w:line="268" w:lineRule="auto"/>
        <w:rPr>
          <w:sz w:val="20"/>
          <w:szCs w:val="20"/>
          <w:color w:val="auto"/>
        </w:rPr>
      </w:pPr>
      <w:r>
        <w:rPr>
          <w:rFonts w:ascii="Arial" w:cs="Arial" w:eastAsia="Arial" w:hAnsi="Arial"/>
          <w:sz w:val="11"/>
          <w:szCs w:val="11"/>
          <w:color w:val="auto"/>
        </w:rPr>
        <w:t>Beyond our compliance requirements with environmental regulations, compliance with other government regulations has not had, and based on laws and regulations currently in effect, is not expected to have a material effect on our capital expenditures, earnings, or competitive position. See the section titled Risk Factors for additional information on government regulation that could impact our business.</w:t>
      </w:r>
    </w:p>
    <w:p>
      <w:pPr>
        <w:spacing w:after="0" w:line="266" w:lineRule="exact"/>
        <w:rPr>
          <w:sz w:val="20"/>
          <w:szCs w:val="20"/>
          <w:color w:val="auto"/>
        </w:rPr>
      </w:pPr>
    </w:p>
    <w:p>
      <w:pPr>
        <w:ind w:left="208" w:hanging="208"/>
        <w:spacing w:after="0"/>
        <w:tabs>
          <w:tab w:leader="none" w:pos="208" w:val="left"/>
        </w:tabs>
        <w:numPr>
          <w:ilvl w:val="0"/>
          <w:numId w:val="31"/>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11" w:name="page12"/>
    <w:bookmarkEnd w:id="11"/>
    <w:p>
      <w:pPr>
        <w:ind w:left="8"/>
        <w:spacing w:after="0"/>
        <w:tabs>
          <w:tab w:leader="none" w:pos="1040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
        <w:spacing w:after="0"/>
        <w:rPr>
          <w:sz w:val="20"/>
          <w:szCs w:val="20"/>
          <w:color w:val="auto"/>
        </w:rPr>
      </w:pPr>
      <w:r>
        <w:rPr>
          <w:rFonts w:ascii="Arial" w:cs="Arial" w:eastAsia="Arial" w:hAnsi="Arial"/>
          <w:sz w:val="19"/>
          <w:szCs w:val="19"/>
          <w:color w:val="D7282F"/>
        </w:rPr>
        <w:t>SUSTAINABILITY COMMITMENTS</w:t>
      </w:r>
    </w:p>
    <w:p>
      <w:pPr>
        <w:spacing w:after="0" w:line="172"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Our commitment to being environmentally responsible is reflected in the extensive work we do to reduce greenhouse gas (GHG) emissions, increase energy efficiency, conserve water, minimize waste, manage air emissions, and drive efficiency throughout our operations. Our operating system – which drives sustainable improvements and the elimination of waste in our manufacturing operations – is a critical component in how we approach environmental stewardship within Honeywell.</w:t>
      </w:r>
    </w:p>
    <w:p>
      <w:pPr>
        <w:spacing w:after="0" w:line="45" w:lineRule="exact"/>
        <w:rPr>
          <w:sz w:val="20"/>
          <w:szCs w:val="20"/>
          <w:color w:val="auto"/>
        </w:rPr>
      </w:pPr>
    </w:p>
    <w:p>
      <w:pPr>
        <w:ind w:left="8"/>
        <w:spacing w:after="0"/>
        <w:rPr>
          <w:sz w:val="20"/>
          <w:szCs w:val="20"/>
          <w:color w:val="auto"/>
        </w:rPr>
      </w:pPr>
      <w:r>
        <w:rPr>
          <w:rFonts w:ascii="Arial" w:cs="Arial" w:eastAsia="Arial" w:hAnsi="Arial"/>
          <w:sz w:val="11"/>
          <w:szCs w:val="11"/>
          <w:color w:val="auto"/>
        </w:rPr>
        <w:t>We commit resources each year to projects that support these objectives:</w:t>
      </w:r>
    </w:p>
    <w:p>
      <w:pPr>
        <w:spacing w:after="0" w:line="72" w:lineRule="exact"/>
        <w:rPr>
          <w:sz w:val="20"/>
          <w:szCs w:val="20"/>
          <w:color w:val="auto"/>
        </w:rPr>
      </w:pPr>
    </w:p>
    <w:p>
      <w:pPr>
        <w:jc w:val="both"/>
        <w:ind w:left="428" w:hanging="212"/>
        <w:spacing w:after="0" w:line="262" w:lineRule="auto"/>
        <w:tabs>
          <w:tab w:leader="none" w:pos="421" w:val="left"/>
        </w:tabs>
        <w:numPr>
          <w:ilvl w:val="0"/>
          <w:numId w:val="32"/>
        </w:numPr>
        <w:rPr>
          <w:rFonts w:ascii="Arial" w:cs="Arial" w:eastAsia="Arial" w:hAnsi="Arial"/>
          <w:sz w:val="11"/>
          <w:szCs w:val="11"/>
          <w:color w:val="D7282F"/>
        </w:rPr>
      </w:pPr>
      <w:r>
        <w:rPr>
          <w:rFonts w:ascii="Arial" w:cs="Arial" w:eastAsia="Arial" w:hAnsi="Arial"/>
          <w:sz w:val="11"/>
          <w:szCs w:val="11"/>
          <w:b w:val="1"/>
          <w:bCs w:val="1"/>
          <w:color w:val="auto"/>
        </w:rPr>
        <w:t xml:space="preserve">Energy Efficiency Improvements. </w:t>
      </w:r>
      <w:r>
        <w:rPr>
          <w:rFonts w:ascii="Arial" w:cs="Arial" w:eastAsia="Arial" w:hAnsi="Arial"/>
          <w:sz w:val="11"/>
          <w:szCs w:val="11"/>
          <w:color w:val="auto"/>
        </w:rPr>
        <w:t>We continue to implement sustainability projects at our facilities, including building automation and controls, lighting, compressed air and gas systems, mechanical upgrades, and renewable</w:t>
      </w:r>
      <w:r>
        <w:rPr>
          <w:rFonts w:ascii="Arial" w:cs="Arial" w:eastAsia="Arial" w:hAnsi="Arial"/>
          <w:sz w:val="11"/>
          <w:szCs w:val="11"/>
          <w:b w:val="1"/>
          <w:bCs w:val="1"/>
          <w:color w:val="auto"/>
        </w:rPr>
        <w:t xml:space="preserve"> </w:t>
      </w:r>
      <w:r>
        <w:rPr>
          <w:rFonts w:ascii="Arial" w:cs="Arial" w:eastAsia="Arial" w:hAnsi="Arial"/>
          <w:sz w:val="11"/>
          <w:szCs w:val="11"/>
          <w:color w:val="auto"/>
        </w:rPr>
        <w:t>energy. Our largest sites are required to identify their significant energy use in line with ISO 50001, obtain an energy audit on an established cycle, train personnel on energy management, and track identified projects via our standard database. This ensures a robust pipeline of both low-cost and capital projects that can be considered for execution.</w:t>
      </w:r>
    </w:p>
    <w:p>
      <w:pPr>
        <w:spacing w:after="0" w:line="26" w:lineRule="exact"/>
        <w:rPr>
          <w:rFonts w:ascii="Arial" w:cs="Arial" w:eastAsia="Arial" w:hAnsi="Arial"/>
          <w:sz w:val="11"/>
          <w:szCs w:val="11"/>
          <w:color w:val="D7282F"/>
        </w:rPr>
      </w:pPr>
    </w:p>
    <w:p>
      <w:pPr>
        <w:jc w:val="both"/>
        <w:ind w:left="428" w:hanging="212"/>
        <w:spacing w:after="0" w:line="254" w:lineRule="auto"/>
        <w:tabs>
          <w:tab w:leader="none" w:pos="421" w:val="left"/>
        </w:tabs>
        <w:numPr>
          <w:ilvl w:val="0"/>
          <w:numId w:val="32"/>
        </w:numPr>
        <w:rPr>
          <w:rFonts w:ascii="Arial" w:cs="Arial" w:eastAsia="Arial" w:hAnsi="Arial"/>
          <w:sz w:val="11"/>
          <w:szCs w:val="11"/>
          <w:color w:val="D7282F"/>
        </w:rPr>
      </w:pPr>
      <w:r>
        <w:rPr>
          <w:rFonts w:ascii="Arial" w:cs="Arial" w:eastAsia="Arial" w:hAnsi="Arial"/>
          <w:sz w:val="11"/>
          <w:szCs w:val="11"/>
          <w:b w:val="1"/>
          <w:bCs w:val="1"/>
          <w:color w:val="auto"/>
        </w:rPr>
        <w:t xml:space="preserve">Managing Air Emissions. </w:t>
      </w:r>
      <w:r>
        <w:rPr>
          <w:rFonts w:ascii="Arial" w:cs="Arial" w:eastAsia="Arial" w:hAnsi="Arial"/>
          <w:sz w:val="11"/>
          <w:szCs w:val="11"/>
          <w:color w:val="auto"/>
        </w:rPr>
        <w:t>We manage air emissions in accordance with all regulatory requirements while also seeking to minimize our environmental impact. All of our manufacturing locations are required to meet the</w:t>
      </w:r>
      <w:r>
        <w:rPr>
          <w:rFonts w:ascii="Arial" w:cs="Arial" w:eastAsia="Arial" w:hAnsi="Arial"/>
          <w:sz w:val="11"/>
          <w:szCs w:val="11"/>
          <w:b w:val="1"/>
          <w:bCs w:val="1"/>
          <w:color w:val="auto"/>
        </w:rPr>
        <w:t xml:space="preserve"> </w:t>
      </w:r>
      <w:r>
        <w:rPr>
          <w:rFonts w:ascii="Arial" w:cs="Arial" w:eastAsia="Arial" w:hAnsi="Arial"/>
          <w:sz w:val="11"/>
          <w:szCs w:val="11"/>
          <w:color w:val="auto"/>
        </w:rPr>
        <w:t>requirements of our Air Emissions procedure that is part of the Health, Safety, Environment, Product Stewardship and Sustainability (HSEPS) Management System. These requirements include, but are not limited to, identifying and detailing all emissions to air on an inventory that captures them, developing operational controls, and standardized compliance obligation tracking for permit conditions and regulatory requirements. Where there are industrial air emissions that do not have specific legal or permit requirements, we implement best management practices, where available.</w:t>
      </w:r>
    </w:p>
    <w:p>
      <w:pPr>
        <w:spacing w:after="0" w:line="31" w:lineRule="exact"/>
        <w:rPr>
          <w:rFonts w:ascii="Arial" w:cs="Arial" w:eastAsia="Arial" w:hAnsi="Arial"/>
          <w:sz w:val="11"/>
          <w:szCs w:val="11"/>
          <w:color w:val="D7282F"/>
        </w:rPr>
      </w:pPr>
    </w:p>
    <w:p>
      <w:pPr>
        <w:jc w:val="both"/>
        <w:ind w:left="428" w:hanging="212"/>
        <w:spacing w:after="0" w:line="262" w:lineRule="auto"/>
        <w:tabs>
          <w:tab w:leader="none" w:pos="421" w:val="left"/>
        </w:tabs>
        <w:numPr>
          <w:ilvl w:val="0"/>
          <w:numId w:val="32"/>
        </w:numPr>
        <w:rPr>
          <w:rFonts w:ascii="Arial" w:cs="Arial" w:eastAsia="Arial" w:hAnsi="Arial"/>
          <w:sz w:val="11"/>
          <w:szCs w:val="11"/>
          <w:color w:val="D7282F"/>
        </w:rPr>
      </w:pPr>
      <w:r>
        <w:rPr>
          <w:rFonts w:ascii="Arial" w:cs="Arial" w:eastAsia="Arial" w:hAnsi="Arial"/>
          <w:sz w:val="11"/>
          <w:szCs w:val="11"/>
          <w:b w:val="1"/>
          <w:bCs w:val="1"/>
          <w:color w:val="auto"/>
        </w:rPr>
        <w:t xml:space="preserve">Wastewater Management. </w:t>
      </w:r>
      <w:r>
        <w:rPr>
          <w:rFonts w:ascii="Arial" w:cs="Arial" w:eastAsia="Arial" w:hAnsi="Arial"/>
          <w:sz w:val="11"/>
          <w:szCs w:val="11"/>
          <w:color w:val="auto"/>
        </w:rPr>
        <w:t>We require our locations and functions to manage water use and wastewater effluent in accordance with our HSEPS Management System. In addition to meeting all legal and regulatory requirements,</w:t>
      </w:r>
      <w:r>
        <w:rPr>
          <w:rFonts w:ascii="Arial" w:cs="Arial" w:eastAsia="Arial" w:hAnsi="Arial"/>
          <w:sz w:val="11"/>
          <w:szCs w:val="11"/>
          <w:b w:val="1"/>
          <w:bCs w:val="1"/>
          <w:color w:val="auto"/>
        </w:rPr>
        <w:t xml:space="preserve"> </w:t>
      </w:r>
      <w:r>
        <w:rPr>
          <w:rFonts w:ascii="Arial" w:cs="Arial" w:eastAsia="Arial" w:hAnsi="Arial"/>
          <w:sz w:val="11"/>
          <w:szCs w:val="11"/>
          <w:color w:val="auto"/>
        </w:rPr>
        <w:t>the HSEPS Management System requires Honeywell manufacturing locations to complete actions such as maintain an inventory of its uses, discharges, and consumption of water, develop location-specific operation controls to manage wastewater, and provide training for employees and contractors who perform critical activities related to wastewater.</w:t>
      </w:r>
    </w:p>
    <w:p>
      <w:pPr>
        <w:spacing w:after="0" w:line="17" w:lineRule="exact"/>
        <w:rPr>
          <w:rFonts w:ascii="Arial" w:cs="Arial" w:eastAsia="Arial" w:hAnsi="Arial"/>
          <w:sz w:val="11"/>
          <w:szCs w:val="11"/>
          <w:color w:val="D7282F"/>
        </w:rPr>
      </w:pPr>
    </w:p>
    <w:p>
      <w:pPr>
        <w:jc w:val="both"/>
        <w:ind w:left="428" w:hanging="212"/>
        <w:spacing w:after="0" w:line="262" w:lineRule="auto"/>
        <w:tabs>
          <w:tab w:leader="none" w:pos="421" w:val="left"/>
        </w:tabs>
        <w:numPr>
          <w:ilvl w:val="0"/>
          <w:numId w:val="32"/>
        </w:numPr>
        <w:rPr>
          <w:rFonts w:ascii="Arial" w:cs="Arial" w:eastAsia="Arial" w:hAnsi="Arial"/>
          <w:sz w:val="11"/>
          <w:szCs w:val="11"/>
          <w:color w:val="D7282F"/>
        </w:rPr>
      </w:pPr>
      <w:r>
        <w:rPr>
          <w:rFonts w:ascii="Arial" w:cs="Arial" w:eastAsia="Arial" w:hAnsi="Arial"/>
          <w:sz w:val="11"/>
          <w:szCs w:val="11"/>
          <w:b w:val="1"/>
          <w:bCs w:val="1"/>
          <w:color w:val="auto"/>
        </w:rPr>
        <w:t xml:space="preserve">Environmental Remediation. </w:t>
      </w:r>
      <w:r>
        <w:rPr>
          <w:rFonts w:ascii="Arial" w:cs="Arial" w:eastAsia="Arial" w:hAnsi="Arial"/>
          <w:sz w:val="11"/>
          <w:szCs w:val="11"/>
          <w:color w:val="auto"/>
        </w:rPr>
        <w:t>Our “reuse first” practice views idle properties as assets that can be revitalized to mutually benefit communities and the company. The properties that emerge from this approach ignite civic pride</w:t>
      </w:r>
      <w:r>
        <w:rPr>
          <w:rFonts w:ascii="Arial" w:cs="Arial" w:eastAsia="Arial" w:hAnsi="Arial"/>
          <w:sz w:val="11"/>
          <w:szCs w:val="11"/>
          <w:b w:val="1"/>
          <w:bCs w:val="1"/>
          <w:color w:val="auto"/>
        </w:rPr>
        <w:t xml:space="preserve"> </w:t>
      </w:r>
      <w:r>
        <w:rPr>
          <w:rFonts w:ascii="Arial" w:cs="Arial" w:eastAsia="Arial" w:hAnsi="Arial"/>
          <w:sz w:val="11"/>
          <w:szCs w:val="11"/>
          <w:color w:val="auto"/>
        </w:rPr>
        <w:t>and catalyze further community development initiatives. Using cutting-edge science, design, and engineering to protect human health and the environment, we work cooperatively with governments and engage with local communities and other external stakeholders to implement effective solutions.</w:t>
      </w:r>
    </w:p>
    <w:p>
      <w:pPr>
        <w:spacing w:after="0" w:line="26" w:lineRule="exact"/>
        <w:rPr>
          <w:rFonts w:ascii="Arial" w:cs="Arial" w:eastAsia="Arial" w:hAnsi="Arial"/>
          <w:sz w:val="11"/>
          <w:szCs w:val="11"/>
          <w:color w:val="D7282F"/>
        </w:rPr>
      </w:pPr>
    </w:p>
    <w:p>
      <w:pPr>
        <w:ind w:left="428" w:hanging="212"/>
        <w:spacing w:after="0" w:line="268" w:lineRule="auto"/>
        <w:tabs>
          <w:tab w:leader="none" w:pos="421" w:val="left"/>
        </w:tabs>
        <w:numPr>
          <w:ilvl w:val="0"/>
          <w:numId w:val="32"/>
        </w:numPr>
        <w:rPr>
          <w:rFonts w:ascii="Arial" w:cs="Arial" w:eastAsia="Arial" w:hAnsi="Arial"/>
          <w:sz w:val="11"/>
          <w:szCs w:val="11"/>
          <w:color w:val="D7282F"/>
        </w:rPr>
      </w:pPr>
      <w:r>
        <w:rPr>
          <w:rFonts w:ascii="Arial" w:cs="Arial" w:eastAsia="Arial" w:hAnsi="Arial"/>
          <w:sz w:val="11"/>
          <w:szCs w:val="11"/>
          <w:b w:val="1"/>
          <w:bCs w:val="1"/>
          <w:color w:val="auto"/>
        </w:rPr>
        <w:t>Reducing Greenhouse Gas Emissions</w:t>
      </w:r>
      <w:r>
        <w:rPr>
          <w:rFonts w:ascii="Arial" w:cs="Arial" w:eastAsia="Arial" w:hAnsi="Arial"/>
          <w:sz w:val="11"/>
          <w:szCs w:val="11"/>
          <w:color w:val="auto"/>
        </w:rPr>
        <w:t>. As part of our commitment to reduce GHG emissions, we have been implementing solar projects to reduce dependency on conventional power sources, including installing rooftop and</w:t>
      </w:r>
      <w:r>
        <w:rPr>
          <w:rFonts w:ascii="Arial" w:cs="Arial" w:eastAsia="Arial" w:hAnsi="Arial"/>
          <w:sz w:val="11"/>
          <w:szCs w:val="11"/>
          <w:b w:val="1"/>
          <w:bCs w:val="1"/>
          <w:color w:val="auto"/>
        </w:rPr>
        <w:t xml:space="preserve"> </w:t>
      </w:r>
      <w:r>
        <w:rPr>
          <w:rFonts w:ascii="Arial" w:cs="Arial" w:eastAsia="Arial" w:hAnsi="Arial"/>
          <w:sz w:val="11"/>
          <w:szCs w:val="11"/>
          <w:color w:val="auto"/>
        </w:rPr>
        <w:t>carport solar systems at various facilities to offset the sites' energy usage.</w:t>
      </w:r>
    </w:p>
    <w:p>
      <w:pPr>
        <w:spacing w:after="0" w:line="51" w:lineRule="exact"/>
        <w:rPr>
          <w:sz w:val="20"/>
          <w:szCs w:val="20"/>
          <w:color w:val="auto"/>
        </w:rPr>
      </w:pPr>
    </w:p>
    <w:p>
      <w:pPr>
        <w:ind w:left="8"/>
        <w:spacing w:after="0" w:line="273" w:lineRule="auto"/>
        <w:rPr>
          <w:sz w:val="20"/>
          <w:szCs w:val="20"/>
          <w:color w:val="auto"/>
        </w:rPr>
      </w:pPr>
      <w:r>
        <w:rPr>
          <w:rFonts w:ascii="Arial" w:cs="Arial" w:eastAsia="Arial" w:hAnsi="Arial"/>
          <w:sz w:val="10"/>
          <w:szCs w:val="10"/>
          <w:color w:val="auto"/>
        </w:rPr>
        <w:t>We uphold our commitment to be carbon neutral by 2035 in our facilities and operations. Our GHG reduction program initially began in 2004, in our view setting us well on our way to achieving this commitment. Further to achieving our carbon neutrality goals, in 2023, we exceeded our 10-10-10 commitments that we established in 2019 to (i) reduce Scope 1 and 2 GHG emissions intensity by 10% from a 2018 baseline, (ii) deploy 10 renewable energy opportunities, and</w:t>
      </w:r>
    </w:p>
    <w:p>
      <w:pPr>
        <w:ind w:left="8" w:hanging="8"/>
        <w:spacing w:after="0" w:line="266" w:lineRule="auto"/>
        <w:tabs>
          <w:tab w:leader="none" w:pos="186" w:val="left"/>
        </w:tabs>
        <w:numPr>
          <w:ilvl w:val="0"/>
          <w:numId w:val="33"/>
        </w:numPr>
        <w:rPr>
          <w:rFonts w:ascii="Arial" w:cs="Arial" w:eastAsia="Arial" w:hAnsi="Arial"/>
          <w:sz w:val="11"/>
          <w:szCs w:val="11"/>
          <w:color w:val="auto"/>
        </w:rPr>
      </w:pPr>
      <w:r>
        <w:rPr>
          <w:rFonts w:ascii="Arial" w:cs="Arial" w:eastAsia="Arial" w:hAnsi="Arial"/>
          <w:sz w:val="11"/>
          <w:szCs w:val="11"/>
          <w:color w:val="auto"/>
        </w:rPr>
        <w:t>achieve certification to ISO 50001 Energy Management Standard at 10 facilities. In 2022, we joined the U.S. Department of Energy's Better Climate Challenge, pledging to reduce U.S. Scope 1 and 2 GHG emissions by 50% from a 2018 baseline. In addition, in 2023, our near-term science-based target, which includes Scope 3 emissions, was approved by the Science Based Target initiative (SBTi).</w:t>
      </w:r>
    </w:p>
    <w:p>
      <w:pPr>
        <w:spacing w:after="0" w:line="267" w:lineRule="exact"/>
        <w:rPr>
          <w:sz w:val="20"/>
          <w:szCs w:val="20"/>
          <w:color w:val="auto"/>
        </w:rPr>
      </w:pPr>
    </w:p>
    <w:p>
      <w:pPr>
        <w:ind w:left="268" w:hanging="268"/>
        <w:spacing w:after="0"/>
        <w:tabs>
          <w:tab w:leader="none" w:pos="268" w:val="left"/>
        </w:tabs>
        <w:numPr>
          <w:ilvl w:val="0"/>
          <w:numId w:val="34"/>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12" w:name="page13"/>
    <w:bookmarkEnd w:id="12"/>
    <w:p>
      <w:pPr>
        <w:ind w:left="8"/>
        <w:spacing w:after="0"/>
        <w:tabs>
          <w:tab w:leader="none" w:pos="1040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ESG OFFERINGS</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0"/>
          <w:szCs w:val="10"/>
          <w:color w:val="auto"/>
        </w:rPr>
        <w:t>We strive to lead the marketplace in sustainable technology development and help our customers meet their sustainability goals. We are innovating to solve the world’s toughest environmental, social, and governance (ESG) challenges.</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graphic below demonstrates our multitude of ESG-oriented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50165</wp:posOffset>
            </wp:positionV>
            <wp:extent cx="3806190" cy="29146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0619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28" w:hanging="316"/>
        <w:spacing w:after="0"/>
        <w:tabs>
          <w:tab w:leader="none" w:pos="328" w:val="left"/>
        </w:tabs>
        <w:numPr>
          <w:ilvl w:val="0"/>
          <w:numId w:val="35"/>
        </w:numPr>
        <w:rPr>
          <w:rFonts w:ascii="Arial" w:cs="Arial" w:eastAsia="Arial" w:hAnsi="Arial"/>
          <w:sz w:val="17"/>
          <w:szCs w:val="17"/>
          <w:color w:val="auto"/>
          <w:vertAlign w:val="superscript"/>
        </w:rPr>
      </w:pPr>
      <w:r>
        <w:rPr>
          <w:rFonts w:ascii="Arial" w:cs="Arial" w:eastAsia="Arial" w:hAnsi="Arial"/>
          <w:sz w:val="8"/>
          <w:szCs w:val="8"/>
          <w:color w:val="auto"/>
        </w:rPr>
        <w:t>Methodology for identifying ESG-oriented offerings is available at investor.honeywell.com (see “ESG/ESG Information/Identification of ESG-Oriented Offerings”).</w:t>
      </w:r>
    </w:p>
    <w:p>
      <w:pPr>
        <w:spacing w:after="0" w:line="136" w:lineRule="exact"/>
        <w:rPr>
          <w:rFonts w:ascii="Arial" w:cs="Arial" w:eastAsia="Arial" w:hAnsi="Arial"/>
          <w:sz w:val="17"/>
          <w:szCs w:val="17"/>
          <w:color w:val="auto"/>
          <w:vertAlign w:val="superscript"/>
        </w:rPr>
      </w:pPr>
    </w:p>
    <w:p>
      <w:pPr>
        <w:ind w:left="428" w:hanging="212"/>
        <w:spacing w:after="0" w:line="250" w:lineRule="auto"/>
        <w:tabs>
          <w:tab w:leader="none" w:pos="421" w:val="left"/>
        </w:tabs>
        <w:numPr>
          <w:ilvl w:val="1"/>
          <w:numId w:val="35"/>
        </w:numPr>
        <w:rPr>
          <w:rFonts w:ascii="Arial" w:cs="Arial" w:eastAsia="Arial" w:hAnsi="Arial"/>
          <w:sz w:val="11"/>
          <w:szCs w:val="11"/>
          <w:color w:val="D7282F"/>
        </w:rPr>
      </w:pPr>
      <w:r>
        <w:rPr>
          <w:rFonts w:ascii="Arial" w:cs="Arial" w:eastAsia="Arial" w:hAnsi="Arial"/>
          <w:sz w:val="11"/>
          <w:szCs w:val="11"/>
          <w:b w:val="1"/>
          <w:bCs w:val="1"/>
          <w:color w:val="auto"/>
        </w:rPr>
        <w:t>Honeywell Delivers Solutions For Pathways For Emissions Reductions</w:t>
      </w:r>
      <w:r>
        <w:rPr>
          <w:rFonts w:ascii="Arial" w:cs="Arial" w:eastAsia="Arial" w:hAnsi="Arial"/>
          <w:sz w:val="11"/>
          <w:szCs w:val="11"/>
          <w:color w:val="auto"/>
        </w:rPr>
        <w:t>. Our measurement and reporting technology integrates seamlessly with Software-as-a-Service (SaaS) technology, such as Honeywell Forge</w:t>
      </w:r>
      <w:r>
        <w:rPr>
          <w:rFonts w:ascii="Arial" w:cs="Arial" w:eastAsia="Arial" w:hAnsi="Arial"/>
          <w:sz w:val="11"/>
          <w:szCs w:val="11"/>
          <w:b w:val="1"/>
          <w:bCs w:val="1"/>
          <w:color w:val="auto"/>
        </w:rPr>
        <w:t xml:space="preserve"> </w:t>
      </w:r>
      <w:r>
        <w:rPr>
          <w:rFonts w:ascii="Arial" w:cs="Arial" w:eastAsia="Arial" w:hAnsi="Arial"/>
          <w:sz w:val="11"/>
          <w:szCs w:val="11"/>
          <w:color w:val="auto"/>
        </w:rPr>
        <w:t>Sustainability+ for Industrials | Emissions Management, for near real-time emissions reporting as a consolidated system of record.</w:t>
      </w:r>
    </w:p>
    <w:p>
      <w:pPr>
        <w:spacing w:after="0" w:line="24" w:lineRule="exact"/>
        <w:rPr>
          <w:rFonts w:ascii="Arial" w:cs="Arial" w:eastAsia="Arial" w:hAnsi="Arial"/>
          <w:sz w:val="11"/>
          <w:szCs w:val="11"/>
          <w:color w:val="D7282F"/>
        </w:rPr>
      </w:pPr>
    </w:p>
    <w:p>
      <w:pPr>
        <w:ind w:left="428" w:hanging="212"/>
        <w:spacing w:after="0" w:line="250" w:lineRule="auto"/>
        <w:tabs>
          <w:tab w:leader="none" w:pos="421" w:val="left"/>
        </w:tabs>
        <w:numPr>
          <w:ilvl w:val="1"/>
          <w:numId w:val="35"/>
        </w:numPr>
        <w:rPr>
          <w:rFonts w:ascii="Arial" w:cs="Arial" w:eastAsia="Arial" w:hAnsi="Arial"/>
          <w:sz w:val="11"/>
          <w:szCs w:val="11"/>
          <w:color w:val="D7282F"/>
        </w:rPr>
      </w:pPr>
      <w:r>
        <w:rPr>
          <w:rFonts w:ascii="Arial" w:cs="Arial" w:eastAsia="Arial" w:hAnsi="Arial"/>
          <w:sz w:val="11"/>
          <w:szCs w:val="11"/>
          <w:b w:val="1"/>
          <w:bCs w:val="1"/>
          <w:color w:val="auto"/>
        </w:rPr>
        <w:t>Honeywell Helps Define Pathways To Net Zero</w:t>
      </w:r>
      <w:r>
        <w:rPr>
          <w:rFonts w:ascii="Arial" w:cs="Arial" w:eastAsia="Arial" w:hAnsi="Arial"/>
          <w:sz w:val="11"/>
          <w:szCs w:val="11"/>
          <w:color w:val="auto"/>
        </w:rPr>
        <w:t>. We can deliver solutions to help drive the energy transition and decarbonization. We have unique expertise in essential technologies needed to help on the journey to create a</w:t>
      </w:r>
      <w:r>
        <w:rPr>
          <w:rFonts w:ascii="Arial" w:cs="Arial" w:eastAsia="Arial" w:hAnsi="Arial"/>
          <w:sz w:val="11"/>
          <w:szCs w:val="11"/>
          <w:b w:val="1"/>
          <w:bCs w:val="1"/>
          <w:color w:val="auto"/>
        </w:rPr>
        <w:t xml:space="preserve"> </w:t>
      </w:r>
      <w:r>
        <w:rPr>
          <w:rFonts w:ascii="Arial" w:cs="Arial" w:eastAsia="Arial" w:hAnsi="Arial"/>
          <w:sz w:val="11"/>
          <w:szCs w:val="11"/>
          <w:color w:val="auto"/>
        </w:rPr>
        <w:t>net-zero economy, including refrigerants, renewable diesel and aviation fuels, hydrogen production, and carbon capture, utilization, and storage.</w:t>
      </w:r>
    </w:p>
    <w:p>
      <w:pPr>
        <w:spacing w:after="0" w:line="24" w:lineRule="exact"/>
        <w:rPr>
          <w:rFonts w:ascii="Arial" w:cs="Arial" w:eastAsia="Arial" w:hAnsi="Arial"/>
          <w:sz w:val="11"/>
          <w:szCs w:val="11"/>
          <w:color w:val="D7282F"/>
        </w:rPr>
      </w:pPr>
    </w:p>
    <w:p>
      <w:pPr>
        <w:ind w:left="428" w:hanging="212"/>
        <w:spacing w:after="0" w:line="250" w:lineRule="auto"/>
        <w:tabs>
          <w:tab w:leader="none" w:pos="421" w:val="left"/>
        </w:tabs>
        <w:numPr>
          <w:ilvl w:val="1"/>
          <w:numId w:val="35"/>
        </w:numPr>
        <w:rPr>
          <w:rFonts w:ascii="Arial" w:cs="Arial" w:eastAsia="Arial" w:hAnsi="Arial"/>
          <w:sz w:val="11"/>
          <w:szCs w:val="11"/>
          <w:color w:val="D7282F"/>
        </w:rPr>
      </w:pPr>
      <w:r>
        <w:rPr>
          <w:rFonts w:ascii="Arial" w:cs="Arial" w:eastAsia="Arial" w:hAnsi="Arial"/>
          <w:sz w:val="11"/>
          <w:szCs w:val="11"/>
          <w:b w:val="1"/>
          <w:bCs w:val="1"/>
          <w:color w:val="auto"/>
        </w:rPr>
        <w:t xml:space="preserve">Honeywell Sets The Pace For A More Electric Future. </w:t>
      </w:r>
      <w:r>
        <w:rPr>
          <w:rFonts w:ascii="Arial" w:cs="Arial" w:eastAsia="Arial" w:hAnsi="Arial"/>
          <w:sz w:val="11"/>
          <w:szCs w:val="11"/>
          <w:color w:val="auto"/>
        </w:rPr>
        <w:t>We provide ready-now solutions for more-electric aircraft, electric vehicles, and advanced energy storage systems, including a broad array of sensors for use in battery</w:t>
      </w:r>
      <w:r>
        <w:rPr>
          <w:rFonts w:ascii="Arial" w:cs="Arial" w:eastAsia="Arial" w:hAnsi="Arial"/>
          <w:sz w:val="11"/>
          <w:szCs w:val="11"/>
          <w:b w:val="1"/>
          <w:bCs w:val="1"/>
          <w:color w:val="auto"/>
        </w:rPr>
        <w:t xml:space="preserve"> </w:t>
      </w:r>
      <w:r>
        <w:rPr>
          <w:rFonts w:ascii="Arial" w:cs="Arial" w:eastAsia="Arial" w:hAnsi="Arial"/>
          <w:sz w:val="11"/>
          <w:szCs w:val="11"/>
          <w:color w:val="auto"/>
        </w:rPr>
        <w:t>management systems, electric drive control, energy storage systems, and battery safety applications.</w:t>
      </w:r>
    </w:p>
    <w:p>
      <w:pPr>
        <w:spacing w:after="0" w:line="15" w:lineRule="exact"/>
        <w:rPr>
          <w:rFonts w:ascii="Arial" w:cs="Arial" w:eastAsia="Arial" w:hAnsi="Arial"/>
          <w:sz w:val="11"/>
          <w:szCs w:val="11"/>
          <w:color w:val="D7282F"/>
        </w:rPr>
      </w:pPr>
    </w:p>
    <w:p>
      <w:pPr>
        <w:ind w:left="428" w:hanging="212"/>
        <w:spacing w:after="0" w:line="250" w:lineRule="auto"/>
        <w:tabs>
          <w:tab w:leader="none" w:pos="421" w:val="left"/>
        </w:tabs>
        <w:numPr>
          <w:ilvl w:val="1"/>
          <w:numId w:val="35"/>
        </w:numPr>
        <w:rPr>
          <w:rFonts w:ascii="Arial" w:cs="Arial" w:eastAsia="Arial" w:hAnsi="Arial"/>
          <w:sz w:val="11"/>
          <w:szCs w:val="11"/>
          <w:color w:val="D7282F"/>
        </w:rPr>
      </w:pPr>
      <w:r>
        <w:rPr>
          <w:rFonts w:ascii="Arial" w:cs="Arial" w:eastAsia="Arial" w:hAnsi="Arial"/>
          <w:sz w:val="11"/>
          <w:szCs w:val="11"/>
          <w:b w:val="1"/>
          <w:bCs w:val="1"/>
          <w:color w:val="auto"/>
        </w:rPr>
        <w:t>Honeywell Helps Deliver Healthier And More Sustainable Buildings</w:t>
      </w:r>
      <w:r>
        <w:rPr>
          <w:rFonts w:ascii="Arial" w:cs="Arial" w:eastAsia="Arial" w:hAnsi="Arial"/>
          <w:sz w:val="11"/>
          <w:szCs w:val="11"/>
          <w:color w:val="auto"/>
        </w:rPr>
        <w:t>. Our suite of solutions help building owners and operators control critical health, safety and security factors to enable compliance with changing building</w:t>
      </w:r>
      <w:r>
        <w:rPr>
          <w:rFonts w:ascii="Arial" w:cs="Arial" w:eastAsia="Arial" w:hAnsi="Arial"/>
          <w:sz w:val="11"/>
          <w:szCs w:val="11"/>
          <w:b w:val="1"/>
          <w:bCs w:val="1"/>
          <w:color w:val="auto"/>
        </w:rPr>
        <w:t xml:space="preserve"> </w:t>
      </w:r>
      <w:r>
        <w:rPr>
          <w:rFonts w:ascii="Arial" w:cs="Arial" w:eastAsia="Arial" w:hAnsi="Arial"/>
          <w:sz w:val="11"/>
          <w:szCs w:val="11"/>
          <w:color w:val="auto"/>
        </w:rPr>
        <w:t>standards, safety guidelines, regulations, and risk management policies.</w:t>
      </w:r>
    </w:p>
    <w:p>
      <w:pPr>
        <w:spacing w:after="0" w:line="24" w:lineRule="exact"/>
        <w:rPr>
          <w:rFonts w:ascii="Arial" w:cs="Arial" w:eastAsia="Arial" w:hAnsi="Arial"/>
          <w:sz w:val="11"/>
          <w:szCs w:val="11"/>
          <w:color w:val="D7282F"/>
        </w:rPr>
      </w:pPr>
    </w:p>
    <w:p>
      <w:pPr>
        <w:ind w:left="428" w:right="20" w:hanging="212"/>
        <w:spacing w:after="0" w:line="250" w:lineRule="auto"/>
        <w:tabs>
          <w:tab w:leader="none" w:pos="421" w:val="left"/>
        </w:tabs>
        <w:numPr>
          <w:ilvl w:val="1"/>
          <w:numId w:val="35"/>
        </w:numPr>
        <w:rPr>
          <w:rFonts w:ascii="Arial" w:cs="Arial" w:eastAsia="Arial" w:hAnsi="Arial"/>
          <w:sz w:val="11"/>
          <w:szCs w:val="11"/>
          <w:color w:val="D7282F"/>
        </w:rPr>
      </w:pPr>
      <w:r>
        <w:rPr>
          <w:rFonts w:ascii="Arial" w:cs="Arial" w:eastAsia="Arial" w:hAnsi="Arial"/>
          <w:sz w:val="11"/>
          <w:szCs w:val="11"/>
          <w:b w:val="1"/>
          <w:bCs w:val="1"/>
          <w:color w:val="auto"/>
        </w:rPr>
        <w:t>Honeywell Sets Course For A Cleaner Future For Aviation</w:t>
      </w:r>
      <w:r>
        <w:rPr>
          <w:rFonts w:ascii="Arial" w:cs="Arial" w:eastAsia="Arial" w:hAnsi="Arial"/>
          <w:sz w:val="11"/>
          <w:szCs w:val="11"/>
          <w:color w:val="auto"/>
        </w:rPr>
        <w:t>. We offer proven processes for sustainable aviation fuel production, advanced software that can enable real-time fuel-saving decisions, and electric and hybrid power</w:t>
      </w:r>
      <w:r>
        <w:rPr>
          <w:rFonts w:ascii="Arial" w:cs="Arial" w:eastAsia="Arial" w:hAnsi="Arial"/>
          <w:sz w:val="11"/>
          <w:szCs w:val="11"/>
          <w:b w:val="1"/>
          <w:bCs w:val="1"/>
          <w:color w:val="auto"/>
        </w:rPr>
        <w:t xml:space="preserve"> </w:t>
      </w:r>
      <w:r>
        <w:rPr>
          <w:rFonts w:ascii="Arial" w:cs="Arial" w:eastAsia="Arial" w:hAnsi="Arial"/>
          <w:sz w:val="11"/>
          <w:szCs w:val="11"/>
          <w:color w:val="auto"/>
        </w:rPr>
        <w:t>systems that foreshadow the cleaner future of flight.</w:t>
      </w:r>
    </w:p>
    <w:p>
      <w:pPr>
        <w:spacing w:after="0" w:line="51" w:lineRule="exact"/>
        <w:rPr>
          <w:sz w:val="20"/>
          <w:szCs w:val="20"/>
          <w:color w:val="auto"/>
        </w:rPr>
      </w:pPr>
    </w:p>
    <w:p>
      <w:pPr>
        <w:ind w:left="8"/>
        <w:spacing w:after="0" w:line="285" w:lineRule="auto"/>
        <w:rPr>
          <w:sz w:val="20"/>
          <w:szCs w:val="20"/>
          <w:color w:val="auto"/>
        </w:rPr>
      </w:pPr>
      <w:r>
        <w:rPr>
          <w:rFonts w:ascii="Arial" w:cs="Arial" w:eastAsia="Arial" w:hAnsi="Arial"/>
          <w:sz w:val="11"/>
          <w:szCs w:val="11"/>
          <w:color w:val="auto"/>
        </w:rPr>
        <w:t>Additional information regarding our sustainability initiatives and strategy is included in our 2023 Environmental, Social and Governance Report, which can be found on our website (honeywell.com); this report is not incorporated into this Form 10-K by reference and should not be considered part of this Form 10-K.</w:t>
      </w:r>
    </w:p>
    <w:p>
      <w:pPr>
        <w:spacing w:after="0" w:line="257" w:lineRule="exact"/>
        <w:rPr>
          <w:sz w:val="20"/>
          <w:szCs w:val="20"/>
          <w:color w:val="auto"/>
        </w:rPr>
      </w:pPr>
    </w:p>
    <w:p>
      <w:pPr>
        <w:ind w:left="268" w:hanging="268"/>
        <w:spacing w:after="0"/>
        <w:tabs>
          <w:tab w:leader="none" w:pos="268" w:val="left"/>
        </w:tabs>
        <w:numPr>
          <w:ilvl w:val="0"/>
          <w:numId w:val="36"/>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13" w:name="page14"/>
    <w:bookmarkEnd w:id="13"/>
    <w:p>
      <w:pPr>
        <w:ind w:left="8"/>
        <w:spacing w:after="0"/>
        <w:tabs>
          <w:tab w:leader="none" w:pos="1040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
        <w:spacing w:after="0"/>
        <w:rPr>
          <w:sz w:val="20"/>
          <w:szCs w:val="20"/>
          <w:color w:val="auto"/>
        </w:rPr>
      </w:pPr>
      <w:r>
        <w:rPr>
          <w:rFonts w:ascii="Arial" w:cs="Arial" w:eastAsia="Arial" w:hAnsi="Arial"/>
          <w:sz w:val="19"/>
          <w:szCs w:val="19"/>
          <w:color w:val="D7282F"/>
        </w:rPr>
        <w:t>HUMAN CAPITAL MANAGEMENT</w:t>
      </w:r>
    </w:p>
    <w:p>
      <w:pPr>
        <w:spacing w:after="0" w:line="163" w:lineRule="exact"/>
        <w:rPr>
          <w:sz w:val="20"/>
          <w:szCs w:val="20"/>
          <w:color w:val="auto"/>
        </w:rPr>
      </w:pPr>
    </w:p>
    <w:p>
      <w:pPr>
        <w:jc w:val="both"/>
        <w:ind w:left="8"/>
        <w:spacing w:after="0" w:line="228" w:lineRule="auto"/>
        <w:rPr>
          <w:sz w:val="20"/>
          <w:szCs w:val="20"/>
          <w:color w:val="auto"/>
        </w:rPr>
      </w:pPr>
      <w:r>
        <w:rPr>
          <w:rFonts w:ascii="Arial" w:cs="Arial" w:eastAsia="Arial" w:hAnsi="Arial"/>
          <w:sz w:val="11"/>
          <w:szCs w:val="11"/>
          <w:color w:val="auto"/>
        </w:rPr>
        <w:t>We believe a commitment to and investment in human capital management enables better decision-making, helps us build competitive advantage, and furthers our long-term success. As of December 31, 2023, we employed approximately 95,000</w:t>
      </w:r>
      <w:r>
        <w:rPr>
          <w:rFonts w:ascii="Arial" w:cs="Arial" w:eastAsia="Arial" w:hAnsi="Arial"/>
          <w:sz w:val="14"/>
          <w:szCs w:val="14"/>
          <w:color w:val="auto"/>
          <w:vertAlign w:val="superscript"/>
        </w:rPr>
        <w:t>1</w:t>
      </w:r>
      <w:r>
        <w:rPr>
          <w:rFonts w:ascii="Arial" w:cs="Arial" w:eastAsia="Arial" w:hAnsi="Arial"/>
          <w:sz w:val="11"/>
          <w:szCs w:val="11"/>
          <w:color w:val="auto"/>
        </w:rPr>
        <w:t xml:space="preserve"> employees across 79 countries, 33,000</w:t>
      </w:r>
      <w:r>
        <w:rPr>
          <w:rFonts w:ascii="Arial" w:cs="Arial" w:eastAsia="Arial" w:hAnsi="Arial"/>
          <w:sz w:val="14"/>
          <w:szCs w:val="14"/>
          <w:color w:val="auto"/>
          <w:vertAlign w:val="superscript"/>
        </w:rPr>
        <w:t>1</w:t>
      </w:r>
      <w:r>
        <w:rPr>
          <w:rFonts w:ascii="Arial" w:cs="Arial" w:eastAsia="Arial" w:hAnsi="Arial"/>
          <w:sz w:val="11"/>
          <w:szCs w:val="11"/>
          <w:color w:val="auto"/>
        </w:rPr>
        <w:t xml:space="preserve"> of whom are in the United States. Human capital management is the key driver of our performance culture, which enables our workforce to respond to the fast-changing needs of our customers.</w:t>
      </w:r>
    </w:p>
    <w:p>
      <w:pPr>
        <w:spacing w:after="0" w:line="83"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320" w:type="dxa"/>
            <w:vAlign w:val="bottom"/>
            <w:shd w:val="clear" w:color="auto" w:fill="EBEBEC"/>
          </w:tcPr>
          <w:p>
            <w:pPr>
              <w:spacing w:after="0"/>
              <w:rPr>
                <w:sz w:val="12"/>
                <w:szCs w:val="12"/>
                <w:color w:val="auto"/>
              </w:rPr>
            </w:pPr>
          </w:p>
        </w:tc>
        <w:tc>
          <w:tcPr>
            <w:tcW w:w="3460" w:type="dxa"/>
            <w:vAlign w:val="bottom"/>
            <w:vMerge w:val="restart"/>
            <w:shd w:val="clear" w:color="auto" w:fill="EBEBEC"/>
          </w:tcPr>
          <w:p>
            <w:pPr>
              <w:spacing w:after="0"/>
              <w:rPr>
                <w:sz w:val="20"/>
                <w:szCs w:val="20"/>
                <w:color w:val="auto"/>
              </w:rPr>
            </w:pPr>
            <w:r>
              <w:rPr>
                <w:rFonts w:ascii="Arial" w:cs="Arial" w:eastAsia="Arial" w:hAnsi="Arial"/>
                <w:sz w:val="11"/>
                <w:szCs w:val="11"/>
                <w:color w:val="auto"/>
              </w:rPr>
              <w:t xml:space="preserve">As of </w:t>
            </w:r>
            <w:r>
              <w:rPr>
                <w:rFonts w:ascii="Arial" w:cs="Arial" w:eastAsia="Arial" w:hAnsi="Arial"/>
                <w:sz w:val="11"/>
                <w:szCs w:val="11"/>
                <w:b w:val="1"/>
                <w:bCs w:val="1"/>
                <w:color w:val="auto"/>
              </w:rPr>
              <w:t>December 31, 2023</w:t>
            </w:r>
            <w:r>
              <w:rPr>
                <w:rFonts w:ascii="Arial" w:cs="Arial" w:eastAsia="Arial" w:hAnsi="Arial"/>
                <w:sz w:val="11"/>
                <w:szCs w:val="11"/>
                <w:color w:val="auto"/>
              </w:rPr>
              <w:t>, we employed approximately</w:t>
            </w:r>
          </w:p>
        </w:tc>
        <w:tc>
          <w:tcPr>
            <w:tcW w:w="200" w:type="dxa"/>
            <w:vAlign w:val="bottom"/>
            <w:tcBorders>
              <w:left w:val="single" w:sz="8" w:color="EBEBEC"/>
            </w:tcBorders>
            <w:shd w:val="clear" w:color="auto" w:fill="EBEBEC"/>
          </w:tcPr>
          <w:p>
            <w:pPr>
              <w:spacing w:after="0"/>
              <w:rPr>
                <w:sz w:val="12"/>
                <w:szCs w:val="12"/>
                <w:color w:val="auto"/>
              </w:rPr>
            </w:pPr>
          </w:p>
        </w:tc>
        <w:tc>
          <w:tcPr>
            <w:tcW w:w="3580" w:type="dxa"/>
            <w:vAlign w:val="bottom"/>
            <w:vMerge w:val="restart"/>
            <w:shd w:val="clear" w:color="auto" w:fill="EBEBEC"/>
          </w:tcPr>
          <w:p>
            <w:pPr>
              <w:ind w:left="20"/>
              <w:spacing w:after="0"/>
              <w:rPr>
                <w:sz w:val="20"/>
                <w:szCs w:val="20"/>
                <w:color w:val="auto"/>
              </w:rPr>
            </w:pPr>
            <w:r>
              <w:rPr>
                <w:rFonts w:ascii="Arial" w:cs="Arial" w:eastAsia="Arial" w:hAnsi="Arial"/>
                <w:sz w:val="11"/>
                <w:szCs w:val="11"/>
                <w:color w:val="auto"/>
              </w:rPr>
              <w:t>Across</w:t>
            </w:r>
          </w:p>
        </w:tc>
        <w:tc>
          <w:tcPr>
            <w:tcW w:w="200" w:type="dxa"/>
            <w:vAlign w:val="bottom"/>
            <w:tcBorders>
              <w:left w:val="single" w:sz="8" w:color="EBEBEC"/>
            </w:tcBorders>
            <w:shd w:val="clear" w:color="auto" w:fill="EBEBEC"/>
          </w:tcPr>
          <w:p>
            <w:pPr>
              <w:spacing w:after="0"/>
              <w:rPr>
                <w:sz w:val="12"/>
                <w:szCs w:val="12"/>
                <w:color w:val="auto"/>
              </w:rPr>
            </w:pPr>
          </w:p>
        </w:tc>
        <w:tc>
          <w:tcPr>
            <w:tcW w:w="3540" w:type="dxa"/>
            <w:vAlign w:val="bottom"/>
            <w:vMerge w:val="restart"/>
            <w:shd w:val="clear" w:color="auto" w:fill="EBEBEC"/>
          </w:tcPr>
          <w:p>
            <w:pPr>
              <w:ind w:left="20"/>
              <w:spacing w:after="0"/>
              <w:rPr>
                <w:sz w:val="20"/>
                <w:szCs w:val="20"/>
                <w:color w:val="auto"/>
              </w:rPr>
            </w:pPr>
            <w:r>
              <w:rPr>
                <w:rFonts w:ascii="Arial" w:cs="Arial" w:eastAsia="Arial" w:hAnsi="Arial"/>
                <w:sz w:val="24"/>
                <w:szCs w:val="24"/>
                <w:b w:val="1"/>
                <w:bCs w:val="1"/>
                <w:color w:val="D7282F"/>
              </w:rPr>
              <w:t>33,000</w:t>
            </w:r>
            <w:r>
              <w:rPr>
                <w:rFonts w:ascii="Arial" w:cs="Arial" w:eastAsia="Arial" w:hAnsi="Arial"/>
                <w:sz w:val="31"/>
                <w:szCs w:val="31"/>
                <w:b w:val="1"/>
                <w:bCs w:val="1"/>
                <w:color w:val="D7282F"/>
                <w:vertAlign w:val="superscript"/>
              </w:rPr>
              <w:t>1</w:t>
            </w:r>
          </w:p>
        </w:tc>
        <w:tc>
          <w:tcPr>
            <w:tcW w:w="0" w:type="dxa"/>
            <w:vAlign w:val="bottom"/>
          </w:tcPr>
          <w:p>
            <w:pPr>
              <w:spacing w:after="0"/>
              <w:rPr>
                <w:sz w:val="1"/>
                <w:szCs w:val="1"/>
                <w:color w:val="auto"/>
              </w:rPr>
            </w:pPr>
          </w:p>
        </w:tc>
      </w:tr>
      <w:tr>
        <w:trPr>
          <w:trHeight w:val="655"/>
        </w:trPr>
        <w:tc>
          <w:tcPr>
            <w:tcW w:w="320" w:type="dxa"/>
            <w:vAlign w:val="bottom"/>
            <w:shd w:val="clear" w:color="auto" w:fill="EBEBEC"/>
          </w:tcPr>
          <w:p>
            <w:pPr>
              <w:spacing w:after="0"/>
              <w:rPr>
                <w:sz w:val="24"/>
                <w:szCs w:val="24"/>
                <w:color w:val="auto"/>
              </w:rPr>
            </w:pPr>
          </w:p>
        </w:tc>
        <w:tc>
          <w:tcPr>
            <w:tcW w:w="3460" w:type="dxa"/>
            <w:vAlign w:val="bottom"/>
            <w:vMerge w:val="continue"/>
            <w:shd w:val="clear" w:color="auto" w:fill="EBEBEC"/>
          </w:tcPr>
          <w:p>
            <w:pPr>
              <w:spacing w:after="0"/>
              <w:rPr>
                <w:sz w:val="24"/>
                <w:szCs w:val="24"/>
                <w:color w:val="auto"/>
              </w:rPr>
            </w:pPr>
          </w:p>
        </w:tc>
        <w:tc>
          <w:tcPr>
            <w:tcW w:w="200" w:type="dxa"/>
            <w:vAlign w:val="bottom"/>
            <w:tcBorders>
              <w:left w:val="single" w:sz="8" w:color="D7282F"/>
            </w:tcBorders>
            <w:shd w:val="clear" w:color="auto" w:fill="EBEBEC"/>
          </w:tcPr>
          <w:p>
            <w:pPr>
              <w:spacing w:after="0"/>
              <w:rPr>
                <w:sz w:val="24"/>
                <w:szCs w:val="24"/>
                <w:color w:val="auto"/>
              </w:rPr>
            </w:pPr>
          </w:p>
        </w:tc>
        <w:tc>
          <w:tcPr>
            <w:tcW w:w="3580" w:type="dxa"/>
            <w:vAlign w:val="bottom"/>
            <w:vMerge w:val="continue"/>
            <w:shd w:val="clear" w:color="auto" w:fill="EBEBEC"/>
          </w:tcPr>
          <w:p>
            <w:pPr>
              <w:spacing w:after="0"/>
              <w:rPr>
                <w:sz w:val="24"/>
                <w:szCs w:val="24"/>
                <w:color w:val="auto"/>
              </w:rPr>
            </w:pPr>
          </w:p>
        </w:tc>
        <w:tc>
          <w:tcPr>
            <w:tcW w:w="200" w:type="dxa"/>
            <w:vAlign w:val="bottom"/>
            <w:tcBorders>
              <w:left w:val="single" w:sz="8" w:color="D7282F"/>
            </w:tcBorders>
            <w:shd w:val="clear" w:color="auto" w:fill="EBEBEC"/>
          </w:tcPr>
          <w:p>
            <w:pPr>
              <w:spacing w:after="0"/>
              <w:rPr>
                <w:sz w:val="24"/>
                <w:szCs w:val="24"/>
                <w:color w:val="auto"/>
              </w:rPr>
            </w:pPr>
          </w:p>
        </w:tc>
        <w:tc>
          <w:tcPr>
            <w:tcW w:w="3540" w:type="dxa"/>
            <w:vAlign w:val="bottom"/>
            <w:vMerge w:val="continue"/>
            <w:shd w:val="clear" w:color="auto" w:fill="EBEBEC"/>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20" w:type="dxa"/>
            <w:vAlign w:val="bottom"/>
            <w:shd w:val="clear" w:color="auto" w:fill="EBEBEC"/>
          </w:tcPr>
          <w:p>
            <w:pPr>
              <w:spacing w:after="0"/>
              <w:rPr>
                <w:sz w:val="16"/>
                <w:szCs w:val="16"/>
                <w:color w:val="auto"/>
              </w:rPr>
            </w:pPr>
          </w:p>
        </w:tc>
        <w:tc>
          <w:tcPr>
            <w:tcW w:w="3460" w:type="dxa"/>
            <w:vAlign w:val="bottom"/>
            <w:vMerge w:val="restart"/>
            <w:shd w:val="clear" w:color="auto" w:fill="EBEBEC"/>
          </w:tcPr>
          <w:p>
            <w:pPr>
              <w:spacing w:after="0"/>
              <w:rPr>
                <w:sz w:val="20"/>
                <w:szCs w:val="20"/>
                <w:color w:val="auto"/>
              </w:rPr>
            </w:pPr>
            <w:r>
              <w:rPr>
                <w:rFonts w:ascii="Arial" w:cs="Arial" w:eastAsia="Arial" w:hAnsi="Arial"/>
                <w:sz w:val="24"/>
                <w:szCs w:val="24"/>
                <w:b w:val="1"/>
                <w:bCs w:val="1"/>
                <w:color w:val="D7282F"/>
              </w:rPr>
              <w:t>95,000 EMPLOYEES</w:t>
            </w:r>
            <w:r>
              <w:rPr>
                <w:rFonts w:ascii="Arial" w:cs="Arial" w:eastAsia="Arial" w:hAnsi="Arial"/>
                <w:sz w:val="31"/>
                <w:szCs w:val="31"/>
                <w:b w:val="1"/>
                <w:bCs w:val="1"/>
                <w:color w:val="D7282F"/>
                <w:vertAlign w:val="superscript"/>
              </w:rPr>
              <w:t>1</w:t>
            </w:r>
          </w:p>
        </w:tc>
        <w:tc>
          <w:tcPr>
            <w:tcW w:w="200" w:type="dxa"/>
            <w:vAlign w:val="bottom"/>
            <w:tcBorders>
              <w:left w:val="single" w:sz="8" w:color="D7282F"/>
            </w:tcBorders>
            <w:shd w:val="clear" w:color="auto" w:fill="EBEBEC"/>
          </w:tcPr>
          <w:p>
            <w:pPr>
              <w:spacing w:after="0"/>
              <w:rPr>
                <w:sz w:val="16"/>
                <w:szCs w:val="16"/>
                <w:color w:val="auto"/>
              </w:rPr>
            </w:pPr>
          </w:p>
        </w:tc>
        <w:tc>
          <w:tcPr>
            <w:tcW w:w="3580" w:type="dxa"/>
            <w:vAlign w:val="bottom"/>
            <w:vMerge w:val="restart"/>
            <w:shd w:val="clear" w:color="auto" w:fill="EBEBEC"/>
          </w:tcPr>
          <w:p>
            <w:pPr>
              <w:ind w:left="20"/>
              <w:spacing w:after="0"/>
              <w:rPr>
                <w:sz w:val="20"/>
                <w:szCs w:val="20"/>
                <w:color w:val="auto"/>
              </w:rPr>
            </w:pPr>
            <w:r>
              <w:rPr>
                <w:rFonts w:ascii="Arial" w:cs="Arial" w:eastAsia="Arial" w:hAnsi="Arial"/>
                <w:sz w:val="24"/>
                <w:szCs w:val="24"/>
                <w:b w:val="1"/>
                <w:bCs w:val="1"/>
                <w:color w:val="D7282F"/>
              </w:rPr>
              <w:t>79 COUNTRIES</w:t>
            </w:r>
          </w:p>
        </w:tc>
        <w:tc>
          <w:tcPr>
            <w:tcW w:w="200" w:type="dxa"/>
            <w:vAlign w:val="bottom"/>
            <w:tcBorders>
              <w:left w:val="single" w:sz="8" w:color="D7282F"/>
            </w:tcBorders>
            <w:shd w:val="clear" w:color="auto" w:fill="EBEBEC"/>
          </w:tcPr>
          <w:p>
            <w:pPr>
              <w:spacing w:after="0"/>
              <w:rPr>
                <w:sz w:val="16"/>
                <w:szCs w:val="16"/>
                <w:color w:val="auto"/>
              </w:rPr>
            </w:pPr>
          </w:p>
        </w:tc>
        <w:tc>
          <w:tcPr>
            <w:tcW w:w="3540" w:type="dxa"/>
            <w:vAlign w:val="bottom"/>
            <w:vMerge w:val="continue"/>
            <w:shd w:val="clear" w:color="auto" w:fill="EBEBEC"/>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320" w:type="dxa"/>
            <w:vAlign w:val="bottom"/>
            <w:tcBorders>
              <w:bottom w:val="single" w:sz="8" w:color="EBEBEC"/>
            </w:tcBorders>
            <w:shd w:val="clear" w:color="auto" w:fill="EBEBEC"/>
          </w:tcPr>
          <w:p>
            <w:pPr>
              <w:spacing w:after="0"/>
              <w:rPr>
                <w:sz w:val="24"/>
                <w:szCs w:val="24"/>
                <w:color w:val="auto"/>
              </w:rPr>
            </w:pPr>
          </w:p>
        </w:tc>
        <w:tc>
          <w:tcPr>
            <w:tcW w:w="3460" w:type="dxa"/>
            <w:vAlign w:val="bottom"/>
            <w:tcBorders>
              <w:bottom w:val="single" w:sz="8" w:color="EBEBEC"/>
            </w:tcBorders>
            <w:vMerge w:val="continue"/>
            <w:shd w:val="clear" w:color="auto" w:fill="EBEBEC"/>
          </w:tcPr>
          <w:p>
            <w:pPr>
              <w:spacing w:after="0"/>
              <w:rPr>
                <w:sz w:val="24"/>
                <w:szCs w:val="24"/>
                <w:color w:val="auto"/>
              </w:rPr>
            </w:pPr>
          </w:p>
        </w:tc>
        <w:tc>
          <w:tcPr>
            <w:tcW w:w="200" w:type="dxa"/>
            <w:vAlign w:val="bottom"/>
            <w:tcBorders>
              <w:left w:val="single" w:sz="8" w:color="D7282F"/>
              <w:bottom w:val="single" w:sz="8" w:color="EBEBEC"/>
            </w:tcBorders>
            <w:shd w:val="clear" w:color="auto" w:fill="EBEBEC"/>
          </w:tcPr>
          <w:p>
            <w:pPr>
              <w:spacing w:after="0"/>
              <w:rPr>
                <w:sz w:val="24"/>
                <w:szCs w:val="24"/>
                <w:color w:val="auto"/>
              </w:rPr>
            </w:pPr>
          </w:p>
        </w:tc>
        <w:tc>
          <w:tcPr>
            <w:tcW w:w="3580" w:type="dxa"/>
            <w:vAlign w:val="bottom"/>
            <w:tcBorders>
              <w:bottom w:val="single" w:sz="8" w:color="EBEBEC"/>
            </w:tcBorders>
            <w:vMerge w:val="continue"/>
            <w:shd w:val="clear" w:color="auto" w:fill="EBEBEC"/>
          </w:tcPr>
          <w:p>
            <w:pPr>
              <w:spacing w:after="0"/>
              <w:rPr>
                <w:sz w:val="24"/>
                <w:szCs w:val="24"/>
                <w:color w:val="auto"/>
              </w:rPr>
            </w:pPr>
          </w:p>
        </w:tc>
        <w:tc>
          <w:tcPr>
            <w:tcW w:w="200" w:type="dxa"/>
            <w:vAlign w:val="bottom"/>
            <w:tcBorders>
              <w:left w:val="single" w:sz="8" w:color="D7282F"/>
              <w:bottom w:val="single" w:sz="8" w:color="EBEBEC"/>
            </w:tcBorders>
            <w:shd w:val="clear" w:color="auto" w:fill="EBEBEC"/>
          </w:tcPr>
          <w:p>
            <w:pPr>
              <w:spacing w:after="0"/>
              <w:rPr>
                <w:sz w:val="24"/>
                <w:szCs w:val="24"/>
                <w:color w:val="auto"/>
              </w:rPr>
            </w:pPr>
          </w:p>
        </w:tc>
        <w:tc>
          <w:tcPr>
            <w:tcW w:w="3540" w:type="dxa"/>
            <w:vAlign w:val="bottom"/>
            <w:tcBorders>
              <w:bottom w:val="single" w:sz="8" w:color="EBEBEC"/>
            </w:tcBorders>
            <w:shd w:val="clear" w:color="auto" w:fill="EBEBEC"/>
          </w:tcPr>
          <w:p>
            <w:pPr>
              <w:ind w:left="20"/>
              <w:spacing w:after="0"/>
              <w:rPr>
                <w:sz w:val="20"/>
                <w:szCs w:val="20"/>
                <w:color w:val="auto"/>
              </w:rPr>
            </w:pPr>
            <w:r>
              <w:rPr>
                <w:rFonts w:ascii="Arial" w:cs="Arial" w:eastAsia="Arial" w:hAnsi="Arial"/>
                <w:sz w:val="11"/>
                <w:szCs w:val="11"/>
                <w:color w:val="auto"/>
              </w:rPr>
              <w:t>of whom are in the United States.</w:t>
            </w:r>
          </w:p>
        </w:tc>
        <w:tc>
          <w:tcPr>
            <w:tcW w:w="0" w:type="dxa"/>
            <w:vAlign w:val="bottom"/>
          </w:tcPr>
          <w:p>
            <w:pPr>
              <w:spacing w:after="0"/>
              <w:rPr>
                <w:sz w:val="1"/>
                <w:szCs w:val="1"/>
                <w:color w:val="auto"/>
              </w:rPr>
            </w:pPr>
          </w:p>
        </w:tc>
      </w:tr>
      <w:tr>
        <w:trPr>
          <w:trHeight w:val="36"/>
        </w:trPr>
        <w:tc>
          <w:tcPr>
            <w:tcW w:w="320" w:type="dxa"/>
            <w:vAlign w:val="bottom"/>
            <w:shd w:val="clear" w:color="auto" w:fill="EBEBEC"/>
          </w:tcPr>
          <w:p>
            <w:pPr>
              <w:spacing w:after="0"/>
              <w:rPr>
                <w:sz w:val="3"/>
                <w:szCs w:val="3"/>
                <w:color w:val="auto"/>
              </w:rPr>
            </w:pPr>
          </w:p>
        </w:tc>
        <w:tc>
          <w:tcPr>
            <w:tcW w:w="3460" w:type="dxa"/>
            <w:vAlign w:val="bottom"/>
            <w:shd w:val="clear" w:color="auto" w:fill="EBEBEC"/>
          </w:tcPr>
          <w:p>
            <w:pPr>
              <w:spacing w:after="0"/>
              <w:rPr>
                <w:sz w:val="3"/>
                <w:szCs w:val="3"/>
                <w:color w:val="auto"/>
              </w:rPr>
            </w:pPr>
          </w:p>
        </w:tc>
        <w:tc>
          <w:tcPr>
            <w:tcW w:w="200" w:type="dxa"/>
            <w:vAlign w:val="bottom"/>
            <w:tcBorders>
              <w:left w:val="single" w:sz="8" w:color="EBEBEC"/>
            </w:tcBorders>
            <w:shd w:val="clear" w:color="auto" w:fill="EBEBEC"/>
          </w:tcPr>
          <w:p>
            <w:pPr>
              <w:spacing w:after="0"/>
              <w:rPr>
                <w:sz w:val="3"/>
                <w:szCs w:val="3"/>
                <w:color w:val="auto"/>
              </w:rPr>
            </w:pPr>
          </w:p>
        </w:tc>
        <w:tc>
          <w:tcPr>
            <w:tcW w:w="3580" w:type="dxa"/>
            <w:vAlign w:val="bottom"/>
            <w:shd w:val="clear" w:color="auto" w:fill="EBEBEC"/>
          </w:tcPr>
          <w:p>
            <w:pPr>
              <w:spacing w:after="0"/>
              <w:rPr>
                <w:sz w:val="3"/>
                <w:szCs w:val="3"/>
                <w:color w:val="auto"/>
              </w:rPr>
            </w:pPr>
          </w:p>
        </w:tc>
        <w:tc>
          <w:tcPr>
            <w:tcW w:w="200" w:type="dxa"/>
            <w:vAlign w:val="bottom"/>
            <w:tcBorders>
              <w:left w:val="single" w:sz="8" w:color="EBEBEC"/>
            </w:tcBorders>
            <w:shd w:val="clear" w:color="auto" w:fill="EBEBEC"/>
          </w:tcPr>
          <w:p>
            <w:pPr>
              <w:spacing w:after="0"/>
              <w:rPr>
                <w:sz w:val="3"/>
                <w:szCs w:val="3"/>
                <w:color w:val="auto"/>
              </w:rPr>
            </w:pPr>
          </w:p>
        </w:tc>
        <w:tc>
          <w:tcPr>
            <w:tcW w:w="3540" w:type="dxa"/>
            <w:vAlign w:val="bottom"/>
            <w:shd w:val="clear" w:color="auto" w:fill="EBEBEC"/>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-708025</wp:posOffset>
            </wp:positionV>
            <wp:extent cx="320040" cy="1943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0040" cy="194310"/>
                    </a:xfrm>
                    <a:prstGeom prst="rect">
                      <a:avLst/>
                    </a:prstGeom>
                    <a:noFill/>
                  </pic:spPr>
                </pic:pic>
              </a:graphicData>
            </a:graphic>
          </wp:anchor>
        </w:drawing>
        <w:drawing>
          <wp:anchor simplePos="0" relativeHeight="251657728" behindDoc="1" locked="0" layoutInCell="0" allowOverlap="1">
            <wp:simplePos x="0" y="0"/>
            <wp:positionH relativeFrom="column">
              <wp:posOffset>2543175</wp:posOffset>
            </wp:positionH>
            <wp:positionV relativeFrom="paragraph">
              <wp:posOffset>-719455</wp:posOffset>
            </wp:positionV>
            <wp:extent cx="217170" cy="2171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7170" cy="217170"/>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-713740</wp:posOffset>
            </wp:positionV>
            <wp:extent cx="320040" cy="2114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0040" cy="211455"/>
                    </a:xfrm>
                    <a:prstGeom prst="rect">
                      <a:avLst/>
                    </a:prstGeom>
                    <a:noFill/>
                  </pic:spPr>
                </pic:pic>
              </a:graphicData>
            </a:graphic>
          </wp:anchor>
        </w:drawing>
      </w:r>
    </w:p>
    <w:p>
      <w:pPr>
        <w:spacing w:after="0" w:line="58" w:lineRule="exact"/>
        <w:rPr>
          <w:sz w:val="20"/>
          <w:szCs w:val="20"/>
          <w:color w:val="auto"/>
        </w:rPr>
      </w:pPr>
    </w:p>
    <w:p>
      <w:pPr>
        <w:ind w:left="428" w:right="20" w:hanging="280"/>
        <w:spacing w:after="0" w:line="258" w:lineRule="auto"/>
        <w:tabs>
          <w:tab w:leader="none" w:pos="428" w:val="left"/>
        </w:tabs>
        <w:numPr>
          <w:ilvl w:val="0"/>
          <w:numId w:val="37"/>
        </w:numPr>
        <w:rPr>
          <w:rFonts w:ascii="Arial" w:cs="Arial" w:eastAsia="Arial" w:hAnsi="Arial"/>
          <w:sz w:val="8"/>
          <w:szCs w:val="8"/>
          <w:color w:val="auto"/>
        </w:rPr>
      </w:pPr>
      <w:r>
        <w:rPr>
          <w:rFonts w:ascii="Arial" w:cs="Arial" w:eastAsia="Arial" w:hAnsi="Arial"/>
          <w:sz w:val="8"/>
          <w:szCs w:val="8"/>
          <w:color w:val="auto"/>
        </w:rPr>
        <w:t>Excludes Sandia National Laboratories (Sandia) and Kansas City National Security Campus (KCNSC) work forces of approximately 24,000 employees. Sandia and KCNSC are U.S. Department of Energy facilities. Honeywell manages these facilities as a contract operator and does not establish or control their human resource policies.</w:t>
      </w:r>
    </w:p>
    <w:p>
      <w:pPr>
        <w:spacing w:after="0" w:line="222"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OUR CULTURE</w:t>
      </w:r>
    </w:p>
    <w:p>
      <w:pPr>
        <w:spacing w:after="0" w:line="81" w:lineRule="exact"/>
        <w:rPr>
          <w:sz w:val="20"/>
          <w:szCs w:val="20"/>
          <w:color w:val="auto"/>
        </w:rPr>
      </w:pPr>
    </w:p>
    <w:p>
      <w:pPr>
        <w:jc w:val="both"/>
        <w:ind w:left="8"/>
        <w:spacing w:after="0" w:line="245" w:lineRule="auto"/>
        <w:rPr>
          <w:sz w:val="20"/>
          <w:szCs w:val="20"/>
          <w:color w:val="auto"/>
        </w:rPr>
      </w:pPr>
      <w:r>
        <w:rPr>
          <w:rFonts w:ascii="Arial" w:cs="Arial" w:eastAsia="Arial" w:hAnsi="Arial"/>
          <w:sz w:val="11"/>
          <w:szCs w:val="11"/>
          <w:color w:val="auto"/>
        </w:rPr>
        <w:t>Honeywell built a reputation of “doing what we say.” At the center of that commitment to excellence is a high-performance culture rooted in our Foundational Principles and driven by the 6 Honeywell Behaviors. The 6 Behaviors reflect the bold, entrepreneurial spirit we seek to foster while emphasizing our goal to operate with speed and precision. At their foundation is a commitment to Integrity and Ethics, Inclusion and Diversity, and Workplace Respect, fundamental values that underlie everything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45085</wp:posOffset>
            </wp:positionV>
            <wp:extent cx="2903220" cy="27146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903220" cy="271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68" w:hanging="268"/>
        <w:spacing w:after="0"/>
        <w:tabs>
          <w:tab w:leader="none" w:pos="268" w:val="left"/>
        </w:tabs>
        <w:numPr>
          <w:ilvl w:val="0"/>
          <w:numId w:val="38"/>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14" w:name="page15"/>
    <w:bookmarkEnd w:id="14"/>
    <w:p>
      <w:pPr>
        <w:ind w:left="8"/>
        <w:spacing w:after="0"/>
        <w:tabs>
          <w:tab w:leader="none" w:pos="1040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Our Code of Business Conduct establishes the baseline requirements of our integrity and compliance program and promotes an environment where everyone is treated ethically and with respect. It outlines our pledge to recognize the dignity of each individual, respect each employee, provide compensation and benefits that are competitive, promote self-development through training, and value diversity of perspectives and ideas. All employees must complete Code of Business Conduct training and, where permitted by law, must also certify each year that they will comply with the Code.</w:t>
      </w:r>
    </w:p>
    <w:p>
      <w:pPr>
        <w:spacing w:after="0" w:line="45" w:lineRule="exact"/>
        <w:rPr>
          <w:sz w:val="20"/>
          <w:szCs w:val="20"/>
          <w:color w:val="auto"/>
        </w:rPr>
      </w:pPr>
    </w:p>
    <w:p>
      <w:pPr>
        <w:jc w:val="both"/>
        <w:ind w:left="8" w:right="20"/>
        <w:spacing w:after="0" w:line="285" w:lineRule="auto"/>
        <w:rPr>
          <w:sz w:val="20"/>
          <w:szCs w:val="20"/>
          <w:color w:val="auto"/>
        </w:rPr>
      </w:pPr>
      <w:r>
        <w:rPr>
          <w:rFonts w:ascii="Arial" w:cs="Arial" w:eastAsia="Arial" w:hAnsi="Arial"/>
          <w:sz w:val="11"/>
          <w:szCs w:val="11"/>
          <w:color w:val="auto"/>
        </w:rPr>
        <w:t>Overall, we believe our culture, along with our internal tools and initiatives, enable us to effectively execute our human capital strategy. For discussion on the risks relating to the ability to attract and retain top-performing talent, please see the section titled Risk Factors.</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TALENT ACQUISITION AND MANAGEMENT</w:t>
      </w:r>
    </w:p>
    <w:p>
      <w:pPr>
        <w:spacing w:after="0" w:line="81"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Our internal talent acquisition and management platform is a key component to recruiting, hiring, and developing top-performing talent. Our hiring practices consider a diverse slate of candidates and we provide our hiring managers with training and toolkits to reinforce their role in bringing diverse talent into the Company. We apply a “diversity of slate” requirement, a requirement to interview at least one diverse candidate, unless an exception is approved by human resources leadership, when hiring for any exempt role in the U.S. or for any management, professional, or senior administrative role globally. Further, we partner with top academic institutions and external professional organizations to enhance the diversity of our workforce to attract and retain top talent. Our talent review process requires our people managers to have semi-annual career discussions with each member of their teams to discuss the best opportunity for growth and development, which enhances our identification of candidates for internal promotion and succession planning.</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D7282F"/>
        </w:rPr>
        <w:t>VOICE OF THE EMPLOYEE</w:t>
      </w:r>
    </w:p>
    <w:p>
      <w:pPr>
        <w:spacing w:after="0" w:line="81" w:lineRule="exact"/>
        <w:rPr>
          <w:sz w:val="20"/>
          <w:szCs w:val="20"/>
          <w:color w:val="auto"/>
        </w:rPr>
      </w:pPr>
    </w:p>
    <w:p>
      <w:pPr>
        <w:jc w:val="both"/>
        <w:ind w:left="8" w:right="20"/>
        <w:spacing w:after="0" w:line="337" w:lineRule="auto"/>
        <w:rPr>
          <w:sz w:val="20"/>
          <w:szCs w:val="20"/>
          <w:color w:val="auto"/>
        </w:rPr>
      </w:pPr>
      <w:r>
        <w:rPr>
          <w:rFonts w:ascii="Arial" w:cs="Arial" w:eastAsia="Arial" w:hAnsi="Arial"/>
          <w:sz w:val="10"/>
          <w:szCs w:val="10"/>
          <w:color w:val="auto"/>
        </w:rPr>
        <w:t>The Voice of the Employee feedback survey is conducted annually with all global employees with the commitment to listening, learning, and taking action to make Honeywell an even better place to work. The survey provides data and tools to leaders at all levels to best drive actionable plans around employee engagement and build our desired culture that attracts and retains top talent, improves performance, and distinguishes the Company as a great place to work.</w:t>
      </w:r>
    </w:p>
    <w:p>
      <w:pPr>
        <w:spacing w:after="0" w:line="67"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D7282F"/>
        </w:rPr>
        <w:t>EMPLOYEE WELL-BEING</w:t>
      </w:r>
    </w:p>
    <w:p>
      <w:pPr>
        <w:spacing w:after="0" w:line="81"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Our well-being focus addresses physical, mental, financial, and individual needs, providing benefits and resources to help employees and their families be their best, both personally and professionally. We facilitated several campaigns to promote well-being and help provide visibility to resources and available benefits across a range of topics from health and wellness programs to caring for your family and taking care of finances. We promoted mental health globally during Mental Health Awareness month, during which we offered a variety of benefits and resources were promoted, hosted live webinars, and employees engaged in peer-to-peer sharing. We offer Employee Assistance Programs or therapy sessions to all employees and family members globally, comprehensive mental health benefits to those enrolled in the U.S. medical plan, virtual mental health options and navigation tools to improve access and speed of care, and preventive/mental health resilience programs.</w:t>
      </w:r>
    </w:p>
    <w:p>
      <w:pPr>
        <w:spacing w:after="0" w:line="275" w:lineRule="exact"/>
        <w:rPr>
          <w:sz w:val="20"/>
          <w:szCs w:val="20"/>
          <w:color w:val="auto"/>
        </w:rPr>
      </w:pPr>
    </w:p>
    <w:p>
      <w:pPr>
        <w:ind w:left="268" w:hanging="268"/>
        <w:spacing w:after="0"/>
        <w:tabs>
          <w:tab w:leader="none" w:pos="268" w:val="left"/>
        </w:tabs>
        <w:numPr>
          <w:ilvl w:val="0"/>
          <w:numId w:val="39"/>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15" w:name="page16"/>
    <w:bookmarkEnd w:id="15"/>
    <w:p>
      <w:pPr>
        <w:ind w:left="8"/>
        <w:spacing w:after="0"/>
        <w:tabs>
          <w:tab w:leader="none" w:pos="1040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TRAINING AND LEADERSHIP DEVELOPMENT</w:t>
      </w:r>
    </w:p>
    <w:p>
      <w:pPr>
        <w:spacing w:after="0" w:line="81" w:lineRule="exact"/>
        <w:rPr>
          <w:sz w:val="20"/>
          <w:szCs w:val="20"/>
          <w:color w:val="auto"/>
        </w:rPr>
      </w:pPr>
    </w:p>
    <w:p>
      <w:pPr>
        <w:ind w:left="8" w:right="20"/>
        <w:spacing w:after="0" w:line="268" w:lineRule="auto"/>
        <w:rPr>
          <w:sz w:val="20"/>
          <w:szCs w:val="20"/>
          <w:color w:val="auto"/>
        </w:rPr>
      </w:pPr>
      <w:r>
        <w:rPr>
          <w:rFonts w:ascii="Arial" w:cs="Arial" w:eastAsia="Arial" w:hAnsi="Arial"/>
          <w:sz w:val="11"/>
          <w:szCs w:val="11"/>
          <w:color w:val="auto"/>
        </w:rPr>
        <w:t>Investing in continuous learning and leadership development is at the core of our culture and long-term business growth strategy. Learning and training underscores our culture of development, continuous improvement, and integrity and compliance. We offer and encourage career and leadership development programs and learning available on Honeywell Accelerator.</w:t>
      </w:r>
    </w:p>
    <w:p>
      <w:pPr>
        <w:spacing w:after="0" w:line="68" w:lineRule="exact"/>
        <w:rPr>
          <w:sz w:val="20"/>
          <w:szCs w:val="20"/>
          <w:color w:val="auto"/>
        </w:rPr>
      </w:pPr>
    </w:p>
    <w:p>
      <w:pPr>
        <w:ind w:left="88"/>
        <w:spacing w:after="0"/>
        <w:rPr>
          <w:sz w:val="20"/>
          <w:szCs w:val="20"/>
          <w:color w:val="auto"/>
        </w:rPr>
      </w:pPr>
      <w:r>
        <w:rPr>
          <w:rFonts w:ascii="Arial" w:cs="Arial" w:eastAsia="Arial" w:hAnsi="Arial"/>
          <w:sz w:val="29"/>
          <w:szCs w:val="29"/>
          <w:b w:val="1"/>
          <w:bCs w:val="1"/>
          <w:color w:val="D7282F"/>
        </w:rPr>
        <w:t>HONEYWELL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3869055</wp:posOffset>
            </wp:positionH>
            <wp:positionV relativeFrom="paragraph">
              <wp:posOffset>-5080</wp:posOffset>
            </wp:positionV>
            <wp:extent cx="2303145" cy="17202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303145" cy="1720215"/>
                    </a:xfrm>
                    <a:prstGeom prst="rect">
                      <a:avLst/>
                    </a:prstGeom>
                    <a:noFill/>
                  </pic:spPr>
                </pic:pic>
              </a:graphicData>
            </a:graphic>
          </wp:anchor>
        </w:drawing>
      </w:r>
    </w:p>
    <w:p>
      <w:pPr>
        <w:ind w:left="88"/>
        <w:spacing w:after="0"/>
        <w:rPr>
          <w:sz w:val="20"/>
          <w:szCs w:val="20"/>
          <w:color w:val="auto"/>
        </w:rPr>
      </w:pPr>
      <w:r>
        <w:rPr>
          <w:rFonts w:ascii="Arial" w:cs="Arial" w:eastAsia="Arial" w:hAnsi="Arial"/>
          <w:sz w:val="29"/>
          <w:szCs w:val="29"/>
          <w:b w:val="1"/>
          <w:bCs w:val="1"/>
          <w:color w:val="auto"/>
        </w:rPr>
        <w:t>ACCELERATOR</w:t>
      </w:r>
    </w:p>
    <w:p>
      <w:pPr>
        <w:spacing w:after="0" w:line="71" w:lineRule="exact"/>
        <w:rPr>
          <w:sz w:val="20"/>
          <w:szCs w:val="20"/>
          <w:color w:val="auto"/>
        </w:rPr>
      </w:pPr>
    </w:p>
    <w:p>
      <w:pPr>
        <w:ind w:left="88"/>
        <w:spacing w:after="0"/>
        <w:rPr>
          <w:sz w:val="20"/>
          <w:szCs w:val="20"/>
          <w:color w:val="auto"/>
        </w:rPr>
      </w:pPr>
      <w:r>
        <w:rPr>
          <w:rFonts w:ascii="Arial" w:cs="Arial" w:eastAsia="Arial" w:hAnsi="Arial"/>
          <w:sz w:val="11"/>
          <w:szCs w:val="11"/>
          <w:color w:val="auto"/>
        </w:rPr>
        <w:t>Honeywell Accelerator is our operating system for governing and managing our business.</w:t>
      </w:r>
    </w:p>
    <w:p>
      <w:pPr>
        <w:spacing w:after="0" w:line="72" w:lineRule="exact"/>
        <w:rPr>
          <w:sz w:val="20"/>
          <w:szCs w:val="20"/>
          <w:color w:val="auto"/>
        </w:rPr>
      </w:pPr>
    </w:p>
    <w:p>
      <w:pPr>
        <w:jc w:val="both"/>
        <w:ind w:left="88" w:right="6740"/>
        <w:spacing w:after="0" w:line="262" w:lineRule="auto"/>
        <w:rPr>
          <w:sz w:val="20"/>
          <w:szCs w:val="20"/>
          <w:color w:val="auto"/>
        </w:rPr>
      </w:pPr>
      <w:r>
        <w:rPr>
          <w:rFonts w:ascii="Arial" w:cs="Arial" w:eastAsia="Arial" w:hAnsi="Arial"/>
          <w:sz w:val="11"/>
          <w:szCs w:val="11"/>
          <w:color w:val="auto"/>
        </w:rPr>
        <w:t>Honeywell Accelerator contains all of the best practices, tools, and digital platforms to deliver best-in-class performance and enhances the way we manage, govern, and operate our business day-to-day.</w:t>
      </w:r>
    </w:p>
    <w:p>
      <w:pPr>
        <w:spacing w:after="0" w:line="45" w:lineRule="exact"/>
        <w:rPr>
          <w:sz w:val="20"/>
          <w:szCs w:val="20"/>
          <w:color w:val="auto"/>
        </w:rPr>
      </w:pPr>
    </w:p>
    <w:p>
      <w:pPr>
        <w:jc w:val="both"/>
        <w:ind w:left="88" w:right="6740"/>
        <w:spacing w:after="0" w:line="262" w:lineRule="auto"/>
        <w:rPr>
          <w:sz w:val="20"/>
          <w:szCs w:val="20"/>
          <w:color w:val="auto"/>
        </w:rPr>
      </w:pPr>
      <w:r>
        <w:rPr>
          <w:rFonts w:ascii="Arial" w:cs="Arial" w:eastAsia="Arial" w:hAnsi="Arial"/>
          <w:sz w:val="11"/>
          <w:szCs w:val="11"/>
          <w:color w:val="auto"/>
        </w:rPr>
        <w:t>We designed Honeywell Accelerator with expanded tools and capabilities to provide a centralized source of best practices and training materials, taking us to the next level of performance and accelerating our transformation into a integrated operating company.</w:t>
      </w:r>
    </w:p>
    <w:p>
      <w:pPr>
        <w:spacing w:after="0" w:line="54" w:lineRule="exact"/>
        <w:rPr>
          <w:sz w:val="20"/>
          <w:szCs w:val="20"/>
          <w:color w:val="auto"/>
        </w:rPr>
      </w:pPr>
    </w:p>
    <w:p>
      <w:pPr>
        <w:jc w:val="both"/>
        <w:ind w:left="88" w:right="6740"/>
        <w:spacing w:after="0" w:line="253" w:lineRule="auto"/>
        <w:rPr>
          <w:sz w:val="20"/>
          <w:szCs w:val="20"/>
          <w:color w:val="auto"/>
        </w:rPr>
      </w:pPr>
      <w:r>
        <w:rPr>
          <w:rFonts w:ascii="Arial" w:cs="Arial" w:eastAsia="Arial" w:hAnsi="Arial"/>
          <w:sz w:val="11"/>
          <w:szCs w:val="11"/>
          <w:color w:val="auto"/>
        </w:rPr>
        <w:t>With over 22,000 virtual learning modules, practice tools, and templates, this digital learning center creates common knowledge across the enterprise, helping new-joiner and long-time employees leverage the Honeywell operating system to make immediate, positive impacts.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We expect our people managers to model behaviors that promote a culture that is open and inclusive for all employees. We help managers develop this skill as they do any other leadership skill through training programs, interactive learning, and real-time events, including the hiring and talent review processes. Our broad portfolio of leadership development programs provide training in core management skills to leaders across the organization. We deploy unconscious bias and inclusive leadership training to our global workforce to educate and influence behavior.</w:t>
      </w:r>
    </w:p>
    <w:p>
      <w:pPr>
        <w:spacing w:after="0" w:line="279" w:lineRule="exact"/>
        <w:rPr>
          <w:sz w:val="20"/>
          <w:szCs w:val="20"/>
          <w:color w:val="auto"/>
        </w:rPr>
      </w:pPr>
    </w:p>
    <w:p>
      <w:pPr>
        <w:ind w:left="268" w:hanging="268"/>
        <w:spacing w:after="0"/>
        <w:tabs>
          <w:tab w:leader="none" w:pos="268" w:val="left"/>
        </w:tabs>
        <w:numPr>
          <w:ilvl w:val="0"/>
          <w:numId w:val="40"/>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16" w:name="page17"/>
    <w:bookmarkEnd w:id="16"/>
    <w:p>
      <w:pPr>
        <w:ind w:left="8"/>
        <w:spacing w:after="0"/>
        <w:tabs>
          <w:tab w:leader="none" w:pos="1040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INCLUSION AND DIVERSITY</w:t>
      </w:r>
    </w:p>
    <w:p>
      <w:pPr>
        <w:spacing w:after="0" w:line="81"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Inclusion and Diversity is at the core of all we do and drives us to build and reinforce an inclusive culture. With our global programs and inclusive culture, we recruit, develop, retain, and promote diverse talent. We continue to build partnerships with diverse organizations and develop resources to support diverse employees. We hold employees accountable to actively support Inclusion and Diversity in words and actions. We further our foundational principle of Inclusion and Diversity by focusing on three strategic priority areas:</w:t>
      </w:r>
    </w:p>
    <w:p>
      <w:pPr>
        <w:spacing w:after="0" w:line="72"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3580" w:type="dxa"/>
            <w:vAlign w:val="bottom"/>
            <w:shd w:val="clear" w:color="auto" w:fill="D7282F"/>
          </w:tcPr>
          <w:p>
            <w:pPr>
              <w:ind w:left="60"/>
              <w:spacing w:after="0"/>
              <w:rPr>
                <w:sz w:val="20"/>
                <w:szCs w:val="20"/>
                <w:color w:val="auto"/>
              </w:rPr>
            </w:pPr>
            <w:r>
              <w:rPr>
                <w:rFonts w:ascii="Arial" w:cs="Arial" w:eastAsia="Arial" w:hAnsi="Arial"/>
                <w:sz w:val="11"/>
                <w:szCs w:val="11"/>
                <w:b w:val="1"/>
                <w:bCs w:val="1"/>
                <w:color w:val="FFFFFF"/>
              </w:rPr>
              <w:t>REPRESENTATION</w:t>
            </w:r>
          </w:p>
        </w:tc>
        <w:tc>
          <w:tcPr>
            <w:tcW w:w="260" w:type="dxa"/>
            <w:vAlign w:val="bottom"/>
          </w:tcPr>
          <w:p>
            <w:pPr>
              <w:spacing w:after="0"/>
              <w:rPr>
                <w:sz w:val="12"/>
                <w:szCs w:val="12"/>
                <w:color w:val="auto"/>
              </w:rPr>
            </w:pPr>
          </w:p>
        </w:tc>
        <w:tc>
          <w:tcPr>
            <w:tcW w:w="3580" w:type="dxa"/>
            <w:vAlign w:val="bottom"/>
            <w:shd w:val="clear" w:color="auto" w:fill="000000"/>
          </w:tcPr>
          <w:p>
            <w:pPr>
              <w:ind w:left="60"/>
              <w:spacing w:after="0"/>
              <w:rPr>
                <w:sz w:val="20"/>
                <w:szCs w:val="20"/>
                <w:color w:val="auto"/>
              </w:rPr>
            </w:pPr>
            <w:r>
              <w:rPr>
                <w:rFonts w:ascii="Arial" w:cs="Arial" w:eastAsia="Arial" w:hAnsi="Arial"/>
                <w:sz w:val="11"/>
                <w:szCs w:val="11"/>
                <w:b w:val="1"/>
                <w:bCs w:val="1"/>
                <w:color w:val="FFFFFF"/>
              </w:rPr>
              <w:t>RECOGNITION</w:t>
            </w:r>
          </w:p>
        </w:tc>
        <w:tc>
          <w:tcPr>
            <w:tcW w:w="280" w:type="dxa"/>
            <w:vAlign w:val="bottom"/>
          </w:tcPr>
          <w:p>
            <w:pPr>
              <w:spacing w:after="0"/>
              <w:rPr>
                <w:sz w:val="12"/>
                <w:szCs w:val="12"/>
                <w:color w:val="auto"/>
              </w:rPr>
            </w:pPr>
          </w:p>
        </w:tc>
        <w:tc>
          <w:tcPr>
            <w:tcW w:w="3600" w:type="dxa"/>
            <w:vAlign w:val="bottom"/>
            <w:shd w:val="clear" w:color="auto" w:fill="939598"/>
          </w:tcPr>
          <w:p>
            <w:pPr>
              <w:ind w:left="60"/>
              <w:spacing w:after="0"/>
              <w:rPr>
                <w:sz w:val="20"/>
                <w:szCs w:val="20"/>
                <w:color w:val="auto"/>
              </w:rPr>
            </w:pPr>
            <w:r>
              <w:rPr>
                <w:rFonts w:ascii="Arial" w:cs="Arial" w:eastAsia="Arial" w:hAnsi="Arial"/>
                <w:sz w:val="11"/>
                <w:szCs w:val="11"/>
                <w:b w:val="1"/>
                <w:bCs w:val="1"/>
                <w:color w:val="FFFFFF"/>
              </w:rPr>
              <w:t>RETENTION</w:t>
            </w:r>
          </w:p>
        </w:tc>
      </w:tr>
      <w:tr>
        <w:trPr>
          <w:trHeight w:val="143"/>
        </w:trPr>
        <w:tc>
          <w:tcPr>
            <w:tcW w:w="3580" w:type="dxa"/>
            <w:vAlign w:val="bottom"/>
            <w:tcBorders>
              <w:bottom w:val="single" w:sz="8" w:color="61656A"/>
            </w:tcBorders>
          </w:tcPr>
          <w:p>
            <w:pPr>
              <w:ind w:left="60"/>
              <w:spacing w:after="0"/>
              <w:rPr>
                <w:sz w:val="20"/>
                <w:szCs w:val="20"/>
                <w:color w:val="auto"/>
              </w:rPr>
            </w:pPr>
            <w:r>
              <w:rPr>
                <w:rFonts w:ascii="Arial" w:cs="Arial" w:eastAsia="Arial" w:hAnsi="Arial"/>
                <w:sz w:val="11"/>
                <w:szCs w:val="11"/>
                <w:color w:val="auto"/>
              </w:rPr>
              <w:t>Cultivate a workforce that reflects our communities and the world</w:t>
            </w:r>
          </w:p>
        </w:tc>
        <w:tc>
          <w:tcPr>
            <w:tcW w:w="260" w:type="dxa"/>
            <w:vAlign w:val="bottom"/>
          </w:tcPr>
          <w:p>
            <w:pPr>
              <w:spacing w:after="0"/>
              <w:rPr>
                <w:sz w:val="12"/>
                <w:szCs w:val="12"/>
                <w:color w:val="auto"/>
              </w:rPr>
            </w:pPr>
          </w:p>
        </w:tc>
        <w:tc>
          <w:tcPr>
            <w:tcW w:w="3580" w:type="dxa"/>
            <w:vAlign w:val="bottom"/>
            <w:tcBorders>
              <w:bottom w:val="single" w:sz="8" w:color="61656A"/>
            </w:tcBorders>
          </w:tcPr>
          <w:p>
            <w:pPr>
              <w:ind w:left="60"/>
              <w:spacing w:after="0"/>
              <w:rPr>
                <w:sz w:val="20"/>
                <w:szCs w:val="20"/>
                <w:color w:val="auto"/>
              </w:rPr>
            </w:pPr>
            <w:r>
              <w:rPr>
                <w:rFonts w:ascii="Arial" w:cs="Arial" w:eastAsia="Arial" w:hAnsi="Arial"/>
                <w:sz w:val="11"/>
                <w:szCs w:val="11"/>
                <w:color w:val="auto"/>
              </w:rPr>
              <w:t>Be a global employer of choice for Inclusion and Diversity</w:t>
            </w:r>
          </w:p>
        </w:tc>
        <w:tc>
          <w:tcPr>
            <w:tcW w:w="280" w:type="dxa"/>
            <w:vAlign w:val="bottom"/>
          </w:tcPr>
          <w:p>
            <w:pPr>
              <w:spacing w:after="0"/>
              <w:rPr>
                <w:sz w:val="12"/>
                <w:szCs w:val="12"/>
                <w:color w:val="auto"/>
              </w:rPr>
            </w:pPr>
          </w:p>
        </w:tc>
        <w:tc>
          <w:tcPr>
            <w:tcW w:w="3600" w:type="dxa"/>
            <w:vAlign w:val="bottom"/>
            <w:tcBorders>
              <w:bottom w:val="single" w:sz="8" w:color="61656A"/>
            </w:tcBorders>
          </w:tcPr>
          <w:p>
            <w:pPr>
              <w:ind w:left="60"/>
              <w:spacing w:after="0"/>
              <w:rPr>
                <w:sz w:val="20"/>
                <w:szCs w:val="20"/>
                <w:color w:val="auto"/>
              </w:rPr>
            </w:pPr>
            <w:r>
              <w:rPr>
                <w:rFonts w:ascii="Arial" w:cs="Arial" w:eastAsia="Arial" w:hAnsi="Arial"/>
                <w:sz w:val="11"/>
                <w:szCs w:val="11"/>
                <w:color w:val="auto"/>
              </w:rPr>
              <w:t>Create employee development and advancement opportunities</w:t>
            </w:r>
          </w:p>
        </w:tc>
      </w:tr>
      <w:tr>
        <w:trPr>
          <w:trHeight w:val="133"/>
        </w:trPr>
        <w:tc>
          <w:tcPr>
            <w:tcW w:w="3580" w:type="dxa"/>
            <w:vAlign w:val="bottom"/>
            <w:tcBorders>
              <w:bottom w:val="single" w:sz="8" w:color="61656A"/>
            </w:tcBorders>
          </w:tcPr>
          <w:p>
            <w:pPr>
              <w:ind w:left="60"/>
              <w:spacing w:after="0"/>
              <w:rPr>
                <w:sz w:val="20"/>
                <w:szCs w:val="20"/>
                <w:color w:val="auto"/>
              </w:rPr>
            </w:pPr>
            <w:r>
              <w:rPr>
                <w:rFonts w:ascii="Arial" w:cs="Arial" w:eastAsia="Arial" w:hAnsi="Arial"/>
                <w:sz w:val="11"/>
                <w:szCs w:val="11"/>
                <w:color w:val="auto"/>
              </w:rPr>
              <w:t>Sustain a pipeline of diverse talent from campus to the C-Suite</w:t>
            </w:r>
          </w:p>
        </w:tc>
        <w:tc>
          <w:tcPr>
            <w:tcW w:w="260" w:type="dxa"/>
            <w:vAlign w:val="bottom"/>
          </w:tcPr>
          <w:p>
            <w:pPr>
              <w:spacing w:after="0"/>
              <w:rPr>
                <w:sz w:val="11"/>
                <w:szCs w:val="11"/>
                <w:color w:val="auto"/>
              </w:rPr>
            </w:pPr>
          </w:p>
        </w:tc>
        <w:tc>
          <w:tcPr>
            <w:tcW w:w="3580" w:type="dxa"/>
            <w:vAlign w:val="bottom"/>
            <w:tcBorders>
              <w:bottom w:val="single" w:sz="8" w:color="61656A"/>
            </w:tcBorders>
          </w:tcPr>
          <w:p>
            <w:pPr>
              <w:ind w:left="60"/>
              <w:spacing w:after="0"/>
              <w:rPr>
                <w:sz w:val="20"/>
                <w:szCs w:val="20"/>
                <w:color w:val="auto"/>
              </w:rPr>
            </w:pPr>
            <w:r>
              <w:rPr>
                <w:rFonts w:ascii="Arial" w:cs="Arial" w:eastAsia="Arial" w:hAnsi="Arial"/>
                <w:sz w:val="11"/>
                <w:szCs w:val="11"/>
                <w:color w:val="auto"/>
              </w:rPr>
              <w:t>Leverage our culture as a competitive advantage</w:t>
            </w:r>
          </w:p>
        </w:tc>
        <w:tc>
          <w:tcPr>
            <w:tcW w:w="280" w:type="dxa"/>
            <w:vAlign w:val="bottom"/>
          </w:tcPr>
          <w:p>
            <w:pPr>
              <w:spacing w:after="0"/>
              <w:rPr>
                <w:sz w:val="11"/>
                <w:szCs w:val="11"/>
                <w:color w:val="auto"/>
              </w:rPr>
            </w:pPr>
          </w:p>
        </w:tc>
        <w:tc>
          <w:tcPr>
            <w:tcW w:w="3600" w:type="dxa"/>
            <w:vAlign w:val="bottom"/>
            <w:tcBorders>
              <w:bottom w:val="single" w:sz="8" w:color="61656A"/>
            </w:tcBorders>
          </w:tcPr>
          <w:p>
            <w:pPr>
              <w:ind w:left="60"/>
              <w:spacing w:after="0"/>
              <w:rPr>
                <w:sz w:val="20"/>
                <w:szCs w:val="20"/>
                <w:color w:val="auto"/>
              </w:rPr>
            </w:pPr>
            <w:r>
              <w:rPr>
                <w:rFonts w:ascii="Arial" w:cs="Arial" w:eastAsia="Arial" w:hAnsi="Arial"/>
                <w:sz w:val="11"/>
                <w:szCs w:val="11"/>
                <w:color w:val="auto"/>
              </w:rPr>
              <w:t>Foster community engagement and belonging</w:t>
            </w:r>
          </w:p>
        </w:tc>
      </w:tr>
      <w:tr>
        <w:trPr>
          <w:trHeight w:val="133"/>
        </w:trPr>
        <w:tc>
          <w:tcPr>
            <w:tcW w:w="3580" w:type="dxa"/>
            <w:vAlign w:val="bottom"/>
            <w:tcBorders>
              <w:bottom w:val="single" w:sz="8" w:color="61656A"/>
            </w:tcBorders>
          </w:tcPr>
          <w:p>
            <w:pPr>
              <w:ind w:left="60"/>
              <w:spacing w:after="0"/>
              <w:rPr>
                <w:sz w:val="20"/>
                <w:szCs w:val="20"/>
                <w:color w:val="auto"/>
              </w:rPr>
            </w:pPr>
            <w:r>
              <w:rPr>
                <w:rFonts w:ascii="Arial" w:cs="Arial" w:eastAsia="Arial" w:hAnsi="Arial"/>
                <w:sz w:val="11"/>
                <w:szCs w:val="11"/>
                <w:color w:val="auto"/>
              </w:rPr>
              <w:t>Promote a culture of inclusion, accessibility, and respect</w:t>
            </w:r>
          </w:p>
        </w:tc>
        <w:tc>
          <w:tcPr>
            <w:tcW w:w="260" w:type="dxa"/>
            <w:vAlign w:val="bottom"/>
          </w:tcPr>
          <w:p>
            <w:pPr>
              <w:spacing w:after="0"/>
              <w:rPr>
                <w:sz w:val="11"/>
                <w:szCs w:val="11"/>
                <w:color w:val="auto"/>
              </w:rPr>
            </w:pPr>
          </w:p>
        </w:tc>
        <w:tc>
          <w:tcPr>
            <w:tcW w:w="3580" w:type="dxa"/>
            <w:vAlign w:val="bottom"/>
            <w:tcBorders>
              <w:bottom w:val="single" w:sz="8" w:color="61656A"/>
            </w:tcBorders>
          </w:tcPr>
          <w:p>
            <w:pPr>
              <w:ind w:left="60"/>
              <w:spacing w:after="0"/>
              <w:rPr>
                <w:sz w:val="20"/>
                <w:szCs w:val="20"/>
                <w:color w:val="auto"/>
              </w:rPr>
            </w:pPr>
            <w:r>
              <w:rPr>
                <w:rFonts w:ascii="Arial" w:cs="Arial" w:eastAsia="Arial" w:hAnsi="Arial"/>
                <w:sz w:val="11"/>
                <w:szCs w:val="11"/>
                <w:color w:val="auto"/>
              </w:rPr>
              <w:t>Lead on Inclusion and Diversity practices</w:t>
            </w:r>
          </w:p>
        </w:tc>
        <w:tc>
          <w:tcPr>
            <w:tcW w:w="280" w:type="dxa"/>
            <w:vAlign w:val="bottom"/>
          </w:tcPr>
          <w:p>
            <w:pPr>
              <w:spacing w:after="0"/>
              <w:rPr>
                <w:sz w:val="11"/>
                <w:szCs w:val="11"/>
                <w:color w:val="auto"/>
              </w:rPr>
            </w:pPr>
          </w:p>
        </w:tc>
        <w:tc>
          <w:tcPr>
            <w:tcW w:w="3600" w:type="dxa"/>
            <w:vAlign w:val="bottom"/>
            <w:tcBorders>
              <w:bottom w:val="single" w:sz="8" w:color="61656A"/>
            </w:tcBorders>
          </w:tcPr>
          <w:p>
            <w:pPr>
              <w:ind w:left="60"/>
              <w:spacing w:after="0"/>
              <w:rPr>
                <w:sz w:val="20"/>
                <w:szCs w:val="20"/>
                <w:color w:val="auto"/>
              </w:rPr>
            </w:pPr>
            <w:r>
              <w:rPr>
                <w:rFonts w:ascii="Arial" w:cs="Arial" w:eastAsia="Arial" w:hAnsi="Arial"/>
                <w:sz w:val="11"/>
                <w:szCs w:val="11"/>
                <w:color w:val="auto"/>
              </w:rPr>
              <w:t>Offer competitive compensation, rewards, and recognition</w:t>
            </w:r>
          </w:p>
        </w:tc>
      </w:tr>
    </w:tbl>
    <w:p>
      <w:pPr>
        <w:spacing w:after="0" w:line="126"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Our commitment to Inclusion and Diversity starts at the top with a diverse Board of Directors (the Board) and executive management team, who represent a broad spectrum of backgrounds and perspectives. We believe that the diversity of our current Board of Directors (four women, and two African American, one Hispanic, and two Asian American directors) and the diversity of Honeywell’s executive leadership (six of the Company’s nine executive officers are diverse by ethnic background, non-U.S. place of birth, or gender) supports our evolving business strategy and is a testament to Honeywell’s ongoing commitment to hiring, developing, and retaining diverse talent. The Company’s commitment to Inclusion and Diversity enables better decision-making, helps build competitive advantages, and furthers long-term success.</w:t>
      </w:r>
    </w:p>
    <w:p>
      <w:pPr>
        <w:spacing w:after="0" w:line="50"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Our Global Inclusion and Diversity Steering Committee co-sponsored by our CEO, Senior Vice President and General Counsel, and Senior Vice President and Chief Human Resources Officer fortifies our inclusion and diversity governance structure by embedding Inclusion and Diversity Councils in each of our business groups. The governance structure provides a scalable model that supports our nine affinity group employee networks and facilitates the introduction of new networks to reflect the diverse characteristics of our workforce. These networks are designed to provide training and development opportunities and expand internal networks for promotional opportunities.</w:t>
      </w:r>
    </w:p>
    <w:p>
      <w:pPr>
        <w:spacing w:after="0" w:line="102"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D7282F"/>
        </w:rPr>
        <w:t>EMPLOYEE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74295</wp:posOffset>
            </wp:positionV>
            <wp:extent cx="7132320" cy="5600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56007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p>
      <w:pPr>
        <w:spacing w:after="0" w:line="180" w:lineRule="exact"/>
        <w:rPr>
          <w:sz w:val="20"/>
          <w:szCs w:val="20"/>
          <w:color w:val="auto"/>
        </w:rPr>
      </w:pPr>
    </w:p>
    <w:p>
      <w:pPr>
        <w:ind w:left="428"/>
        <w:spacing w:after="0"/>
        <w:rPr>
          <w:sz w:val="20"/>
          <w:szCs w:val="20"/>
          <w:color w:val="auto"/>
        </w:rPr>
      </w:pPr>
      <w:r>
        <w:rPr>
          <w:rFonts w:ascii="Arial" w:cs="Arial" w:eastAsia="Arial" w:hAnsi="Arial"/>
          <w:sz w:val="11"/>
          <w:szCs w:val="11"/>
          <w:color w:val="auto"/>
        </w:rPr>
        <w:t>Honeywell All Abilities Employee Network</w:t>
      </w:r>
    </w:p>
    <w:p>
      <w:pPr>
        <w:spacing w:after="0" w:line="27" w:lineRule="exact"/>
        <w:rPr>
          <w:sz w:val="20"/>
          <w:szCs w:val="20"/>
          <w:color w:val="auto"/>
        </w:rPr>
      </w:pPr>
    </w:p>
    <w:p>
      <w:pPr>
        <w:ind w:left="428"/>
        <w:spacing w:after="0"/>
        <w:rPr>
          <w:sz w:val="20"/>
          <w:szCs w:val="20"/>
          <w:color w:val="auto"/>
        </w:rPr>
      </w:pPr>
      <w:r>
        <w:rPr>
          <w:rFonts w:ascii="Arial" w:cs="Arial" w:eastAsia="Arial" w:hAnsi="Arial"/>
          <w:sz w:val="11"/>
          <w:szCs w:val="11"/>
          <w:color w:val="auto"/>
        </w:rPr>
        <w:t>Honeywell Asian Employee Network</w:t>
      </w:r>
    </w:p>
    <w:p>
      <w:pPr>
        <w:spacing w:after="0" w:line="27" w:lineRule="exact"/>
        <w:rPr>
          <w:sz w:val="20"/>
          <w:szCs w:val="20"/>
          <w:color w:val="auto"/>
        </w:rPr>
      </w:pPr>
    </w:p>
    <w:p>
      <w:pPr>
        <w:ind w:left="428"/>
        <w:spacing w:after="0"/>
        <w:rPr>
          <w:sz w:val="20"/>
          <w:szCs w:val="20"/>
          <w:color w:val="auto"/>
        </w:rPr>
      </w:pPr>
      <w:r>
        <w:rPr>
          <w:rFonts w:ascii="Arial" w:cs="Arial" w:eastAsia="Arial" w:hAnsi="Arial"/>
          <w:sz w:val="11"/>
          <w:szCs w:val="11"/>
          <w:color w:val="auto"/>
        </w:rPr>
        <w:t>Honeywell Black Employee Network</w:t>
      </w:r>
    </w:p>
    <w:p>
      <w:pPr>
        <w:spacing w:after="0" w:line="27" w:lineRule="exact"/>
        <w:rPr>
          <w:sz w:val="20"/>
          <w:szCs w:val="20"/>
          <w:color w:val="auto"/>
        </w:rPr>
      </w:pPr>
    </w:p>
    <w:p>
      <w:pPr>
        <w:ind w:left="428"/>
        <w:spacing w:after="0"/>
        <w:rPr>
          <w:sz w:val="20"/>
          <w:szCs w:val="20"/>
          <w:color w:val="auto"/>
        </w:rPr>
      </w:pPr>
      <w:r>
        <w:rPr>
          <w:rFonts w:ascii="Arial" w:cs="Arial" w:eastAsia="Arial" w:hAnsi="Arial"/>
          <w:sz w:val="10"/>
          <w:szCs w:val="10"/>
          <w:color w:val="auto"/>
        </w:rPr>
        <w:t>Heighten Your Professional Experience/Early Career Employee Network</w:t>
      </w:r>
    </w:p>
    <w:p>
      <w:pPr>
        <w:spacing w:after="0" w:line="38" w:lineRule="exact"/>
        <w:rPr>
          <w:sz w:val="20"/>
          <w:szCs w:val="20"/>
          <w:color w:val="auto"/>
        </w:rPr>
      </w:pPr>
    </w:p>
    <w:p>
      <w:pPr>
        <w:ind w:left="428"/>
        <w:spacing w:after="0"/>
        <w:rPr>
          <w:sz w:val="20"/>
          <w:szCs w:val="20"/>
          <w:color w:val="auto"/>
        </w:rPr>
      </w:pPr>
      <w:r>
        <w:rPr>
          <w:rFonts w:ascii="Arial" w:cs="Arial" w:eastAsia="Arial" w:hAnsi="Arial"/>
          <w:sz w:val="11"/>
          <w:szCs w:val="11"/>
          <w:color w:val="auto"/>
        </w:rPr>
        <w:t>Honeywell Growing Experience Employee Network</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1"/>
          <w:szCs w:val="11"/>
          <w:color w:val="auto"/>
        </w:rPr>
        <w:t>Honeywell Hispanic Employee Network</w:t>
      </w:r>
    </w:p>
    <w:p>
      <w:pPr>
        <w:spacing w:after="0" w:line="27" w:lineRule="exact"/>
        <w:rPr>
          <w:sz w:val="20"/>
          <w:szCs w:val="20"/>
          <w:color w:val="auto"/>
        </w:rPr>
      </w:pPr>
    </w:p>
    <w:p>
      <w:pPr>
        <w:spacing w:after="0"/>
        <w:rPr>
          <w:sz w:val="20"/>
          <w:szCs w:val="20"/>
          <w:color w:val="auto"/>
        </w:rPr>
      </w:pPr>
      <w:r>
        <w:rPr>
          <w:rFonts w:ascii="Arial" w:cs="Arial" w:eastAsia="Arial" w:hAnsi="Arial"/>
          <w:sz w:val="10"/>
          <w:szCs w:val="10"/>
          <w:color w:val="auto"/>
        </w:rPr>
        <w:t>Honeywell LGBTQ+ Employee Network</w:t>
      </w:r>
    </w:p>
    <w:p>
      <w:pPr>
        <w:spacing w:after="0" w:line="38" w:lineRule="exact"/>
        <w:rPr>
          <w:sz w:val="20"/>
          <w:szCs w:val="20"/>
          <w:color w:val="auto"/>
        </w:rPr>
      </w:pPr>
    </w:p>
    <w:p>
      <w:pPr>
        <w:spacing w:after="0"/>
        <w:rPr>
          <w:sz w:val="20"/>
          <w:szCs w:val="20"/>
          <w:color w:val="auto"/>
        </w:rPr>
      </w:pPr>
      <w:r>
        <w:rPr>
          <w:rFonts w:ascii="Arial" w:cs="Arial" w:eastAsia="Arial" w:hAnsi="Arial"/>
          <w:sz w:val="10"/>
          <w:szCs w:val="10"/>
          <w:color w:val="auto"/>
        </w:rPr>
        <w:t>Honeywell Veteran's Employee Network</w:t>
      </w:r>
    </w:p>
    <w:p>
      <w:pPr>
        <w:spacing w:after="0" w:line="38" w:lineRule="exact"/>
        <w:rPr>
          <w:sz w:val="20"/>
          <w:szCs w:val="20"/>
          <w:color w:val="auto"/>
        </w:rPr>
      </w:pPr>
    </w:p>
    <w:p>
      <w:pPr>
        <w:spacing w:after="0"/>
        <w:rPr>
          <w:sz w:val="20"/>
          <w:szCs w:val="20"/>
          <w:color w:val="auto"/>
        </w:rPr>
      </w:pPr>
      <w:r>
        <w:rPr>
          <w:rFonts w:ascii="Arial" w:cs="Arial" w:eastAsia="Arial" w:hAnsi="Arial"/>
          <w:sz w:val="10"/>
          <w:szCs w:val="10"/>
          <w:color w:val="auto"/>
        </w:rPr>
        <w:t>Honeywell Women’s Employee Network</w:t>
      </w:r>
    </w:p>
    <w:p>
      <w:pPr>
        <w:spacing w:after="0" w:line="364" w:lineRule="exact"/>
        <w:rPr>
          <w:sz w:val="20"/>
          <w:szCs w:val="20"/>
          <w:color w:val="auto"/>
        </w:rPr>
      </w:pPr>
    </w:p>
    <w:p>
      <w:pPr>
        <w:sectPr>
          <w:pgSz w:w="11900" w:h="16838" w:orient="portrait"/>
          <w:cols w:equalWidth="0" w:num="2">
            <w:col w:w="5128" w:space="720"/>
            <w:col w:w="5460"/>
          </w:cols>
          <w:pgMar w:left="292" w:top="227" w:right="299" w:bottom="1440" w:gutter="0" w:footer="0" w:header="0"/>
          <w:type w:val="continuous"/>
        </w:sectPr>
      </w:pPr>
    </w:p>
    <w:p>
      <w:pPr>
        <w:spacing w:after="0" w:line="7" w:lineRule="exact"/>
        <w:rPr>
          <w:sz w:val="20"/>
          <w:szCs w:val="20"/>
          <w:color w:val="auto"/>
        </w:rPr>
      </w:pPr>
    </w:p>
    <w:p>
      <w:pPr>
        <w:ind w:left="8"/>
        <w:spacing w:after="0"/>
        <w:rPr>
          <w:sz w:val="20"/>
          <w:szCs w:val="20"/>
          <w:color w:val="auto"/>
        </w:rPr>
      </w:pPr>
      <w:r>
        <w:rPr>
          <w:rFonts w:ascii="Arial" w:cs="Arial" w:eastAsia="Arial" w:hAnsi="Arial"/>
          <w:sz w:val="10"/>
          <w:szCs w:val="10"/>
          <w:color w:val="auto"/>
        </w:rPr>
        <w:t>We held our second annual Global Inclusion and Diversity month in September 2023, during which employees all around the world recognized and supported inclusive diversity efforts by learning from and connecting with one another.</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month offered employees the opportunity to make an impact by shaping an inclusive and diverse future.</w:t>
      </w:r>
    </w:p>
    <w:p>
      <w:pPr>
        <w:spacing w:after="0" w:line="286" w:lineRule="exact"/>
        <w:rPr>
          <w:sz w:val="20"/>
          <w:szCs w:val="20"/>
          <w:color w:val="auto"/>
        </w:rPr>
      </w:pPr>
    </w:p>
    <w:p>
      <w:pPr>
        <w:ind w:left="268" w:hanging="268"/>
        <w:spacing w:after="0"/>
        <w:tabs>
          <w:tab w:leader="none" w:pos="268" w:val="left"/>
        </w:tabs>
        <w:numPr>
          <w:ilvl w:val="0"/>
          <w:numId w:val="41"/>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type w:val="continuous"/>
        </w:sectPr>
      </w:pPr>
    </w:p>
    <w:bookmarkStart w:id="17" w:name="page18"/>
    <w:bookmarkEnd w:id="17"/>
    <w:p>
      <w:pPr>
        <w:ind w:left="8"/>
        <w:spacing w:after="0"/>
        <w:tabs>
          <w:tab w:leader="none" w:pos="1040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D7282F"/>
        </w:rPr>
        <w:t>COMMITMENT TO INCLUSION AND DIVERSITY</w:t>
      </w:r>
    </w:p>
    <w:p>
      <w:pPr>
        <w:sectPr>
          <w:pgSz w:w="11900" w:h="16838" w:orient="portrait"/>
          <w:cols w:equalWidth="0" w:num="1">
            <w:col w:w="11288"/>
          </w:cols>
          <w:pgMar w:left="292" w:top="227" w:right="319" w:bottom="1440" w:gutter="0" w:footer="0" w:header="0"/>
        </w:sectPr>
      </w:pPr>
    </w:p>
    <w:p>
      <w:pPr>
        <w:spacing w:after="0" w:line="127" w:lineRule="exact"/>
        <w:rPr>
          <w:sz w:val="20"/>
          <w:szCs w:val="20"/>
          <w:color w:val="auto"/>
        </w:rPr>
      </w:pPr>
    </w:p>
    <w:p>
      <w:pPr>
        <w:jc w:val="center"/>
        <w:ind w:left="2708"/>
        <w:spacing w:after="0"/>
        <w:rPr>
          <w:sz w:val="20"/>
          <w:szCs w:val="20"/>
          <w:color w:val="auto"/>
        </w:rPr>
      </w:pPr>
      <w:r>
        <w:rPr>
          <w:rFonts w:ascii="Arial" w:cs="Arial" w:eastAsia="Arial" w:hAnsi="Arial"/>
          <w:sz w:val="11"/>
          <w:szCs w:val="11"/>
          <w:b w:val="1"/>
          <w:bCs w:val="1"/>
          <w:color w:val="616161"/>
        </w:rPr>
        <w:t>BOARD</w:t>
      </w:r>
    </w:p>
    <w:p>
      <w:pPr>
        <w:jc w:val="center"/>
        <w:ind w:left="2708"/>
        <w:spacing w:after="0"/>
        <w:rPr>
          <w:sz w:val="20"/>
          <w:szCs w:val="20"/>
          <w:color w:val="auto"/>
        </w:rPr>
      </w:pPr>
      <w:r>
        <w:rPr>
          <w:rFonts w:ascii="Arial" w:cs="Arial" w:eastAsia="Arial" w:hAnsi="Arial"/>
          <w:sz w:val="10"/>
          <w:szCs w:val="10"/>
          <w:b w:val="1"/>
          <w:bCs w:val="1"/>
          <w:color w:val="616161"/>
        </w:rPr>
        <w:t>GENDER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63500</wp:posOffset>
            </wp:positionV>
            <wp:extent cx="977265" cy="1154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77265" cy="1154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0"/>
          <w:szCs w:val="10"/>
          <w:b w:val="1"/>
          <w:bCs w:val="1"/>
          <w:color w:val="616161"/>
        </w:rPr>
        <w:t>BOARD ETHNIC OR</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616161"/>
        </w:rPr>
        <w:t>RACIAL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46355</wp:posOffset>
            </wp:positionV>
            <wp:extent cx="977265" cy="1314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77265" cy="1314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jc w:val="center"/>
        <w:ind w:right="3020"/>
        <w:spacing w:after="0"/>
        <w:rPr>
          <w:sz w:val="20"/>
          <w:szCs w:val="20"/>
          <w:color w:val="auto"/>
        </w:rPr>
      </w:pPr>
      <w:r>
        <w:rPr>
          <w:rFonts w:ascii="Arial" w:cs="Arial" w:eastAsia="Arial" w:hAnsi="Arial"/>
          <w:sz w:val="11"/>
          <w:szCs w:val="11"/>
          <w:b w:val="1"/>
          <w:bCs w:val="1"/>
          <w:color w:val="616161"/>
        </w:rPr>
        <w:t>EXECUTIVE</w:t>
      </w:r>
    </w:p>
    <w:p>
      <w:pPr>
        <w:jc w:val="center"/>
        <w:ind w:right="3020"/>
        <w:spacing w:after="0"/>
        <w:rPr>
          <w:sz w:val="20"/>
          <w:szCs w:val="20"/>
          <w:color w:val="auto"/>
        </w:rPr>
      </w:pPr>
      <w:r>
        <w:rPr>
          <w:rFonts w:ascii="Arial" w:cs="Arial" w:eastAsia="Arial" w:hAnsi="Arial"/>
          <w:sz w:val="10"/>
          <w:szCs w:val="10"/>
          <w:b w:val="1"/>
          <w:bCs w:val="1"/>
          <w:color w:val="616161"/>
        </w:rPr>
        <w:t>OFFICER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46355</wp:posOffset>
            </wp:positionV>
            <wp:extent cx="965835" cy="14859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65835" cy="14859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408" w:space="720"/>
            <w:col w:w="1360" w:space="720"/>
            <w:col w:w="4080"/>
          </w:cols>
          <w:pgMar w:left="292" w:top="22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68"/>
        <w:spacing w:after="0"/>
        <w:tabs>
          <w:tab w:leader="none" w:pos="6688" w:val="left"/>
        </w:tabs>
        <w:rPr>
          <w:sz w:val="20"/>
          <w:szCs w:val="20"/>
          <w:color w:val="auto"/>
        </w:rPr>
      </w:pPr>
      <w:r>
        <w:rPr>
          <w:rFonts w:ascii="Arial" w:cs="Arial" w:eastAsia="Arial" w:hAnsi="Arial"/>
          <w:sz w:val="11"/>
          <w:szCs w:val="11"/>
          <w:b w:val="1"/>
          <w:bCs w:val="1"/>
          <w:color w:val="616161"/>
        </w:rPr>
        <w:t>GLOBAL WORKFORCE</w:t>
      </w:r>
      <w:r>
        <w:rPr>
          <w:rFonts w:ascii="Arial" w:cs="Arial" w:eastAsia="Arial" w:hAnsi="Arial"/>
          <w:sz w:val="14"/>
          <w:szCs w:val="14"/>
          <w:b w:val="1"/>
          <w:bCs w:val="1"/>
          <w:color w:val="616161"/>
          <w:vertAlign w:val="superscript"/>
        </w:rPr>
        <w:t>1</w:t>
      </w:r>
      <w:r>
        <w:rPr>
          <w:sz w:val="20"/>
          <w:szCs w:val="20"/>
          <w:color w:val="auto"/>
        </w:rPr>
        <w:tab/>
      </w:r>
      <w:r>
        <w:rPr>
          <w:rFonts w:ascii="Arial" w:cs="Arial" w:eastAsia="Arial" w:hAnsi="Arial"/>
          <w:sz w:val="10"/>
          <w:szCs w:val="10"/>
          <w:b w:val="1"/>
          <w:bCs w:val="1"/>
          <w:color w:val="616161"/>
        </w:rPr>
        <w:t>U.S. WORKFORCE</w:t>
      </w:r>
      <w:r>
        <w:rPr>
          <w:rFonts w:ascii="Arial" w:cs="Arial" w:eastAsia="Arial" w:hAnsi="Arial"/>
          <w:sz w:val="13"/>
          <w:szCs w:val="13"/>
          <w:b w:val="1"/>
          <w:bCs w:val="1"/>
          <w:color w:val="616161"/>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2091690</wp:posOffset>
            </wp:positionH>
            <wp:positionV relativeFrom="paragraph">
              <wp:posOffset>40640</wp:posOffset>
            </wp:positionV>
            <wp:extent cx="994410" cy="1177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94410" cy="1177290"/>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29210</wp:posOffset>
            </wp:positionV>
            <wp:extent cx="994410" cy="1177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94410" cy="1177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528"/>
        <w:spacing w:after="0"/>
        <w:rPr>
          <w:sz w:val="20"/>
          <w:szCs w:val="20"/>
          <w:color w:val="auto"/>
        </w:rPr>
      </w:pPr>
      <w:r>
        <w:rPr>
          <w:rFonts w:ascii="Arial" w:cs="Arial" w:eastAsia="Arial" w:hAnsi="Arial"/>
          <w:sz w:val="8"/>
          <w:szCs w:val="8"/>
          <w:color w:val="auto"/>
        </w:rPr>
        <w:t>1 As of December 31, 2023. Excludes work forces at Sandia and KCNSC.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68" w:hanging="268"/>
        <w:spacing w:after="0"/>
        <w:tabs>
          <w:tab w:leader="none" w:pos="268" w:val="left"/>
        </w:tabs>
        <w:numPr>
          <w:ilvl w:val="0"/>
          <w:numId w:val="42"/>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227" w:right="319" w:bottom="1440" w:gutter="0" w:footer="0" w:header="0"/>
          <w:type w:val="continuous"/>
        </w:sectPr>
      </w:pPr>
    </w:p>
    <w:bookmarkStart w:id="18" w:name="page19"/>
    <w:bookmarkEnd w:id="18"/>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8" w:right="620"/>
        <w:spacing w:after="0" w:line="296" w:lineRule="auto"/>
        <w:rPr>
          <w:sz w:val="20"/>
          <w:szCs w:val="20"/>
          <w:color w:val="auto"/>
        </w:rPr>
      </w:pPr>
      <w:r>
        <w:rPr>
          <w:rFonts w:ascii="Arial" w:cs="Arial" w:eastAsia="Arial" w:hAnsi="Arial"/>
          <w:sz w:val="24"/>
          <w:szCs w:val="24"/>
          <w:b w:val="1"/>
          <w:bCs w:val="1"/>
          <w:color w:val="auto"/>
        </w:rPr>
        <w:t>MANAGEMENT'S DISCUSSION AND ANALYSIS OF FINANCIAL CONDITION AND RESULTS OF OPERATIONS</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(Dollars in tables and graphs in millions, except per share amounts)</w:t>
      </w:r>
    </w:p>
    <w:p>
      <w:pPr>
        <w:spacing w:after="0" w:line="72"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The following Management’s Discussion and Analysis of Financial Condition and Results of Operations is intended to help the reader understand the results of operations and financial condition of Honeywell International Inc. and its consolidated subsidiaries (Honeywell, we, us, our, or the Company) for the three years ended December 31, 2023. All references to Notes relate to Notes to Consolidated Financial Statements in the section titled Financial Statements and Supplementary Data.</w:t>
      </w:r>
    </w:p>
    <w:p>
      <w:pPr>
        <w:spacing w:after="0" w:line="45" w:lineRule="exact"/>
        <w:rPr>
          <w:sz w:val="20"/>
          <w:szCs w:val="20"/>
          <w:color w:val="auto"/>
        </w:rPr>
      </w:pPr>
    </w:p>
    <w:p>
      <w:pPr>
        <w:ind w:left="8"/>
        <w:spacing w:after="0" w:line="296" w:lineRule="auto"/>
        <w:rPr>
          <w:rFonts w:ascii="Arial" w:cs="Arial" w:eastAsia="Arial" w:hAnsi="Arial"/>
          <w:sz w:val="11"/>
          <w:szCs w:val="11"/>
          <w:color w:val="auto"/>
        </w:rPr>
      </w:pPr>
      <w:r>
        <w:rPr>
          <w:rFonts w:ascii="Arial" w:cs="Arial" w:eastAsia="Arial" w:hAnsi="Arial"/>
          <w:sz w:val="11"/>
          <w:szCs w:val="11"/>
          <w:color w:val="auto"/>
        </w:rPr>
        <w:t xml:space="preserve">A detailed discussion of the prior year 2022 to 2021 year-over-year changes is not included herein and can be found in the Management's Discussion and Analysis of Financial Condition and Results of Operations section in the 2022 </w:t>
      </w:r>
      <w:hyperlink r:id="rId91">
        <w:r>
          <w:rPr>
            <w:rFonts w:ascii="Arial" w:cs="Arial" w:eastAsia="Arial" w:hAnsi="Arial"/>
            <w:sz w:val="11"/>
            <w:szCs w:val="11"/>
            <w:b w:val="1"/>
            <w:bCs w:val="1"/>
            <w:color w:val="auto"/>
          </w:rPr>
          <w:t>Annual Report on Form 10-K filed February 10, 2023.</w:t>
        </w:r>
      </w:hyperlink>
    </w:p>
    <w:p>
      <w:pPr>
        <w:spacing w:after="0" w:line="126" w:lineRule="exact"/>
        <w:rPr>
          <w:sz w:val="20"/>
          <w:szCs w:val="20"/>
          <w:color w:val="auto"/>
        </w:rPr>
      </w:pPr>
    </w:p>
    <w:p>
      <w:pPr>
        <w:ind w:left="8"/>
        <w:spacing w:after="0"/>
        <w:rPr>
          <w:sz w:val="20"/>
          <w:szCs w:val="20"/>
          <w:color w:val="auto"/>
        </w:rPr>
      </w:pPr>
      <w:r>
        <w:rPr>
          <w:rFonts w:ascii="Arial" w:cs="Arial" w:eastAsia="Arial" w:hAnsi="Arial"/>
          <w:sz w:val="19"/>
          <w:szCs w:val="19"/>
          <w:color w:val="D7282F"/>
        </w:rPr>
        <w:t>BUSINESS UPDATE</w:t>
      </w:r>
    </w:p>
    <w:p>
      <w:pPr>
        <w:spacing w:after="0" w:line="192"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MACROECONOMIC CONDITIONS</w:t>
      </w:r>
    </w:p>
    <w:p>
      <w:pPr>
        <w:spacing w:after="0" w:line="81" w:lineRule="exact"/>
        <w:rPr>
          <w:sz w:val="20"/>
          <w:szCs w:val="20"/>
          <w:color w:val="auto"/>
        </w:rPr>
      </w:pPr>
    </w:p>
    <w:p>
      <w:pPr>
        <w:jc w:val="both"/>
        <w:ind w:left="8" w:right="20"/>
        <w:spacing w:after="0" w:line="318" w:lineRule="auto"/>
        <w:rPr>
          <w:sz w:val="20"/>
          <w:szCs w:val="20"/>
          <w:color w:val="auto"/>
        </w:rPr>
      </w:pPr>
      <w:r>
        <w:rPr>
          <w:rFonts w:ascii="Arial" w:cs="Arial" w:eastAsia="Arial" w:hAnsi="Arial"/>
          <w:sz w:val="10"/>
          <w:szCs w:val="10"/>
          <w:color w:val="auto"/>
        </w:rPr>
        <w:t>We continue to monitor the impacts of ongoing macroeconomic conditions and geopolitical events. During 2023, material inflation continued to moderate. Slowing global growth relieved pressure on logistics freight and service capacity and provided supply chain redundancy. We continue to leverage short-term and long-term mitigation strategies to reduce the impact of supply chain disruptions, including digital solutions to assist in identifying and managing shortages.</w:t>
      </w:r>
    </w:p>
    <w:p>
      <w:pPr>
        <w:spacing w:after="0" w:line="28"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color w:val="auto"/>
        </w:rPr>
        <w:t>Our mitigation strategies include pricing actions, longer term planning for constrained materials, new supplier development, material supply tracking tools, and direct engagement with key suppliers to meet customer demand. Our relationships with primary and secondary suppliers allow us to reliably source key components and raw materials. In areas where we cannot procure key components or raw materials, we consider altering existing products and developing new products to satisfy customer needs. Alterations to existing products and the development of new products undergo product quality controls and engineering qualification prior to releasing to our customers. In addition, we assist certain suppliers facing manufacturing challenges by committing our own resources to their sites and facilities. We believe these mitigation strategies enable us to reduce supply risk, accelerate new product innovation, and expand our penetration in the markets we serve. Additionally, due to the strenuous quality controls and product qualification we perform on a new or altered product, we do not expect these mitigation strategies to impact product quality or reliability.</w:t>
      </w:r>
    </w:p>
    <w:p>
      <w:pPr>
        <w:spacing w:after="0" w:line="52"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Global conflicts continue to create volatility in global financial and energy markets and contribute to supply chain shortages adding to the inflationary pressures in the global economy. We actively collaborate with our suppliers to minimize impacts of supply shortages on our manufacturing capabilities.</w:t>
      </w:r>
    </w:p>
    <w:p>
      <w:pPr>
        <w:spacing w:after="0" w:line="51"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To date, our strategies have successfully mitigated our exposure to these conditions. However, if we are not successful in sustaining or executing these strategies, these macroeconomic conditions could have a material adverse effect on our consolidated results of operations or operating cash flows.</w:t>
      </w:r>
    </w:p>
    <w:p>
      <w:pPr>
        <w:spacing w:after="0" w:line="51" w:lineRule="exact"/>
        <w:rPr>
          <w:sz w:val="20"/>
          <w:szCs w:val="20"/>
          <w:color w:val="auto"/>
        </w:rPr>
      </w:pPr>
    </w:p>
    <w:p>
      <w:pPr>
        <w:ind w:left="8"/>
        <w:spacing w:after="0"/>
        <w:rPr>
          <w:sz w:val="20"/>
          <w:szCs w:val="20"/>
          <w:color w:val="auto"/>
        </w:rPr>
      </w:pPr>
      <w:r>
        <w:rPr>
          <w:rFonts w:ascii="Arial" w:cs="Arial" w:eastAsia="Arial" w:hAnsi="Arial"/>
          <w:sz w:val="11"/>
          <w:szCs w:val="11"/>
          <w:color w:val="auto"/>
        </w:rPr>
        <w:t>See the section titled Review of Business Segments for additional information on the impacts of inflationary cost pressures and labor shortages to our businesses.</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1"/>
          <w:szCs w:val="11"/>
          <w:color w:val="auto"/>
        </w:rPr>
        <w:t>See the section titled Risk Factors for a discussion of risks associated with the potential adverse effects of inflationary cost pressures, supply chain disruptions, and labor shortages to our businesses.</w:t>
      </w:r>
    </w:p>
    <w:p>
      <w:pPr>
        <w:spacing w:after="0" w:line="296" w:lineRule="exact"/>
        <w:rPr>
          <w:sz w:val="20"/>
          <w:szCs w:val="20"/>
          <w:color w:val="auto"/>
        </w:rPr>
      </w:pPr>
    </w:p>
    <w:p>
      <w:pPr>
        <w:ind w:left="268" w:hanging="268"/>
        <w:spacing w:after="0"/>
        <w:tabs>
          <w:tab w:leader="none" w:pos="268" w:val="left"/>
        </w:tabs>
        <w:numPr>
          <w:ilvl w:val="0"/>
          <w:numId w:val="43"/>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19" w:name="page20"/>
    <w:bookmarkEnd w:id="19"/>
    <w:tbl>
      <w:tblPr>
        <w:tblLayout w:type="fixed"/>
        <w:tblInd w:w="8" w:type="dxa"/>
        <w:tblCellMar>
          <w:top w:w="0" w:type="dxa"/>
          <w:left w:w="0" w:type="dxa"/>
          <w:bottom w:w="0" w:type="dxa"/>
          <w:right w:w="0" w:type="dxa"/>
        </w:tblCellMar>
      </w:tblPr>
      <w:tr>
        <w:trPr>
          <w:trHeight w:val="92"/>
        </w:trPr>
        <w:tc>
          <w:tcPr>
            <w:tcW w:w="4840" w:type="dxa"/>
            <w:vAlign w:val="bottom"/>
            <w:gridSpan w:val="2"/>
          </w:tcPr>
          <w:p>
            <w:pPr>
              <w:spacing w:after="0"/>
              <w:rPr>
                <w:sz w:val="20"/>
                <w:szCs w:val="20"/>
                <w:color w:val="auto"/>
              </w:rPr>
            </w:pPr>
            <w:r>
              <w:rPr>
                <w:rFonts w:ascii="Arial" w:cs="Arial" w:eastAsia="Arial" w:hAnsi="Arial"/>
                <w:sz w:val="8"/>
                <w:szCs w:val="8"/>
                <w:b w:val="1"/>
                <w:bCs w:val="1"/>
                <w:color w:val="0000FF"/>
              </w:rPr>
              <w:t>TABLE OF CONTENTS</w:t>
            </w:r>
          </w:p>
        </w:tc>
        <w:tc>
          <w:tcPr>
            <w:tcW w:w="6440" w:type="dxa"/>
            <w:vAlign w:val="bottom"/>
          </w:tcPr>
          <w:p>
            <w:pPr>
              <w:ind w:left="3920"/>
              <w:spacing w:after="0"/>
              <w:rPr>
                <w:sz w:val="20"/>
                <w:szCs w:val="20"/>
                <w:color w:val="auto"/>
              </w:rPr>
            </w:pPr>
            <w:r>
              <w:rPr>
                <w:rFonts w:ascii="Arial" w:cs="Arial" w:eastAsia="Arial" w:hAnsi="Arial"/>
                <w:sz w:val="8"/>
                <w:szCs w:val="8"/>
                <w:b w:val="1"/>
                <w:bCs w:val="1"/>
                <w:color w:val="D7282F"/>
              </w:rPr>
              <w:t>MANAGEMENT’S DISCUSSION AND ANALYSIS OF FINANCIAL</w:t>
            </w:r>
          </w:p>
        </w:tc>
      </w:tr>
      <w:tr>
        <w:trPr>
          <w:trHeight w:val="94"/>
        </w:trPr>
        <w:tc>
          <w:tcPr>
            <w:tcW w:w="900" w:type="dxa"/>
            <w:vAlign w:val="bottom"/>
            <w:tcBorders>
              <w:top w:val="single" w:sz="8" w:color="0000FF"/>
            </w:tcBorders>
          </w:tcPr>
          <w:p>
            <w:pPr>
              <w:spacing w:after="0"/>
              <w:rPr>
                <w:sz w:val="8"/>
                <w:szCs w:val="8"/>
                <w:color w:val="auto"/>
              </w:rPr>
            </w:pPr>
          </w:p>
        </w:tc>
        <w:tc>
          <w:tcPr>
            <w:tcW w:w="3940" w:type="dxa"/>
            <w:vAlign w:val="bottom"/>
          </w:tcPr>
          <w:p>
            <w:pPr>
              <w:spacing w:after="0"/>
              <w:rPr>
                <w:sz w:val="8"/>
                <w:szCs w:val="8"/>
                <w:color w:val="auto"/>
              </w:rPr>
            </w:pPr>
          </w:p>
        </w:tc>
        <w:tc>
          <w:tcPr>
            <w:tcW w:w="6440" w:type="dxa"/>
            <w:vAlign w:val="bottom"/>
          </w:tcPr>
          <w:p>
            <w:pPr>
              <w:ind w:left="4640"/>
              <w:spacing w:after="0"/>
              <w:rPr>
                <w:sz w:val="20"/>
                <w:szCs w:val="20"/>
                <w:color w:val="auto"/>
              </w:rPr>
            </w:pPr>
            <w:r>
              <w:rPr>
                <w:rFonts w:ascii="Arial" w:cs="Arial" w:eastAsia="Arial" w:hAnsi="Arial"/>
                <w:sz w:val="8"/>
                <w:szCs w:val="8"/>
                <w:b w:val="1"/>
                <w:bCs w:val="1"/>
                <w:color w:val="D7282F"/>
              </w:rPr>
              <w:t>CONDITION AND RESULTS OF OPERATIONS</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
        <w:spacing w:after="0"/>
        <w:rPr>
          <w:sz w:val="20"/>
          <w:szCs w:val="20"/>
          <w:color w:val="auto"/>
        </w:rPr>
      </w:pPr>
      <w:r>
        <w:rPr>
          <w:rFonts w:ascii="Arial" w:cs="Arial" w:eastAsia="Arial" w:hAnsi="Arial"/>
          <w:sz w:val="19"/>
          <w:szCs w:val="19"/>
          <w:color w:val="D7282F"/>
        </w:rPr>
        <w:t>RESULTS OF OPERATIONS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50800</wp:posOffset>
            </wp:positionV>
            <wp:extent cx="3886200" cy="17145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8862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Net Sales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50800</wp:posOffset>
            </wp:positionV>
            <wp:extent cx="3886200" cy="17145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38862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68" w:hanging="268"/>
        <w:spacing w:after="0"/>
        <w:tabs>
          <w:tab w:leader="none" w:pos="268" w:val="left"/>
        </w:tabs>
        <w:numPr>
          <w:ilvl w:val="0"/>
          <w:numId w:val="44"/>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219" w:right="319" w:bottom="1440" w:gutter="0" w:footer="0" w:header="0"/>
        </w:sectPr>
      </w:pPr>
    </w:p>
    <w:bookmarkStart w:id="20" w:name="page21"/>
    <w:bookmarkEnd w:id="20"/>
    <w:tbl>
      <w:tblPr>
        <w:tblLayout w:type="fixed"/>
        <w:tblInd w:w="8" w:type="dxa"/>
        <w:tblCellMar>
          <w:top w:w="0" w:type="dxa"/>
          <w:left w:w="0" w:type="dxa"/>
          <w:bottom w:w="0" w:type="dxa"/>
          <w:right w:w="0" w:type="dxa"/>
        </w:tblCellMar>
      </w:tblPr>
      <w:tr>
        <w:trPr>
          <w:trHeight w:val="92"/>
        </w:trPr>
        <w:tc>
          <w:tcPr>
            <w:tcW w:w="4840" w:type="dxa"/>
            <w:vAlign w:val="bottom"/>
            <w:gridSpan w:val="2"/>
          </w:tcPr>
          <w:p>
            <w:pPr>
              <w:spacing w:after="0"/>
              <w:rPr>
                <w:sz w:val="20"/>
                <w:szCs w:val="20"/>
                <w:color w:val="auto"/>
              </w:rPr>
            </w:pPr>
            <w:r>
              <w:rPr>
                <w:rFonts w:ascii="Arial" w:cs="Arial" w:eastAsia="Arial" w:hAnsi="Arial"/>
                <w:sz w:val="8"/>
                <w:szCs w:val="8"/>
                <w:b w:val="1"/>
                <w:bCs w:val="1"/>
                <w:color w:val="0000FF"/>
              </w:rPr>
              <w:t>TABLE OF CONTENTS</w:t>
            </w:r>
          </w:p>
        </w:tc>
        <w:tc>
          <w:tcPr>
            <w:tcW w:w="6440" w:type="dxa"/>
            <w:vAlign w:val="bottom"/>
          </w:tcPr>
          <w:p>
            <w:pPr>
              <w:ind w:left="3920"/>
              <w:spacing w:after="0"/>
              <w:rPr>
                <w:sz w:val="20"/>
                <w:szCs w:val="20"/>
                <w:color w:val="auto"/>
              </w:rPr>
            </w:pPr>
            <w:r>
              <w:rPr>
                <w:rFonts w:ascii="Arial" w:cs="Arial" w:eastAsia="Arial" w:hAnsi="Arial"/>
                <w:sz w:val="8"/>
                <w:szCs w:val="8"/>
                <w:b w:val="1"/>
                <w:bCs w:val="1"/>
                <w:color w:val="D7282F"/>
              </w:rPr>
              <w:t>MANAGEMENT’S DISCUSSION AND ANALYSIS OF FINANCIAL</w:t>
            </w:r>
          </w:p>
        </w:tc>
      </w:tr>
      <w:tr>
        <w:trPr>
          <w:trHeight w:val="94"/>
        </w:trPr>
        <w:tc>
          <w:tcPr>
            <w:tcW w:w="900" w:type="dxa"/>
            <w:vAlign w:val="bottom"/>
            <w:tcBorders>
              <w:top w:val="single" w:sz="8" w:color="0000FF"/>
            </w:tcBorders>
          </w:tcPr>
          <w:p>
            <w:pPr>
              <w:spacing w:after="0"/>
              <w:rPr>
                <w:sz w:val="8"/>
                <w:szCs w:val="8"/>
                <w:color w:val="auto"/>
              </w:rPr>
            </w:pPr>
          </w:p>
        </w:tc>
        <w:tc>
          <w:tcPr>
            <w:tcW w:w="3940" w:type="dxa"/>
            <w:vAlign w:val="bottom"/>
          </w:tcPr>
          <w:p>
            <w:pPr>
              <w:spacing w:after="0"/>
              <w:rPr>
                <w:sz w:val="8"/>
                <w:szCs w:val="8"/>
                <w:color w:val="auto"/>
              </w:rPr>
            </w:pPr>
          </w:p>
        </w:tc>
        <w:tc>
          <w:tcPr>
            <w:tcW w:w="6440" w:type="dxa"/>
            <w:vAlign w:val="bottom"/>
          </w:tcPr>
          <w:p>
            <w:pPr>
              <w:ind w:left="4640"/>
              <w:spacing w:after="0"/>
              <w:rPr>
                <w:sz w:val="20"/>
                <w:szCs w:val="20"/>
                <w:color w:val="auto"/>
              </w:rPr>
            </w:pPr>
            <w:r>
              <w:rPr>
                <w:rFonts w:ascii="Arial" w:cs="Arial" w:eastAsia="Arial" w:hAnsi="Arial"/>
                <w:sz w:val="8"/>
                <w:szCs w:val="8"/>
                <w:b w:val="1"/>
                <w:bCs w:val="1"/>
                <w:color w:val="D7282F"/>
              </w:rPr>
              <w:t>CONDITION AND RESULTS OF OPERATIONS</w:t>
            </w: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Segment Profit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50800</wp:posOffset>
            </wp:positionV>
            <wp:extent cx="3886200" cy="17145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38862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68" w:hanging="268"/>
        <w:spacing w:after="0"/>
        <w:tabs>
          <w:tab w:leader="none" w:pos="268" w:val="left"/>
        </w:tabs>
        <w:numPr>
          <w:ilvl w:val="0"/>
          <w:numId w:val="45"/>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219" w:right="319" w:bottom="1440" w:gutter="0" w:footer="0" w:header="0"/>
        </w:sectPr>
      </w:pPr>
    </w:p>
    <w:bookmarkStart w:id="21" w:name="page22"/>
    <w:bookmarkEnd w:id="21"/>
    <w:tbl>
      <w:tblPr>
        <w:tblLayout w:type="fixed"/>
        <w:tblInd w:w="8" w:type="dxa"/>
        <w:tblCellMar>
          <w:top w:w="0" w:type="dxa"/>
          <w:left w:w="0" w:type="dxa"/>
          <w:bottom w:w="0" w:type="dxa"/>
          <w:right w:w="0" w:type="dxa"/>
        </w:tblCellMar>
      </w:tblPr>
      <w:tr>
        <w:trPr>
          <w:trHeight w:val="92"/>
        </w:trPr>
        <w:tc>
          <w:tcPr>
            <w:tcW w:w="4840" w:type="dxa"/>
            <w:vAlign w:val="bottom"/>
            <w:gridSpan w:val="2"/>
          </w:tcPr>
          <w:p>
            <w:pPr>
              <w:spacing w:after="0"/>
              <w:rPr>
                <w:sz w:val="20"/>
                <w:szCs w:val="20"/>
                <w:color w:val="auto"/>
              </w:rPr>
            </w:pPr>
            <w:r>
              <w:rPr>
                <w:rFonts w:ascii="Arial" w:cs="Arial" w:eastAsia="Arial" w:hAnsi="Arial"/>
                <w:sz w:val="8"/>
                <w:szCs w:val="8"/>
                <w:b w:val="1"/>
                <w:bCs w:val="1"/>
                <w:color w:val="0000FF"/>
              </w:rPr>
              <w:t>TABLE OF CONTENTS</w:t>
            </w:r>
          </w:p>
        </w:tc>
        <w:tc>
          <w:tcPr>
            <w:tcW w:w="6440" w:type="dxa"/>
            <w:vAlign w:val="bottom"/>
          </w:tcPr>
          <w:p>
            <w:pPr>
              <w:ind w:left="3920"/>
              <w:spacing w:after="0"/>
              <w:rPr>
                <w:sz w:val="20"/>
                <w:szCs w:val="20"/>
                <w:color w:val="auto"/>
              </w:rPr>
            </w:pPr>
            <w:r>
              <w:rPr>
                <w:rFonts w:ascii="Arial" w:cs="Arial" w:eastAsia="Arial" w:hAnsi="Arial"/>
                <w:sz w:val="8"/>
                <w:szCs w:val="8"/>
                <w:b w:val="1"/>
                <w:bCs w:val="1"/>
                <w:color w:val="D7282F"/>
              </w:rPr>
              <w:t>MANAGEMENT’S DISCUSSION AND ANALYSIS OF FINANCIAL</w:t>
            </w:r>
          </w:p>
        </w:tc>
      </w:tr>
      <w:tr>
        <w:trPr>
          <w:trHeight w:val="94"/>
        </w:trPr>
        <w:tc>
          <w:tcPr>
            <w:tcW w:w="900" w:type="dxa"/>
            <w:vAlign w:val="bottom"/>
            <w:tcBorders>
              <w:top w:val="single" w:sz="8" w:color="0000FF"/>
            </w:tcBorders>
          </w:tcPr>
          <w:p>
            <w:pPr>
              <w:spacing w:after="0"/>
              <w:rPr>
                <w:sz w:val="8"/>
                <w:szCs w:val="8"/>
                <w:color w:val="auto"/>
              </w:rPr>
            </w:pPr>
          </w:p>
        </w:tc>
        <w:tc>
          <w:tcPr>
            <w:tcW w:w="3940" w:type="dxa"/>
            <w:vAlign w:val="bottom"/>
          </w:tcPr>
          <w:p>
            <w:pPr>
              <w:spacing w:after="0"/>
              <w:rPr>
                <w:sz w:val="8"/>
                <w:szCs w:val="8"/>
                <w:color w:val="auto"/>
              </w:rPr>
            </w:pPr>
          </w:p>
        </w:tc>
        <w:tc>
          <w:tcPr>
            <w:tcW w:w="6440" w:type="dxa"/>
            <w:vAlign w:val="bottom"/>
          </w:tcPr>
          <w:p>
            <w:pPr>
              <w:ind w:left="4640"/>
              <w:spacing w:after="0"/>
              <w:rPr>
                <w:sz w:val="20"/>
                <w:szCs w:val="20"/>
                <w:color w:val="auto"/>
              </w:rPr>
            </w:pPr>
            <w:r>
              <w:rPr>
                <w:rFonts w:ascii="Arial" w:cs="Arial" w:eastAsia="Arial" w:hAnsi="Arial"/>
                <w:sz w:val="8"/>
                <w:szCs w:val="8"/>
                <w:b w:val="1"/>
                <w:bCs w:val="1"/>
                <w:color w:val="D7282F"/>
              </w:rPr>
              <w:t>CONDITION AND RESULTS OF OPERATIONS</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
        <w:spacing w:after="0"/>
        <w:rPr>
          <w:sz w:val="20"/>
          <w:szCs w:val="20"/>
          <w:color w:val="auto"/>
        </w:rPr>
      </w:pPr>
      <w:r>
        <w:rPr>
          <w:rFonts w:ascii="Arial" w:cs="Arial" w:eastAsia="Arial" w:hAnsi="Arial"/>
          <w:sz w:val="19"/>
          <w:szCs w:val="19"/>
          <w:color w:val="D7282F"/>
        </w:rPr>
        <w:t>CONSOLIDATED OPERATING RESULTS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50800</wp:posOffset>
            </wp:positionV>
            <wp:extent cx="2000250" cy="14287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000250" cy="142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change in Net sales was attributable to the following:</w:t>
      </w:r>
    </w:p>
    <w:p>
      <w:pPr>
        <w:spacing w:after="0" w:line="28"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4800" w:type="dxa"/>
            <w:vAlign w:val="bottom"/>
            <w:tcBorders>
              <w:bottom w:val="single" w:sz="8" w:color="D7282F"/>
            </w:tcBorders>
          </w:tcPr>
          <w:p>
            <w:pPr>
              <w:spacing w:after="0"/>
              <w:rPr>
                <w:sz w:val="11"/>
                <w:szCs w:val="11"/>
                <w:color w:val="auto"/>
              </w:rPr>
            </w:pPr>
          </w:p>
        </w:tc>
        <w:tc>
          <w:tcPr>
            <w:tcW w:w="4500" w:type="dxa"/>
            <w:vAlign w:val="bottom"/>
            <w:tcBorders>
              <w:bottom w:val="single" w:sz="8" w:color="D7282F"/>
            </w:tcBorders>
          </w:tcPr>
          <w:p>
            <w:pPr>
              <w:ind w:left="3120"/>
              <w:spacing w:after="0"/>
              <w:rPr>
                <w:sz w:val="20"/>
                <w:szCs w:val="20"/>
                <w:color w:val="auto"/>
              </w:rPr>
            </w:pPr>
            <w:r>
              <w:rPr>
                <w:rFonts w:ascii="Arial" w:cs="Arial" w:eastAsia="Arial" w:hAnsi="Arial"/>
                <w:sz w:val="10"/>
                <w:szCs w:val="10"/>
                <w:b w:val="1"/>
                <w:bCs w:val="1"/>
                <w:color w:val="auto"/>
              </w:rPr>
              <w:t>2023 Versus 2022</w:t>
            </w:r>
          </w:p>
        </w:tc>
        <w:tc>
          <w:tcPr>
            <w:tcW w:w="2000" w:type="dxa"/>
            <w:vAlign w:val="bottom"/>
            <w:tcBorders>
              <w:bottom w:val="single" w:sz="8" w:color="D7282F"/>
            </w:tcBorders>
          </w:tcPr>
          <w:p>
            <w:pPr>
              <w:ind w:left="600"/>
              <w:spacing w:after="0"/>
              <w:rPr>
                <w:sz w:val="20"/>
                <w:szCs w:val="20"/>
                <w:color w:val="auto"/>
              </w:rPr>
            </w:pPr>
            <w:r>
              <w:rPr>
                <w:rFonts w:ascii="Arial" w:cs="Arial" w:eastAsia="Arial" w:hAnsi="Arial"/>
                <w:sz w:val="10"/>
                <w:szCs w:val="10"/>
                <w:b w:val="1"/>
                <w:bCs w:val="1"/>
                <w:color w:val="auto"/>
              </w:rPr>
              <w:t>2022 Versus 2021</w:t>
            </w:r>
          </w:p>
        </w:tc>
      </w:tr>
      <w:tr>
        <w:trPr>
          <w:trHeight w:val="122"/>
        </w:trPr>
        <w:tc>
          <w:tcPr>
            <w:tcW w:w="48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Volume</w:t>
            </w:r>
          </w:p>
        </w:tc>
        <w:tc>
          <w:tcPr>
            <w:tcW w:w="4500" w:type="dxa"/>
            <w:vAlign w:val="bottom"/>
            <w:tcBorders>
              <w:bottom w:val="single" w:sz="8" w:color="888B8D"/>
            </w:tcBorders>
          </w:tcPr>
          <w:p>
            <w:pPr>
              <w:jc w:val="center"/>
              <w:ind w:left="2472"/>
              <w:spacing w:after="0"/>
              <w:rPr>
                <w:sz w:val="20"/>
                <w:szCs w:val="20"/>
                <w:color w:val="auto"/>
              </w:rPr>
            </w:pPr>
            <w:r>
              <w:rPr>
                <w:rFonts w:ascii="Arial" w:cs="Arial" w:eastAsia="Arial" w:hAnsi="Arial"/>
                <w:sz w:val="10"/>
                <w:szCs w:val="10"/>
                <w:color w:val="auto"/>
                <w:w w:val="95"/>
              </w:rPr>
              <w:t>—%</w:t>
            </w:r>
          </w:p>
        </w:tc>
        <w:tc>
          <w:tcPr>
            <w:tcW w:w="2000" w:type="dxa"/>
            <w:vAlign w:val="bottom"/>
            <w:tcBorders>
              <w:bottom w:val="single" w:sz="8" w:color="888B8D"/>
            </w:tcBorders>
          </w:tcPr>
          <w:p>
            <w:pPr>
              <w:jc w:val="center"/>
              <w:spacing w:after="0"/>
              <w:rPr>
                <w:sz w:val="20"/>
                <w:szCs w:val="20"/>
                <w:color w:val="auto"/>
              </w:rPr>
            </w:pPr>
            <w:r>
              <w:rPr>
                <w:rFonts w:ascii="Arial" w:cs="Arial" w:eastAsia="Arial" w:hAnsi="Arial"/>
                <w:sz w:val="10"/>
                <w:szCs w:val="10"/>
                <w:color w:val="auto"/>
                <w:w w:val="94"/>
              </w:rPr>
              <w:t>(4)%</w:t>
            </w:r>
          </w:p>
        </w:tc>
      </w:tr>
      <w:tr>
        <w:trPr>
          <w:trHeight w:val="124"/>
        </w:trPr>
        <w:tc>
          <w:tcPr>
            <w:tcW w:w="48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Price</w:t>
            </w:r>
          </w:p>
        </w:tc>
        <w:tc>
          <w:tcPr>
            <w:tcW w:w="4500" w:type="dxa"/>
            <w:vAlign w:val="bottom"/>
            <w:tcBorders>
              <w:bottom w:val="single" w:sz="8" w:color="888B8D"/>
            </w:tcBorders>
          </w:tcPr>
          <w:p>
            <w:pPr>
              <w:jc w:val="center"/>
              <w:ind w:left="2472"/>
              <w:spacing w:after="0"/>
              <w:rPr>
                <w:sz w:val="20"/>
                <w:szCs w:val="20"/>
                <w:color w:val="auto"/>
              </w:rPr>
            </w:pPr>
            <w:r>
              <w:rPr>
                <w:rFonts w:ascii="Arial" w:cs="Arial" w:eastAsia="Arial" w:hAnsi="Arial"/>
                <w:sz w:val="10"/>
                <w:szCs w:val="10"/>
                <w:color w:val="auto"/>
                <w:w w:val="96"/>
              </w:rPr>
              <w:t>4%</w:t>
            </w:r>
          </w:p>
        </w:tc>
        <w:tc>
          <w:tcPr>
            <w:tcW w:w="2000" w:type="dxa"/>
            <w:vAlign w:val="bottom"/>
            <w:tcBorders>
              <w:bottom w:val="single" w:sz="8" w:color="888B8D"/>
            </w:tcBorders>
          </w:tcPr>
          <w:p>
            <w:pPr>
              <w:jc w:val="center"/>
              <w:spacing w:after="0"/>
              <w:rPr>
                <w:sz w:val="20"/>
                <w:szCs w:val="20"/>
                <w:color w:val="auto"/>
              </w:rPr>
            </w:pPr>
            <w:r>
              <w:rPr>
                <w:rFonts w:ascii="Arial" w:cs="Arial" w:eastAsia="Arial" w:hAnsi="Arial"/>
                <w:sz w:val="10"/>
                <w:szCs w:val="10"/>
                <w:color w:val="auto"/>
                <w:w w:val="99"/>
              </w:rPr>
              <w:t>10%</w:t>
            </w:r>
          </w:p>
        </w:tc>
      </w:tr>
      <w:tr>
        <w:trPr>
          <w:trHeight w:val="124"/>
        </w:trPr>
        <w:tc>
          <w:tcPr>
            <w:tcW w:w="48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Foreign currency translation</w:t>
            </w:r>
          </w:p>
        </w:tc>
        <w:tc>
          <w:tcPr>
            <w:tcW w:w="4500" w:type="dxa"/>
            <w:vAlign w:val="bottom"/>
            <w:tcBorders>
              <w:bottom w:val="single" w:sz="8" w:color="888B8D"/>
            </w:tcBorders>
          </w:tcPr>
          <w:p>
            <w:pPr>
              <w:jc w:val="center"/>
              <w:ind w:left="2452"/>
              <w:spacing w:after="0"/>
              <w:rPr>
                <w:sz w:val="20"/>
                <w:szCs w:val="20"/>
                <w:color w:val="auto"/>
              </w:rPr>
            </w:pPr>
            <w:r>
              <w:rPr>
                <w:rFonts w:ascii="Arial" w:cs="Arial" w:eastAsia="Arial" w:hAnsi="Arial"/>
                <w:sz w:val="10"/>
                <w:szCs w:val="10"/>
                <w:color w:val="auto"/>
                <w:w w:val="94"/>
              </w:rPr>
              <w:t>(1)%</w:t>
            </w:r>
          </w:p>
        </w:tc>
        <w:tc>
          <w:tcPr>
            <w:tcW w:w="2000" w:type="dxa"/>
            <w:vAlign w:val="bottom"/>
            <w:tcBorders>
              <w:bottom w:val="single" w:sz="8" w:color="888B8D"/>
            </w:tcBorders>
          </w:tcPr>
          <w:p>
            <w:pPr>
              <w:jc w:val="center"/>
              <w:spacing w:after="0"/>
              <w:rPr>
                <w:sz w:val="20"/>
                <w:szCs w:val="20"/>
                <w:color w:val="auto"/>
              </w:rPr>
            </w:pPr>
            <w:r>
              <w:rPr>
                <w:rFonts w:ascii="Arial" w:cs="Arial" w:eastAsia="Arial" w:hAnsi="Arial"/>
                <w:sz w:val="10"/>
                <w:szCs w:val="10"/>
                <w:color w:val="auto"/>
                <w:w w:val="94"/>
              </w:rPr>
              <w:t>(3)%</w:t>
            </w:r>
          </w:p>
        </w:tc>
      </w:tr>
      <w:tr>
        <w:trPr>
          <w:trHeight w:val="124"/>
        </w:trPr>
        <w:tc>
          <w:tcPr>
            <w:tcW w:w="480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Acquisitions, divestitures, and other, net</w:t>
            </w:r>
          </w:p>
        </w:tc>
        <w:tc>
          <w:tcPr>
            <w:tcW w:w="4500" w:type="dxa"/>
            <w:vAlign w:val="bottom"/>
            <w:tcBorders>
              <w:bottom w:val="single" w:sz="8" w:color="D7282F"/>
            </w:tcBorders>
          </w:tcPr>
          <w:p>
            <w:pPr>
              <w:jc w:val="center"/>
              <w:ind w:left="2472"/>
              <w:spacing w:after="0"/>
              <w:rPr>
                <w:sz w:val="20"/>
                <w:szCs w:val="20"/>
                <w:color w:val="auto"/>
              </w:rPr>
            </w:pPr>
            <w:r>
              <w:rPr>
                <w:rFonts w:ascii="Arial" w:cs="Arial" w:eastAsia="Arial" w:hAnsi="Arial"/>
                <w:sz w:val="10"/>
                <w:szCs w:val="10"/>
                <w:color w:val="auto"/>
                <w:w w:val="95"/>
              </w:rPr>
              <w:t>—%</w:t>
            </w:r>
          </w:p>
        </w:tc>
        <w:tc>
          <w:tcPr>
            <w:tcW w:w="2000" w:type="dxa"/>
            <w:vAlign w:val="bottom"/>
            <w:tcBorders>
              <w:bottom w:val="single" w:sz="8" w:color="D7282F"/>
            </w:tcBorders>
          </w:tcPr>
          <w:p>
            <w:pPr>
              <w:jc w:val="center"/>
              <w:spacing w:after="0"/>
              <w:rPr>
                <w:sz w:val="20"/>
                <w:szCs w:val="20"/>
                <w:color w:val="auto"/>
              </w:rPr>
            </w:pPr>
            <w:r>
              <w:rPr>
                <w:rFonts w:ascii="Arial" w:cs="Arial" w:eastAsia="Arial" w:hAnsi="Arial"/>
                <w:sz w:val="10"/>
                <w:szCs w:val="10"/>
                <w:color w:val="auto"/>
                <w:w w:val="95"/>
              </w:rPr>
              <w:t>—%</w:t>
            </w:r>
          </w:p>
        </w:tc>
      </w:tr>
      <w:tr>
        <w:trPr>
          <w:trHeight w:val="126"/>
        </w:trPr>
        <w:tc>
          <w:tcPr>
            <w:tcW w:w="480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 change in Net sales</w:t>
            </w:r>
          </w:p>
        </w:tc>
        <w:tc>
          <w:tcPr>
            <w:tcW w:w="4500" w:type="dxa"/>
            <w:vAlign w:val="bottom"/>
            <w:tcBorders>
              <w:bottom w:val="single" w:sz="8" w:color="D7282F"/>
            </w:tcBorders>
          </w:tcPr>
          <w:p>
            <w:pPr>
              <w:jc w:val="center"/>
              <w:ind w:left="2472"/>
              <w:spacing w:after="0"/>
              <w:rPr>
                <w:sz w:val="20"/>
                <w:szCs w:val="20"/>
                <w:color w:val="auto"/>
              </w:rPr>
            </w:pPr>
            <w:r>
              <w:rPr>
                <w:rFonts w:ascii="Arial" w:cs="Arial" w:eastAsia="Arial" w:hAnsi="Arial"/>
                <w:sz w:val="10"/>
                <w:szCs w:val="10"/>
                <w:b w:val="1"/>
                <w:bCs w:val="1"/>
                <w:color w:val="auto"/>
                <w:w w:val="96"/>
              </w:rPr>
              <w:t>3%</w:t>
            </w:r>
          </w:p>
        </w:tc>
        <w:tc>
          <w:tcPr>
            <w:tcW w:w="2000" w:type="dxa"/>
            <w:vAlign w:val="bottom"/>
            <w:tcBorders>
              <w:bottom w:val="single" w:sz="8" w:color="D7282F"/>
            </w:tcBorders>
          </w:tcPr>
          <w:p>
            <w:pPr>
              <w:jc w:val="center"/>
              <w:spacing w:after="0"/>
              <w:rPr>
                <w:sz w:val="20"/>
                <w:szCs w:val="20"/>
                <w:color w:val="auto"/>
              </w:rPr>
            </w:pPr>
            <w:r>
              <w:rPr>
                <w:rFonts w:ascii="Arial" w:cs="Arial" w:eastAsia="Arial" w:hAnsi="Arial"/>
                <w:sz w:val="10"/>
                <w:szCs w:val="10"/>
                <w:b w:val="1"/>
                <w:bCs w:val="1"/>
                <w:color w:val="auto"/>
                <w:w w:val="96"/>
              </w:rPr>
              <w:t>3%</w:t>
            </w:r>
          </w:p>
        </w:tc>
      </w:tr>
    </w:tbl>
    <w:p>
      <w:pPr>
        <w:spacing w:after="0" w:line="126" w:lineRule="exact"/>
        <w:rPr>
          <w:sz w:val="20"/>
          <w:szCs w:val="20"/>
          <w:color w:val="auto"/>
        </w:rPr>
      </w:pPr>
    </w:p>
    <w:p>
      <w:pPr>
        <w:ind w:left="8"/>
        <w:spacing w:after="0"/>
        <w:rPr>
          <w:sz w:val="20"/>
          <w:szCs w:val="20"/>
          <w:color w:val="auto"/>
        </w:rPr>
      </w:pPr>
      <w:r>
        <w:rPr>
          <w:rFonts w:ascii="Arial" w:cs="Arial" w:eastAsia="Arial" w:hAnsi="Arial"/>
          <w:sz w:val="11"/>
          <w:szCs w:val="11"/>
          <w:color w:val="auto"/>
        </w:rPr>
        <w:t>A discussion of Net sales by reportable business segment can be found in the Review of Business Segments section of Management's Discussion and Analysis.</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2023 compared with 2022</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1"/>
          <w:szCs w:val="11"/>
          <w:color w:val="auto"/>
        </w:rPr>
        <w:t>Net sales increased due to the following:</w:t>
      </w:r>
    </w:p>
    <w:p>
      <w:pPr>
        <w:spacing w:after="0" w:line="62" w:lineRule="exact"/>
        <w:rPr>
          <w:sz w:val="20"/>
          <w:szCs w:val="20"/>
          <w:color w:val="auto"/>
        </w:rPr>
      </w:pPr>
    </w:p>
    <w:p>
      <w:pPr>
        <w:ind w:left="128" w:hanging="128"/>
        <w:spacing w:after="0"/>
        <w:tabs>
          <w:tab w:leader="none" w:pos="128" w:val="left"/>
        </w:tabs>
        <w:numPr>
          <w:ilvl w:val="0"/>
          <w:numId w:val="46"/>
        </w:numPr>
        <w:rPr>
          <w:rFonts w:ascii="Arial" w:cs="Arial" w:eastAsia="Arial" w:hAnsi="Arial"/>
          <w:sz w:val="11"/>
          <w:szCs w:val="11"/>
          <w:color w:val="D7282F"/>
        </w:rPr>
      </w:pPr>
      <w:r>
        <w:rPr>
          <w:rFonts w:ascii="Arial" w:cs="Arial" w:eastAsia="Arial" w:hAnsi="Arial"/>
          <w:sz w:val="11"/>
          <w:szCs w:val="11"/>
          <w:color w:val="auto"/>
        </w:rPr>
        <w:t>Increased pricing,</w:t>
      </w:r>
    </w:p>
    <w:p>
      <w:pPr>
        <w:spacing w:after="0" w:line="53" w:lineRule="exact"/>
        <w:rPr>
          <w:rFonts w:ascii="Arial" w:cs="Arial" w:eastAsia="Arial" w:hAnsi="Arial"/>
          <w:sz w:val="11"/>
          <w:szCs w:val="11"/>
          <w:color w:val="D7282F"/>
        </w:rPr>
      </w:pPr>
    </w:p>
    <w:p>
      <w:pPr>
        <w:ind w:left="128" w:hanging="128"/>
        <w:spacing w:after="0" w:line="268" w:lineRule="auto"/>
        <w:tabs>
          <w:tab w:leader="none" w:pos="126" w:val="left"/>
        </w:tabs>
        <w:numPr>
          <w:ilvl w:val="0"/>
          <w:numId w:val="46"/>
        </w:numPr>
        <w:rPr>
          <w:rFonts w:ascii="Arial" w:cs="Arial" w:eastAsia="Arial" w:hAnsi="Arial"/>
          <w:sz w:val="11"/>
          <w:szCs w:val="11"/>
          <w:color w:val="D7282F"/>
        </w:rPr>
      </w:pPr>
      <w:r>
        <w:rPr>
          <w:rFonts w:ascii="Arial" w:cs="Arial" w:eastAsia="Arial" w:hAnsi="Arial"/>
          <w:sz w:val="11"/>
          <w:szCs w:val="11"/>
          <w:color w:val="auto"/>
        </w:rPr>
        <w:t>Partially offset by the unfavorable impact of foreign currency translation, driven by the strengthening of the U.S. Dollar against the currencies in certain of our international markets, primarily the Chinese Renminbi, Canadian Dollar, Turkish Lira, Egyptian Pound, and Australian Dollar.</w:t>
      </w:r>
    </w:p>
    <w:p>
      <w:pPr>
        <w:spacing w:after="0" w:line="248" w:lineRule="exact"/>
        <w:rPr>
          <w:sz w:val="20"/>
          <w:szCs w:val="20"/>
          <w:color w:val="auto"/>
        </w:rPr>
      </w:pPr>
    </w:p>
    <w:p>
      <w:pPr>
        <w:ind w:left="268" w:hanging="268"/>
        <w:spacing w:after="0"/>
        <w:tabs>
          <w:tab w:leader="none" w:pos="268" w:val="left"/>
        </w:tabs>
        <w:numPr>
          <w:ilvl w:val="0"/>
          <w:numId w:val="47"/>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19" w:right="299" w:bottom="1440" w:gutter="0" w:footer="0" w:header="0"/>
        </w:sectPr>
      </w:pPr>
    </w:p>
    <w:bookmarkStart w:id="22" w:name="page23"/>
    <w:bookmarkEnd w:id="22"/>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Cost of Products and Services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50800</wp:posOffset>
            </wp:positionV>
            <wp:extent cx="2000250" cy="14287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000250" cy="142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2023 compared with 2022</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1"/>
          <w:szCs w:val="11"/>
          <w:color w:val="auto"/>
        </w:rPr>
        <w:t>Cost of products and services sold increased due to the following:</w:t>
      </w:r>
    </w:p>
    <w:p>
      <w:pPr>
        <w:spacing w:after="0" w:line="71" w:lineRule="exact"/>
        <w:rPr>
          <w:sz w:val="20"/>
          <w:szCs w:val="20"/>
          <w:color w:val="auto"/>
        </w:rPr>
      </w:pPr>
    </w:p>
    <w:p>
      <w:pPr>
        <w:ind w:left="168" w:hanging="168"/>
        <w:spacing w:after="0"/>
        <w:tabs>
          <w:tab w:leader="none" w:pos="168" w:val="left"/>
        </w:tabs>
        <w:numPr>
          <w:ilvl w:val="0"/>
          <w:numId w:val="48"/>
        </w:numPr>
        <w:rPr>
          <w:rFonts w:ascii="Arial" w:cs="Arial" w:eastAsia="Arial" w:hAnsi="Arial"/>
          <w:sz w:val="11"/>
          <w:szCs w:val="11"/>
          <w:color w:val="D7282F"/>
        </w:rPr>
      </w:pPr>
      <w:r>
        <w:rPr>
          <w:rFonts w:ascii="Arial" w:cs="Arial" w:eastAsia="Arial" w:hAnsi="Arial"/>
          <w:sz w:val="11"/>
          <w:szCs w:val="11"/>
          <w:color w:val="auto"/>
        </w:rPr>
        <w:t>Higher direct and indirect material costs and higher labor costs of approximately $0.8 billion or 4%,</w:t>
      </w:r>
    </w:p>
    <w:p>
      <w:pPr>
        <w:spacing w:after="0" w:line="53" w:lineRule="exact"/>
        <w:rPr>
          <w:rFonts w:ascii="Arial" w:cs="Arial" w:eastAsia="Arial" w:hAnsi="Arial"/>
          <w:sz w:val="11"/>
          <w:szCs w:val="11"/>
          <w:color w:val="D7282F"/>
        </w:rPr>
      </w:pPr>
    </w:p>
    <w:p>
      <w:pPr>
        <w:ind w:left="168" w:hanging="168"/>
        <w:spacing w:after="0"/>
        <w:tabs>
          <w:tab w:leader="none" w:pos="168" w:val="left"/>
        </w:tabs>
        <w:numPr>
          <w:ilvl w:val="0"/>
          <w:numId w:val="48"/>
        </w:numPr>
        <w:rPr>
          <w:rFonts w:ascii="Arial" w:cs="Arial" w:eastAsia="Arial" w:hAnsi="Arial"/>
          <w:sz w:val="11"/>
          <w:szCs w:val="11"/>
          <w:color w:val="D7282F"/>
        </w:rPr>
      </w:pPr>
      <w:r>
        <w:rPr>
          <w:rFonts w:ascii="Arial" w:cs="Arial" w:eastAsia="Arial" w:hAnsi="Arial"/>
          <w:sz w:val="11"/>
          <w:szCs w:val="11"/>
          <w:color w:val="auto"/>
        </w:rPr>
        <w:t>Partially offset by higher productivity of approximately $0.3 billion or 1%.</w:t>
      </w:r>
    </w:p>
    <w:p>
      <w:pPr>
        <w:spacing w:after="0" w:line="21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50800</wp:posOffset>
            </wp:positionV>
            <wp:extent cx="2000250" cy="1423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200025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2023 compared with 2022</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0"/>
          <w:szCs w:val="10"/>
          <w:color w:val="auto"/>
        </w:rPr>
        <w:t>Gross margin increased by approximately $0.5 billion and gross margin percentage increased 30 basis points to 37.3% compared to 37.0% for the same period of 2022.</w:t>
      </w:r>
    </w:p>
    <w:p>
      <w:pPr>
        <w:spacing w:after="0" w:line="307" w:lineRule="exact"/>
        <w:rPr>
          <w:sz w:val="20"/>
          <w:szCs w:val="20"/>
          <w:color w:val="auto"/>
        </w:rPr>
      </w:pPr>
    </w:p>
    <w:p>
      <w:pPr>
        <w:ind w:left="268" w:hanging="268"/>
        <w:spacing w:after="0"/>
        <w:tabs>
          <w:tab w:leader="none" w:pos="268" w:val="left"/>
        </w:tabs>
        <w:numPr>
          <w:ilvl w:val="0"/>
          <w:numId w:val="49"/>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line="268" w:lineRule="auto"/>
        <w:rPr>
          <w:sz w:val="20"/>
          <w:szCs w:val="20"/>
          <w:color w:val="auto"/>
        </w:rPr>
      </w:pPr>
      <w:r>
        <w:rPr>
          <w:rFonts w:ascii="Arial" w:cs="Arial" w:eastAsia="Arial" w:hAnsi="Arial"/>
          <w:sz w:val="8"/>
          <w:szCs w:val="8"/>
          <w:b w:val="1"/>
          <w:bCs w:val="1"/>
          <w:color w:val="D7282F"/>
        </w:rPr>
        <w:t>MANAGEMENT’S DISCUSSION AND ANALYSIS OF FINANCIAL CONDITION AND RESULTS OF OPERATIONS</w:t>
      </w:r>
    </w:p>
    <w:p>
      <w:pPr>
        <w:sectPr>
          <w:pgSz w:w="11900" w:h="16838" w:orient="portrait"/>
          <w:cols w:equalWidth="0" w:num="2">
            <w:col w:w="8048" w:space="720"/>
            <w:col w:w="2520"/>
          </w:cols>
          <w:pgMar w:left="292" w:top="227" w:right="319" w:bottom="1440" w:gutter="0" w:footer="0" w:header="0"/>
        </w:sectPr>
      </w:pPr>
    </w:p>
    <w:bookmarkStart w:id="23" w:name="page24"/>
    <w:bookmarkEnd w:id="23"/>
    <w:tbl>
      <w:tblPr>
        <w:tblLayout w:type="fixed"/>
        <w:tblInd w:w="8" w:type="dxa"/>
        <w:tblCellMar>
          <w:top w:w="0" w:type="dxa"/>
          <w:left w:w="0" w:type="dxa"/>
          <w:bottom w:w="0" w:type="dxa"/>
          <w:right w:w="0" w:type="dxa"/>
        </w:tblCellMar>
      </w:tblPr>
      <w:tr>
        <w:trPr>
          <w:trHeight w:val="92"/>
        </w:trPr>
        <w:tc>
          <w:tcPr>
            <w:tcW w:w="4840" w:type="dxa"/>
            <w:vAlign w:val="bottom"/>
            <w:gridSpan w:val="2"/>
          </w:tcPr>
          <w:p>
            <w:pPr>
              <w:spacing w:after="0"/>
              <w:rPr>
                <w:sz w:val="20"/>
                <w:szCs w:val="20"/>
                <w:color w:val="auto"/>
              </w:rPr>
            </w:pPr>
            <w:r>
              <w:rPr>
                <w:rFonts w:ascii="Arial" w:cs="Arial" w:eastAsia="Arial" w:hAnsi="Arial"/>
                <w:sz w:val="8"/>
                <w:szCs w:val="8"/>
                <w:b w:val="1"/>
                <w:bCs w:val="1"/>
                <w:color w:val="0000FF"/>
              </w:rPr>
              <w:t>TABLE OF CONTENTS</w:t>
            </w:r>
          </w:p>
        </w:tc>
        <w:tc>
          <w:tcPr>
            <w:tcW w:w="6440" w:type="dxa"/>
            <w:vAlign w:val="bottom"/>
          </w:tcPr>
          <w:p>
            <w:pPr>
              <w:ind w:left="3920"/>
              <w:spacing w:after="0"/>
              <w:rPr>
                <w:sz w:val="20"/>
                <w:szCs w:val="20"/>
                <w:color w:val="auto"/>
              </w:rPr>
            </w:pPr>
            <w:r>
              <w:rPr>
                <w:rFonts w:ascii="Arial" w:cs="Arial" w:eastAsia="Arial" w:hAnsi="Arial"/>
                <w:sz w:val="8"/>
                <w:szCs w:val="8"/>
                <w:b w:val="1"/>
                <w:bCs w:val="1"/>
                <w:color w:val="D7282F"/>
              </w:rPr>
              <w:t>MANAGEMENT’S DISCUSSION AND ANALYSIS OF FINANCIAL</w:t>
            </w:r>
          </w:p>
        </w:tc>
      </w:tr>
      <w:tr>
        <w:trPr>
          <w:trHeight w:val="94"/>
        </w:trPr>
        <w:tc>
          <w:tcPr>
            <w:tcW w:w="900" w:type="dxa"/>
            <w:vAlign w:val="bottom"/>
            <w:tcBorders>
              <w:top w:val="single" w:sz="8" w:color="0000FF"/>
            </w:tcBorders>
          </w:tcPr>
          <w:p>
            <w:pPr>
              <w:spacing w:after="0"/>
              <w:rPr>
                <w:sz w:val="8"/>
                <w:szCs w:val="8"/>
                <w:color w:val="auto"/>
              </w:rPr>
            </w:pPr>
          </w:p>
        </w:tc>
        <w:tc>
          <w:tcPr>
            <w:tcW w:w="3940" w:type="dxa"/>
            <w:vAlign w:val="bottom"/>
          </w:tcPr>
          <w:p>
            <w:pPr>
              <w:spacing w:after="0"/>
              <w:rPr>
                <w:sz w:val="8"/>
                <w:szCs w:val="8"/>
                <w:color w:val="auto"/>
              </w:rPr>
            </w:pPr>
          </w:p>
        </w:tc>
        <w:tc>
          <w:tcPr>
            <w:tcW w:w="6440" w:type="dxa"/>
            <w:vAlign w:val="bottom"/>
          </w:tcPr>
          <w:p>
            <w:pPr>
              <w:ind w:left="4640"/>
              <w:spacing w:after="0"/>
              <w:rPr>
                <w:sz w:val="20"/>
                <w:szCs w:val="20"/>
                <w:color w:val="auto"/>
              </w:rPr>
            </w:pPr>
            <w:r>
              <w:rPr>
                <w:rFonts w:ascii="Arial" w:cs="Arial" w:eastAsia="Arial" w:hAnsi="Arial"/>
                <w:sz w:val="8"/>
                <w:szCs w:val="8"/>
                <w:b w:val="1"/>
                <w:bCs w:val="1"/>
                <w:color w:val="D7282F"/>
              </w:rPr>
              <w:t>CONDITION AND RESULTS OF OPERATIONS</w:t>
            </w: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50800</wp:posOffset>
            </wp:positionV>
            <wp:extent cx="2000250" cy="14287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000250" cy="142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2023 compared with 2022</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1"/>
          <w:szCs w:val="11"/>
          <w:color w:val="auto"/>
        </w:rPr>
        <w:t>Research and development expenses were flat.</w:t>
      </w:r>
    </w:p>
    <w:p>
      <w:pPr>
        <w:spacing w:after="0" w:line="215"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50800</wp:posOffset>
            </wp:positionV>
            <wp:extent cx="2000250" cy="14287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2000250" cy="142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2023 compared with 2022</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1"/>
          <w:szCs w:val="11"/>
          <w:color w:val="auto"/>
        </w:rPr>
        <w:t>Selling, general and administrative expenses were flat due to the following:</w:t>
      </w:r>
    </w:p>
    <w:p>
      <w:pPr>
        <w:spacing w:after="0" w:line="71" w:lineRule="exact"/>
        <w:rPr>
          <w:sz w:val="20"/>
          <w:szCs w:val="20"/>
          <w:color w:val="auto"/>
        </w:rPr>
      </w:pPr>
    </w:p>
    <w:p>
      <w:pPr>
        <w:ind w:left="128" w:hanging="128"/>
        <w:spacing w:after="0"/>
        <w:tabs>
          <w:tab w:leader="none" w:pos="128" w:val="left"/>
        </w:tabs>
        <w:numPr>
          <w:ilvl w:val="0"/>
          <w:numId w:val="50"/>
        </w:numPr>
        <w:rPr>
          <w:rFonts w:ascii="Arial" w:cs="Arial" w:eastAsia="Arial" w:hAnsi="Arial"/>
          <w:sz w:val="11"/>
          <w:szCs w:val="11"/>
          <w:color w:val="D7282F"/>
        </w:rPr>
      </w:pPr>
      <w:r>
        <w:rPr>
          <w:rFonts w:ascii="Arial" w:cs="Arial" w:eastAsia="Arial" w:hAnsi="Arial"/>
          <w:sz w:val="11"/>
          <w:szCs w:val="11"/>
          <w:color w:val="auto"/>
        </w:rPr>
        <w:t>Higher productivity of approximately $0.2 billion or 4%,</w:t>
      </w:r>
    </w:p>
    <w:p>
      <w:pPr>
        <w:spacing w:after="0" w:line="44" w:lineRule="exact"/>
        <w:rPr>
          <w:rFonts w:ascii="Arial" w:cs="Arial" w:eastAsia="Arial" w:hAnsi="Arial"/>
          <w:sz w:val="11"/>
          <w:szCs w:val="11"/>
          <w:color w:val="D7282F"/>
        </w:rPr>
      </w:pPr>
    </w:p>
    <w:p>
      <w:pPr>
        <w:ind w:left="128" w:hanging="128"/>
        <w:spacing w:after="0"/>
        <w:tabs>
          <w:tab w:leader="none" w:pos="128" w:val="left"/>
        </w:tabs>
        <w:numPr>
          <w:ilvl w:val="0"/>
          <w:numId w:val="50"/>
        </w:numPr>
        <w:rPr>
          <w:rFonts w:ascii="Arial" w:cs="Arial" w:eastAsia="Arial" w:hAnsi="Arial"/>
          <w:sz w:val="11"/>
          <w:szCs w:val="11"/>
          <w:color w:val="D7282F"/>
        </w:rPr>
      </w:pPr>
      <w:r>
        <w:rPr>
          <w:rFonts w:ascii="Arial" w:cs="Arial" w:eastAsia="Arial" w:hAnsi="Arial"/>
          <w:sz w:val="11"/>
          <w:szCs w:val="11"/>
          <w:color w:val="auto"/>
        </w:rPr>
        <w:t>Partially offset by higher labor costs of approximately $0.2 billion or 4%.</w:t>
      </w:r>
    </w:p>
    <w:p>
      <w:pPr>
        <w:spacing w:after="0" w:line="278" w:lineRule="exact"/>
        <w:rPr>
          <w:sz w:val="20"/>
          <w:szCs w:val="20"/>
          <w:color w:val="auto"/>
        </w:rPr>
      </w:pPr>
    </w:p>
    <w:p>
      <w:pPr>
        <w:ind w:left="268" w:hanging="268"/>
        <w:spacing w:after="0"/>
        <w:tabs>
          <w:tab w:leader="none" w:pos="268" w:val="left"/>
        </w:tabs>
        <w:numPr>
          <w:ilvl w:val="0"/>
          <w:numId w:val="51"/>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219" w:right="319" w:bottom="1440" w:gutter="0" w:footer="0" w:header="0"/>
        </w:sectPr>
      </w:pPr>
    </w:p>
    <w:bookmarkStart w:id="24" w:name="page25"/>
    <w:bookmarkEnd w:id="24"/>
    <w:tbl>
      <w:tblPr>
        <w:tblLayout w:type="fixed"/>
        <w:tblInd w:w="8" w:type="dxa"/>
        <w:tblCellMar>
          <w:top w:w="0" w:type="dxa"/>
          <w:left w:w="0" w:type="dxa"/>
          <w:bottom w:w="0" w:type="dxa"/>
          <w:right w:w="0" w:type="dxa"/>
        </w:tblCellMar>
      </w:tblPr>
      <w:tr>
        <w:trPr>
          <w:trHeight w:val="92"/>
        </w:trPr>
        <w:tc>
          <w:tcPr>
            <w:tcW w:w="4840" w:type="dxa"/>
            <w:vAlign w:val="bottom"/>
            <w:gridSpan w:val="2"/>
          </w:tcPr>
          <w:p>
            <w:pPr>
              <w:spacing w:after="0"/>
              <w:rPr>
                <w:sz w:val="20"/>
                <w:szCs w:val="20"/>
                <w:color w:val="auto"/>
              </w:rPr>
            </w:pPr>
            <w:r>
              <w:rPr>
                <w:rFonts w:ascii="Arial" w:cs="Arial" w:eastAsia="Arial" w:hAnsi="Arial"/>
                <w:sz w:val="8"/>
                <w:szCs w:val="8"/>
                <w:b w:val="1"/>
                <w:bCs w:val="1"/>
                <w:color w:val="0000FF"/>
              </w:rPr>
              <w:t>TABLE OF CONTENTS</w:t>
            </w:r>
          </w:p>
        </w:tc>
        <w:tc>
          <w:tcPr>
            <w:tcW w:w="6440" w:type="dxa"/>
            <w:vAlign w:val="bottom"/>
          </w:tcPr>
          <w:p>
            <w:pPr>
              <w:ind w:left="3920"/>
              <w:spacing w:after="0"/>
              <w:rPr>
                <w:sz w:val="20"/>
                <w:szCs w:val="20"/>
                <w:color w:val="auto"/>
              </w:rPr>
            </w:pPr>
            <w:r>
              <w:rPr>
                <w:rFonts w:ascii="Arial" w:cs="Arial" w:eastAsia="Arial" w:hAnsi="Arial"/>
                <w:sz w:val="8"/>
                <w:szCs w:val="8"/>
                <w:b w:val="1"/>
                <w:bCs w:val="1"/>
                <w:color w:val="D7282F"/>
              </w:rPr>
              <w:t>MANAGEMENT’S DISCUSSION AND ANALYSIS OF FINANCIAL</w:t>
            </w:r>
          </w:p>
        </w:tc>
      </w:tr>
      <w:tr>
        <w:trPr>
          <w:trHeight w:val="94"/>
        </w:trPr>
        <w:tc>
          <w:tcPr>
            <w:tcW w:w="900" w:type="dxa"/>
            <w:vAlign w:val="bottom"/>
            <w:tcBorders>
              <w:top w:val="single" w:sz="8" w:color="0000FF"/>
            </w:tcBorders>
          </w:tcPr>
          <w:p>
            <w:pPr>
              <w:spacing w:after="0"/>
              <w:rPr>
                <w:sz w:val="8"/>
                <w:szCs w:val="8"/>
                <w:color w:val="auto"/>
              </w:rPr>
            </w:pPr>
          </w:p>
        </w:tc>
        <w:tc>
          <w:tcPr>
            <w:tcW w:w="3940" w:type="dxa"/>
            <w:vAlign w:val="bottom"/>
          </w:tcPr>
          <w:p>
            <w:pPr>
              <w:spacing w:after="0"/>
              <w:rPr>
                <w:sz w:val="8"/>
                <w:szCs w:val="8"/>
                <w:color w:val="auto"/>
              </w:rPr>
            </w:pPr>
          </w:p>
        </w:tc>
        <w:tc>
          <w:tcPr>
            <w:tcW w:w="6440" w:type="dxa"/>
            <w:vAlign w:val="bottom"/>
          </w:tcPr>
          <w:p>
            <w:pPr>
              <w:ind w:left="4640"/>
              <w:spacing w:after="0"/>
              <w:rPr>
                <w:sz w:val="20"/>
                <w:szCs w:val="20"/>
                <w:color w:val="auto"/>
              </w:rPr>
            </w:pPr>
            <w:r>
              <w:rPr>
                <w:rFonts w:ascii="Arial" w:cs="Arial" w:eastAsia="Arial" w:hAnsi="Arial"/>
                <w:sz w:val="8"/>
                <w:szCs w:val="8"/>
                <w:b w:val="1"/>
                <w:bCs w:val="1"/>
                <w:color w:val="D7282F"/>
              </w:rPr>
              <w:t>CONDITION AND RESULTS OF OPERATIONS</w:t>
            </w: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Other (Income) Expense</w:t>
      </w:r>
    </w:p>
    <w:p>
      <w:pPr>
        <w:spacing w:after="0" w:line="100"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4500" w:type="dxa"/>
            <w:vAlign w:val="bottom"/>
            <w:tcBorders>
              <w:bottom w:val="single" w:sz="8" w:color="D7282F"/>
            </w:tcBorders>
          </w:tcPr>
          <w:p>
            <w:pPr>
              <w:spacing w:after="0"/>
              <w:rPr>
                <w:sz w:val="11"/>
                <w:szCs w:val="11"/>
                <w:color w:val="auto"/>
              </w:rPr>
            </w:pPr>
          </w:p>
        </w:tc>
        <w:tc>
          <w:tcPr>
            <w:tcW w:w="3620" w:type="dxa"/>
            <w:vAlign w:val="bottom"/>
            <w:tcBorders>
              <w:bottom w:val="single" w:sz="8" w:color="D7282F"/>
            </w:tcBorders>
          </w:tcPr>
          <w:p>
            <w:pPr>
              <w:spacing w:after="0"/>
              <w:rPr>
                <w:sz w:val="11"/>
                <w:szCs w:val="11"/>
                <w:color w:val="auto"/>
              </w:rPr>
            </w:pPr>
          </w:p>
        </w:tc>
        <w:tc>
          <w:tcPr>
            <w:tcW w:w="840" w:type="dxa"/>
            <w:vAlign w:val="bottom"/>
            <w:tcBorders>
              <w:bottom w:val="single" w:sz="8" w:color="D7282F"/>
            </w:tcBorders>
          </w:tcPr>
          <w:p>
            <w:pPr>
              <w:jc w:val="right"/>
              <w:ind w:right="472"/>
              <w:spacing w:after="0"/>
              <w:rPr>
                <w:sz w:val="20"/>
                <w:szCs w:val="20"/>
                <w:color w:val="auto"/>
              </w:rPr>
            </w:pPr>
            <w:r>
              <w:rPr>
                <w:rFonts w:ascii="Arial" w:cs="Arial" w:eastAsia="Arial" w:hAnsi="Arial"/>
                <w:sz w:val="10"/>
                <w:szCs w:val="10"/>
                <w:b w:val="1"/>
                <w:bCs w:val="1"/>
                <w:color w:val="auto"/>
              </w:rPr>
              <w:t>2023</w:t>
            </w:r>
          </w:p>
        </w:tc>
        <w:tc>
          <w:tcPr>
            <w:tcW w:w="440" w:type="dxa"/>
            <w:vAlign w:val="bottom"/>
            <w:tcBorders>
              <w:bottom w:val="single" w:sz="8" w:color="D7282F"/>
            </w:tcBorders>
          </w:tcPr>
          <w:p>
            <w:pPr>
              <w:spacing w:after="0"/>
              <w:rPr>
                <w:sz w:val="11"/>
                <w:szCs w:val="11"/>
                <w:color w:val="auto"/>
              </w:rPr>
            </w:pPr>
          </w:p>
        </w:tc>
        <w:tc>
          <w:tcPr>
            <w:tcW w:w="860" w:type="dxa"/>
            <w:vAlign w:val="bottom"/>
            <w:tcBorders>
              <w:bottom w:val="single" w:sz="8" w:color="D7282F"/>
            </w:tcBorders>
          </w:tcPr>
          <w:p>
            <w:pPr>
              <w:jc w:val="right"/>
              <w:ind w:right="492"/>
              <w:spacing w:after="0"/>
              <w:rPr>
                <w:sz w:val="20"/>
                <w:szCs w:val="20"/>
                <w:color w:val="auto"/>
              </w:rPr>
            </w:pPr>
            <w:r>
              <w:rPr>
                <w:rFonts w:ascii="Arial" w:cs="Arial" w:eastAsia="Arial" w:hAnsi="Arial"/>
                <w:sz w:val="10"/>
                <w:szCs w:val="10"/>
                <w:b w:val="1"/>
                <w:bCs w:val="1"/>
                <w:color w:val="auto"/>
              </w:rPr>
              <w:t>2022</w:t>
            </w:r>
          </w:p>
        </w:tc>
        <w:tc>
          <w:tcPr>
            <w:tcW w:w="440" w:type="dxa"/>
            <w:vAlign w:val="bottom"/>
            <w:tcBorders>
              <w:bottom w:val="single" w:sz="8" w:color="D7282F"/>
            </w:tcBorders>
          </w:tcPr>
          <w:p>
            <w:pPr>
              <w:spacing w:after="0"/>
              <w:rPr>
                <w:sz w:val="11"/>
                <w:szCs w:val="11"/>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2021</w:t>
            </w:r>
          </w:p>
        </w:tc>
      </w:tr>
      <w:tr>
        <w:trPr>
          <w:trHeight w:val="122"/>
        </w:trPr>
        <w:tc>
          <w:tcPr>
            <w:tcW w:w="450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Other (income) expense</w:t>
            </w:r>
          </w:p>
        </w:tc>
        <w:tc>
          <w:tcPr>
            <w:tcW w:w="362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color w:val="auto"/>
              </w:rPr>
              <w:t>(840)</w:t>
            </w:r>
          </w:p>
        </w:tc>
        <w:tc>
          <w:tcPr>
            <w:tcW w:w="44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color w:val="auto"/>
              </w:rPr>
              <w:t>(366)</w:t>
            </w:r>
          </w:p>
        </w:tc>
        <w:tc>
          <w:tcPr>
            <w:tcW w:w="4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(1,378)</w:t>
            </w:r>
          </w:p>
        </w:tc>
      </w:tr>
    </w:tbl>
    <w:p>
      <w:pPr>
        <w:spacing w:after="0" w:line="12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2023 compared with 2022</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1"/>
          <w:szCs w:val="11"/>
          <w:color w:val="auto"/>
        </w:rPr>
        <w:t>Other income increased due to the following:</w:t>
      </w:r>
    </w:p>
    <w:p>
      <w:pPr>
        <w:spacing w:after="0" w:line="71" w:lineRule="exact"/>
        <w:rPr>
          <w:sz w:val="20"/>
          <w:szCs w:val="20"/>
          <w:color w:val="auto"/>
        </w:rPr>
      </w:pPr>
    </w:p>
    <w:p>
      <w:pPr>
        <w:ind w:left="128" w:hanging="128"/>
        <w:spacing w:after="0" w:line="268" w:lineRule="auto"/>
        <w:tabs>
          <w:tab w:leader="none" w:pos="126" w:val="left"/>
        </w:tabs>
        <w:numPr>
          <w:ilvl w:val="0"/>
          <w:numId w:val="52"/>
        </w:numPr>
        <w:rPr>
          <w:rFonts w:ascii="Arial" w:cs="Arial" w:eastAsia="Arial" w:hAnsi="Arial"/>
          <w:sz w:val="11"/>
          <w:szCs w:val="11"/>
          <w:color w:val="DC202E"/>
        </w:rPr>
      </w:pPr>
      <w:r>
        <w:rPr>
          <w:rFonts w:ascii="Arial" w:cs="Arial" w:eastAsia="Arial" w:hAnsi="Arial"/>
          <w:sz w:val="11"/>
          <w:szCs w:val="11"/>
          <w:color w:val="auto"/>
        </w:rPr>
        <w:t>Reduced net expenses resulting from the North American Refractory Company (NARCO) Amended Buyout Agreement in 2022 of approximately $0.6 billion, which included a charge of $1.325 billion for the Buyout Amount, partially offset by the derecognition of the NARCO asbestos-related liability of $0.7 billion, and</w:t>
      </w:r>
    </w:p>
    <w:p>
      <w:pPr>
        <w:spacing w:after="0" w:line="23" w:lineRule="exact"/>
        <w:rPr>
          <w:rFonts w:ascii="Arial" w:cs="Arial" w:eastAsia="Arial" w:hAnsi="Arial"/>
          <w:sz w:val="11"/>
          <w:szCs w:val="11"/>
          <w:color w:val="DC202E"/>
        </w:rPr>
      </w:pPr>
    </w:p>
    <w:p>
      <w:pPr>
        <w:ind w:left="128" w:hanging="128"/>
        <w:spacing w:after="0"/>
        <w:tabs>
          <w:tab w:leader="none" w:pos="128" w:val="left"/>
        </w:tabs>
        <w:numPr>
          <w:ilvl w:val="0"/>
          <w:numId w:val="52"/>
        </w:numPr>
        <w:rPr>
          <w:rFonts w:ascii="Arial" w:cs="Arial" w:eastAsia="Arial" w:hAnsi="Arial"/>
          <w:sz w:val="11"/>
          <w:szCs w:val="11"/>
          <w:color w:val="DC202E"/>
        </w:rPr>
      </w:pPr>
      <w:r>
        <w:rPr>
          <w:rFonts w:ascii="Arial" w:cs="Arial" w:eastAsia="Arial" w:hAnsi="Arial"/>
          <w:sz w:val="11"/>
          <w:szCs w:val="11"/>
          <w:color w:val="auto"/>
        </w:rPr>
        <w:t>Higher interest income of approximately $0.2 billion,</w:t>
      </w:r>
    </w:p>
    <w:p>
      <w:pPr>
        <w:spacing w:after="0" w:line="53" w:lineRule="exact"/>
        <w:rPr>
          <w:rFonts w:ascii="Arial" w:cs="Arial" w:eastAsia="Arial" w:hAnsi="Arial"/>
          <w:sz w:val="11"/>
          <w:szCs w:val="11"/>
          <w:color w:val="DC202E"/>
        </w:rPr>
      </w:pPr>
    </w:p>
    <w:p>
      <w:pPr>
        <w:ind w:left="128" w:hanging="128"/>
        <w:spacing w:after="0"/>
        <w:tabs>
          <w:tab w:leader="none" w:pos="128" w:val="left"/>
        </w:tabs>
        <w:numPr>
          <w:ilvl w:val="0"/>
          <w:numId w:val="52"/>
        </w:numPr>
        <w:rPr>
          <w:rFonts w:ascii="Arial" w:cs="Arial" w:eastAsia="Arial" w:hAnsi="Arial"/>
          <w:sz w:val="11"/>
          <w:szCs w:val="11"/>
          <w:color w:val="DC202E"/>
        </w:rPr>
      </w:pPr>
      <w:r>
        <w:rPr>
          <w:rFonts w:ascii="Arial" w:cs="Arial" w:eastAsia="Arial" w:hAnsi="Arial"/>
          <w:sz w:val="11"/>
          <w:szCs w:val="11"/>
          <w:color w:val="auto"/>
        </w:rPr>
        <w:t>Partially offset by proceeds from HarbisonWalker International Holdings, Inc. (HWI) Sale of $0.3 billion and lower pension and postretirement income of $0.2 billion.</w:t>
      </w:r>
    </w:p>
    <w:p>
      <w:pPr>
        <w:spacing w:after="0" w:line="45" w:lineRule="exact"/>
        <w:rPr>
          <w:sz w:val="20"/>
          <w:szCs w:val="20"/>
          <w:color w:val="auto"/>
        </w:rPr>
      </w:pPr>
    </w:p>
    <w:p>
      <w:pPr>
        <w:ind w:left="8"/>
        <w:spacing w:after="0"/>
        <w:rPr>
          <w:sz w:val="20"/>
          <w:szCs w:val="20"/>
          <w:color w:val="auto"/>
        </w:rPr>
      </w:pPr>
      <w:r>
        <w:rPr>
          <w:rFonts w:ascii="Arial" w:cs="Arial" w:eastAsia="Arial" w:hAnsi="Arial"/>
          <w:sz w:val="11"/>
          <w:szCs w:val="11"/>
          <w:color w:val="auto"/>
        </w:rPr>
        <w:t>See Note 19 Commitments and Contingencies of Notes to Consolidated Financial Statements for additional information on NARCO Amended Buyout Agreement and HWI Net Sale Proceeds.</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50800</wp:posOffset>
            </wp:positionV>
            <wp:extent cx="2000250" cy="14287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2000250" cy="142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2023 compared with U.S. Statutory Rate</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effective tax rate for 2023 was lower than the U.S. federal statutory rate of 21% as a result of the following:</w:t>
      </w:r>
    </w:p>
    <w:p>
      <w:pPr>
        <w:spacing w:after="0" w:line="71" w:lineRule="exact"/>
        <w:rPr>
          <w:sz w:val="20"/>
          <w:szCs w:val="20"/>
          <w:color w:val="auto"/>
        </w:rPr>
      </w:pPr>
    </w:p>
    <w:p>
      <w:pPr>
        <w:ind w:left="128" w:hanging="128"/>
        <w:spacing w:after="0"/>
        <w:tabs>
          <w:tab w:leader="none" w:pos="128" w:val="left"/>
        </w:tabs>
        <w:numPr>
          <w:ilvl w:val="0"/>
          <w:numId w:val="53"/>
        </w:numPr>
        <w:rPr>
          <w:rFonts w:ascii="Arial" w:cs="Arial" w:eastAsia="Arial" w:hAnsi="Arial"/>
          <w:sz w:val="11"/>
          <w:szCs w:val="11"/>
          <w:color w:val="BF2115"/>
        </w:rPr>
      </w:pPr>
      <w:r>
        <w:rPr>
          <w:rFonts w:ascii="Arial" w:cs="Arial" w:eastAsia="Arial" w:hAnsi="Arial"/>
          <w:sz w:val="11"/>
          <w:szCs w:val="11"/>
          <w:color w:val="auto"/>
        </w:rPr>
        <w:t>Tax benefits on non-U.S. earnings, tax credits, and other accrued tax benefits, representing a 580 basis-point decrease,</w:t>
      </w:r>
    </w:p>
    <w:p>
      <w:pPr>
        <w:spacing w:after="0" w:line="44" w:lineRule="exact"/>
        <w:rPr>
          <w:rFonts w:ascii="Arial" w:cs="Arial" w:eastAsia="Arial" w:hAnsi="Arial"/>
          <w:sz w:val="11"/>
          <w:szCs w:val="11"/>
          <w:color w:val="BF2115"/>
        </w:rPr>
      </w:pPr>
    </w:p>
    <w:p>
      <w:pPr>
        <w:ind w:left="128" w:hanging="128"/>
        <w:spacing w:after="0"/>
        <w:tabs>
          <w:tab w:leader="none" w:pos="128" w:val="left"/>
        </w:tabs>
        <w:numPr>
          <w:ilvl w:val="0"/>
          <w:numId w:val="53"/>
        </w:numPr>
        <w:rPr>
          <w:rFonts w:ascii="Arial" w:cs="Arial" w:eastAsia="Arial" w:hAnsi="Arial"/>
          <w:sz w:val="11"/>
          <w:szCs w:val="11"/>
          <w:color w:val="BF2115"/>
        </w:rPr>
      </w:pPr>
      <w:r>
        <w:rPr>
          <w:rFonts w:ascii="Arial" w:cs="Arial" w:eastAsia="Arial" w:hAnsi="Arial"/>
          <w:sz w:val="11"/>
          <w:szCs w:val="11"/>
          <w:color w:val="auto"/>
        </w:rPr>
        <w:t>Partially offset by incremental tax expense for tax reserves and other accrued tax expenses, representing a 560 basis-point increase.</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1"/>
          <w:szCs w:val="11"/>
          <w:color w:val="auto"/>
        </w:rPr>
        <w:t>See Note 5 Income Taxes of Notes to Consolidated Financial Statements for further discussion of changes in the effective tax rate.</w:t>
      </w:r>
    </w:p>
    <w:p>
      <w:pPr>
        <w:spacing w:after="0" w:line="296" w:lineRule="exact"/>
        <w:rPr>
          <w:sz w:val="20"/>
          <w:szCs w:val="20"/>
          <w:color w:val="auto"/>
        </w:rPr>
      </w:pPr>
    </w:p>
    <w:p>
      <w:pPr>
        <w:ind w:left="268" w:hanging="268"/>
        <w:spacing w:after="0"/>
        <w:tabs>
          <w:tab w:leader="none" w:pos="268" w:val="left"/>
        </w:tabs>
        <w:numPr>
          <w:ilvl w:val="0"/>
          <w:numId w:val="54"/>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19" w:right="299" w:bottom="1440" w:gutter="0" w:footer="0" w:header="0"/>
        </w:sectPr>
      </w:pPr>
    </w:p>
    <w:bookmarkStart w:id="25" w:name="page26"/>
    <w:bookmarkEnd w:id="25"/>
    <w:tbl>
      <w:tblPr>
        <w:tblLayout w:type="fixed"/>
        <w:tblInd w:w="8" w:type="dxa"/>
        <w:tblCellMar>
          <w:top w:w="0" w:type="dxa"/>
          <w:left w:w="0" w:type="dxa"/>
          <w:bottom w:w="0" w:type="dxa"/>
          <w:right w:w="0" w:type="dxa"/>
        </w:tblCellMar>
      </w:tblPr>
      <w:tr>
        <w:trPr>
          <w:trHeight w:val="92"/>
        </w:trPr>
        <w:tc>
          <w:tcPr>
            <w:tcW w:w="4840" w:type="dxa"/>
            <w:vAlign w:val="bottom"/>
            <w:gridSpan w:val="2"/>
          </w:tcPr>
          <w:p>
            <w:pPr>
              <w:spacing w:after="0"/>
              <w:rPr>
                <w:sz w:val="20"/>
                <w:szCs w:val="20"/>
                <w:color w:val="auto"/>
              </w:rPr>
            </w:pPr>
            <w:r>
              <w:rPr>
                <w:rFonts w:ascii="Arial" w:cs="Arial" w:eastAsia="Arial" w:hAnsi="Arial"/>
                <w:sz w:val="8"/>
                <w:szCs w:val="8"/>
                <w:b w:val="1"/>
                <w:bCs w:val="1"/>
                <w:color w:val="0000FF"/>
              </w:rPr>
              <w:t>TABLE OF CONTENTS</w:t>
            </w:r>
          </w:p>
        </w:tc>
        <w:tc>
          <w:tcPr>
            <w:tcW w:w="6440" w:type="dxa"/>
            <w:vAlign w:val="bottom"/>
          </w:tcPr>
          <w:p>
            <w:pPr>
              <w:ind w:left="3920"/>
              <w:spacing w:after="0"/>
              <w:rPr>
                <w:sz w:val="20"/>
                <w:szCs w:val="20"/>
                <w:color w:val="auto"/>
              </w:rPr>
            </w:pPr>
            <w:r>
              <w:rPr>
                <w:rFonts w:ascii="Arial" w:cs="Arial" w:eastAsia="Arial" w:hAnsi="Arial"/>
                <w:sz w:val="8"/>
                <w:szCs w:val="8"/>
                <w:b w:val="1"/>
                <w:bCs w:val="1"/>
                <w:color w:val="D7282F"/>
              </w:rPr>
              <w:t>MANAGEMENT’S DISCUSSION AND ANALYSIS OF FINANCIAL</w:t>
            </w:r>
          </w:p>
        </w:tc>
      </w:tr>
      <w:tr>
        <w:trPr>
          <w:trHeight w:val="94"/>
        </w:trPr>
        <w:tc>
          <w:tcPr>
            <w:tcW w:w="900" w:type="dxa"/>
            <w:vAlign w:val="bottom"/>
            <w:tcBorders>
              <w:top w:val="single" w:sz="8" w:color="0000FF"/>
            </w:tcBorders>
          </w:tcPr>
          <w:p>
            <w:pPr>
              <w:spacing w:after="0"/>
              <w:rPr>
                <w:sz w:val="8"/>
                <w:szCs w:val="8"/>
                <w:color w:val="auto"/>
              </w:rPr>
            </w:pPr>
          </w:p>
        </w:tc>
        <w:tc>
          <w:tcPr>
            <w:tcW w:w="3940" w:type="dxa"/>
            <w:vAlign w:val="bottom"/>
          </w:tcPr>
          <w:p>
            <w:pPr>
              <w:spacing w:after="0"/>
              <w:rPr>
                <w:sz w:val="8"/>
                <w:szCs w:val="8"/>
                <w:color w:val="auto"/>
              </w:rPr>
            </w:pPr>
          </w:p>
        </w:tc>
        <w:tc>
          <w:tcPr>
            <w:tcW w:w="6440" w:type="dxa"/>
            <w:vAlign w:val="bottom"/>
          </w:tcPr>
          <w:p>
            <w:pPr>
              <w:ind w:left="4640"/>
              <w:spacing w:after="0"/>
              <w:rPr>
                <w:sz w:val="20"/>
                <w:szCs w:val="20"/>
                <w:color w:val="auto"/>
              </w:rPr>
            </w:pPr>
            <w:r>
              <w:rPr>
                <w:rFonts w:ascii="Arial" w:cs="Arial" w:eastAsia="Arial" w:hAnsi="Arial"/>
                <w:sz w:val="8"/>
                <w:szCs w:val="8"/>
                <w:b w:val="1"/>
                <w:bCs w:val="1"/>
                <w:color w:val="D7282F"/>
              </w:rPr>
              <w:t>CONDITION AND RESULTS OF OPERATIONS</w:t>
            </w: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Net Income Attributable to Honeywell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2023 compared with 2022</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1"/>
          <w:szCs w:val="11"/>
          <w:color w:val="auto"/>
        </w:rPr>
        <w:t>Earnings per share of common stock–assuming dilution increased due to the following:</w:t>
      </w:r>
    </w:p>
    <w:p>
      <w:pPr>
        <w:spacing w:after="0" w:line="71" w:lineRule="exact"/>
        <w:rPr>
          <w:sz w:val="20"/>
          <w:szCs w:val="20"/>
          <w:color w:val="auto"/>
        </w:rPr>
      </w:pPr>
    </w:p>
    <w:p>
      <w:pPr>
        <w:ind w:left="128" w:hanging="128"/>
        <w:spacing w:after="0"/>
        <w:tabs>
          <w:tab w:leader="none" w:pos="128" w:val="left"/>
        </w:tabs>
        <w:numPr>
          <w:ilvl w:val="0"/>
          <w:numId w:val="55"/>
        </w:numPr>
        <w:rPr>
          <w:rFonts w:ascii="Arial" w:cs="Arial" w:eastAsia="Arial" w:hAnsi="Arial"/>
          <w:sz w:val="11"/>
          <w:szCs w:val="11"/>
          <w:color w:val="DC202E"/>
        </w:rPr>
      </w:pPr>
      <w:r>
        <w:rPr>
          <w:rFonts w:ascii="Arial" w:cs="Arial" w:eastAsia="Arial" w:hAnsi="Arial"/>
          <w:sz w:val="11"/>
          <w:szCs w:val="11"/>
          <w:color w:val="auto"/>
        </w:rPr>
        <w:t>Higher segment profit which impacted earnings per share by $0.70 after tax,</w:t>
      </w:r>
    </w:p>
    <w:p>
      <w:pPr>
        <w:spacing w:after="0" w:line="53" w:lineRule="exact"/>
        <w:rPr>
          <w:rFonts w:ascii="Arial" w:cs="Arial" w:eastAsia="Arial" w:hAnsi="Arial"/>
          <w:sz w:val="11"/>
          <w:szCs w:val="11"/>
          <w:color w:val="DC202E"/>
        </w:rPr>
      </w:pPr>
    </w:p>
    <w:p>
      <w:pPr>
        <w:ind w:left="128" w:hanging="128"/>
        <w:spacing w:after="0"/>
        <w:tabs>
          <w:tab w:leader="none" w:pos="128" w:val="left"/>
        </w:tabs>
        <w:numPr>
          <w:ilvl w:val="0"/>
          <w:numId w:val="55"/>
        </w:numPr>
        <w:rPr>
          <w:rFonts w:ascii="Arial" w:cs="Arial" w:eastAsia="Arial" w:hAnsi="Arial"/>
          <w:sz w:val="11"/>
          <w:szCs w:val="11"/>
          <w:color w:val="D7282F"/>
        </w:rPr>
      </w:pPr>
      <w:r>
        <w:rPr>
          <w:rFonts w:ascii="Arial" w:cs="Arial" w:eastAsia="Arial" w:hAnsi="Arial"/>
          <w:sz w:val="11"/>
          <w:szCs w:val="11"/>
          <w:color w:val="auto"/>
        </w:rPr>
        <w:t>Lower repositioning and other charges, including charges attributable to suspending and winding down our businesses and operations in Russia, which impacted earnings per share by $0.56 after tax,</w:t>
      </w:r>
    </w:p>
    <w:p>
      <w:pPr>
        <w:spacing w:after="0" w:line="44" w:lineRule="exact"/>
        <w:rPr>
          <w:rFonts w:ascii="Arial" w:cs="Arial" w:eastAsia="Arial" w:hAnsi="Arial"/>
          <w:sz w:val="11"/>
          <w:szCs w:val="11"/>
          <w:color w:val="D7282F"/>
        </w:rPr>
      </w:pPr>
    </w:p>
    <w:p>
      <w:pPr>
        <w:ind w:left="128" w:hanging="128"/>
        <w:spacing w:after="0"/>
        <w:tabs>
          <w:tab w:leader="none" w:pos="128" w:val="left"/>
        </w:tabs>
        <w:numPr>
          <w:ilvl w:val="0"/>
          <w:numId w:val="55"/>
        </w:numPr>
        <w:rPr>
          <w:rFonts w:ascii="Arial" w:cs="Arial" w:eastAsia="Arial" w:hAnsi="Arial"/>
          <w:sz w:val="11"/>
          <w:szCs w:val="11"/>
          <w:color w:val="DC202E"/>
        </w:rPr>
      </w:pPr>
      <w:r>
        <w:rPr>
          <w:rFonts w:ascii="Arial" w:cs="Arial" w:eastAsia="Arial" w:hAnsi="Arial"/>
          <w:sz w:val="11"/>
          <w:szCs w:val="11"/>
          <w:color w:val="auto"/>
        </w:rPr>
        <w:t>Higher interest income which impacted earnings per share by $0.21 after tax, and</w:t>
      </w:r>
    </w:p>
    <w:p>
      <w:pPr>
        <w:spacing w:after="0" w:line="53" w:lineRule="exact"/>
        <w:rPr>
          <w:rFonts w:ascii="Arial" w:cs="Arial" w:eastAsia="Arial" w:hAnsi="Arial"/>
          <w:sz w:val="11"/>
          <w:szCs w:val="11"/>
          <w:color w:val="DC202E"/>
        </w:rPr>
      </w:pPr>
    </w:p>
    <w:p>
      <w:pPr>
        <w:ind w:left="128" w:hanging="128"/>
        <w:spacing w:after="0"/>
        <w:tabs>
          <w:tab w:leader="none" w:pos="128" w:val="left"/>
        </w:tabs>
        <w:numPr>
          <w:ilvl w:val="0"/>
          <w:numId w:val="55"/>
        </w:numPr>
        <w:rPr>
          <w:rFonts w:ascii="Arial" w:cs="Arial" w:eastAsia="Arial" w:hAnsi="Arial"/>
          <w:sz w:val="11"/>
          <w:szCs w:val="11"/>
          <w:color w:val="DC202E"/>
        </w:rPr>
      </w:pPr>
      <w:r>
        <w:rPr>
          <w:rFonts w:ascii="Arial" w:cs="Arial" w:eastAsia="Arial" w:hAnsi="Arial"/>
          <w:sz w:val="11"/>
          <w:szCs w:val="11"/>
          <w:color w:val="auto"/>
        </w:rPr>
        <w:t>The favorable impact of lower share count which impacted earnings per share by $0.18 after tax,</w:t>
      </w:r>
    </w:p>
    <w:p>
      <w:pPr>
        <w:spacing w:after="0" w:line="53" w:lineRule="exact"/>
        <w:rPr>
          <w:rFonts w:ascii="Arial" w:cs="Arial" w:eastAsia="Arial" w:hAnsi="Arial"/>
          <w:sz w:val="11"/>
          <w:szCs w:val="11"/>
          <w:color w:val="DC202E"/>
        </w:rPr>
      </w:pPr>
    </w:p>
    <w:p>
      <w:pPr>
        <w:ind w:left="128" w:hanging="128"/>
        <w:spacing w:after="0"/>
        <w:tabs>
          <w:tab w:leader="none" w:pos="128" w:val="left"/>
        </w:tabs>
        <w:numPr>
          <w:ilvl w:val="0"/>
          <w:numId w:val="55"/>
        </w:numPr>
        <w:rPr>
          <w:rFonts w:ascii="Arial" w:cs="Arial" w:eastAsia="Arial" w:hAnsi="Arial"/>
          <w:sz w:val="11"/>
          <w:szCs w:val="11"/>
          <w:color w:val="DC202E"/>
        </w:rPr>
      </w:pPr>
      <w:r>
        <w:rPr>
          <w:rFonts w:ascii="Arial" w:cs="Arial" w:eastAsia="Arial" w:hAnsi="Arial"/>
          <w:sz w:val="11"/>
          <w:szCs w:val="11"/>
          <w:color w:val="auto"/>
        </w:rPr>
        <w:t>Partially offset by higher interest expense which impacted earnings per share by $0.40 after tax.</w:t>
      </w:r>
    </w:p>
    <w:p>
      <w:pPr>
        <w:spacing w:after="0" w:line="269" w:lineRule="exact"/>
        <w:rPr>
          <w:sz w:val="20"/>
          <w:szCs w:val="20"/>
          <w:color w:val="auto"/>
        </w:rPr>
      </w:pPr>
    </w:p>
    <w:p>
      <w:pPr>
        <w:ind w:left="268" w:hanging="268"/>
        <w:spacing w:after="0"/>
        <w:tabs>
          <w:tab w:leader="none" w:pos="268" w:val="left"/>
        </w:tabs>
        <w:numPr>
          <w:ilvl w:val="0"/>
          <w:numId w:val="56"/>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219" w:right="319" w:bottom="1440" w:gutter="0" w:footer="0" w:header="0"/>
        </w:sectPr>
      </w:pPr>
    </w:p>
    <w:bookmarkStart w:id="26" w:name="page27"/>
    <w:bookmarkEnd w:id="26"/>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REVIEW OF BUSINESS SEGMENTS</w:t>
      </w:r>
    </w:p>
    <w:p>
      <w:pPr>
        <w:spacing w:after="0" w:line="262" w:lineRule="exact"/>
        <w:rPr>
          <w:sz w:val="20"/>
          <w:szCs w:val="20"/>
          <w:color w:val="auto"/>
        </w:rPr>
      </w:pPr>
    </w:p>
    <w:p>
      <w:pPr>
        <w:ind w:left="8"/>
        <w:spacing w:after="0"/>
        <w:rPr>
          <w:sz w:val="20"/>
          <w:szCs w:val="20"/>
          <w:color w:val="auto"/>
        </w:rPr>
      </w:pPr>
      <w:r>
        <w:rPr>
          <w:rFonts w:ascii="Arial" w:cs="Arial" w:eastAsia="Arial" w:hAnsi="Arial"/>
          <w:sz w:val="11"/>
          <w:szCs w:val="11"/>
          <w:color w:val="auto"/>
        </w:rPr>
        <w:t>We globally manage our business operations through four reportable business segments: Aerospace, Honeywell Building Technologies, Performance Materials and Technologies, and Safety and Productivity Solutions.</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9"/>
          <w:szCs w:val="19"/>
          <w:color w:val="D7282F"/>
        </w:rPr>
        <w:t>AEROSPACE</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56515</wp:posOffset>
            </wp:positionV>
            <wp:extent cx="2000250" cy="17145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00025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gridSpan w:val="2"/>
          </w:tcPr>
          <w:p>
            <w:pPr>
              <w:jc w:val="center"/>
              <w:ind w:left="292"/>
              <w:spacing w:after="0"/>
              <w:rPr>
                <w:sz w:val="20"/>
                <w:szCs w:val="20"/>
                <w:color w:val="auto"/>
              </w:rPr>
            </w:pPr>
            <w:r>
              <w:rPr>
                <w:rFonts w:ascii="Arial" w:cs="Arial" w:eastAsia="Arial" w:hAnsi="Arial"/>
                <w:sz w:val="10"/>
                <w:szCs w:val="10"/>
                <w:b w:val="1"/>
                <w:bCs w:val="1"/>
                <w:color w:val="auto"/>
                <w:w w:val="98"/>
              </w:rPr>
              <w:t>Change</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jc w:val="center"/>
              <w:ind w:right="112"/>
              <w:spacing w:after="0"/>
              <w:rPr>
                <w:sz w:val="20"/>
                <w:szCs w:val="20"/>
                <w:color w:val="auto"/>
              </w:rPr>
            </w:pPr>
            <w:r>
              <w:rPr>
                <w:rFonts w:ascii="Arial" w:cs="Arial" w:eastAsia="Arial" w:hAnsi="Arial"/>
                <w:sz w:val="10"/>
                <w:szCs w:val="10"/>
                <w:b w:val="1"/>
                <w:bCs w:val="1"/>
                <w:color w:val="auto"/>
                <w:w w:val="92"/>
              </w:rPr>
              <w:t>Change</w:t>
            </w:r>
          </w:p>
        </w:tc>
        <w:tc>
          <w:tcPr>
            <w:tcW w:w="0" w:type="dxa"/>
            <w:vAlign w:val="bottom"/>
          </w:tcPr>
          <w:p>
            <w:pPr>
              <w:spacing w:after="0"/>
              <w:rPr>
                <w:sz w:val="1"/>
                <w:szCs w:val="1"/>
                <w:color w:val="auto"/>
              </w:rPr>
            </w:pPr>
          </w:p>
        </w:tc>
      </w:tr>
      <w:tr>
        <w:trPr>
          <w:trHeight w:val="99"/>
        </w:trPr>
        <w:tc>
          <w:tcPr>
            <w:tcW w:w="44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jc w:val="center"/>
              <w:ind w:left="332"/>
              <w:spacing w:after="0" w:line="99" w:lineRule="exact"/>
              <w:rPr>
                <w:sz w:val="20"/>
                <w:szCs w:val="20"/>
                <w:color w:val="auto"/>
              </w:rPr>
            </w:pPr>
            <w:r>
              <w:rPr>
                <w:rFonts w:ascii="Arial" w:cs="Arial" w:eastAsia="Arial" w:hAnsi="Arial"/>
                <w:sz w:val="10"/>
                <w:szCs w:val="10"/>
                <w:b w:val="1"/>
                <w:bCs w:val="1"/>
                <w:color w:val="auto"/>
                <w:w w:val="98"/>
              </w:rPr>
              <w:t>2023</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jc w:val="center"/>
              <w:ind w:right="112"/>
              <w:spacing w:after="0" w:line="99" w:lineRule="exact"/>
              <w:rPr>
                <w:sz w:val="20"/>
                <w:szCs w:val="20"/>
                <w:color w:val="auto"/>
              </w:rPr>
            </w:pPr>
            <w:r>
              <w:rPr>
                <w:rFonts w:ascii="Arial" w:cs="Arial" w:eastAsia="Arial" w:hAnsi="Arial"/>
                <w:sz w:val="10"/>
                <w:szCs w:val="10"/>
                <w:b w:val="1"/>
                <w:bCs w:val="1"/>
                <w:color w:val="auto"/>
                <w:w w:val="98"/>
              </w:rPr>
              <w:t>2022</w:t>
            </w:r>
          </w:p>
        </w:tc>
        <w:tc>
          <w:tcPr>
            <w:tcW w:w="0" w:type="dxa"/>
            <w:vAlign w:val="bottom"/>
          </w:tcPr>
          <w:p>
            <w:pPr>
              <w:spacing w:after="0"/>
              <w:rPr>
                <w:sz w:val="1"/>
                <w:szCs w:val="1"/>
                <w:color w:val="auto"/>
              </w:rPr>
            </w:pPr>
          </w:p>
        </w:tc>
      </w:tr>
      <w:tr>
        <w:trPr>
          <w:trHeight w:val="97"/>
        </w:trPr>
        <w:tc>
          <w:tcPr>
            <w:tcW w:w="44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60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2023</w:t>
            </w:r>
          </w:p>
        </w:tc>
        <w:tc>
          <w:tcPr>
            <w:tcW w:w="340" w:type="dxa"/>
            <w:vAlign w:val="bottom"/>
          </w:tcPr>
          <w:p>
            <w:pPr>
              <w:spacing w:after="0"/>
              <w:rPr>
                <w:sz w:val="8"/>
                <w:szCs w:val="8"/>
                <w:color w:val="auto"/>
              </w:rPr>
            </w:pPr>
          </w:p>
        </w:tc>
        <w:tc>
          <w:tcPr>
            <w:tcW w:w="740" w:type="dxa"/>
            <w:vAlign w:val="bottom"/>
            <w:vMerge w:val="restart"/>
          </w:tcPr>
          <w:p>
            <w:pPr>
              <w:jc w:val="right"/>
              <w:ind w:right="332"/>
              <w:spacing w:after="0"/>
              <w:rPr>
                <w:sz w:val="20"/>
                <w:szCs w:val="20"/>
                <w:color w:val="auto"/>
              </w:rPr>
            </w:pPr>
            <w:r>
              <w:rPr>
                <w:rFonts w:ascii="Arial" w:cs="Arial" w:eastAsia="Arial" w:hAnsi="Arial"/>
                <w:sz w:val="10"/>
                <w:szCs w:val="10"/>
                <w:b w:val="1"/>
                <w:bCs w:val="1"/>
                <w:color w:val="auto"/>
              </w:rPr>
              <w:t>2022</w:t>
            </w:r>
          </w:p>
        </w:tc>
        <w:tc>
          <w:tcPr>
            <w:tcW w:w="700" w:type="dxa"/>
            <w:vAlign w:val="bottom"/>
            <w:gridSpan w:val="2"/>
          </w:tcPr>
          <w:p>
            <w:pPr>
              <w:jc w:val="center"/>
              <w:ind w:left="312"/>
              <w:spacing w:after="0" w:line="97" w:lineRule="exact"/>
              <w:rPr>
                <w:sz w:val="20"/>
                <w:szCs w:val="20"/>
                <w:color w:val="auto"/>
              </w:rPr>
            </w:pPr>
            <w:r>
              <w:rPr>
                <w:rFonts w:ascii="Arial" w:cs="Arial" w:eastAsia="Arial" w:hAnsi="Arial"/>
                <w:sz w:val="10"/>
                <w:szCs w:val="10"/>
                <w:b w:val="1"/>
                <w:bCs w:val="1"/>
                <w:color w:val="auto"/>
              </w:rPr>
              <w:t>vs.</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vMerge w:val="restart"/>
          </w:tcPr>
          <w:p>
            <w:pPr>
              <w:jc w:val="right"/>
              <w:ind w:right="592"/>
              <w:spacing w:after="0"/>
              <w:rPr>
                <w:sz w:val="20"/>
                <w:szCs w:val="20"/>
                <w:color w:val="auto"/>
              </w:rPr>
            </w:pPr>
            <w:r>
              <w:rPr>
                <w:rFonts w:ascii="Arial" w:cs="Arial" w:eastAsia="Arial" w:hAnsi="Arial"/>
                <w:sz w:val="10"/>
                <w:szCs w:val="10"/>
                <w:b w:val="1"/>
                <w:bCs w:val="1"/>
                <w:color w:val="auto"/>
              </w:rPr>
              <w:t>2021</w:t>
            </w:r>
          </w:p>
        </w:tc>
        <w:tc>
          <w:tcPr>
            <w:tcW w:w="700" w:type="dxa"/>
            <w:vAlign w:val="bottom"/>
          </w:tcPr>
          <w:p>
            <w:pPr>
              <w:jc w:val="center"/>
              <w:ind w:right="112"/>
              <w:spacing w:after="0" w:line="97" w:lineRule="exact"/>
              <w:rPr>
                <w:sz w:val="20"/>
                <w:szCs w:val="20"/>
                <w:color w:val="auto"/>
              </w:rPr>
            </w:pPr>
            <w:r>
              <w:rPr>
                <w:rFonts w:ascii="Arial" w:cs="Arial" w:eastAsia="Arial" w:hAnsi="Arial"/>
                <w:sz w:val="10"/>
                <w:szCs w:val="10"/>
                <w:b w:val="1"/>
                <w:bCs w:val="1"/>
                <w:color w:val="auto"/>
              </w:rPr>
              <w:t>vs.</w:t>
            </w:r>
          </w:p>
        </w:tc>
        <w:tc>
          <w:tcPr>
            <w:tcW w:w="0" w:type="dxa"/>
            <w:vAlign w:val="bottom"/>
          </w:tcPr>
          <w:p>
            <w:pPr>
              <w:spacing w:after="0"/>
              <w:rPr>
                <w:sz w:val="1"/>
                <w:szCs w:val="1"/>
                <w:color w:val="auto"/>
              </w:rPr>
            </w:pPr>
          </w:p>
        </w:tc>
      </w:tr>
      <w:tr>
        <w:trPr>
          <w:trHeight w:val="126"/>
        </w:trPr>
        <w:tc>
          <w:tcPr>
            <w:tcW w:w="4420" w:type="dxa"/>
            <w:vAlign w:val="bottom"/>
            <w:tcBorders>
              <w:bottom w:val="single" w:sz="8" w:color="D7282F"/>
            </w:tcBorders>
          </w:tcPr>
          <w:p>
            <w:pPr>
              <w:spacing w:after="0"/>
              <w:rPr>
                <w:sz w:val="10"/>
                <w:szCs w:val="10"/>
                <w:color w:val="auto"/>
              </w:rPr>
            </w:pPr>
          </w:p>
        </w:tc>
        <w:tc>
          <w:tcPr>
            <w:tcW w:w="222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gridSpan w:val="2"/>
            <w:vMerge w:val="continue"/>
          </w:tcPr>
          <w:p>
            <w:pPr>
              <w:spacing w:after="0"/>
              <w:rPr>
                <w:sz w:val="10"/>
                <w:szCs w:val="10"/>
                <w:color w:val="auto"/>
              </w:rPr>
            </w:pPr>
          </w:p>
        </w:tc>
        <w:tc>
          <w:tcPr>
            <w:tcW w:w="34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vMerge w:val="continue"/>
          </w:tcPr>
          <w:p>
            <w:pPr>
              <w:spacing w:after="0"/>
              <w:rPr>
                <w:sz w:val="10"/>
                <w:szCs w:val="10"/>
                <w:color w:val="auto"/>
              </w:rPr>
            </w:pPr>
          </w:p>
        </w:tc>
        <w:tc>
          <w:tcPr>
            <w:tcW w:w="680" w:type="dxa"/>
            <w:vAlign w:val="bottom"/>
            <w:tcBorders>
              <w:bottom w:val="single" w:sz="8" w:color="D7282F"/>
            </w:tcBorders>
          </w:tcPr>
          <w:p>
            <w:pPr>
              <w:jc w:val="center"/>
              <w:ind w:left="332"/>
              <w:spacing w:after="0"/>
              <w:rPr>
                <w:sz w:val="20"/>
                <w:szCs w:val="20"/>
                <w:color w:val="auto"/>
              </w:rPr>
            </w:pPr>
            <w:r>
              <w:rPr>
                <w:rFonts w:ascii="Arial" w:cs="Arial" w:eastAsia="Arial" w:hAnsi="Arial"/>
                <w:sz w:val="10"/>
                <w:szCs w:val="10"/>
                <w:b w:val="1"/>
                <w:bCs w:val="1"/>
                <w:color w:val="auto"/>
                <w:w w:val="98"/>
              </w:rPr>
              <w:t>2022</w:t>
            </w:r>
          </w:p>
        </w:tc>
        <w:tc>
          <w:tcPr>
            <w:tcW w:w="2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1040" w:type="dxa"/>
            <w:vAlign w:val="bottom"/>
            <w:tcBorders>
              <w:bottom w:val="single" w:sz="8" w:color="D7282F"/>
            </w:tcBorders>
            <w:vMerge w:val="continue"/>
          </w:tcPr>
          <w:p>
            <w:pPr>
              <w:spacing w:after="0"/>
              <w:rPr>
                <w:sz w:val="10"/>
                <w:szCs w:val="10"/>
                <w:color w:val="auto"/>
              </w:rPr>
            </w:pPr>
          </w:p>
        </w:tc>
        <w:tc>
          <w:tcPr>
            <w:tcW w:w="700" w:type="dxa"/>
            <w:vAlign w:val="bottom"/>
            <w:tcBorders>
              <w:bottom w:val="single" w:sz="8" w:color="D7282F"/>
            </w:tcBorders>
          </w:tcPr>
          <w:p>
            <w:pPr>
              <w:jc w:val="center"/>
              <w:ind w:right="112"/>
              <w:spacing w:after="0"/>
              <w:rPr>
                <w:sz w:val="20"/>
                <w:szCs w:val="20"/>
                <w:color w:val="auto"/>
              </w:rPr>
            </w:pPr>
            <w:r>
              <w:rPr>
                <w:rFonts w:ascii="Arial" w:cs="Arial" w:eastAsia="Arial" w:hAnsi="Arial"/>
                <w:sz w:val="10"/>
                <w:szCs w:val="10"/>
                <w:b w:val="1"/>
                <w:bCs w:val="1"/>
                <w:color w:val="auto"/>
                <w:w w:val="98"/>
              </w:rPr>
              <w:t>2021</w:t>
            </w:r>
          </w:p>
        </w:tc>
        <w:tc>
          <w:tcPr>
            <w:tcW w:w="0" w:type="dxa"/>
            <w:vAlign w:val="bottom"/>
          </w:tcPr>
          <w:p>
            <w:pPr>
              <w:spacing w:after="0"/>
              <w:rPr>
                <w:sz w:val="1"/>
                <w:szCs w:val="1"/>
                <w:color w:val="auto"/>
              </w:rPr>
            </w:pPr>
          </w:p>
        </w:tc>
      </w:tr>
      <w:tr>
        <w:trPr>
          <w:trHeight w:val="121"/>
        </w:trPr>
        <w:tc>
          <w:tcPr>
            <w:tcW w:w="44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Net sales</w:t>
            </w:r>
          </w:p>
        </w:tc>
        <w:tc>
          <w:tcPr>
            <w:tcW w:w="222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61656A"/>
            </w:tcBorders>
            <w:gridSpan w:val="2"/>
          </w:tcPr>
          <w:p>
            <w:pPr>
              <w:jc w:val="right"/>
              <w:ind w:right="40"/>
              <w:spacing w:after="0"/>
              <w:rPr>
                <w:sz w:val="20"/>
                <w:szCs w:val="20"/>
                <w:color w:val="auto"/>
              </w:rPr>
            </w:pPr>
            <w:r>
              <w:rPr>
                <w:rFonts w:ascii="Arial" w:cs="Arial" w:eastAsia="Arial" w:hAnsi="Arial"/>
                <w:sz w:val="10"/>
                <w:szCs w:val="10"/>
                <w:color w:val="auto"/>
              </w:rPr>
              <w:t>13,624</w:t>
            </w:r>
          </w:p>
        </w:tc>
        <w:tc>
          <w:tcPr>
            <w:tcW w:w="3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11,827</w:t>
            </w:r>
          </w:p>
        </w:tc>
        <w:tc>
          <w:tcPr>
            <w:tcW w:w="680" w:type="dxa"/>
            <w:vAlign w:val="bottom"/>
            <w:tcBorders>
              <w:bottom w:val="single" w:sz="8" w:color="61656A"/>
            </w:tcBorders>
          </w:tcPr>
          <w:p>
            <w:pPr>
              <w:spacing w:after="0"/>
              <w:rPr>
                <w:sz w:val="10"/>
                <w:szCs w:val="10"/>
                <w:color w:val="auto"/>
              </w:rPr>
            </w:pPr>
          </w:p>
        </w:tc>
        <w:tc>
          <w:tcPr>
            <w:tcW w:w="2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gridSpan w:val="2"/>
          </w:tcPr>
          <w:p>
            <w:pPr>
              <w:jc w:val="right"/>
              <w:ind w:right="120"/>
              <w:spacing w:after="0"/>
              <w:rPr>
                <w:sz w:val="20"/>
                <w:szCs w:val="20"/>
                <w:color w:val="auto"/>
              </w:rPr>
            </w:pPr>
            <w:r>
              <w:rPr>
                <w:rFonts w:ascii="Arial" w:cs="Arial" w:eastAsia="Arial" w:hAnsi="Arial"/>
                <w:sz w:val="10"/>
                <w:szCs w:val="10"/>
                <w:color w:val="auto"/>
                <w:w w:val="96"/>
              </w:rPr>
              <w:t>15 %</w:t>
            </w:r>
          </w:p>
        </w:tc>
        <w:tc>
          <w:tcPr>
            <w:tcW w:w="1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61656A"/>
            </w:tcBorders>
          </w:tcPr>
          <w:p>
            <w:pPr>
              <w:jc w:val="right"/>
              <w:ind w:right="372"/>
              <w:spacing w:after="0"/>
              <w:rPr>
                <w:sz w:val="20"/>
                <w:szCs w:val="20"/>
                <w:color w:val="auto"/>
              </w:rPr>
            </w:pPr>
            <w:r>
              <w:rPr>
                <w:rFonts w:ascii="Arial" w:cs="Arial" w:eastAsia="Arial" w:hAnsi="Arial"/>
                <w:sz w:val="10"/>
                <w:szCs w:val="10"/>
                <w:color w:val="auto"/>
              </w:rPr>
              <w:t>11,026</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7 %</w:t>
            </w:r>
          </w:p>
        </w:tc>
        <w:tc>
          <w:tcPr>
            <w:tcW w:w="0" w:type="dxa"/>
            <w:vAlign w:val="bottom"/>
          </w:tcPr>
          <w:p>
            <w:pPr>
              <w:spacing w:after="0"/>
              <w:rPr>
                <w:sz w:val="1"/>
                <w:szCs w:val="1"/>
                <w:color w:val="auto"/>
              </w:rPr>
            </w:pPr>
          </w:p>
        </w:tc>
      </w:tr>
      <w:tr>
        <w:trPr>
          <w:trHeight w:val="124"/>
        </w:trPr>
        <w:tc>
          <w:tcPr>
            <w:tcW w:w="44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Cost of products and services sold</w:t>
            </w:r>
          </w:p>
        </w:tc>
        <w:tc>
          <w:tcPr>
            <w:tcW w:w="222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gridSpan w:val="2"/>
          </w:tcPr>
          <w:p>
            <w:pPr>
              <w:jc w:val="right"/>
              <w:ind w:right="40"/>
              <w:spacing w:after="0"/>
              <w:rPr>
                <w:sz w:val="20"/>
                <w:szCs w:val="20"/>
                <w:color w:val="auto"/>
              </w:rPr>
            </w:pPr>
            <w:r>
              <w:rPr>
                <w:rFonts w:ascii="Arial" w:cs="Arial" w:eastAsia="Arial" w:hAnsi="Arial"/>
                <w:sz w:val="10"/>
                <w:szCs w:val="10"/>
                <w:color w:val="auto"/>
              </w:rPr>
              <w:t>8,381</w:t>
            </w:r>
          </w:p>
        </w:tc>
        <w:tc>
          <w:tcPr>
            <w:tcW w:w="340" w:type="dxa"/>
            <w:vAlign w:val="bottom"/>
            <w:tcBorders>
              <w:bottom w:val="single" w:sz="8" w:color="61656A"/>
            </w:tcBorders>
          </w:tcPr>
          <w:p>
            <w:pPr>
              <w:spacing w:after="0"/>
              <w:rPr>
                <w:sz w:val="10"/>
                <w:szCs w:val="10"/>
                <w:color w:val="auto"/>
              </w:rPr>
            </w:pPr>
          </w:p>
        </w:tc>
        <w:tc>
          <w:tcPr>
            <w:tcW w:w="74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7,202</w:t>
            </w:r>
          </w:p>
        </w:tc>
        <w:tc>
          <w:tcPr>
            <w:tcW w:w="680" w:type="dxa"/>
            <w:vAlign w:val="bottom"/>
            <w:tcBorders>
              <w:bottom w:val="single" w:sz="8" w:color="61656A"/>
            </w:tcBorders>
          </w:tcPr>
          <w:p>
            <w:pPr>
              <w:spacing w:after="0"/>
              <w:rPr>
                <w:sz w:val="10"/>
                <w:szCs w:val="10"/>
                <w:color w:val="auto"/>
              </w:rPr>
            </w:pPr>
          </w:p>
        </w:tc>
        <w:tc>
          <w:tcPr>
            <w:tcW w:w="20" w:type="dxa"/>
            <w:vAlign w:val="bottom"/>
            <w:tcBorders>
              <w:bottom w:val="single" w:sz="8" w:color="61656A"/>
            </w:tcBorders>
          </w:tcPr>
          <w:p>
            <w:pPr>
              <w:spacing w:after="0"/>
              <w:rPr>
                <w:sz w:val="10"/>
                <w:szCs w:val="10"/>
                <w:color w:val="auto"/>
              </w:rPr>
            </w:pPr>
          </w:p>
        </w:tc>
        <w:tc>
          <w:tcPr>
            <w:tcW w:w="200" w:type="dxa"/>
            <w:vAlign w:val="bottom"/>
            <w:tcBorders>
              <w:bottom w:val="single" w:sz="8" w:color="61656A"/>
            </w:tcBorders>
          </w:tcPr>
          <w:p>
            <w:pPr>
              <w:spacing w:after="0"/>
              <w:rPr>
                <w:sz w:val="10"/>
                <w:szCs w:val="10"/>
                <w:color w:val="auto"/>
              </w:rPr>
            </w:pPr>
          </w:p>
        </w:tc>
        <w:tc>
          <w:tcPr>
            <w:tcW w:w="160" w:type="dxa"/>
            <w:vAlign w:val="bottom"/>
            <w:tcBorders>
              <w:bottom w:val="single" w:sz="8" w:color="61656A"/>
            </w:tcBorders>
          </w:tcPr>
          <w:p>
            <w:pPr>
              <w:spacing w:after="0"/>
              <w:rPr>
                <w:sz w:val="10"/>
                <w:szCs w:val="10"/>
                <w:color w:val="auto"/>
              </w:rPr>
            </w:pPr>
          </w:p>
        </w:tc>
        <w:tc>
          <w:tcPr>
            <w:tcW w:w="180" w:type="dxa"/>
            <w:vAlign w:val="bottom"/>
            <w:tcBorders>
              <w:bottom w:val="single" w:sz="8" w:color="61656A"/>
            </w:tcBorders>
          </w:tcPr>
          <w:p>
            <w:pPr>
              <w:spacing w:after="0"/>
              <w:rPr>
                <w:sz w:val="10"/>
                <w:szCs w:val="10"/>
                <w:color w:val="auto"/>
              </w:rPr>
            </w:pPr>
          </w:p>
        </w:tc>
        <w:tc>
          <w:tcPr>
            <w:tcW w:w="1040" w:type="dxa"/>
            <w:vAlign w:val="bottom"/>
            <w:tcBorders>
              <w:bottom w:val="single" w:sz="8" w:color="61656A"/>
            </w:tcBorders>
          </w:tcPr>
          <w:p>
            <w:pPr>
              <w:jc w:val="right"/>
              <w:ind w:right="372"/>
              <w:spacing w:after="0"/>
              <w:rPr>
                <w:sz w:val="20"/>
                <w:szCs w:val="20"/>
                <w:color w:val="auto"/>
              </w:rPr>
            </w:pPr>
            <w:r>
              <w:rPr>
                <w:rFonts w:ascii="Arial" w:cs="Arial" w:eastAsia="Arial" w:hAnsi="Arial"/>
                <w:sz w:val="10"/>
                <w:szCs w:val="10"/>
                <w:color w:val="auto"/>
              </w:rPr>
              <w:t>6,665</w:t>
            </w:r>
          </w:p>
        </w:tc>
        <w:tc>
          <w:tcPr>
            <w:tcW w:w="700" w:type="dxa"/>
            <w:vAlign w:val="bottom"/>
            <w:tcBorders>
              <w:bottom w:val="single" w:sz="8" w:color="61656A"/>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42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Selling, general and administrative and other expenses</w:t>
            </w:r>
          </w:p>
        </w:tc>
        <w:tc>
          <w:tcPr>
            <w:tcW w:w="222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gridSpan w:val="2"/>
          </w:tcPr>
          <w:p>
            <w:pPr>
              <w:jc w:val="right"/>
              <w:ind w:right="40"/>
              <w:spacing w:after="0"/>
              <w:rPr>
                <w:sz w:val="20"/>
                <w:szCs w:val="20"/>
                <w:color w:val="auto"/>
              </w:rPr>
            </w:pPr>
            <w:r>
              <w:rPr>
                <w:rFonts w:ascii="Arial" w:cs="Arial" w:eastAsia="Arial" w:hAnsi="Arial"/>
                <w:sz w:val="10"/>
                <w:szCs w:val="10"/>
                <w:color w:val="auto"/>
              </w:rPr>
              <w:t>1,502</w:t>
            </w:r>
          </w:p>
        </w:tc>
        <w:tc>
          <w:tcPr>
            <w:tcW w:w="34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1,397</w:t>
            </w:r>
          </w:p>
        </w:tc>
        <w:tc>
          <w:tcPr>
            <w:tcW w:w="680" w:type="dxa"/>
            <w:vAlign w:val="bottom"/>
            <w:tcBorders>
              <w:bottom w:val="single" w:sz="8" w:color="D7282F"/>
            </w:tcBorders>
          </w:tcPr>
          <w:p>
            <w:pPr>
              <w:spacing w:after="0"/>
              <w:rPr>
                <w:sz w:val="10"/>
                <w:szCs w:val="10"/>
                <w:color w:val="auto"/>
              </w:rPr>
            </w:pPr>
          </w:p>
        </w:tc>
        <w:tc>
          <w:tcPr>
            <w:tcW w:w="2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1040" w:type="dxa"/>
            <w:vAlign w:val="bottom"/>
            <w:tcBorders>
              <w:bottom w:val="single" w:sz="8" w:color="D7282F"/>
            </w:tcBorders>
          </w:tcPr>
          <w:p>
            <w:pPr>
              <w:jc w:val="right"/>
              <w:ind w:right="372"/>
              <w:spacing w:after="0"/>
              <w:rPr>
                <w:sz w:val="20"/>
                <w:szCs w:val="20"/>
                <w:color w:val="auto"/>
              </w:rPr>
            </w:pPr>
            <w:r>
              <w:rPr>
                <w:rFonts w:ascii="Arial" w:cs="Arial" w:eastAsia="Arial" w:hAnsi="Arial"/>
                <w:sz w:val="10"/>
                <w:szCs w:val="10"/>
                <w:color w:val="auto"/>
              </w:rPr>
              <w:t>1,310</w:t>
            </w:r>
          </w:p>
        </w:tc>
        <w:tc>
          <w:tcPr>
            <w:tcW w:w="700" w:type="dxa"/>
            <w:vAlign w:val="bottom"/>
            <w:tcBorders>
              <w:bottom w:val="single" w:sz="8" w:color="D7282F"/>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42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Segment profit</w:t>
            </w:r>
          </w:p>
        </w:tc>
        <w:tc>
          <w:tcPr>
            <w:tcW w:w="222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gridSpan w:val="2"/>
          </w:tcPr>
          <w:p>
            <w:pPr>
              <w:jc w:val="right"/>
              <w:ind w:right="40"/>
              <w:spacing w:after="0"/>
              <w:rPr>
                <w:sz w:val="20"/>
                <w:szCs w:val="20"/>
                <w:color w:val="auto"/>
              </w:rPr>
            </w:pPr>
            <w:r>
              <w:rPr>
                <w:rFonts w:ascii="Arial" w:cs="Arial" w:eastAsia="Arial" w:hAnsi="Arial"/>
                <w:sz w:val="10"/>
                <w:szCs w:val="10"/>
                <w:b w:val="1"/>
                <w:bCs w:val="1"/>
                <w:color w:val="auto"/>
              </w:rPr>
              <w:t>3,741</w:t>
            </w:r>
          </w:p>
        </w:tc>
        <w:tc>
          <w:tcPr>
            <w:tcW w:w="3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3,228</w:t>
            </w:r>
          </w:p>
        </w:tc>
        <w:tc>
          <w:tcPr>
            <w:tcW w:w="680" w:type="dxa"/>
            <w:vAlign w:val="bottom"/>
            <w:tcBorders>
              <w:bottom w:val="single" w:sz="8" w:color="D7282F"/>
            </w:tcBorders>
          </w:tcPr>
          <w:p>
            <w:pPr>
              <w:spacing w:after="0"/>
              <w:rPr>
                <w:sz w:val="10"/>
                <w:szCs w:val="10"/>
                <w:color w:val="auto"/>
              </w:rPr>
            </w:pPr>
          </w:p>
        </w:tc>
        <w:tc>
          <w:tcPr>
            <w:tcW w:w="2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gridSpan w:val="2"/>
          </w:tcPr>
          <w:p>
            <w:pPr>
              <w:jc w:val="right"/>
              <w:ind w:right="120"/>
              <w:spacing w:after="0"/>
              <w:rPr>
                <w:sz w:val="20"/>
                <w:szCs w:val="20"/>
                <w:color w:val="auto"/>
              </w:rPr>
            </w:pPr>
            <w:r>
              <w:rPr>
                <w:rFonts w:ascii="Arial" w:cs="Arial" w:eastAsia="Arial" w:hAnsi="Arial"/>
                <w:sz w:val="10"/>
                <w:szCs w:val="10"/>
                <w:b w:val="1"/>
                <w:bCs w:val="1"/>
                <w:color w:val="auto"/>
                <w:w w:val="96"/>
              </w:rPr>
              <w:t>16 %</w:t>
            </w: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1040" w:type="dxa"/>
            <w:vAlign w:val="bottom"/>
            <w:tcBorders>
              <w:bottom w:val="single" w:sz="8" w:color="D7282F"/>
            </w:tcBorders>
          </w:tcPr>
          <w:p>
            <w:pPr>
              <w:jc w:val="right"/>
              <w:ind w:right="372"/>
              <w:spacing w:after="0"/>
              <w:rPr>
                <w:sz w:val="20"/>
                <w:szCs w:val="20"/>
                <w:color w:val="auto"/>
              </w:rPr>
            </w:pPr>
            <w:r>
              <w:rPr>
                <w:rFonts w:ascii="Arial" w:cs="Arial" w:eastAsia="Arial" w:hAnsi="Arial"/>
                <w:sz w:val="10"/>
                <w:szCs w:val="10"/>
                <w:b w:val="1"/>
                <w:bCs w:val="1"/>
                <w:color w:val="auto"/>
              </w:rPr>
              <w:t>3,051</w:t>
            </w: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6 %</w:t>
            </w:r>
          </w:p>
        </w:tc>
        <w:tc>
          <w:tcPr>
            <w:tcW w:w="0" w:type="dxa"/>
            <w:vAlign w:val="bottom"/>
          </w:tcPr>
          <w:p>
            <w:pPr>
              <w:spacing w:after="0"/>
              <w:rPr>
                <w:sz w:val="1"/>
                <w:szCs w:val="1"/>
                <w:color w:val="auto"/>
              </w:rPr>
            </w:pPr>
          </w:p>
        </w:tc>
      </w:tr>
      <w:tr>
        <w:trPr>
          <w:trHeight w:val="313"/>
        </w:trPr>
        <w:tc>
          <w:tcPr>
            <w:tcW w:w="4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Borders>
              <w:bottom w:val="single" w:sz="8" w:color="D7282F"/>
            </w:tcBorders>
          </w:tcPr>
          <w:p>
            <w:pPr>
              <w:spacing w:after="0"/>
              <w:rPr>
                <w:sz w:val="24"/>
                <w:szCs w:val="24"/>
                <w:color w:val="auto"/>
              </w:rPr>
            </w:pPr>
          </w:p>
        </w:tc>
        <w:tc>
          <w:tcPr>
            <w:tcW w:w="340" w:type="dxa"/>
            <w:vAlign w:val="bottom"/>
            <w:tcBorders>
              <w:bottom w:val="single" w:sz="8" w:color="D7282F"/>
            </w:tcBorders>
          </w:tcPr>
          <w:p>
            <w:pPr>
              <w:spacing w:after="0"/>
              <w:rPr>
                <w:sz w:val="24"/>
                <w:szCs w:val="24"/>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2023 vs. 2022</w:t>
            </w:r>
          </w:p>
        </w:tc>
        <w:tc>
          <w:tcPr>
            <w:tcW w:w="680" w:type="dxa"/>
            <w:vAlign w:val="bottom"/>
            <w:tcBorders>
              <w:bottom w:val="single" w:sz="8" w:color="D7282F"/>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D7282F"/>
            </w:tcBorders>
          </w:tcPr>
          <w:p>
            <w:pPr>
              <w:spacing w:after="0"/>
              <w:rPr>
                <w:sz w:val="24"/>
                <w:szCs w:val="24"/>
                <w:color w:val="auto"/>
              </w:rPr>
            </w:pPr>
          </w:p>
        </w:tc>
        <w:tc>
          <w:tcPr>
            <w:tcW w:w="180" w:type="dxa"/>
            <w:vAlign w:val="bottom"/>
            <w:tcBorders>
              <w:bottom w:val="single" w:sz="8" w:color="D7282F"/>
            </w:tcBorders>
          </w:tcPr>
          <w:p>
            <w:pPr>
              <w:spacing w:after="0"/>
              <w:rPr>
                <w:sz w:val="24"/>
                <w:szCs w:val="24"/>
                <w:color w:val="auto"/>
              </w:rPr>
            </w:pP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2022 vs. 2021</w:t>
            </w:r>
          </w:p>
        </w:tc>
        <w:tc>
          <w:tcPr>
            <w:tcW w:w="70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420" w:type="dxa"/>
            <w:vAlign w:val="bottom"/>
            <w:vMerge w:val="restart"/>
          </w:tcPr>
          <w:p>
            <w:pPr>
              <w:spacing w:after="0"/>
              <w:rPr>
                <w:sz w:val="20"/>
                <w:szCs w:val="20"/>
                <w:color w:val="auto"/>
              </w:rPr>
            </w:pPr>
            <w:r>
              <w:rPr>
                <w:rFonts w:ascii="Arial" w:cs="Arial" w:eastAsia="Arial" w:hAnsi="Arial"/>
                <w:sz w:val="10"/>
                <w:szCs w:val="10"/>
                <w:b w:val="1"/>
                <w:bCs w:val="1"/>
                <w:color w:val="auto"/>
              </w:rPr>
              <w:t>Factors Contributing to Year-Over-Year Change</w:t>
            </w:r>
          </w:p>
        </w:tc>
        <w:tc>
          <w:tcPr>
            <w:tcW w:w="2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jc w:val="right"/>
              <w:ind w:right="52"/>
              <w:spacing w:after="0" w:line="109" w:lineRule="exact"/>
              <w:rPr>
                <w:sz w:val="20"/>
                <w:szCs w:val="20"/>
                <w:color w:val="auto"/>
              </w:rPr>
            </w:pPr>
            <w:r>
              <w:rPr>
                <w:rFonts w:ascii="Arial" w:cs="Arial" w:eastAsia="Arial" w:hAnsi="Arial"/>
                <w:sz w:val="10"/>
                <w:szCs w:val="10"/>
                <w:b w:val="1"/>
                <w:bCs w:val="1"/>
                <w:color w:val="auto"/>
              </w:rPr>
              <w:t>Net</w:t>
            </w:r>
          </w:p>
        </w:tc>
        <w:tc>
          <w:tcPr>
            <w:tcW w:w="740" w:type="dxa"/>
            <w:vAlign w:val="bottom"/>
          </w:tcPr>
          <w:p>
            <w:pPr>
              <w:spacing w:after="0"/>
              <w:rPr>
                <w:sz w:val="9"/>
                <w:szCs w:val="9"/>
                <w:color w:val="auto"/>
              </w:rPr>
            </w:pPr>
          </w:p>
        </w:tc>
        <w:tc>
          <w:tcPr>
            <w:tcW w:w="700" w:type="dxa"/>
            <w:vAlign w:val="bottom"/>
            <w:gridSpan w:val="2"/>
          </w:tcPr>
          <w:p>
            <w:pPr>
              <w:jc w:val="center"/>
              <w:ind w:right="260"/>
              <w:spacing w:after="0" w:line="109" w:lineRule="exact"/>
              <w:rPr>
                <w:sz w:val="20"/>
                <w:szCs w:val="20"/>
                <w:color w:val="auto"/>
              </w:rPr>
            </w:pPr>
            <w:r>
              <w:rPr>
                <w:rFonts w:ascii="Arial" w:cs="Arial" w:eastAsia="Arial" w:hAnsi="Arial"/>
                <w:sz w:val="10"/>
                <w:szCs w:val="10"/>
                <w:b w:val="1"/>
                <w:bCs w:val="1"/>
                <w:color w:val="auto"/>
                <w:w w:val="94"/>
              </w:rPr>
              <w:t>Segment</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jc w:val="right"/>
              <w:ind w:right="792"/>
              <w:spacing w:after="0" w:line="109" w:lineRule="exact"/>
              <w:rPr>
                <w:sz w:val="20"/>
                <w:szCs w:val="20"/>
                <w:color w:val="auto"/>
              </w:rPr>
            </w:pPr>
            <w:r>
              <w:rPr>
                <w:rFonts w:ascii="Arial" w:cs="Arial" w:eastAsia="Arial" w:hAnsi="Arial"/>
                <w:sz w:val="10"/>
                <w:szCs w:val="10"/>
                <w:b w:val="1"/>
                <w:bCs w:val="1"/>
                <w:color w:val="auto"/>
              </w:rPr>
              <w:t>Net</w:t>
            </w:r>
          </w:p>
        </w:tc>
        <w:tc>
          <w:tcPr>
            <w:tcW w:w="700" w:type="dxa"/>
            <w:vAlign w:val="bottom"/>
          </w:tcPr>
          <w:p>
            <w:pPr>
              <w:jc w:val="right"/>
              <w:ind w:right="212"/>
              <w:spacing w:after="0" w:line="109" w:lineRule="exact"/>
              <w:rPr>
                <w:sz w:val="20"/>
                <w:szCs w:val="20"/>
                <w:color w:val="auto"/>
              </w:rPr>
            </w:pPr>
            <w:r>
              <w:rPr>
                <w:rFonts w:ascii="Arial" w:cs="Arial" w:eastAsia="Arial" w:hAnsi="Arial"/>
                <w:sz w:val="10"/>
                <w:szCs w:val="10"/>
                <w:b w:val="1"/>
                <w:bCs w:val="1"/>
                <w:color w:val="auto"/>
                <w:w w:val="99"/>
              </w:rPr>
              <w:t>Segment</w:t>
            </w:r>
          </w:p>
        </w:tc>
        <w:tc>
          <w:tcPr>
            <w:tcW w:w="0" w:type="dxa"/>
            <w:vAlign w:val="bottom"/>
          </w:tcPr>
          <w:p>
            <w:pPr>
              <w:spacing w:after="0"/>
              <w:rPr>
                <w:sz w:val="1"/>
                <w:szCs w:val="1"/>
                <w:color w:val="auto"/>
              </w:rPr>
            </w:pPr>
          </w:p>
        </w:tc>
      </w:tr>
      <w:tr>
        <w:trPr>
          <w:trHeight w:val="124"/>
        </w:trPr>
        <w:tc>
          <w:tcPr>
            <w:tcW w:w="4420" w:type="dxa"/>
            <w:vAlign w:val="bottom"/>
            <w:tcBorders>
              <w:bottom w:val="single" w:sz="8" w:color="D7282F"/>
            </w:tcBorders>
            <w:vMerge w:val="continue"/>
          </w:tcPr>
          <w:p>
            <w:pPr>
              <w:spacing w:after="0"/>
              <w:rPr>
                <w:sz w:val="10"/>
                <w:szCs w:val="10"/>
                <w:color w:val="auto"/>
              </w:rPr>
            </w:pPr>
          </w:p>
        </w:tc>
        <w:tc>
          <w:tcPr>
            <w:tcW w:w="222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Sales</w:t>
            </w:r>
          </w:p>
        </w:tc>
        <w:tc>
          <w:tcPr>
            <w:tcW w:w="74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gridSpan w:val="2"/>
          </w:tcPr>
          <w:p>
            <w:pPr>
              <w:jc w:val="center"/>
              <w:ind w:right="240"/>
              <w:spacing w:after="0"/>
              <w:rPr>
                <w:sz w:val="20"/>
                <w:szCs w:val="20"/>
                <w:color w:val="auto"/>
              </w:rPr>
            </w:pPr>
            <w:r>
              <w:rPr>
                <w:rFonts w:ascii="Arial" w:cs="Arial" w:eastAsia="Arial" w:hAnsi="Arial"/>
                <w:sz w:val="10"/>
                <w:szCs w:val="10"/>
                <w:b w:val="1"/>
                <w:bCs w:val="1"/>
                <w:color w:val="auto"/>
                <w:w w:val="99"/>
              </w:rPr>
              <w:t>Profit</w:t>
            </w:r>
          </w:p>
        </w:tc>
        <w:tc>
          <w:tcPr>
            <w:tcW w:w="20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1040" w:type="dxa"/>
            <w:vAlign w:val="bottom"/>
            <w:tcBorders>
              <w:bottom w:val="single" w:sz="8" w:color="D7282F"/>
            </w:tcBorders>
          </w:tcPr>
          <w:p>
            <w:pPr>
              <w:jc w:val="right"/>
              <w:ind w:right="732"/>
              <w:spacing w:after="0"/>
              <w:rPr>
                <w:sz w:val="20"/>
                <w:szCs w:val="20"/>
                <w:color w:val="auto"/>
              </w:rPr>
            </w:pPr>
            <w:r>
              <w:rPr>
                <w:rFonts w:ascii="Arial" w:cs="Arial" w:eastAsia="Arial" w:hAnsi="Arial"/>
                <w:sz w:val="10"/>
                <w:szCs w:val="10"/>
                <w:b w:val="1"/>
                <w:bCs w:val="1"/>
                <w:color w:val="auto"/>
                <w:w w:val="91"/>
              </w:rPr>
              <w:t>Sales</w:t>
            </w:r>
          </w:p>
        </w:tc>
        <w:tc>
          <w:tcPr>
            <w:tcW w:w="70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rPr>
              <w:t>Profit</w:t>
            </w:r>
          </w:p>
        </w:tc>
        <w:tc>
          <w:tcPr>
            <w:tcW w:w="0" w:type="dxa"/>
            <w:vAlign w:val="bottom"/>
          </w:tcPr>
          <w:p>
            <w:pPr>
              <w:spacing w:after="0"/>
              <w:rPr>
                <w:sz w:val="1"/>
                <w:szCs w:val="1"/>
                <w:color w:val="auto"/>
              </w:rPr>
            </w:pPr>
          </w:p>
        </w:tc>
      </w:tr>
      <w:tr>
        <w:trPr>
          <w:trHeight w:val="124"/>
        </w:trPr>
        <w:tc>
          <w:tcPr>
            <w:tcW w:w="4420" w:type="dxa"/>
            <w:vAlign w:val="bottom"/>
            <w:tcBorders>
              <w:bottom w:val="single" w:sz="8" w:color="61656A"/>
            </w:tcBorders>
          </w:tcPr>
          <w:p>
            <w:pPr>
              <w:spacing w:after="0" w:line="124" w:lineRule="exact"/>
              <w:rPr>
                <w:sz w:val="20"/>
                <w:szCs w:val="20"/>
                <w:color w:val="auto"/>
              </w:rPr>
            </w:pPr>
            <w:r>
              <w:rPr>
                <w:rFonts w:ascii="Arial" w:cs="Arial" w:eastAsia="Arial" w:hAnsi="Arial"/>
                <w:sz w:val="10"/>
                <w:szCs w:val="10"/>
                <w:color w:val="auto"/>
              </w:rPr>
              <w:t>Organic</w:t>
            </w:r>
            <w:r>
              <w:rPr>
                <w:rFonts w:ascii="Arial" w:cs="Arial" w:eastAsia="Arial" w:hAnsi="Arial"/>
                <w:sz w:val="12"/>
                <w:szCs w:val="12"/>
                <w:color w:val="auto"/>
                <w:vertAlign w:val="superscript"/>
              </w:rPr>
              <w:t>1</w:t>
            </w:r>
          </w:p>
        </w:tc>
        <w:tc>
          <w:tcPr>
            <w:tcW w:w="2220" w:type="dxa"/>
            <w:vAlign w:val="bottom"/>
            <w:tcBorders>
              <w:bottom w:val="single" w:sz="8" w:color="61656A"/>
            </w:tcBorders>
          </w:tcPr>
          <w:p>
            <w:pPr>
              <w:spacing w:after="0"/>
              <w:rPr>
                <w:sz w:val="10"/>
                <w:szCs w:val="10"/>
                <w:color w:val="auto"/>
              </w:rPr>
            </w:pPr>
          </w:p>
        </w:tc>
        <w:tc>
          <w:tcPr>
            <w:tcW w:w="300" w:type="dxa"/>
            <w:vAlign w:val="bottom"/>
            <w:tcBorders>
              <w:bottom w:val="single" w:sz="8" w:color="61656A"/>
            </w:tcBorders>
          </w:tcPr>
          <w:p>
            <w:pPr>
              <w:spacing w:after="0"/>
              <w:rPr>
                <w:sz w:val="10"/>
                <w:szCs w:val="10"/>
                <w:color w:val="auto"/>
              </w:rPr>
            </w:pPr>
          </w:p>
        </w:tc>
        <w:tc>
          <w:tcPr>
            <w:tcW w:w="300" w:type="dxa"/>
            <w:vAlign w:val="bottom"/>
            <w:tcBorders>
              <w:bottom w:val="single" w:sz="8" w:color="61656A"/>
            </w:tcBorders>
          </w:tcPr>
          <w:p>
            <w:pPr>
              <w:spacing w:after="0"/>
              <w:rPr>
                <w:sz w:val="10"/>
                <w:szCs w:val="10"/>
                <w:color w:val="auto"/>
              </w:rPr>
            </w:pPr>
          </w:p>
        </w:tc>
        <w:tc>
          <w:tcPr>
            <w:tcW w:w="340" w:type="dxa"/>
            <w:vAlign w:val="bottom"/>
            <w:tcBorders>
              <w:bottom w:val="single" w:sz="8" w:color="61656A"/>
            </w:tcBorders>
          </w:tcPr>
          <w:p>
            <w:pPr>
              <w:spacing w:after="0"/>
              <w:rPr>
                <w:sz w:val="10"/>
                <w:szCs w:val="10"/>
                <w:color w:val="auto"/>
              </w:rPr>
            </w:pPr>
          </w:p>
        </w:tc>
        <w:tc>
          <w:tcPr>
            <w:tcW w:w="740" w:type="dxa"/>
            <w:vAlign w:val="bottom"/>
            <w:tcBorders>
              <w:bottom w:val="single" w:sz="8" w:color="61656A"/>
            </w:tcBorders>
          </w:tcPr>
          <w:p>
            <w:pPr>
              <w:jc w:val="right"/>
              <w:ind w:right="412"/>
              <w:spacing w:after="0"/>
              <w:rPr>
                <w:sz w:val="20"/>
                <w:szCs w:val="20"/>
                <w:color w:val="auto"/>
              </w:rPr>
            </w:pPr>
            <w:r>
              <w:rPr>
                <w:rFonts w:ascii="Arial" w:cs="Arial" w:eastAsia="Arial" w:hAnsi="Arial"/>
                <w:sz w:val="10"/>
                <w:szCs w:val="10"/>
                <w:color w:val="auto"/>
              </w:rPr>
              <w:t>15 %</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16 %</w:t>
            </w:r>
          </w:p>
        </w:tc>
        <w:tc>
          <w:tcPr>
            <w:tcW w:w="20" w:type="dxa"/>
            <w:vAlign w:val="bottom"/>
            <w:tcBorders>
              <w:bottom w:val="single" w:sz="8" w:color="61656A"/>
            </w:tcBorders>
          </w:tcPr>
          <w:p>
            <w:pPr>
              <w:spacing w:after="0"/>
              <w:rPr>
                <w:sz w:val="10"/>
                <w:szCs w:val="10"/>
                <w:color w:val="auto"/>
              </w:rPr>
            </w:pPr>
          </w:p>
        </w:tc>
        <w:tc>
          <w:tcPr>
            <w:tcW w:w="200" w:type="dxa"/>
            <w:vAlign w:val="bottom"/>
            <w:tcBorders>
              <w:bottom w:val="single" w:sz="8" w:color="61656A"/>
            </w:tcBorders>
          </w:tcPr>
          <w:p>
            <w:pPr>
              <w:spacing w:after="0"/>
              <w:rPr>
                <w:sz w:val="10"/>
                <w:szCs w:val="10"/>
                <w:color w:val="auto"/>
              </w:rPr>
            </w:pPr>
          </w:p>
        </w:tc>
        <w:tc>
          <w:tcPr>
            <w:tcW w:w="160" w:type="dxa"/>
            <w:vAlign w:val="bottom"/>
            <w:tcBorders>
              <w:bottom w:val="single" w:sz="8" w:color="61656A"/>
            </w:tcBorders>
          </w:tcPr>
          <w:p>
            <w:pPr>
              <w:spacing w:after="0"/>
              <w:rPr>
                <w:sz w:val="10"/>
                <w:szCs w:val="10"/>
                <w:color w:val="auto"/>
              </w:rPr>
            </w:pPr>
          </w:p>
        </w:tc>
        <w:tc>
          <w:tcPr>
            <w:tcW w:w="180" w:type="dxa"/>
            <w:vAlign w:val="bottom"/>
            <w:tcBorders>
              <w:bottom w:val="single" w:sz="8" w:color="61656A"/>
            </w:tcBorders>
          </w:tcPr>
          <w:p>
            <w:pPr>
              <w:spacing w:after="0"/>
              <w:rPr>
                <w:sz w:val="10"/>
                <w:szCs w:val="10"/>
                <w:color w:val="auto"/>
              </w:rPr>
            </w:pPr>
          </w:p>
        </w:tc>
        <w:tc>
          <w:tcPr>
            <w:tcW w:w="1040" w:type="dxa"/>
            <w:vAlign w:val="bottom"/>
            <w:tcBorders>
              <w:bottom w:val="single" w:sz="8" w:color="61656A"/>
            </w:tcBorders>
          </w:tcPr>
          <w:p>
            <w:pPr>
              <w:jc w:val="right"/>
              <w:ind w:right="412"/>
              <w:spacing w:after="0"/>
              <w:rPr>
                <w:sz w:val="20"/>
                <w:szCs w:val="20"/>
                <w:color w:val="auto"/>
              </w:rPr>
            </w:pPr>
            <w:r>
              <w:rPr>
                <w:rFonts w:ascii="Arial" w:cs="Arial" w:eastAsia="Arial" w:hAnsi="Arial"/>
                <w:sz w:val="10"/>
                <w:szCs w:val="10"/>
                <w:color w:val="auto"/>
              </w:rPr>
              <w:t>8 %</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6 %</w:t>
            </w:r>
          </w:p>
        </w:tc>
        <w:tc>
          <w:tcPr>
            <w:tcW w:w="0" w:type="dxa"/>
            <w:vAlign w:val="bottom"/>
          </w:tcPr>
          <w:p>
            <w:pPr>
              <w:spacing w:after="0"/>
              <w:rPr>
                <w:sz w:val="1"/>
                <w:szCs w:val="1"/>
                <w:color w:val="auto"/>
              </w:rPr>
            </w:pPr>
          </w:p>
        </w:tc>
      </w:tr>
      <w:tr>
        <w:trPr>
          <w:trHeight w:val="121"/>
        </w:trPr>
        <w:tc>
          <w:tcPr>
            <w:tcW w:w="44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Foreign currency translation</w:t>
            </w:r>
          </w:p>
        </w:tc>
        <w:tc>
          <w:tcPr>
            <w:tcW w:w="2220" w:type="dxa"/>
            <w:vAlign w:val="bottom"/>
            <w:tcBorders>
              <w:bottom w:val="single" w:sz="8" w:color="61656A"/>
            </w:tcBorders>
          </w:tcPr>
          <w:p>
            <w:pPr>
              <w:spacing w:after="0"/>
              <w:rPr>
                <w:sz w:val="10"/>
                <w:szCs w:val="10"/>
                <w:color w:val="auto"/>
              </w:rPr>
            </w:pPr>
          </w:p>
        </w:tc>
        <w:tc>
          <w:tcPr>
            <w:tcW w:w="300" w:type="dxa"/>
            <w:vAlign w:val="bottom"/>
            <w:tcBorders>
              <w:bottom w:val="single" w:sz="8" w:color="61656A"/>
            </w:tcBorders>
          </w:tcPr>
          <w:p>
            <w:pPr>
              <w:spacing w:after="0"/>
              <w:rPr>
                <w:sz w:val="10"/>
                <w:szCs w:val="10"/>
                <w:color w:val="auto"/>
              </w:rPr>
            </w:pPr>
          </w:p>
        </w:tc>
        <w:tc>
          <w:tcPr>
            <w:tcW w:w="300" w:type="dxa"/>
            <w:vAlign w:val="bottom"/>
            <w:tcBorders>
              <w:bottom w:val="single" w:sz="8" w:color="61656A"/>
            </w:tcBorders>
          </w:tcPr>
          <w:p>
            <w:pPr>
              <w:spacing w:after="0"/>
              <w:rPr>
                <w:sz w:val="10"/>
                <w:szCs w:val="10"/>
                <w:color w:val="auto"/>
              </w:rPr>
            </w:pPr>
          </w:p>
        </w:tc>
        <w:tc>
          <w:tcPr>
            <w:tcW w:w="340" w:type="dxa"/>
            <w:vAlign w:val="bottom"/>
            <w:tcBorders>
              <w:bottom w:val="single" w:sz="8" w:color="61656A"/>
            </w:tcBorders>
          </w:tcPr>
          <w:p>
            <w:pPr>
              <w:spacing w:after="0"/>
              <w:rPr>
                <w:sz w:val="10"/>
                <w:szCs w:val="10"/>
                <w:color w:val="auto"/>
              </w:rPr>
            </w:pPr>
          </w:p>
        </w:tc>
        <w:tc>
          <w:tcPr>
            <w:tcW w:w="740" w:type="dxa"/>
            <w:vAlign w:val="bottom"/>
            <w:tcBorders>
              <w:bottom w:val="single" w:sz="8" w:color="61656A"/>
            </w:tcBorders>
          </w:tcPr>
          <w:p>
            <w:pPr>
              <w:jc w:val="right"/>
              <w:ind w:right="412"/>
              <w:spacing w:after="0"/>
              <w:rPr>
                <w:sz w:val="20"/>
                <w:szCs w:val="20"/>
                <w:color w:val="auto"/>
              </w:rPr>
            </w:pPr>
            <w:r>
              <w:rPr>
                <w:rFonts w:ascii="Arial" w:cs="Arial" w:eastAsia="Arial" w:hAnsi="Arial"/>
                <w:sz w:val="10"/>
                <w:szCs w:val="10"/>
                <w:color w:val="auto"/>
              </w:rPr>
              <w:t>— %</w:t>
            </w:r>
          </w:p>
        </w:tc>
        <w:tc>
          <w:tcPr>
            <w:tcW w:w="700" w:type="dxa"/>
            <w:vAlign w:val="bottom"/>
            <w:tcBorders>
              <w:bottom w:val="single" w:sz="8" w:color="61656A"/>
            </w:tcBorders>
            <w:gridSpan w:val="2"/>
          </w:tcPr>
          <w:p>
            <w:pPr>
              <w:jc w:val="right"/>
              <w:ind w:right="20"/>
              <w:spacing w:after="0"/>
              <w:rPr>
                <w:sz w:val="20"/>
                <w:szCs w:val="20"/>
                <w:color w:val="auto"/>
              </w:rPr>
            </w:pPr>
            <w:r>
              <w:rPr>
                <w:rFonts w:ascii="Arial" w:cs="Arial" w:eastAsia="Arial" w:hAnsi="Arial"/>
                <w:sz w:val="10"/>
                <w:szCs w:val="10"/>
                <w:color w:val="auto"/>
              </w:rPr>
              <w:t>— %</w:t>
            </w:r>
          </w:p>
        </w:tc>
        <w:tc>
          <w:tcPr>
            <w:tcW w:w="200" w:type="dxa"/>
            <w:vAlign w:val="bottom"/>
            <w:tcBorders>
              <w:bottom w:val="single" w:sz="8" w:color="61656A"/>
            </w:tcBorders>
          </w:tcPr>
          <w:p>
            <w:pPr>
              <w:spacing w:after="0"/>
              <w:rPr>
                <w:sz w:val="10"/>
                <w:szCs w:val="10"/>
                <w:color w:val="auto"/>
              </w:rPr>
            </w:pPr>
          </w:p>
        </w:tc>
        <w:tc>
          <w:tcPr>
            <w:tcW w:w="160" w:type="dxa"/>
            <w:vAlign w:val="bottom"/>
            <w:tcBorders>
              <w:bottom w:val="single" w:sz="8" w:color="61656A"/>
            </w:tcBorders>
          </w:tcPr>
          <w:p>
            <w:pPr>
              <w:spacing w:after="0"/>
              <w:rPr>
                <w:sz w:val="10"/>
                <w:szCs w:val="10"/>
                <w:color w:val="auto"/>
              </w:rPr>
            </w:pPr>
          </w:p>
        </w:tc>
        <w:tc>
          <w:tcPr>
            <w:tcW w:w="180" w:type="dxa"/>
            <w:vAlign w:val="bottom"/>
            <w:tcBorders>
              <w:bottom w:val="single" w:sz="8" w:color="61656A"/>
            </w:tcBorders>
          </w:tcPr>
          <w:p>
            <w:pPr>
              <w:spacing w:after="0"/>
              <w:rPr>
                <w:sz w:val="10"/>
                <w:szCs w:val="10"/>
                <w:color w:val="auto"/>
              </w:rPr>
            </w:pPr>
          </w:p>
        </w:tc>
        <w:tc>
          <w:tcPr>
            <w:tcW w:w="1040" w:type="dxa"/>
            <w:vAlign w:val="bottom"/>
            <w:tcBorders>
              <w:bottom w:val="single" w:sz="8" w:color="61656A"/>
            </w:tcBorders>
          </w:tcPr>
          <w:p>
            <w:pPr>
              <w:jc w:val="right"/>
              <w:ind w:right="412"/>
              <w:spacing w:after="0"/>
              <w:rPr>
                <w:sz w:val="20"/>
                <w:szCs w:val="20"/>
                <w:color w:val="auto"/>
              </w:rPr>
            </w:pPr>
            <w:r>
              <w:rPr>
                <w:rFonts w:ascii="Arial" w:cs="Arial" w:eastAsia="Arial" w:hAnsi="Arial"/>
                <w:sz w:val="10"/>
                <w:szCs w:val="10"/>
                <w:color w:val="auto"/>
              </w:rPr>
              <w:t>(1)%</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4"/>
        </w:trPr>
        <w:tc>
          <w:tcPr>
            <w:tcW w:w="442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Acquisitions, divestitures, and other, net</w:t>
            </w:r>
          </w:p>
        </w:tc>
        <w:tc>
          <w:tcPr>
            <w:tcW w:w="222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color w:val="auto"/>
              </w:rPr>
              <w:t>— %</w:t>
            </w:r>
          </w:p>
        </w:tc>
        <w:tc>
          <w:tcPr>
            <w:tcW w:w="700" w:type="dxa"/>
            <w:vAlign w:val="bottom"/>
            <w:tcBorders>
              <w:bottom w:val="single" w:sz="8" w:color="D7282F"/>
            </w:tcBorders>
            <w:gridSpan w:val="2"/>
          </w:tcPr>
          <w:p>
            <w:pPr>
              <w:jc w:val="right"/>
              <w:ind w:right="20"/>
              <w:spacing w:after="0"/>
              <w:rPr>
                <w:sz w:val="20"/>
                <w:szCs w:val="20"/>
                <w:color w:val="auto"/>
              </w:rPr>
            </w:pPr>
            <w:r>
              <w:rPr>
                <w:rFonts w:ascii="Arial" w:cs="Arial" w:eastAsia="Arial" w:hAnsi="Arial"/>
                <w:sz w:val="10"/>
                <w:szCs w:val="10"/>
                <w:color w:val="auto"/>
              </w:rPr>
              <w:t>— %</w:t>
            </w:r>
          </w:p>
        </w:tc>
        <w:tc>
          <w:tcPr>
            <w:tcW w:w="20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104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color w:val="auto"/>
              </w:rPr>
              <w:t>— %</w:t>
            </w: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6"/>
        </w:trPr>
        <w:tc>
          <w:tcPr>
            <w:tcW w:w="442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 change</w:t>
            </w:r>
          </w:p>
        </w:tc>
        <w:tc>
          <w:tcPr>
            <w:tcW w:w="222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b w:val="1"/>
                <w:bCs w:val="1"/>
                <w:color w:val="auto"/>
              </w:rPr>
              <w:t>15 %</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16 %</w:t>
            </w:r>
          </w:p>
        </w:tc>
        <w:tc>
          <w:tcPr>
            <w:tcW w:w="2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104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b w:val="1"/>
                <w:bCs w:val="1"/>
                <w:color w:val="auto"/>
              </w:rPr>
              <w:t>7 %</w:t>
            </w: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6 %</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428" w:right="20" w:hanging="416"/>
        <w:spacing w:after="0" w:line="181" w:lineRule="auto"/>
        <w:tabs>
          <w:tab w:leader="none" w:pos="428" w:val="left"/>
        </w:tabs>
        <w:numPr>
          <w:ilvl w:val="0"/>
          <w:numId w:val="57"/>
        </w:numPr>
        <w:rPr>
          <w:rFonts w:ascii="Arial" w:cs="Arial" w:eastAsia="Arial" w:hAnsi="Arial"/>
          <w:sz w:val="16"/>
          <w:szCs w:val="16"/>
          <w:color w:val="auto"/>
          <w:vertAlign w:val="superscript"/>
        </w:rPr>
      </w:pPr>
      <w:r>
        <w:rPr>
          <w:rFonts w:ascii="Arial" w:cs="Arial" w:eastAsia="Arial" w:hAnsi="Arial"/>
          <w:sz w:val="8"/>
          <w:szCs w:val="8"/>
          <w:color w:val="auto"/>
        </w:rPr>
        <w:t>Organic sales % change, presented for all of our reportable business segments, is defined as the change in Net sales, excluding the impact on sales from foreign currency translation and acquisitions, net of divestitures, for the first 12 months following the transaction date. We believe this non-GAAP measure is useful to investors and management in understanding the ongoing operations and analysis of ongoing operating trends.</w:t>
      </w:r>
    </w:p>
    <w:p>
      <w:pPr>
        <w:spacing w:after="0" w:line="19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2023 compared with 2022</w:t>
      </w:r>
    </w:p>
    <w:p>
      <w:pPr>
        <w:spacing w:after="0" w:line="19" w:lineRule="exact"/>
        <w:rPr>
          <w:sz w:val="20"/>
          <w:szCs w:val="20"/>
          <w:color w:val="auto"/>
        </w:rPr>
      </w:pPr>
    </w:p>
    <w:p>
      <w:pPr>
        <w:ind w:left="8"/>
        <w:spacing w:after="0" w:line="249" w:lineRule="auto"/>
        <w:rPr>
          <w:sz w:val="20"/>
          <w:szCs w:val="20"/>
          <w:color w:val="auto"/>
        </w:rPr>
      </w:pPr>
      <w:r>
        <w:rPr>
          <w:rFonts w:ascii="Arial" w:cs="Arial" w:eastAsia="Arial" w:hAnsi="Arial"/>
          <w:sz w:val="11"/>
          <w:szCs w:val="11"/>
          <w:color w:val="auto"/>
        </w:rPr>
        <w:t>Sales increased $1,797 million due to higher organic sales of $1,148 million in Commercial Aviation Aftermarket driven by higher sales volumes in air transport due to an increase in flight hours, higher organic sales of $361 million in Defense and Space driven by higher sales volumes due to increased shipments, and higher organic sales of $315 million for Commercial Aviation Original Equipment driven by higher sales volumes due to increased shipments.</w:t>
      </w:r>
    </w:p>
    <w:p>
      <w:pPr>
        <w:spacing w:after="0" w:line="52" w:lineRule="exact"/>
        <w:rPr>
          <w:sz w:val="20"/>
          <w:szCs w:val="20"/>
          <w:color w:val="auto"/>
        </w:rPr>
      </w:pPr>
    </w:p>
    <w:p>
      <w:pPr>
        <w:ind w:left="8"/>
        <w:spacing w:after="0"/>
        <w:rPr>
          <w:sz w:val="20"/>
          <w:szCs w:val="20"/>
          <w:color w:val="auto"/>
        </w:rPr>
      </w:pPr>
      <w:r>
        <w:rPr>
          <w:rFonts w:ascii="Arial" w:cs="Arial" w:eastAsia="Arial" w:hAnsi="Arial"/>
          <w:sz w:val="11"/>
          <w:szCs w:val="11"/>
          <w:color w:val="auto"/>
        </w:rPr>
        <w:t>Segment profit increased $513 million and segment margin percentage increased 20 basis points to 27.5% compared to 27.3% for the same period of 2022.</w:t>
      </w:r>
    </w:p>
    <w:p>
      <w:pPr>
        <w:spacing w:after="0" w:line="305" w:lineRule="exact"/>
        <w:rPr>
          <w:sz w:val="20"/>
          <w:szCs w:val="20"/>
          <w:color w:val="auto"/>
        </w:rPr>
      </w:pPr>
    </w:p>
    <w:p>
      <w:pPr>
        <w:ind w:left="268" w:hanging="268"/>
        <w:spacing w:after="0"/>
        <w:tabs>
          <w:tab w:leader="none" w:pos="268" w:val="left"/>
        </w:tabs>
        <w:numPr>
          <w:ilvl w:val="0"/>
          <w:numId w:val="58"/>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27" w:name="page28"/>
    <w:bookmarkEnd w:id="27"/>
    <w:p>
      <w:pPr>
        <w:ind w:left="8"/>
        <w:spacing w:after="0"/>
        <w:tabs>
          <w:tab w:leader="none" w:pos="984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REVIEW OF BUSINESS SEGMENTS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
        <w:spacing w:after="0"/>
        <w:rPr>
          <w:sz w:val="20"/>
          <w:szCs w:val="20"/>
          <w:color w:val="auto"/>
        </w:rPr>
      </w:pPr>
      <w:r>
        <w:rPr>
          <w:rFonts w:ascii="Arial" w:cs="Arial" w:eastAsia="Arial" w:hAnsi="Arial"/>
          <w:sz w:val="19"/>
          <w:szCs w:val="19"/>
          <w:color w:val="D7282F"/>
        </w:rPr>
        <w:t>HONEYWELL BUILDING TECHNOLOGIES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50800</wp:posOffset>
            </wp:positionV>
            <wp:extent cx="2000250" cy="17145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00025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gridSpan w:val="2"/>
          </w:tcPr>
          <w:p>
            <w:pPr>
              <w:jc w:val="center"/>
              <w:ind w:left="252"/>
              <w:spacing w:after="0"/>
              <w:rPr>
                <w:sz w:val="20"/>
                <w:szCs w:val="20"/>
                <w:color w:val="auto"/>
              </w:rPr>
            </w:pPr>
            <w:r>
              <w:rPr>
                <w:rFonts w:ascii="Arial" w:cs="Arial" w:eastAsia="Arial" w:hAnsi="Arial"/>
                <w:sz w:val="10"/>
                <w:szCs w:val="10"/>
                <w:b w:val="1"/>
                <w:bCs w:val="1"/>
                <w:color w:val="auto"/>
                <w:w w:val="98"/>
              </w:rPr>
              <w:t>Change</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jc w:val="center"/>
              <w:ind w:right="112"/>
              <w:spacing w:after="0"/>
              <w:rPr>
                <w:sz w:val="20"/>
                <w:szCs w:val="20"/>
                <w:color w:val="auto"/>
              </w:rPr>
            </w:pPr>
            <w:r>
              <w:rPr>
                <w:rFonts w:ascii="Arial" w:cs="Arial" w:eastAsia="Arial" w:hAnsi="Arial"/>
                <w:sz w:val="10"/>
                <w:szCs w:val="10"/>
                <w:b w:val="1"/>
                <w:bCs w:val="1"/>
                <w:color w:val="auto"/>
                <w:w w:val="92"/>
              </w:rPr>
              <w:t>Change</w:t>
            </w:r>
          </w:p>
        </w:tc>
        <w:tc>
          <w:tcPr>
            <w:tcW w:w="0" w:type="dxa"/>
            <w:vAlign w:val="bottom"/>
          </w:tcPr>
          <w:p>
            <w:pPr>
              <w:spacing w:after="0"/>
              <w:rPr>
                <w:sz w:val="1"/>
                <w:szCs w:val="1"/>
                <w:color w:val="auto"/>
              </w:rPr>
            </w:pPr>
          </w:p>
        </w:tc>
      </w:tr>
      <w:tr>
        <w:trPr>
          <w:trHeight w:val="97"/>
        </w:trPr>
        <w:tc>
          <w:tcPr>
            <w:tcW w:w="44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jc w:val="center"/>
              <w:ind w:left="332"/>
              <w:spacing w:after="0" w:line="97" w:lineRule="exact"/>
              <w:rPr>
                <w:sz w:val="20"/>
                <w:szCs w:val="20"/>
                <w:color w:val="auto"/>
              </w:rPr>
            </w:pPr>
            <w:r>
              <w:rPr>
                <w:rFonts w:ascii="Arial" w:cs="Arial" w:eastAsia="Arial" w:hAnsi="Arial"/>
                <w:sz w:val="10"/>
                <w:szCs w:val="10"/>
                <w:b w:val="1"/>
                <w:bCs w:val="1"/>
                <w:color w:val="auto"/>
                <w:w w:val="98"/>
              </w:rPr>
              <w:t>2023</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jc w:val="center"/>
              <w:ind w:right="112"/>
              <w:spacing w:after="0" w:line="97" w:lineRule="exact"/>
              <w:rPr>
                <w:sz w:val="20"/>
                <w:szCs w:val="20"/>
                <w:color w:val="auto"/>
              </w:rPr>
            </w:pPr>
            <w:r>
              <w:rPr>
                <w:rFonts w:ascii="Arial" w:cs="Arial" w:eastAsia="Arial" w:hAnsi="Arial"/>
                <w:sz w:val="10"/>
                <w:szCs w:val="10"/>
                <w:b w:val="1"/>
                <w:bCs w:val="1"/>
                <w:color w:val="auto"/>
                <w:w w:val="98"/>
              </w:rPr>
              <w:t>2022</w:t>
            </w:r>
          </w:p>
        </w:tc>
        <w:tc>
          <w:tcPr>
            <w:tcW w:w="0" w:type="dxa"/>
            <w:vAlign w:val="bottom"/>
          </w:tcPr>
          <w:p>
            <w:pPr>
              <w:spacing w:after="0"/>
              <w:rPr>
                <w:sz w:val="1"/>
                <w:szCs w:val="1"/>
                <w:color w:val="auto"/>
              </w:rPr>
            </w:pPr>
          </w:p>
        </w:tc>
      </w:tr>
      <w:tr>
        <w:trPr>
          <w:trHeight w:val="92"/>
        </w:trPr>
        <w:tc>
          <w:tcPr>
            <w:tcW w:w="44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60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2023</w:t>
            </w:r>
          </w:p>
        </w:tc>
        <w:tc>
          <w:tcPr>
            <w:tcW w:w="340" w:type="dxa"/>
            <w:vAlign w:val="bottom"/>
          </w:tcPr>
          <w:p>
            <w:pPr>
              <w:spacing w:after="0"/>
              <w:rPr>
                <w:sz w:val="8"/>
                <w:szCs w:val="8"/>
                <w:color w:val="auto"/>
              </w:rPr>
            </w:pPr>
          </w:p>
        </w:tc>
        <w:tc>
          <w:tcPr>
            <w:tcW w:w="740" w:type="dxa"/>
            <w:vAlign w:val="bottom"/>
            <w:vMerge w:val="restart"/>
          </w:tcPr>
          <w:p>
            <w:pPr>
              <w:jc w:val="right"/>
              <w:ind w:right="332"/>
              <w:spacing w:after="0"/>
              <w:rPr>
                <w:sz w:val="20"/>
                <w:szCs w:val="20"/>
                <w:color w:val="auto"/>
              </w:rPr>
            </w:pPr>
            <w:r>
              <w:rPr>
                <w:rFonts w:ascii="Arial" w:cs="Arial" w:eastAsia="Arial" w:hAnsi="Arial"/>
                <w:sz w:val="10"/>
                <w:szCs w:val="10"/>
                <w:b w:val="1"/>
                <w:bCs w:val="1"/>
                <w:color w:val="auto"/>
              </w:rPr>
              <w:t>2022</w:t>
            </w:r>
          </w:p>
        </w:tc>
        <w:tc>
          <w:tcPr>
            <w:tcW w:w="740" w:type="dxa"/>
            <w:vAlign w:val="bottom"/>
            <w:gridSpan w:val="2"/>
          </w:tcPr>
          <w:p>
            <w:pPr>
              <w:jc w:val="center"/>
              <w:ind w:left="272"/>
              <w:spacing w:after="0" w:line="92" w:lineRule="exact"/>
              <w:rPr>
                <w:sz w:val="20"/>
                <w:szCs w:val="20"/>
                <w:color w:val="auto"/>
              </w:rPr>
            </w:pPr>
            <w:r>
              <w:rPr>
                <w:rFonts w:ascii="Arial" w:cs="Arial" w:eastAsia="Arial" w:hAnsi="Arial"/>
                <w:sz w:val="10"/>
                <w:szCs w:val="10"/>
                <w:b w:val="1"/>
                <w:bCs w:val="1"/>
                <w:color w:val="auto"/>
              </w:rPr>
              <w:t>vs.</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vMerge w:val="restart"/>
          </w:tcPr>
          <w:p>
            <w:pPr>
              <w:jc w:val="right"/>
              <w:ind w:right="592"/>
              <w:spacing w:after="0"/>
              <w:rPr>
                <w:sz w:val="20"/>
                <w:szCs w:val="20"/>
                <w:color w:val="auto"/>
              </w:rPr>
            </w:pPr>
            <w:r>
              <w:rPr>
                <w:rFonts w:ascii="Arial" w:cs="Arial" w:eastAsia="Arial" w:hAnsi="Arial"/>
                <w:sz w:val="10"/>
                <w:szCs w:val="10"/>
                <w:b w:val="1"/>
                <w:bCs w:val="1"/>
                <w:color w:val="auto"/>
              </w:rPr>
              <w:t>2021</w:t>
            </w:r>
          </w:p>
        </w:tc>
        <w:tc>
          <w:tcPr>
            <w:tcW w:w="700" w:type="dxa"/>
            <w:vAlign w:val="bottom"/>
          </w:tcPr>
          <w:p>
            <w:pPr>
              <w:jc w:val="center"/>
              <w:ind w:right="112"/>
              <w:spacing w:after="0" w:line="92" w:lineRule="exact"/>
              <w:rPr>
                <w:sz w:val="20"/>
                <w:szCs w:val="20"/>
                <w:color w:val="auto"/>
              </w:rPr>
            </w:pPr>
            <w:r>
              <w:rPr>
                <w:rFonts w:ascii="Arial" w:cs="Arial" w:eastAsia="Arial" w:hAnsi="Arial"/>
                <w:sz w:val="10"/>
                <w:szCs w:val="10"/>
                <w:b w:val="1"/>
                <w:bCs w:val="1"/>
                <w:color w:val="auto"/>
              </w:rPr>
              <w:t>vs.</w:t>
            </w:r>
          </w:p>
        </w:tc>
        <w:tc>
          <w:tcPr>
            <w:tcW w:w="0" w:type="dxa"/>
            <w:vAlign w:val="bottom"/>
          </w:tcPr>
          <w:p>
            <w:pPr>
              <w:spacing w:after="0"/>
              <w:rPr>
                <w:sz w:val="1"/>
                <w:szCs w:val="1"/>
                <w:color w:val="auto"/>
              </w:rPr>
            </w:pPr>
          </w:p>
        </w:tc>
      </w:tr>
      <w:tr>
        <w:trPr>
          <w:trHeight w:val="132"/>
        </w:trPr>
        <w:tc>
          <w:tcPr>
            <w:tcW w:w="4420" w:type="dxa"/>
            <w:vAlign w:val="bottom"/>
            <w:tcBorders>
              <w:bottom w:val="single" w:sz="8" w:color="D7282F"/>
            </w:tcBorders>
          </w:tcPr>
          <w:p>
            <w:pPr>
              <w:spacing w:after="0"/>
              <w:rPr>
                <w:sz w:val="11"/>
                <w:szCs w:val="11"/>
                <w:color w:val="auto"/>
              </w:rPr>
            </w:pPr>
          </w:p>
        </w:tc>
        <w:tc>
          <w:tcPr>
            <w:tcW w:w="2220" w:type="dxa"/>
            <w:vAlign w:val="bottom"/>
            <w:tcBorders>
              <w:bottom w:val="single" w:sz="8" w:color="D7282F"/>
            </w:tcBorders>
          </w:tcPr>
          <w:p>
            <w:pPr>
              <w:spacing w:after="0"/>
              <w:rPr>
                <w:sz w:val="11"/>
                <w:szCs w:val="11"/>
                <w:color w:val="auto"/>
              </w:rPr>
            </w:pPr>
          </w:p>
        </w:tc>
        <w:tc>
          <w:tcPr>
            <w:tcW w:w="600" w:type="dxa"/>
            <w:vAlign w:val="bottom"/>
            <w:tcBorders>
              <w:bottom w:val="single" w:sz="8" w:color="D7282F"/>
            </w:tcBorders>
            <w:gridSpan w:val="2"/>
            <w:vMerge w:val="continue"/>
          </w:tcPr>
          <w:p>
            <w:pPr>
              <w:spacing w:after="0"/>
              <w:rPr>
                <w:sz w:val="11"/>
                <w:szCs w:val="11"/>
                <w:color w:val="auto"/>
              </w:rPr>
            </w:pPr>
          </w:p>
        </w:tc>
        <w:tc>
          <w:tcPr>
            <w:tcW w:w="340" w:type="dxa"/>
            <w:vAlign w:val="bottom"/>
            <w:tcBorders>
              <w:bottom w:val="single" w:sz="8" w:color="D7282F"/>
            </w:tcBorders>
          </w:tcPr>
          <w:p>
            <w:pPr>
              <w:spacing w:after="0"/>
              <w:rPr>
                <w:sz w:val="11"/>
                <w:szCs w:val="11"/>
                <w:color w:val="auto"/>
              </w:rPr>
            </w:pPr>
          </w:p>
        </w:tc>
        <w:tc>
          <w:tcPr>
            <w:tcW w:w="740" w:type="dxa"/>
            <w:vAlign w:val="bottom"/>
            <w:tcBorders>
              <w:bottom w:val="single" w:sz="8" w:color="D7282F"/>
            </w:tcBorders>
            <w:vMerge w:val="continue"/>
          </w:tcPr>
          <w:p>
            <w:pPr>
              <w:spacing w:after="0"/>
              <w:rPr>
                <w:sz w:val="11"/>
                <w:szCs w:val="11"/>
                <w:color w:val="auto"/>
              </w:rPr>
            </w:pPr>
          </w:p>
        </w:tc>
        <w:tc>
          <w:tcPr>
            <w:tcW w:w="680" w:type="dxa"/>
            <w:vAlign w:val="bottom"/>
            <w:tcBorders>
              <w:bottom w:val="single" w:sz="8" w:color="D7282F"/>
            </w:tcBorders>
          </w:tcPr>
          <w:p>
            <w:pPr>
              <w:jc w:val="center"/>
              <w:ind w:left="332"/>
              <w:spacing w:after="0"/>
              <w:rPr>
                <w:sz w:val="20"/>
                <w:szCs w:val="20"/>
                <w:color w:val="auto"/>
              </w:rPr>
            </w:pPr>
            <w:r>
              <w:rPr>
                <w:rFonts w:ascii="Arial" w:cs="Arial" w:eastAsia="Arial" w:hAnsi="Arial"/>
                <w:sz w:val="10"/>
                <w:szCs w:val="10"/>
                <w:b w:val="1"/>
                <w:bCs w:val="1"/>
                <w:color w:val="auto"/>
                <w:w w:val="98"/>
              </w:rPr>
              <w:t>2022</w:t>
            </w:r>
          </w:p>
        </w:tc>
        <w:tc>
          <w:tcPr>
            <w:tcW w:w="60" w:type="dxa"/>
            <w:vAlign w:val="bottom"/>
            <w:tcBorders>
              <w:bottom w:val="single" w:sz="8" w:color="D7282F"/>
            </w:tcBorders>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180" w:type="dxa"/>
            <w:vAlign w:val="bottom"/>
            <w:tcBorders>
              <w:bottom w:val="single" w:sz="8" w:color="D7282F"/>
            </w:tcBorders>
          </w:tcPr>
          <w:p>
            <w:pPr>
              <w:spacing w:after="0"/>
              <w:rPr>
                <w:sz w:val="11"/>
                <w:szCs w:val="11"/>
                <w:color w:val="auto"/>
              </w:rPr>
            </w:pPr>
          </w:p>
        </w:tc>
        <w:tc>
          <w:tcPr>
            <w:tcW w:w="1040" w:type="dxa"/>
            <w:vAlign w:val="bottom"/>
            <w:tcBorders>
              <w:bottom w:val="single" w:sz="8" w:color="D7282F"/>
            </w:tcBorders>
            <w:vMerge w:val="continue"/>
          </w:tcPr>
          <w:p>
            <w:pPr>
              <w:spacing w:after="0"/>
              <w:rPr>
                <w:sz w:val="11"/>
                <w:szCs w:val="11"/>
                <w:color w:val="auto"/>
              </w:rPr>
            </w:pPr>
          </w:p>
        </w:tc>
        <w:tc>
          <w:tcPr>
            <w:tcW w:w="700" w:type="dxa"/>
            <w:vAlign w:val="bottom"/>
            <w:tcBorders>
              <w:bottom w:val="single" w:sz="8" w:color="D7282F"/>
            </w:tcBorders>
          </w:tcPr>
          <w:p>
            <w:pPr>
              <w:jc w:val="center"/>
              <w:ind w:right="112"/>
              <w:spacing w:after="0"/>
              <w:rPr>
                <w:sz w:val="20"/>
                <w:szCs w:val="20"/>
                <w:color w:val="auto"/>
              </w:rPr>
            </w:pPr>
            <w:r>
              <w:rPr>
                <w:rFonts w:ascii="Arial" w:cs="Arial" w:eastAsia="Arial" w:hAnsi="Arial"/>
                <w:sz w:val="10"/>
                <w:szCs w:val="10"/>
                <w:b w:val="1"/>
                <w:bCs w:val="1"/>
                <w:color w:val="auto"/>
                <w:w w:val="98"/>
              </w:rPr>
              <w:t>2021</w:t>
            </w:r>
          </w:p>
        </w:tc>
        <w:tc>
          <w:tcPr>
            <w:tcW w:w="0" w:type="dxa"/>
            <w:vAlign w:val="bottom"/>
          </w:tcPr>
          <w:p>
            <w:pPr>
              <w:spacing w:after="0"/>
              <w:rPr>
                <w:sz w:val="1"/>
                <w:szCs w:val="1"/>
                <w:color w:val="auto"/>
              </w:rPr>
            </w:pPr>
          </w:p>
        </w:tc>
      </w:tr>
      <w:tr>
        <w:trPr>
          <w:trHeight w:val="122"/>
        </w:trPr>
        <w:tc>
          <w:tcPr>
            <w:tcW w:w="44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Net sales</w:t>
            </w:r>
          </w:p>
        </w:tc>
        <w:tc>
          <w:tcPr>
            <w:tcW w:w="222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61656A"/>
            </w:tcBorders>
            <w:gridSpan w:val="2"/>
          </w:tcPr>
          <w:p>
            <w:pPr>
              <w:jc w:val="right"/>
              <w:ind w:right="40"/>
              <w:spacing w:after="0"/>
              <w:rPr>
                <w:sz w:val="20"/>
                <w:szCs w:val="20"/>
                <w:color w:val="auto"/>
              </w:rPr>
            </w:pPr>
            <w:r>
              <w:rPr>
                <w:rFonts w:ascii="Arial" w:cs="Arial" w:eastAsia="Arial" w:hAnsi="Arial"/>
                <w:sz w:val="10"/>
                <w:szCs w:val="10"/>
                <w:color w:val="auto"/>
              </w:rPr>
              <w:t>6,031</w:t>
            </w:r>
          </w:p>
        </w:tc>
        <w:tc>
          <w:tcPr>
            <w:tcW w:w="3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6,000</w:t>
            </w:r>
          </w:p>
        </w:tc>
        <w:tc>
          <w:tcPr>
            <w:tcW w:w="680" w:type="dxa"/>
            <w:vAlign w:val="bottom"/>
            <w:tcBorders>
              <w:bottom w:val="single" w:sz="8" w:color="61656A"/>
            </w:tcBorders>
          </w:tcPr>
          <w:p>
            <w:pPr>
              <w:spacing w:after="0"/>
              <w:rPr>
                <w:sz w:val="10"/>
                <w:szCs w:val="10"/>
                <w:color w:val="auto"/>
              </w:rPr>
            </w:pPr>
          </w:p>
        </w:tc>
        <w:tc>
          <w:tcPr>
            <w:tcW w:w="6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gridSpan w:val="2"/>
          </w:tcPr>
          <w:p>
            <w:pPr>
              <w:jc w:val="right"/>
              <w:ind w:right="120"/>
              <w:spacing w:after="0"/>
              <w:rPr>
                <w:sz w:val="20"/>
                <w:szCs w:val="20"/>
                <w:color w:val="auto"/>
              </w:rPr>
            </w:pPr>
            <w:r>
              <w:rPr>
                <w:rFonts w:ascii="Arial" w:cs="Arial" w:eastAsia="Arial" w:hAnsi="Arial"/>
                <w:sz w:val="10"/>
                <w:szCs w:val="10"/>
                <w:color w:val="auto"/>
              </w:rPr>
              <w:t>1 %</w:t>
            </w:r>
          </w:p>
        </w:tc>
        <w:tc>
          <w:tcPr>
            <w:tcW w:w="1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61656A"/>
            </w:tcBorders>
          </w:tcPr>
          <w:p>
            <w:pPr>
              <w:ind w:left="380"/>
              <w:spacing w:after="0"/>
              <w:rPr>
                <w:sz w:val="20"/>
                <w:szCs w:val="20"/>
                <w:color w:val="auto"/>
              </w:rPr>
            </w:pPr>
            <w:r>
              <w:rPr>
                <w:rFonts w:ascii="Arial" w:cs="Arial" w:eastAsia="Arial" w:hAnsi="Arial"/>
                <w:sz w:val="10"/>
                <w:szCs w:val="10"/>
                <w:color w:val="auto"/>
              </w:rPr>
              <w:t>5,539</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8 %</w:t>
            </w:r>
          </w:p>
        </w:tc>
        <w:tc>
          <w:tcPr>
            <w:tcW w:w="0" w:type="dxa"/>
            <w:vAlign w:val="bottom"/>
          </w:tcPr>
          <w:p>
            <w:pPr>
              <w:spacing w:after="0"/>
              <w:rPr>
                <w:sz w:val="1"/>
                <w:szCs w:val="1"/>
                <w:color w:val="auto"/>
              </w:rPr>
            </w:pPr>
          </w:p>
        </w:tc>
      </w:tr>
      <w:tr>
        <w:trPr>
          <w:trHeight w:val="124"/>
        </w:trPr>
        <w:tc>
          <w:tcPr>
            <w:tcW w:w="44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Cost of products and services sold</w:t>
            </w:r>
          </w:p>
        </w:tc>
        <w:tc>
          <w:tcPr>
            <w:tcW w:w="222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gridSpan w:val="2"/>
          </w:tcPr>
          <w:p>
            <w:pPr>
              <w:jc w:val="right"/>
              <w:ind w:right="40"/>
              <w:spacing w:after="0"/>
              <w:rPr>
                <w:sz w:val="20"/>
                <w:szCs w:val="20"/>
                <w:color w:val="auto"/>
              </w:rPr>
            </w:pPr>
            <w:r>
              <w:rPr>
                <w:rFonts w:ascii="Arial" w:cs="Arial" w:eastAsia="Arial" w:hAnsi="Arial"/>
                <w:sz w:val="10"/>
                <w:szCs w:val="10"/>
                <w:color w:val="auto"/>
              </w:rPr>
              <w:t>3,264</w:t>
            </w:r>
          </w:p>
        </w:tc>
        <w:tc>
          <w:tcPr>
            <w:tcW w:w="340" w:type="dxa"/>
            <w:vAlign w:val="bottom"/>
            <w:tcBorders>
              <w:bottom w:val="single" w:sz="8" w:color="61656A"/>
            </w:tcBorders>
          </w:tcPr>
          <w:p>
            <w:pPr>
              <w:spacing w:after="0"/>
              <w:rPr>
                <w:sz w:val="10"/>
                <w:szCs w:val="10"/>
                <w:color w:val="auto"/>
              </w:rPr>
            </w:pPr>
          </w:p>
        </w:tc>
        <w:tc>
          <w:tcPr>
            <w:tcW w:w="74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3,275</w:t>
            </w:r>
          </w:p>
        </w:tc>
        <w:tc>
          <w:tcPr>
            <w:tcW w:w="680" w:type="dxa"/>
            <w:vAlign w:val="bottom"/>
            <w:tcBorders>
              <w:bottom w:val="single" w:sz="8" w:color="61656A"/>
            </w:tcBorders>
          </w:tcPr>
          <w:p>
            <w:pPr>
              <w:spacing w:after="0"/>
              <w:rPr>
                <w:sz w:val="10"/>
                <w:szCs w:val="10"/>
                <w:color w:val="auto"/>
              </w:rPr>
            </w:pPr>
          </w:p>
        </w:tc>
        <w:tc>
          <w:tcPr>
            <w:tcW w:w="60" w:type="dxa"/>
            <w:vAlign w:val="bottom"/>
            <w:tcBorders>
              <w:bottom w:val="single" w:sz="8" w:color="61656A"/>
            </w:tcBorders>
          </w:tcPr>
          <w:p>
            <w:pPr>
              <w:spacing w:after="0"/>
              <w:rPr>
                <w:sz w:val="10"/>
                <w:szCs w:val="10"/>
                <w:color w:val="auto"/>
              </w:rPr>
            </w:pPr>
          </w:p>
        </w:tc>
        <w:tc>
          <w:tcPr>
            <w:tcW w:w="160" w:type="dxa"/>
            <w:vAlign w:val="bottom"/>
            <w:tcBorders>
              <w:bottom w:val="single" w:sz="8" w:color="61656A"/>
            </w:tcBorders>
          </w:tcPr>
          <w:p>
            <w:pPr>
              <w:spacing w:after="0"/>
              <w:rPr>
                <w:sz w:val="10"/>
                <w:szCs w:val="10"/>
                <w:color w:val="auto"/>
              </w:rPr>
            </w:pPr>
          </w:p>
        </w:tc>
        <w:tc>
          <w:tcPr>
            <w:tcW w:w="160" w:type="dxa"/>
            <w:vAlign w:val="bottom"/>
            <w:tcBorders>
              <w:bottom w:val="single" w:sz="8" w:color="61656A"/>
            </w:tcBorders>
          </w:tcPr>
          <w:p>
            <w:pPr>
              <w:spacing w:after="0"/>
              <w:rPr>
                <w:sz w:val="10"/>
                <w:szCs w:val="10"/>
                <w:color w:val="auto"/>
              </w:rPr>
            </w:pPr>
          </w:p>
        </w:tc>
        <w:tc>
          <w:tcPr>
            <w:tcW w:w="180" w:type="dxa"/>
            <w:vAlign w:val="bottom"/>
            <w:tcBorders>
              <w:bottom w:val="single" w:sz="8" w:color="61656A"/>
            </w:tcBorders>
          </w:tcPr>
          <w:p>
            <w:pPr>
              <w:spacing w:after="0"/>
              <w:rPr>
                <w:sz w:val="10"/>
                <w:szCs w:val="10"/>
                <w:color w:val="auto"/>
              </w:rPr>
            </w:pPr>
          </w:p>
        </w:tc>
        <w:tc>
          <w:tcPr>
            <w:tcW w:w="1040" w:type="dxa"/>
            <w:vAlign w:val="bottom"/>
            <w:tcBorders>
              <w:bottom w:val="single" w:sz="8" w:color="61656A"/>
            </w:tcBorders>
          </w:tcPr>
          <w:p>
            <w:pPr>
              <w:ind w:left="380"/>
              <w:spacing w:after="0"/>
              <w:rPr>
                <w:sz w:val="20"/>
                <w:szCs w:val="20"/>
                <w:color w:val="auto"/>
              </w:rPr>
            </w:pPr>
            <w:r>
              <w:rPr>
                <w:rFonts w:ascii="Arial" w:cs="Arial" w:eastAsia="Arial" w:hAnsi="Arial"/>
                <w:sz w:val="10"/>
                <w:szCs w:val="10"/>
                <w:color w:val="auto"/>
              </w:rPr>
              <w:t>3,045</w:t>
            </w:r>
          </w:p>
        </w:tc>
        <w:tc>
          <w:tcPr>
            <w:tcW w:w="700" w:type="dxa"/>
            <w:vAlign w:val="bottom"/>
            <w:tcBorders>
              <w:bottom w:val="single" w:sz="8" w:color="61656A"/>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42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Selling, general and administrative and other expenses</w:t>
            </w:r>
          </w:p>
        </w:tc>
        <w:tc>
          <w:tcPr>
            <w:tcW w:w="222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gridSpan w:val="2"/>
          </w:tcPr>
          <w:p>
            <w:pPr>
              <w:jc w:val="right"/>
              <w:ind w:right="40"/>
              <w:spacing w:after="0"/>
              <w:rPr>
                <w:sz w:val="20"/>
                <w:szCs w:val="20"/>
                <w:color w:val="auto"/>
              </w:rPr>
            </w:pPr>
            <w:r>
              <w:rPr>
                <w:rFonts w:ascii="Arial" w:cs="Arial" w:eastAsia="Arial" w:hAnsi="Arial"/>
                <w:sz w:val="10"/>
                <w:szCs w:val="10"/>
                <w:color w:val="auto"/>
              </w:rPr>
              <w:t>1,262</w:t>
            </w:r>
          </w:p>
        </w:tc>
        <w:tc>
          <w:tcPr>
            <w:tcW w:w="34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1,286</w:t>
            </w:r>
          </w:p>
        </w:tc>
        <w:tc>
          <w:tcPr>
            <w:tcW w:w="680" w:type="dxa"/>
            <w:vAlign w:val="bottom"/>
            <w:tcBorders>
              <w:bottom w:val="single" w:sz="8" w:color="D7282F"/>
            </w:tcBorders>
          </w:tcPr>
          <w:p>
            <w:pPr>
              <w:spacing w:after="0"/>
              <w:rPr>
                <w:sz w:val="10"/>
                <w:szCs w:val="10"/>
                <w:color w:val="auto"/>
              </w:rPr>
            </w:pPr>
          </w:p>
        </w:tc>
        <w:tc>
          <w:tcPr>
            <w:tcW w:w="6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1040" w:type="dxa"/>
            <w:vAlign w:val="bottom"/>
            <w:tcBorders>
              <w:bottom w:val="single" w:sz="8" w:color="D7282F"/>
            </w:tcBorders>
          </w:tcPr>
          <w:p>
            <w:pPr>
              <w:ind w:left="380"/>
              <w:spacing w:after="0"/>
              <w:rPr>
                <w:sz w:val="20"/>
                <w:szCs w:val="20"/>
                <w:color w:val="auto"/>
              </w:rPr>
            </w:pPr>
            <w:r>
              <w:rPr>
                <w:rFonts w:ascii="Arial" w:cs="Arial" w:eastAsia="Arial" w:hAnsi="Arial"/>
                <w:sz w:val="10"/>
                <w:szCs w:val="10"/>
                <w:color w:val="auto"/>
              </w:rPr>
              <w:t>1,256</w:t>
            </w:r>
          </w:p>
        </w:tc>
        <w:tc>
          <w:tcPr>
            <w:tcW w:w="700" w:type="dxa"/>
            <w:vAlign w:val="bottom"/>
            <w:tcBorders>
              <w:bottom w:val="single" w:sz="8" w:color="D7282F"/>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42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Segment profit</w:t>
            </w:r>
          </w:p>
        </w:tc>
        <w:tc>
          <w:tcPr>
            <w:tcW w:w="222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gridSpan w:val="2"/>
          </w:tcPr>
          <w:p>
            <w:pPr>
              <w:jc w:val="right"/>
              <w:ind w:right="40"/>
              <w:spacing w:after="0"/>
              <w:rPr>
                <w:sz w:val="20"/>
                <w:szCs w:val="20"/>
                <w:color w:val="auto"/>
              </w:rPr>
            </w:pPr>
            <w:r>
              <w:rPr>
                <w:rFonts w:ascii="Arial" w:cs="Arial" w:eastAsia="Arial" w:hAnsi="Arial"/>
                <w:sz w:val="10"/>
                <w:szCs w:val="10"/>
                <w:b w:val="1"/>
                <w:bCs w:val="1"/>
                <w:color w:val="auto"/>
              </w:rPr>
              <w:t>1,505</w:t>
            </w:r>
          </w:p>
        </w:tc>
        <w:tc>
          <w:tcPr>
            <w:tcW w:w="3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1,439</w:t>
            </w:r>
          </w:p>
        </w:tc>
        <w:tc>
          <w:tcPr>
            <w:tcW w:w="680" w:type="dxa"/>
            <w:vAlign w:val="bottom"/>
            <w:tcBorders>
              <w:bottom w:val="single" w:sz="8" w:color="D7282F"/>
            </w:tcBorders>
          </w:tcPr>
          <w:p>
            <w:pPr>
              <w:spacing w:after="0"/>
              <w:rPr>
                <w:sz w:val="10"/>
                <w:szCs w:val="10"/>
                <w:color w:val="auto"/>
              </w:rPr>
            </w:pPr>
          </w:p>
        </w:tc>
        <w:tc>
          <w:tcPr>
            <w:tcW w:w="6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gridSpan w:val="2"/>
          </w:tcPr>
          <w:p>
            <w:pPr>
              <w:jc w:val="right"/>
              <w:ind w:right="120"/>
              <w:spacing w:after="0"/>
              <w:rPr>
                <w:sz w:val="20"/>
                <w:szCs w:val="20"/>
                <w:color w:val="auto"/>
              </w:rPr>
            </w:pPr>
            <w:r>
              <w:rPr>
                <w:rFonts w:ascii="Arial" w:cs="Arial" w:eastAsia="Arial" w:hAnsi="Arial"/>
                <w:sz w:val="10"/>
                <w:szCs w:val="10"/>
                <w:b w:val="1"/>
                <w:bCs w:val="1"/>
                <w:color w:val="auto"/>
              </w:rPr>
              <w:t>5 %</w:t>
            </w: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1040" w:type="dxa"/>
            <w:vAlign w:val="bottom"/>
            <w:tcBorders>
              <w:bottom w:val="single" w:sz="8" w:color="D7282F"/>
            </w:tcBorders>
          </w:tcPr>
          <w:p>
            <w:pPr>
              <w:ind w:left="380"/>
              <w:spacing w:after="0"/>
              <w:rPr>
                <w:sz w:val="20"/>
                <w:szCs w:val="20"/>
                <w:color w:val="auto"/>
              </w:rPr>
            </w:pPr>
            <w:r>
              <w:rPr>
                <w:rFonts w:ascii="Arial" w:cs="Arial" w:eastAsia="Arial" w:hAnsi="Arial"/>
                <w:sz w:val="10"/>
                <w:szCs w:val="10"/>
                <w:b w:val="1"/>
                <w:bCs w:val="1"/>
                <w:color w:val="auto"/>
              </w:rPr>
              <w:t>1,238</w:t>
            </w: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16 %</w:t>
            </w:r>
          </w:p>
        </w:tc>
        <w:tc>
          <w:tcPr>
            <w:tcW w:w="0" w:type="dxa"/>
            <w:vAlign w:val="bottom"/>
          </w:tcPr>
          <w:p>
            <w:pPr>
              <w:spacing w:after="0"/>
              <w:rPr>
                <w:sz w:val="1"/>
                <w:szCs w:val="1"/>
                <w:color w:val="auto"/>
              </w:rPr>
            </w:pPr>
          </w:p>
        </w:tc>
      </w:tr>
      <w:tr>
        <w:trPr>
          <w:trHeight w:val="313"/>
        </w:trPr>
        <w:tc>
          <w:tcPr>
            <w:tcW w:w="4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Borders>
              <w:bottom w:val="single" w:sz="8" w:color="D7282F"/>
            </w:tcBorders>
          </w:tcPr>
          <w:p>
            <w:pPr>
              <w:spacing w:after="0"/>
              <w:rPr>
                <w:sz w:val="24"/>
                <w:szCs w:val="24"/>
                <w:color w:val="auto"/>
              </w:rPr>
            </w:pPr>
          </w:p>
        </w:tc>
        <w:tc>
          <w:tcPr>
            <w:tcW w:w="340" w:type="dxa"/>
            <w:vAlign w:val="bottom"/>
            <w:tcBorders>
              <w:bottom w:val="single" w:sz="8" w:color="D7282F"/>
            </w:tcBorders>
          </w:tcPr>
          <w:p>
            <w:pPr>
              <w:spacing w:after="0"/>
              <w:rPr>
                <w:sz w:val="24"/>
                <w:szCs w:val="24"/>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2023 vs. 2022</w:t>
            </w:r>
          </w:p>
        </w:tc>
        <w:tc>
          <w:tcPr>
            <w:tcW w:w="680" w:type="dxa"/>
            <w:vAlign w:val="bottom"/>
            <w:tcBorders>
              <w:bottom w:val="single" w:sz="8" w:color="D7282F"/>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D7282F"/>
            </w:tcBorders>
          </w:tcPr>
          <w:p>
            <w:pPr>
              <w:spacing w:after="0"/>
              <w:rPr>
                <w:sz w:val="24"/>
                <w:szCs w:val="24"/>
                <w:color w:val="auto"/>
              </w:rPr>
            </w:pPr>
          </w:p>
        </w:tc>
        <w:tc>
          <w:tcPr>
            <w:tcW w:w="180" w:type="dxa"/>
            <w:vAlign w:val="bottom"/>
            <w:tcBorders>
              <w:bottom w:val="single" w:sz="8" w:color="D7282F"/>
            </w:tcBorders>
          </w:tcPr>
          <w:p>
            <w:pPr>
              <w:spacing w:after="0"/>
              <w:rPr>
                <w:sz w:val="24"/>
                <w:szCs w:val="24"/>
                <w:color w:val="auto"/>
              </w:rPr>
            </w:pPr>
          </w:p>
        </w:tc>
        <w:tc>
          <w:tcPr>
            <w:tcW w:w="1040" w:type="dxa"/>
            <w:vAlign w:val="bottom"/>
            <w:tcBorders>
              <w:bottom w:val="single" w:sz="8" w:color="D7282F"/>
            </w:tcBorders>
          </w:tcPr>
          <w:p>
            <w:pPr>
              <w:ind w:left="400"/>
              <w:spacing w:after="0"/>
              <w:rPr>
                <w:sz w:val="20"/>
                <w:szCs w:val="20"/>
                <w:color w:val="auto"/>
              </w:rPr>
            </w:pPr>
            <w:r>
              <w:rPr>
                <w:rFonts w:ascii="Arial" w:cs="Arial" w:eastAsia="Arial" w:hAnsi="Arial"/>
                <w:sz w:val="10"/>
                <w:szCs w:val="10"/>
                <w:b w:val="1"/>
                <w:bCs w:val="1"/>
                <w:color w:val="auto"/>
                <w:w w:val="96"/>
              </w:rPr>
              <w:t>2022 vs. 2021</w:t>
            </w:r>
          </w:p>
        </w:tc>
        <w:tc>
          <w:tcPr>
            <w:tcW w:w="70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420" w:type="dxa"/>
            <w:vAlign w:val="bottom"/>
            <w:vMerge w:val="restart"/>
          </w:tcPr>
          <w:p>
            <w:pPr>
              <w:spacing w:after="0"/>
              <w:rPr>
                <w:sz w:val="20"/>
                <w:szCs w:val="20"/>
                <w:color w:val="auto"/>
              </w:rPr>
            </w:pPr>
            <w:r>
              <w:rPr>
                <w:rFonts w:ascii="Arial" w:cs="Arial" w:eastAsia="Arial" w:hAnsi="Arial"/>
                <w:sz w:val="10"/>
                <w:szCs w:val="10"/>
                <w:b w:val="1"/>
                <w:bCs w:val="1"/>
                <w:color w:val="auto"/>
              </w:rPr>
              <w:t>Factors Contributing to Year-Over-Year Change</w:t>
            </w:r>
          </w:p>
        </w:tc>
        <w:tc>
          <w:tcPr>
            <w:tcW w:w="2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jc w:val="right"/>
              <w:ind w:right="52"/>
              <w:spacing w:after="0" w:line="107" w:lineRule="exact"/>
              <w:rPr>
                <w:sz w:val="20"/>
                <w:szCs w:val="20"/>
                <w:color w:val="auto"/>
              </w:rPr>
            </w:pPr>
            <w:r>
              <w:rPr>
                <w:rFonts w:ascii="Arial" w:cs="Arial" w:eastAsia="Arial" w:hAnsi="Arial"/>
                <w:sz w:val="10"/>
                <w:szCs w:val="10"/>
                <w:b w:val="1"/>
                <w:bCs w:val="1"/>
                <w:color w:val="auto"/>
              </w:rPr>
              <w:t>Net</w:t>
            </w:r>
          </w:p>
        </w:tc>
        <w:tc>
          <w:tcPr>
            <w:tcW w:w="740" w:type="dxa"/>
            <w:vAlign w:val="bottom"/>
          </w:tcPr>
          <w:p>
            <w:pPr>
              <w:spacing w:after="0"/>
              <w:rPr>
                <w:sz w:val="9"/>
                <w:szCs w:val="9"/>
                <w:color w:val="auto"/>
              </w:rPr>
            </w:pPr>
          </w:p>
        </w:tc>
        <w:tc>
          <w:tcPr>
            <w:tcW w:w="740" w:type="dxa"/>
            <w:vAlign w:val="bottom"/>
            <w:gridSpan w:val="2"/>
          </w:tcPr>
          <w:p>
            <w:pPr>
              <w:jc w:val="center"/>
              <w:ind w:right="300"/>
              <w:spacing w:after="0" w:line="107" w:lineRule="exact"/>
              <w:rPr>
                <w:sz w:val="20"/>
                <w:szCs w:val="20"/>
                <w:color w:val="auto"/>
              </w:rPr>
            </w:pPr>
            <w:r>
              <w:rPr>
                <w:rFonts w:ascii="Arial" w:cs="Arial" w:eastAsia="Arial" w:hAnsi="Arial"/>
                <w:sz w:val="10"/>
                <w:szCs w:val="10"/>
                <w:b w:val="1"/>
                <w:bCs w:val="1"/>
                <w:color w:val="auto"/>
                <w:w w:val="94"/>
              </w:rPr>
              <w:t>Segment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jc w:val="center"/>
              <w:ind w:right="732"/>
              <w:spacing w:after="0" w:line="107" w:lineRule="exact"/>
              <w:rPr>
                <w:sz w:val="20"/>
                <w:szCs w:val="20"/>
                <w:color w:val="auto"/>
              </w:rPr>
            </w:pPr>
            <w:r>
              <w:rPr>
                <w:rFonts w:ascii="Arial" w:cs="Arial" w:eastAsia="Arial" w:hAnsi="Arial"/>
                <w:sz w:val="10"/>
                <w:szCs w:val="10"/>
                <w:b w:val="1"/>
                <w:bCs w:val="1"/>
                <w:color w:val="auto"/>
                <w:w w:val="86"/>
              </w:rPr>
              <w:t>Net</w:t>
            </w:r>
          </w:p>
        </w:tc>
        <w:tc>
          <w:tcPr>
            <w:tcW w:w="700" w:type="dxa"/>
            <w:vAlign w:val="bottom"/>
          </w:tcPr>
          <w:p>
            <w:pPr>
              <w:jc w:val="right"/>
              <w:ind w:right="212"/>
              <w:spacing w:after="0" w:line="107" w:lineRule="exact"/>
              <w:rPr>
                <w:sz w:val="20"/>
                <w:szCs w:val="20"/>
                <w:color w:val="auto"/>
              </w:rPr>
            </w:pPr>
            <w:r>
              <w:rPr>
                <w:rFonts w:ascii="Arial" w:cs="Arial" w:eastAsia="Arial" w:hAnsi="Arial"/>
                <w:sz w:val="10"/>
                <w:szCs w:val="10"/>
                <w:b w:val="1"/>
                <w:bCs w:val="1"/>
                <w:color w:val="auto"/>
                <w:w w:val="99"/>
              </w:rPr>
              <w:t>Segment</w:t>
            </w:r>
          </w:p>
        </w:tc>
        <w:tc>
          <w:tcPr>
            <w:tcW w:w="0" w:type="dxa"/>
            <w:vAlign w:val="bottom"/>
          </w:tcPr>
          <w:p>
            <w:pPr>
              <w:spacing w:after="0"/>
              <w:rPr>
                <w:sz w:val="1"/>
                <w:szCs w:val="1"/>
                <w:color w:val="auto"/>
              </w:rPr>
            </w:pPr>
          </w:p>
        </w:tc>
      </w:tr>
      <w:tr>
        <w:trPr>
          <w:trHeight w:val="126"/>
        </w:trPr>
        <w:tc>
          <w:tcPr>
            <w:tcW w:w="4420" w:type="dxa"/>
            <w:vAlign w:val="bottom"/>
            <w:tcBorders>
              <w:bottom w:val="single" w:sz="8" w:color="D7282F"/>
            </w:tcBorders>
            <w:vMerge w:val="continue"/>
          </w:tcPr>
          <w:p>
            <w:pPr>
              <w:spacing w:after="0"/>
              <w:rPr>
                <w:sz w:val="10"/>
                <w:szCs w:val="10"/>
                <w:color w:val="auto"/>
              </w:rPr>
            </w:pPr>
          </w:p>
        </w:tc>
        <w:tc>
          <w:tcPr>
            <w:tcW w:w="222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Sales</w:t>
            </w:r>
          </w:p>
        </w:tc>
        <w:tc>
          <w:tcPr>
            <w:tcW w:w="74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gridSpan w:val="2"/>
          </w:tcPr>
          <w:p>
            <w:pPr>
              <w:jc w:val="center"/>
              <w:ind w:right="280"/>
              <w:spacing w:after="0"/>
              <w:rPr>
                <w:sz w:val="20"/>
                <w:szCs w:val="20"/>
                <w:color w:val="auto"/>
              </w:rPr>
            </w:pPr>
            <w:r>
              <w:rPr>
                <w:rFonts w:ascii="Arial" w:cs="Arial" w:eastAsia="Arial" w:hAnsi="Arial"/>
                <w:sz w:val="10"/>
                <w:szCs w:val="10"/>
                <w:b w:val="1"/>
                <w:bCs w:val="1"/>
                <w:color w:val="auto"/>
                <w:w w:val="99"/>
              </w:rPr>
              <w:t>Profit</w:t>
            </w:r>
          </w:p>
        </w:tc>
        <w:tc>
          <w:tcPr>
            <w:tcW w:w="16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1040" w:type="dxa"/>
            <w:vAlign w:val="bottom"/>
            <w:tcBorders>
              <w:bottom w:val="single" w:sz="8" w:color="D7282F"/>
            </w:tcBorders>
          </w:tcPr>
          <w:p>
            <w:pPr>
              <w:jc w:val="center"/>
              <w:ind w:right="732"/>
              <w:spacing w:after="0"/>
              <w:rPr>
                <w:sz w:val="20"/>
                <w:szCs w:val="20"/>
                <w:color w:val="auto"/>
              </w:rPr>
            </w:pPr>
            <w:r>
              <w:rPr>
                <w:rFonts w:ascii="Arial" w:cs="Arial" w:eastAsia="Arial" w:hAnsi="Arial"/>
                <w:sz w:val="10"/>
                <w:szCs w:val="10"/>
                <w:b w:val="1"/>
                <w:bCs w:val="1"/>
                <w:color w:val="auto"/>
                <w:w w:val="99"/>
              </w:rPr>
              <w:t>Sales</w:t>
            </w:r>
          </w:p>
        </w:tc>
        <w:tc>
          <w:tcPr>
            <w:tcW w:w="70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rPr>
              <w:t>Profit</w:t>
            </w:r>
          </w:p>
        </w:tc>
        <w:tc>
          <w:tcPr>
            <w:tcW w:w="0" w:type="dxa"/>
            <w:vAlign w:val="bottom"/>
          </w:tcPr>
          <w:p>
            <w:pPr>
              <w:spacing w:after="0"/>
              <w:rPr>
                <w:sz w:val="1"/>
                <w:szCs w:val="1"/>
                <w:color w:val="auto"/>
              </w:rPr>
            </w:pPr>
          </w:p>
        </w:tc>
      </w:tr>
      <w:tr>
        <w:trPr>
          <w:trHeight w:val="121"/>
        </w:trPr>
        <w:tc>
          <w:tcPr>
            <w:tcW w:w="44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Organic</w:t>
            </w:r>
          </w:p>
        </w:tc>
        <w:tc>
          <w:tcPr>
            <w:tcW w:w="2220" w:type="dxa"/>
            <w:vAlign w:val="bottom"/>
            <w:tcBorders>
              <w:bottom w:val="single" w:sz="8" w:color="61656A"/>
            </w:tcBorders>
          </w:tcPr>
          <w:p>
            <w:pPr>
              <w:spacing w:after="0"/>
              <w:rPr>
                <w:sz w:val="10"/>
                <w:szCs w:val="10"/>
                <w:color w:val="auto"/>
              </w:rPr>
            </w:pPr>
          </w:p>
        </w:tc>
        <w:tc>
          <w:tcPr>
            <w:tcW w:w="300" w:type="dxa"/>
            <w:vAlign w:val="bottom"/>
            <w:tcBorders>
              <w:bottom w:val="single" w:sz="8" w:color="61656A"/>
            </w:tcBorders>
          </w:tcPr>
          <w:p>
            <w:pPr>
              <w:spacing w:after="0"/>
              <w:rPr>
                <w:sz w:val="10"/>
                <w:szCs w:val="10"/>
                <w:color w:val="auto"/>
              </w:rPr>
            </w:pPr>
          </w:p>
        </w:tc>
        <w:tc>
          <w:tcPr>
            <w:tcW w:w="300" w:type="dxa"/>
            <w:vAlign w:val="bottom"/>
            <w:tcBorders>
              <w:bottom w:val="single" w:sz="8" w:color="61656A"/>
            </w:tcBorders>
          </w:tcPr>
          <w:p>
            <w:pPr>
              <w:spacing w:after="0"/>
              <w:rPr>
                <w:sz w:val="10"/>
                <w:szCs w:val="10"/>
                <w:color w:val="auto"/>
              </w:rPr>
            </w:pPr>
          </w:p>
        </w:tc>
        <w:tc>
          <w:tcPr>
            <w:tcW w:w="340" w:type="dxa"/>
            <w:vAlign w:val="bottom"/>
            <w:tcBorders>
              <w:bottom w:val="single" w:sz="8" w:color="61656A"/>
            </w:tcBorders>
          </w:tcPr>
          <w:p>
            <w:pPr>
              <w:spacing w:after="0"/>
              <w:rPr>
                <w:sz w:val="10"/>
                <w:szCs w:val="10"/>
                <w:color w:val="auto"/>
              </w:rPr>
            </w:pPr>
          </w:p>
        </w:tc>
        <w:tc>
          <w:tcPr>
            <w:tcW w:w="740" w:type="dxa"/>
            <w:vAlign w:val="bottom"/>
            <w:tcBorders>
              <w:bottom w:val="single" w:sz="8" w:color="61656A"/>
            </w:tcBorders>
          </w:tcPr>
          <w:p>
            <w:pPr>
              <w:jc w:val="right"/>
              <w:ind w:right="412"/>
              <w:spacing w:after="0"/>
              <w:rPr>
                <w:sz w:val="20"/>
                <w:szCs w:val="20"/>
                <w:color w:val="auto"/>
              </w:rPr>
            </w:pPr>
            <w:r>
              <w:rPr>
                <w:rFonts w:ascii="Arial" w:cs="Arial" w:eastAsia="Arial" w:hAnsi="Arial"/>
                <w:sz w:val="10"/>
                <w:szCs w:val="10"/>
                <w:color w:val="auto"/>
              </w:rPr>
              <w:t>2 %</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5 %</w:t>
            </w:r>
          </w:p>
        </w:tc>
        <w:tc>
          <w:tcPr>
            <w:tcW w:w="60" w:type="dxa"/>
            <w:vAlign w:val="bottom"/>
            <w:tcBorders>
              <w:bottom w:val="single" w:sz="8" w:color="61656A"/>
            </w:tcBorders>
          </w:tcPr>
          <w:p>
            <w:pPr>
              <w:spacing w:after="0"/>
              <w:rPr>
                <w:sz w:val="10"/>
                <w:szCs w:val="10"/>
                <w:color w:val="auto"/>
              </w:rPr>
            </w:pPr>
          </w:p>
        </w:tc>
        <w:tc>
          <w:tcPr>
            <w:tcW w:w="160" w:type="dxa"/>
            <w:vAlign w:val="bottom"/>
            <w:tcBorders>
              <w:bottom w:val="single" w:sz="8" w:color="61656A"/>
            </w:tcBorders>
          </w:tcPr>
          <w:p>
            <w:pPr>
              <w:spacing w:after="0"/>
              <w:rPr>
                <w:sz w:val="10"/>
                <w:szCs w:val="10"/>
                <w:color w:val="auto"/>
              </w:rPr>
            </w:pPr>
          </w:p>
        </w:tc>
        <w:tc>
          <w:tcPr>
            <w:tcW w:w="160" w:type="dxa"/>
            <w:vAlign w:val="bottom"/>
            <w:tcBorders>
              <w:bottom w:val="single" w:sz="8" w:color="61656A"/>
            </w:tcBorders>
          </w:tcPr>
          <w:p>
            <w:pPr>
              <w:spacing w:after="0"/>
              <w:rPr>
                <w:sz w:val="10"/>
                <w:szCs w:val="10"/>
                <w:color w:val="auto"/>
              </w:rPr>
            </w:pPr>
          </w:p>
        </w:tc>
        <w:tc>
          <w:tcPr>
            <w:tcW w:w="180" w:type="dxa"/>
            <w:vAlign w:val="bottom"/>
            <w:tcBorders>
              <w:bottom w:val="single" w:sz="8" w:color="61656A"/>
            </w:tcBorders>
          </w:tcPr>
          <w:p>
            <w:pPr>
              <w:spacing w:after="0"/>
              <w:rPr>
                <w:sz w:val="10"/>
                <w:szCs w:val="10"/>
                <w:color w:val="auto"/>
              </w:rPr>
            </w:pPr>
          </w:p>
        </w:tc>
        <w:tc>
          <w:tcPr>
            <w:tcW w:w="1040" w:type="dxa"/>
            <w:vAlign w:val="bottom"/>
            <w:tcBorders>
              <w:bottom w:val="single" w:sz="8" w:color="61656A"/>
            </w:tcBorders>
          </w:tcPr>
          <w:p>
            <w:pPr>
              <w:jc w:val="right"/>
              <w:ind w:right="412"/>
              <w:spacing w:after="0"/>
              <w:rPr>
                <w:sz w:val="20"/>
                <w:szCs w:val="20"/>
                <w:color w:val="auto"/>
              </w:rPr>
            </w:pPr>
            <w:r>
              <w:rPr>
                <w:rFonts w:ascii="Arial" w:cs="Arial" w:eastAsia="Arial" w:hAnsi="Arial"/>
                <w:sz w:val="10"/>
                <w:szCs w:val="10"/>
                <w:color w:val="auto"/>
              </w:rPr>
              <w:t>14 %</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23 %</w:t>
            </w:r>
          </w:p>
        </w:tc>
        <w:tc>
          <w:tcPr>
            <w:tcW w:w="0" w:type="dxa"/>
            <w:vAlign w:val="bottom"/>
          </w:tcPr>
          <w:p>
            <w:pPr>
              <w:spacing w:after="0"/>
              <w:rPr>
                <w:sz w:val="1"/>
                <w:szCs w:val="1"/>
                <w:color w:val="auto"/>
              </w:rPr>
            </w:pPr>
          </w:p>
        </w:tc>
      </w:tr>
      <w:tr>
        <w:trPr>
          <w:trHeight w:val="124"/>
        </w:trPr>
        <w:tc>
          <w:tcPr>
            <w:tcW w:w="44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Foreign currency translation</w:t>
            </w:r>
          </w:p>
        </w:tc>
        <w:tc>
          <w:tcPr>
            <w:tcW w:w="2220" w:type="dxa"/>
            <w:vAlign w:val="bottom"/>
            <w:tcBorders>
              <w:bottom w:val="single" w:sz="8" w:color="61656A"/>
            </w:tcBorders>
          </w:tcPr>
          <w:p>
            <w:pPr>
              <w:spacing w:after="0"/>
              <w:rPr>
                <w:sz w:val="10"/>
                <w:szCs w:val="10"/>
                <w:color w:val="auto"/>
              </w:rPr>
            </w:pPr>
          </w:p>
        </w:tc>
        <w:tc>
          <w:tcPr>
            <w:tcW w:w="300" w:type="dxa"/>
            <w:vAlign w:val="bottom"/>
            <w:tcBorders>
              <w:bottom w:val="single" w:sz="8" w:color="61656A"/>
            </w:tcBorders>
          </w:tcPr>
          <w:p>
            <w:pPr>
              <w:spacing w:after="0"/>
              <w:rPr>
                <w:sz w:val="10"/>
                <w:szCs w:val="10"/>
                <w:color w:val="auto"/>
              </w:rPr>
            </w:pPr>
          </w:p>
        </w:tc>
        <w:tc>
          <w:tcPr>
            <w:tcW w:w="300" w:type="dxa"/>
            <w:vAlign w:val="bottom"/>
            <w:tcBorders>
              <w:bottom w:val="single" w:sz="8" w:color="61656A"/>
            </w:tcBorders>
          </w:tcPr>
          <w:p>
            <w:pPr>
              <w:spacing w:after="0"/>
              <w:rPr>
                <w:sz w:val="10"/>
                <w:szCs w:val="10"/>
                <w:color w:val="auto"/>
              </w:rPr>
            </w:pPr>
          </w:p>
        </w:tc>
        <w:tc>
          <w:tcPr>
            <w:tcW w:w="340" w:type="dxa"/>
            <w:vAlign w:val="bottom"/>
            <w:tcBorders>
              <w:bottom w:val="single" w:sz="8" w:color="61656A"/>
            </w:tcBorders>
          </w:tcPr>
          <w:p>
            <w:pPr>
              <w:spacing w:after="0"/>
              <w:rPr>
                <w:sz w:val="10"/>
                <w:szCs w:val="10"/>
                <w:color w:val="auto"/>
              </w:rPr>
            </w:pPr>
          </w:p>
        </w:tc>
        <w:tc>
          <w:tcPr>
            <w:tcW w:w="740" w:type="dxa"/>
            <w:vAlign w:val="bottom"/>
            <w:tcBorders>
              <w:bottom w:val="single" w:sz="8" w:color="61656A"/>
            </w:tcBorders>
          </w:tcPr>
          <w:p>
            <w:pPr>
              <w:jc w:val="right"/>
              <w:ind w:right="412"/>
              <w:spacing w:after="0"/>
              <w:rPr>
                <w:sz w:val="20"/>
                <w:szCs w:val="20"/>
                <w:color w:val="auto"/>
              </w:rPr>
            </w:pPr>
            <w:r>
              <w:rPr>
                <w:rFonts w:ascii="Arial" w:cs="Arial" w:eastAsia="Arial" w:hAnsi="Arial"/>
                <w:sz w:val="10"/>
                <w:szCs w:val="10"/>
                <w:color w:val="auto"/>
              </w:rPr>
              <w:t>(1)%</w:t>
            </w:r>
          </w:p>
        </w:tc>
        <w:tc>
          <w:tcPr>
            <w:tcW w:w="740" w:type="dxa"/>
            <w:vAlign w:val="bottom"/>
            <w:tcBorders>
              <w:bottom w:val="single" w:sz="8" w:color="61656A"/>
            </w:tcBorders>
            <w:gridSpan w:val="2"/>
          </w:tcPr>
          <w:p>
            <w:pPr>
              <w:jc w:val="right"/>
              <w:ind w:right="60"/>
              <w:spacing w:after="0"/>
              <w:rPr>
                <w:sz w:val="20"/>
                <w:szCs w:val="20"/>
                <w:color w:val="auto"/>
              </w:rPr>
            </w:pPr>
            <w:r>
              <w:rPr>
                <w:rFonts w:ascii="Arial" w:cs="Arial" w:eastAsia="Arial" w:hAnsi="Arial"/>
                <w:sz w:val="10"/>
                <w:szCs w:val="10"/>
                <w:color w:val="auto"/>
              </w:rPr>
              <w:t>— %</w:t>
            </w:r>
          </w:p>
        </w:tc>
        <w:tc>
          <w:tcPr>
            <w:tcW w:w="160" w:type="dxa"/>
            <w:vAlign w:val="bottom"/>
            <w:tcBorders>
              <w:bottom w:val="single" w:sz="8" w:color="61656A"/>
            </w:tcBorders>
          </w:tcPr>
          <w:p>
            <w:pPr>
              <w:spacing w:after="0"/>
              <w:rPr>
                <w:sz w:val="10"/>
                <w:szCs w:val="10"/>
                <w:color w:val="auto"/>
              </w:rPr>
            </w:pPr>
          </w:p>
        </w:tc>
        <w:tc>
          <w:tcPr>
            <w:tcW w:w="160" w:type="dxa"/>
            <w:vAlign w:val="bottom"/>
            <w:tcBorders>
              <w:bottom w:val="single" w:sz="8" w:color="61656A"/>
            </w:tcBorders>
          </w:tcPr>
          <w:p>
            <w:pPr>
              <w:spacing w:after="0"/>
              <w:rPr>
                <w:sz w:val="10"/>
                <w:szCs w:val="10"/>
                <w:color w:val="auto"/>
              </w:rPr>
            </w:pPr>
          </w:p>
        </w:tc>
        <w:tc>
          <w:tcPr>
            <w:tcW w:w="180" w:type="dxa"/>
            <w:vAlign w:val="bottom"/>
            <w:tcBorders>
              <w:bottom w:val="single" w:sz="8" w:color="61656A"/>
            </w:tcBorders>
          </w:tcPr>
          <w:p>
            <w:pPr>
              <w:spacing w:after="0"/>
              <w:rPr>
                <w:sz w:val="10"/>
                <w:szCs w:val="10"/>
                <w:color w:val="auto"/>
              </w:rPr>
            </w:pPr>
          </w:p>
        </w:tc>
        <w:tc>
          <w:tcPr>
            <w:tcW w:w="1040" w:type="dxa"/>
            <w:vAlign w:val="bottom"/>
            <w:tcBorders>
              <w:bottom w:val="single" w:sz="8" w:color="61656A"/>
            </w:tcBorders>
          </w:tcPr>
          <w:p>
            <w:pPr>
              <w:jc w:val="right"/>
              <w:ind w:right="412"/>
              <w:spacing w:after="0"/>
              <w:rPr>
                <w:sz w:val="20"/>
                <w:szCs w:val="20"/>
                <w:color w:val="auto"/>
              </w:rPr>
            </w:pPr>
            <w:r>
              <w:rPr>
                <w:rFonts w:ascii="Arial" w:cs="Arial" w:eastAsia="Arial" w:hAnsi="Arial"/>
                <w:sz w:val="10"/>
                <w:szCs w:val="10"/>
                <w:color w:val="auto"/>
              </w:rPr>
              <w:t>(6)%</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24"/>
        </w:trPr>
        <w:tc>
          <w:tcPr>
            <w:tcW w:w="442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Acquisitions, divestitures, and other, net</w:t>
            </w:r>
          </w:p>
        </w:tc>
        <w:tc>
          <w:tcPr>
            <w:tcW w:w="222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color w:val="auto"/>
              </w:rPr>
              <w:t>— %</w:t>
            </w:r>
          </w:p>
        </w:tc>
        <w:tc>
          <w:tcPr>
            <w:tcW w:w="740" w:type="dxa"/>
            <w:vAlign w:val="bottom"/>
            <w:tcBorders>
              <w:bottom w:val="single" w:sz="8" w:color="D7282F"/>
            </w:tcBorders>
            <w:gridSpan w:val="2"/>
          </w:tcPr>
          <w:p>
            <w:pPr>
              <w:jc w:val="right"/>
              <w:ind w:right="60"/>
              <w:spacing w:after="0"/>
              <w:rPr>
                <w:sz w:val="20"/>
                <w:szCs w:val="20"/>
                <w:color w:val="auto"/>
              </w:rPr>
            </w:pPr>
            <w:r>
              <w:rPr>
                <w:rFonts w:ascii="Arial" w:cs="Arial" w:eastAsia="Arial" w:hAnsi="Arial"/>
                <w:sz w:val="10"/>
                <w:szCs w:val="10"/>
                <w:color w:val="auto"/>
              </w:rPr>
              <w:t>— %</w:t>
            </w:r>
          </w:p>
        </w:tc>
        <w:tc>
          <w:tcPr>
            <w:tcW w:w="16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104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color w:val="auto"/>
              </w:rPr>
              <w:t>— %</w:t>
            </w: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6"/>
        </w:trPr>
        <w:tc>
          <w:tcPr>
            <w:tcW w:w="442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 change</w:t>
            </w:r>
          </w:p>
        </w:tc>
        <w:tc>
          <w:tcPr>
            <w:tcW w:w="222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b w:val="1"/>
                <w:bCs w:val="1"/>
                <w:color w:val="auto"/>
              </w:rPr>
              <w:t>1 %</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5 %</w:t>
            </w:r>
          </w:p>
        </w:tc>
        <w:tc>
          <w:tcPr>
            <w:tcW w:w="6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104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b w:val="1"/>
                <w:bCs w:val="1"/>
                <w:color w:val="auto"/>
              </w:rPr>
              <w:t>8 %</w:t>
            </w: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16 %</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2023 compared with 2022</w:t>
      </w:r>
    </w:p>
    <w:p>
      <w:pPr>
        <w:spacing w:after="0" w:line="19" w:lineRule="exact"/>
        <w:rPr>
          <w:sz w:val="20"/>
          <w:szCs w:val="20"/>
          <w:color w:val="auto"/>
        </w:rPr>
      </w:pPr>
    </w:p>
    <w:p>
      <w:pPr>
        <w:jc w:val="both"/>
        <w:ind w:left="8"/>
        <w:spacing w:after="0" w:line="249" w:lineRule="auto"/>
        <w:rPr>
          <w:sz w:val="20"/>
          <w:szCs w:val="20"/>
          <w:color w:val="auto"/>
        </w:rPr>
      </w:pPr>
      <w:r>
        <w:rPr>
          <w:rFonts w:ascii="Arial" w:cs="Arial" w:eastAsia="Arial" w:hAnsi="Arial"/>
          <w:sz w:val="11"/>
          <w:szCs w:val="11"/>
          <w:color w:val="auto"/>
        </w:rPr>
        <w:t>Sales increased $31 million due to higher organic sales growth of $145 million in Building Solutions driven by increased pricing in building projects and services, partially offset by the unfavorable impact of foreign currency translation of $88 million and lower organic sales of $27 million in Products driven by lower sales volumes.</w:t>
      </w:r>
    </w:p>
    <w:p>
      <w:pPr>
        <w:spacing w:after="0" w:line="52" w:lineRule="exact"/>
        <w:rPr>
          <w:sz w:val="20"/>
          <w:szCs w:val="20"/>
          <w:color w:val="auto"/>
        </w:rPr>
      </w:pPr>
    </w:p>
    <w:p>
      <w:pPr>
        <w:ind w:left="8"/>
        <w:spacing w:after="0"/>
        <w:rPr>
          <w:sz w:val="20"/>
          <w:szCs w:val="20"/>
          <w:color w:val="auto"/>
        </w:rPr>
      </w:pPr>
      <w:r>
        <w:rPr>
          <w:rFonts w:ascii="Arial" w:cs="Arial" w:eastAsia="Arial" w:hAnsi="Arial"/>
          <w:sz w:val="11"/>
          <w:szCs w:val="11"/>
          <w:color w:val="auto"/>
        </w:rPr>
        <w:t>Segment profit increased $66 million and segment margin percentage increased 100 basis points to 25.0% compared to 24.0% for the same period of 2022.</w:t>
      </w:r>
    </w:p>
    <w:p>
      <w:pPr>
        <w:spacing w:after="0" w:line="305" w:lineRule="exact"/>
        <w:rPr>
          <w:sz w:val="20"/>
          <w:szCs w:val="20"/>
          <w:color w:val="auto"/>
        </w:rPr>
      </w:pPr>
    </w:p>
    <w:p>
      <w:pPr>
        <w:ind w:left="268" w:hanging="268"/>
        <w:spacing w:after="0"/>
        <w:tabs>
          <w:tab w:leader="none" w:pos="268" w:val="left"/>
        </w:tabs>
        <w:numPr>
          <w:ilvl w:val="0"/>
          <w:numId w:val="59"/>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28" w:name="page29"/>
    <w:bookmarkEnd w:id="28"/>
    <w:p>
      <w:pPr>
        <w:ind w:left="8"/>
        <w:spacing w:after="0"/>
        <w:tabs>
          <w:tab w:leader="none" w:pos="984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REVIEW OF BUSINESS SEGMENTS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
        <w:spacing w:after="0"/>
        <w:rPr>
          <w:sz w:val="20"/>
          <w:szCs w:val="20"/>
          <w:color w:val="auto"/>
        </w:rPr>
      </w:pPr>
      <w:r>
        <w:rPr>
          <w:rFonts w:ascii="Arial" w:cs="Arial" w:eastAsia="Arial" w:hAnsi="Arial"/>
          <w:sz w:val="19"/>
          <w:szCs w:val="19"/>
          <w:color w:val="D7282F"/>
        </w:rPr>
        <w:t>PERFORMANCE MATERIALS AND TECHNOLOGIES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50800</wp:posOffset>
            </wp:positionV>
            <wp:extent cx="2000250" cy="17145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00025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gridSpan w:val="2"/>
          </w:tcPr>
          <w:p>
            <w:pPr>
              <w:jc w:val="center"/>
              <w:ind w:left="252"/>
              <w:spacing w:after="0"/>
              <w:rPr>
                <w:sz w:val="20"/>
                <w:szCs w:val="20"/>
                <w:color w:val="auto"/>
              </w:rPr>
            </w:pPr>
            <w:r>
              <w:rPr>
                <w:rFonts w:ascii="Arial" w:cs="Arial" w:eastAsia="Arial" w:hAnsi="Arial"/>
                <w:sz w:val="10"/>
                <w:szCs w:val="10"/>
                <w:b w:val="1"/>
                <w:bCs w:val="1"/>
                <w:color w:val="auto"/>
                <w:w w:val="98"/>
              </w:rPr>
              <w:t>Change</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jc w:val="center"/>
              <w:ind w:right="112"/>
              <w:spacing w:after="0"/>
              <w:rPr>
                <w:sz w:val="20"/>
                <w:szCs w:val="20"/>
                <w:color w:val="auto"/>
              </w:rPr>
            </w:pPr>
            <w:r>
              <w:rPr>
                <w:rFonts w:ascii="Arial" w:cs="Arial" w:eastAsia="Arial" w:hAnsi="Arial"/>
                <w:sz w:val="10"/>
                <w:szCs w:val="10"/>
                <w:b w:val="1"/>
                <w:bCs w:val="1"/>
                <w:color w:val="auto"/>
                <w:w w:val="92"/>
              </w:rPr>
              <w:t>Change</w:t>
            </w:r>
          </w:p>
        </w:tc>
        <w:tc>
          <w:tcPr>
            <w:tcW w:w="0" w:type="dxa"/>
            <w:vAlign w:val="bottom"/>
          </w:tcPr>
          <w:p>
            <w:pPr>
              <w:spacing w:after="0"/>
              <w:rPr>
                <w:sz w:val="1"/>
                <w:szCs w:val="1"/>
                <w:color w:val="auto"/>
              </w:rPr>
            </w:pPr>
          </w:p>
        </w:tc>
      </w:tr>
      <w:tr>
        <w:trPr>
          <w:trHeight w:val="97"/>
        </w:trPr>
        <w:tc>
          <w:tcPr>
            <w:tcW w:w="44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jc w:val="center"/>
              <w:ind w:left="332"/>
              <w:spacing w:after="0" w:line="97" w:lineRule="exact"/>
              <w:rPr>
                <w:sz w:val="20"/>
                <w:szCs w:val="20"/>
                <w:color w:val="auto"/>
              </w:rPr>
            </w:pPr>
            <w:r>
              <w:rPr>
                <w:rFonts w:ascii="Arial" w:cs="Arial" w:eastAsia="Arial" w:hAnsi="Arial"/>
                <w:sz w:val="10"/>
                <w:szCs w:val="10"/>
                <w:b w:val="1"/>
                <w:bCs w:val="1"/>
                <w:color w:val="auto"/>
                <w:w w:val="98"/>
              </w:rPr>
              <w:t>2023</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jc w:val="center"/>
              <w:ind w:right="112"/>
              <w:spacing w:after="0" w:line="97" w:lineRule="exact"/>
              <w:rPr>
                <w:sz w:val="20"/>
                <w:szCs w:val="20"/>
                <w:color w:val="auto"/>
              </w:rPr>
            </w:pPr>
            <w:r>
              <w:rPr>
                <w:rFonts w:ascii="Arial" w:cs="Arial" w:eastAsia="Arial" w:hAnsi="Arial"/>
                <w:sz w:val="10"/>
                <w:szCs w:val="10"/>
                <w:b w:val="1"/>
                <w:bCs w:val="1"/>
                <w:color w:val="auto"/>
                <w:w w:val="98"/>
              </w:rPr>
              <w:t>2022</w:t>
            </w:r>
          </w:p>
        </w:tc>
        <w:tc>
          <w:tcPr>
            <w:tcW w:w="0" w:type="dxa"/>
            <w:vAlign w:val="bottom"/>
          </w:tcPr>
          <w:p>
            <w:pPr>
              <w:spacing w:after="0"/>
              <w:rPr>
                <w:sz w:val="1"/>
                <w:szCs w:val="1"/>
                <w:color w:val="auto"/>
              </w:rPr>
            </w:pPr>
          </w:p>
        </w:tc>
      </w:tr>
      <w:tr>
        <w:trPr>
          <w:trHeight w:val="92"/>
        </w:trPr>
        <w:tc>
          <w:tcPr>
            <w:tcW w:w="44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60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2023</w:t>
            </w:r>
          </w:p>
        </w:tc>
        <w:tc>
          <w:tcPr>
            <w:tcW w:w="360" w:type="dxa"/>
            <w:vAlign w:val="bottom"/>
          </w:tcPr>
          <w:p>
            <w:pPr>
              <w:spacing w:after="0"/>
              <w:rPr>
                <w:sz w:val="8"/>
                <w:szCs w:val="8"/>
                <w:color w:val="auto"/>
              </w:rPr>
            </w:pPr>
          </w:p>
        </w:tc>
        <w:tc>
          <w:tcPr>
            <w:tcW w:w="720" w:type="dxa"/>
            <w:vAlign w:val="bottom"/>
            <w:vMerge w:val="restart"/>
          </w:tcPr>
          <w:p>
            <w:pPr>
              <w:jc w:val="right"/>
              <w:ind w:right="332"/>
              <w:spacing w:after="0"/>
              <w:rPr>
                <w:sz w:val="20"/>
                <w:szCs w:val="20"/>
                <w:color w:val="auto"/>
              </w:rPr>
            </w:pPr>
            <w:r>
              <w:rPr>
                <w:rFonts w:ascii="Arial" w:cs="Arial" w:eastAsia="Arial" w:hAnsi="Arial"/>
                <w:sz w:val="10"/>
                <w:szCs w:val="10"/>
                <w:b w:val="1"/>
                <w:bCs w:val="1"/>
                <w:color w:val="auto"/>
              </w:rPr>
              <w:t>2022</w:t>
            </w:r>
          </w:p>
        </w:tc>
        <w:tc>
          <w:tcPr>
            <w:tcW w:w="740" w:type="dxa"/>
            <w:vAlign w:val="bottom"/>
            <w:gridSpan w:val="2"/>
          </w:tcPr>
          <w:p>
            <w:pPr>
              <w:jc w:val="center"/>
              <w:ind w:left="272"/>
              <w:spacing w:after="0" w:line="92" w:lineRule="exact"/>
              <w:rPr>
                <w:sz w:val="20"/>
                <w:szCs w:val="20"/>
                <w:color w:val="auto"/>
              </w:rPr>
            </w:pPr>
            <w:r>
              <w:rPr>
                <w:rFonts w:ascii="Arial" w:cs="Arial" w:eastAsia="Arial" w:hAnsi="Arial"/>
                <w:sz w:val="10"/>
                <w:szCs w:val="10"/>
                <w:b w:val="1"/>
                <w:bCs w:val="1"/>
                <w:color w:val="auto"/>
              </w:rPr>
              <w:t>vs.</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vMerge w:val="restart"/>
          </w:tcPr>
          <w:p>
            <w:pPr>
              <w:jc w:val="right"/>
              <w:ind w:right="592"/>
              <w:spacing w:after="0"/>
              <w:rPr>
                <w:sz w:val="20"/>
                <w:szCs w:val="20"/>
                <w:color w:val="auto"/>
              </w:rPr>
            </w:pPr>
            <w:r>
              <w:rPr>
                <w:rFonts w:ascii="Arial" w:cs="Arial" w:eastAsia="Arial" w:hAnsi="Arial"/>
                <w:sz w:val="10"/>
                <w:szCs w:val="10"/>
                <w:b w:val="1"/>
                <w:bCs w:val="1"/>
                <w:color w:val="auto"/>
              </w:rPr>
              <w:t>2021</w:t>
            </w:r>
          </w:p>
        </w:tc>
        <w:tc>
          <w:tcPr>
            <w:tcW w:w="700" w:type="dxa"/>
            <w:vAlign w:val="bottom"/>
          </w:tcPr>
          <w:p>
            <w:pPr>
              <w:jc w:val="center"/>
              <w:ind w:right="112"/>
              <w:spacing w:after="0" w:line="92" w:lineRule="exact"/>
              <w:rPr>
                <w:sz w:val="20"/>
                <w:szCs w:val="20"/>
                <w:color w:val="auto"/>
              </w:rPr>
            </w:pPr>
            <w:r>
              <w:rPr>
                <w:rFonts w:ascii="Arial" w:cs="Arial" w:eastAsia="Arial" w:hAnsi="Arial"/>
                <w:sz w:val="10"/>
                <w:szCs w:val="10"/>
                <w:b w:val="1"/>
                <w:bCs w:val="1"/>
                <w:color w:val="auto"/>
              </w:rPr>
              <w:t>vs.</w:t>
            </w:r>
          </w:p>
        </w:tc>
        <w:tc>
          <w:tcPr>
            <w:tcW w:w="0" w:type="dxa"/>
            <w:vAlign w:val="bottom"/>
          </w:tcPr>
          <w:p>
            <w:pPr>
              <w:spacing w:after="0"/>
              <w:rPr>
                <w:sz w:val="1"/>
                <w:szCs w:val="1"/>
                <w:color w:val="auto"/>
              </w:rPr>
            </w:pPr>
          </w:p>
        </w:tc>
      </w:tr>
      <w:tr>
        <w:trPr>
          <w:trHeight w:val="132"/>
        </w:trPr>
        <w:tc>
          <w:tcPr>
            <w:tcW w:w="4420" w:type="dxa"/>
            <w:vAlign w:val="bottom"/>
            <w:tcBorders>
              <w:bottom w:val="single" w:sz="8" w:color="D7282F"/>
            </w:tcBorders>
          </w:tcPr>
          <w:p>
            <w:pPr>
              <w:spacing w:after="0"/>
              <w:rPr>
                <w:sz w:val="11"/>
                <w:szCs w:val="11"/>
                <w:color w:val="auto"/>
              </w:rPr>
            </w:pPr>
          </w:p>
        </w:tc>
        <w:tc>
          <w:tcPr>
            <w:tcW w:w="2220" w:type="dxa"/>
            <w:vAlign w:val="bottom"/>
            <w:tcBorders>
              <w:bottom w:val="single" w:sz="8" w:color="D7282F"/>
            </w:tcBorders>
          </w:tcPr>
          <w:p>
            <w:pPr>
              <w:spacing w:after="0"/>
              <w:rPr>
                <w:sz w:val="11"/>
                <w:szCs w:val="11"/>
                <w:color w:val="auto"/>
              </w:rPr>
            </w:pPr>
          </w:p>
        </w:tc>
        <w:tc>
          <w:tcPr>
            <w:tcW w:w="600" w:type="dxa"/>
            <w:vAlign w:val="bottom"/>
            <w:tcBorders>
              <w:bottom w:val="single" w:sz="8" w:color="D7282F"/>
            </w:tcBorders>
            <w:gridSpan w:val="2"/>
            <w:vMerge w:val="continue"/>
          </w:tcPr>
          <w:p>
            <w:pPr>
              <w:spacing w:after="0"/>
              <w:rPr>
                <w:sz w:val="11"/>
                <w:szCs w:val="11"/>
                <w:color w:val="auto"/>
              </w:rPr>
            </w:pPr>
          </w:p>
        </w:tc>
        <w:tc>
          <w:tcPr>
            <w:tcW w:w="360" w:type="dxa"/>
            <w:vAlign w:val="bottom"/>
            <w:tcBorders>
              <w:bottom w:val="single" w:sz="8" w:color="D7282F"/>
            </w:tcBorders>
          </w:tcPr>
          <w:p>
            <w:pPr>
              <w:spacing w:after="0"/>
              <w:rPr>
                <w:sz w:val="11"/>
                <w:szCs w:val="11"/>
                <w:color w:val="auto"/>
              </w:rPr>
            </w:pPr>
          </w:p>
        </w:tc>
        <w:tc>
          <w:tcPr>
            <w:tcW w:w="720" w:type="dxa"/>
            <w:vAlign w:val="bottom"/>
            <w:tcBorders>
              <w:bottom w:val="single" w:sz="8" w:color="D7282F"/>
            </w:tcBorders>
            <w:vMerge w:val="continue"/>
          </w:tcPr>
          <w:p>
            <w:pPr>
              <w:spacing w:after="0"/>
              <w:rPr>
                <w:sz w:val="11"/>
                <w:szCs w:val="11"/>
                <w:color w:val="auto"/>
              </w:rPr>
            </w:pPr>
          </w:p>
        </w:tc>
        <w:tc>
          <w:tcPr>
            <w:tcW w:w="680" w:type="dxa"/>
            <w:vAlign w:val="bottom"/>
            <w:tcBorders>
              <w:bottom w:val="single" w:sz="8" w:color="D7282F"/>
            </w:tcBorders>
          </w:tcPr>
          <w:p>
            <w:pPr>
              <w:jc w:val="center"/>
              <w:ind w:left="332"/>
              <w:spacing w:after="0"/>
              <w:rPr>
                <w:sz w:val="20"/>
                <w:szCs w:val="20"/>
                <w:color w:val="auto"/>
              </w:rPr>
            </w:pPr>
            <w:r>
              <w:rPr>
                <w:rFonts w:ascii="Arial" w:cs="Arial" w:eastAsia="Arial" w:hAnsi="Arial"/>
                <w:sz w:val="10"/>
                <w:szCs w:val="10"/>
                <w:b w:val="1"/>
                <w:bCs w:val="1"/>
                <w:color w:val="auto"/>
                <w:w w:val="98"/>
              </w:rPr>
              <w:t>2022</w:t>
            </w:r>
          </w:p>
        </w:tc>
        <w:tc>
          <w:tcPr>
            <w:tcW w:w="60" w:type="dxa"/>
            <w:vAlign w:val="bottom"/>
            <w:tcBorders>
              <w:bottom w:val="single" w:sz="8" w:color="D7282F"/>
            </w:tcBorders>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180" w:type="dxa"/>
            <w:vAlign w:val="bottom"/>
            <w:tcBorders>
              <w:bottom w:val="single" w:sz="8" w:color="D7282F"/>
            </w:tcBorders>
          </w:tcPr>
          <w:p>
            <w:pPr>
              <w:spacing w:after="0"/>
              <w:rPr>
                <w:sz w:val="11"/>
                <w:szCs w:val="11"/>
                <w:color w:val="auto"/>
              </w:rPr>
            </w:pPr>
          </w:p>
        </w:tc>
        <w:tc>
          <w:tcPr>
            <w:tcW w:w="1040" w:type="dxa"/>
            <w:vAlign w:val="bottom"/>
            <w:tcBorders>
              <w:bottom w:val="single" w:sz="8" w:color="D7282F"/>
            </w:tcBorders>
            <w:vMerge w:val="continue"/>
          </w:tcPr>
          <w:p>
            <w:pPr>
              <w:spacing w:after="0"/>
              <w:rPr>
                <w:sz w:val="11"/>
                <w:szCs w:val="11"/>
                <w:color w:val="auto"/>
              </w:rPr>
            </w:pPr>
          </w:p>
        </w:tc>
        <w:tc>
          <w:tcPr>
            <w:tcW w:w="700" w:type="dxa"/>
            <w:vAlign w:val="bottom"/>
            <w:tcBorders>
              <w:bottom w:val="single" w:sz="8" w:color="D7282F"/>
            </w:tcBorders>
          </w:tcPr>
          <w:p>
            <w:pPr>
              <w:jc w:val="center"/>
              <w:ind w:right="112"/>
              <w:spacing w:after="0"/>
              <w:rPr>
                <w:sz w:val="20"/>
                <w:szCs w:val="20"/>
                <w:color w:val="auto"/>
              </w:rPr>
            </w:pPr>
            <w:r>
              <w:rPr>
                <w:rFonts w:ascii="Arial" w:cs="Arial" w:eastAsia="Arial" w:hAnsi="Arial"/>
                <w:sz w:val="10"/>
                <w:szCs w:val="10"/>
                <w:b w:val="1"/>
                <w:bCs w:val="1"/>
                <w:color w:val="auto"/>
                <w:w w:val="98"/>
              </w:rPr>
              <w:t>2021</w:t>
            </w:r>
          </w:p>
        </w:tc>
        <w:tc>
          <w:tcPr>
            <w:tcW w:w="0" w:type="dxa"/>
            <w:vAlign w:val="bottom"/>
          </w:tcPr>
          <w:p>
            <w:pPr>
              <w:spacing w:after="0"/>
              <w:rPr>
                <w:sz w:val="1"/>
                <w:szCs w:val="1"/>
                <w:color w:val="auto"/>
              </w:rPr>
            </w:pPr>
          </w:p>
        </w:tc>
      </w:tr>
      <w:tr>
        <w:trPr>
          <w:trHeight w:val="122"/>
        </w:trPr>
        <w:tc>
          <w:tcPr>
            <w:tcW w:w="44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Net sales</w:t>
            </w:r>
          </w:p>
        </w:tc>
        <w:tc>
          <w:tcPr>
            <w:tcW w:w="222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888B8D"/>
            </w:tcBorders>
            <w:gridSpan w:val="2"/>
          </w:tcPr>
          <w:p>
            <w:pPr>
              <w:jc w:val="right"/>
              <w:ind w:right="40"/>
              <w:spacing w:after="0"/>
              <w:rPr>
                <w:sz w:val="20"/>
                <w:szCs w:val="20"/>
                <w:color w:val="auto"/>
              </w:rPr>
            </w:pPr>
            <w:r>
              <w:rPr>
                <w:rFonts w:ascii="Arial" w:cs="Arial" w:eastAsia="Arial" w:hAnsi="Arial"/>
                <w:sz w:val="10"/>
                <w:szCs w:val="10"/>
                <w:color w:val="auto"/>
              </w:rPr>
              <w:t>11,506</w:t>
            </w:r>
          </w:p>
        </w:tc>
        <w:tc>
          <w:tcPr>
            <w:tcW w:w="36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10,727</w:t>
            </w:r>
          </w:p>
        </w:tc>
        <w:tc>
          <w:tcPr>
            <w:tcW w:w="680" w:type="dxa"/>
            <w:vAlign w:val="bottom"/>
            <w:tcBorders>
              <w:bottom w:val="single" w:sz="8" w:color="888B8D"/>
            </w:tcBorders>
          </w:tcPr>
          <w:p>
            <w:pPr>
              <w:spacing w:after="0"/>
              <w:rPr>
                <w:sz w:val="10"/>
                <w:szCs w:val="10"/>
                <w:color w:val="auto"/>
              </w:rPr>
            </w:pPr>
          </w:p>
        </w:tc>
        <w:tc>
          <w:tcPr>
            <w:tcW w:w="60" w:type="dxa"/>
            <w:vAlign w:val="bottom"/>
            <w:tcBorders>
              <w:bottom w:val="single" w:sz="8" w:color="888B8D"/>
            </w:tcBorders>
          </w:tcPr>
          <w:p>
            <w:pPr>
              <w:spacing w:after="0"/>
              <w:rPr>
                <w:sz w:val="10"/>
                <w:szCs w:val="10"/>
                <w:color w:val="auto"/>
              </w:rPr>
            </w:pPr>
          </w:p>
        </w:tc>
        <w:tc>
          <w:tcPr>
            <w:tcW w:w="320" w:type="dxa"/>
            <w:vAlign w:val="bottom"/>
            <w:tcBorders>
              <w:bottom w:val="single" w:sz="8" w:color="888B8D"/>
            </w:tcBorders>
            <w:gridSpan w:val="2"/>
          </w:tcPr>
          <w:p>
            <w:pPr>
              <w:jc w:val="right"/>
              <w:ind w:right="120"/>
              <w:spacing w:after="0"/>
              <w:rPr>
                <w:sz w:val="20"/>
                <w:szCs w:val="20"/>
                <w:color w:val="auto"/>
              </w:rPr>
            </w:pPr>
            <w:r>
              <w:rPr>
                <w:rFonts w:ascii="Arial" w:cs="Arial" w:eastAsia="Arial" w:hAnsi="Arial"/>
                <w:sz w:val="10"/>
                <w:szCs w:val="10"/>
                <w:color w:val="auto"/>
              </w:rPr>
              <w:t>7 %</w:t>
            </w:r>
          </w:p>
        </w:tc>
        <w:tc>
          <w:tcPr>
            <w:tcW w:w="1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888B8D"/>
            </w:tcBorders>
          </w:tcPr>
          <w:p>
            <w:pPr>
              <w:jc w:val="right"/>
              <w:ind w:right="372"/>
              <w:spacing w:after="0"/>
              <w:rPr>
                <w:sz w:val="20"/>
                <w:szCs w:val="20"/>
                <w:color w:val="auto"/>
              </w:rPr>
            </w:pPr>
            <w:r>
              <w:rPr>
                <w:rFonts w:ascii="Arial" w:cs="Arial" w:eastAsia="Arial" w:hAnsi="Arial"/>
                <w:sz w:val="10"/>
                <w:szCs w:val="10"/>
                <w:color w:val="auto"/>
              </w:rPr>
              <w:t>10,013</w:t>
            </w:r>
          </w:p>
        </w:tc>
        <w:tc>
          <w:tcPr>
            <w:tcW w:w="7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7 %</w:t>
            </w:r>
          </w:p>
        </w:tc>
        <w:tc>
          <w:tcPr>
            <w:tcW w:w="0" w:type="dxa"/>
            <w:vAlign w:val="bottom"/>
          </w:tcPr>
          <w:p>
            <w:pPr>
              <w:spacing w:after="0"/>
              <w:rPr>
                <w:sz w:val="1"/>
                <w:szCs w:val="1"/>
                <w:color w:val="auto"/>
              </w:rPr>
            </w:pPr>
          </w:p>
        </w:tc>
      </w:tr>
      <w:tr>
        <w:trPr>
          <w:trHeight w:val="124"/>
        </w:trPr>
        <w:tc>
          <w:tcPr>
            <w:tcW w:w="44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Cost of products and services sold</w:t>
            </w:r>
          </w:p>
        </w:tc>
        <w:tc>
          <w:tcPr>
            <w:tcW w:w="222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gridSpan w:val="2"/>
          </w:tcPr>
          <w:p>
            <w:pPr>
              <w:jc w:val="right"/>
              <w:ind w:right="40"/>
              <w:spacing w:after="0"/>
              <w:rPr>
                <w:sz w:val="20"/>
                <w:szCs w:val="20"/>
                <w:color w:val="auto"/>
              </w:rPr>
            </w:pPr>
            <w:r>
              <w:rPr>
                <w:rFonts w:ascii="Arial" w:cs="Arial" w:eastAsia="Arial" w:hAnsi="Arial"/>
                <w:sz w:val="10"/>
                <w:szCs w:val="10"/>
                <w:color w:val="auto"/>
              </w:rPr>
              <w:t>7,166</w:t>
            </w:r>
          </w:p>
        </w:tc>
        <w:tc>
          <w:tcPr>
            <w:tcW w:w="360" w:type="dxa"/>
            <w:vAlign w:val="bottom"/>
            <w:tcBorders>
              <w:bottom w:val="single" w:sz="8" w:color="888B8D"/>
            </w:tcBorders>
          </w:tcPr>
          <w:p>
            <w:pPr>
              <w:spacing w:after="0"/>
              <w:rPr>
                <w:sz w:val="10"/>
                <w:szCs w:val="10"/>
                <w:color w:val="auto"/>
              </w:rPr>
            </w:pPr>
          </w:p>
        </w:tc>
        <w:tc>
          <w:tcPr>
            <w:tcW w:w="72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6,670</w:t>
            </w:r>
          </w:p>
        </w:tc>
        <w:tc>
          <w:tcPr>
            <w:tcW w:w="680" w:type="dxa"/>
            <w:vAlign w:val="bottom"/>
            <w:tcBorders>
              <w:bottom w:val="single" w:sz="8" w:color="888B8D"/>
            </w:tcBorders>
          </w:tcPr>
          <w:p>
            <w:pPr>
              <w:spacing w:after="0"/>
              <w:rPr>
                <w:sz w:val="10"/>
                <w:szCs w:val="10"/>
                <w:color w:val="auto"/>
              </w:rPr>
            </w:pPr>
          </w:p>
        </w:tc>
        <w:tc>
          <w:tcPr>
            <w:tcW w:w="60" w:type="dxa"/>
            <w:vAlign w:val="bottom"/>
            <w:tcBorders>
              <w:bottom w:val="single" w:sz="8" w:color="888B8D"/>
            </w:tcBorders>
          </w:tcPr>
          <w:p>
            <w:pPr>
              <w:spacing w:after="0"/>
              <w:rPr>
                <w:sz w:val="10"/>
                <w:szCs w:val="10"/>
                <w:color w:val="auto"/>
              </w:rPr>
            </w:pPr>
          </w:p>
        </w:tc>
        <w:tc>
          <w:tcPr>
            <w:tcW w:w="160" w:type="dxa"/>
            <w:vAlign w:val="bottom"/>
            <w:tcBorders>
              <w:bottom w:val="single" w:sz="8" w:color="888B8D"/>
            </w:tcBorders>
          </w:tcPr>
          <w:p>
            <w:pPr>
              <w:spacing w:after="0"/>
              <w:rPr>
                <w:sz w:val="10"/>
                <w:szCs w:val="10"/>
                <w:color w:val="auto"/>
              </w:rPr>
            </w:pPr>
          </w:p>
        </w:tc>
        <w:tc>
          <w:tcPr>
            <w:tcW w:w="16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jc w:val="right"/>
              <w:ind w:right="372"/>
              <w:spacing w:after="0"/>
              <w:rPr>
                <w:sz w:val="20"/>
                <w:szCs w:val="20"/>
                <w:color w:val="auto"/>
              </w:rPr>
            </w:pPr>
            <w:r>
              <w:rPr>
                <w:rFonts w:ascii="Arial" w:cs="Arial" w:eastAsia="Arial" w:hAnsi="Arial"/>
                <w:sz w:val="10"/>
                <w:szCs w:val="10"/>
                <w:color w:val="auto"/>
              </w:rPr>
              <w:t>6,331</w:t>
            </w:r>
          </w:p>
        </w:tc>
        <w:tc>
          <w:tcPr>
            <w:tcW w:w="70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42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Selling, general and administrative and other expenses</w:t>
            </w:r>
          </w:p>
        </w:tc>
        <w:tc>
          <w:tcPr>
            <w:tcW w:w="222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gridSpan w:val="2"/>
          </w:tcPr>
          <w:p>
            <w:pPr>
              <w:jc w:val="right"/>
              <w:ind w:right="40"/>
              <w:spacing w:after="0"/>
              <w:rPr>
                <w:sz w:val="20"/>
                <w:szCs w:val="20"/>
                <w:color w:val="auto"/>
              </w:rPr>
            </w:pPr>
            <w:r>
              <w:rPr>
                <w:rFonts w:ascii="Arial" w:cs="Arial" w:eastAsia="Arial" w:hAnsi="Arial"/>
                <w:sz w:val="10"/>
                <w:szCs w:val="10"/>
                <w:color w:val="auto"/>
              </w:rPr>
              <w:t>1,791</w:t>
            </w:r>
          </w:p>
        </w:tc>
        <w:tc>
          <w:tcPr>
            <w:tcW w:w="360" w:type="dxa"/>
            <w:vAlign w:val="bottom"/>
            <w:tcBorders>
              <w:bottom w:val="single" w:sz="8" w:color="D7282F"/>
            </w:tcBorders>
          </w:tcPr>
          <w:p>
            <w:pPr>
              <w:spacing w:after="0"/>
              <w:rPr>
                <w:sz w:val="10"/>
                <w:szCs w:val="10"/>
                <w:color w:val="auto"/>
              </w:rPr>
            </w:pPr>
          </w:p>
        </w:tc>
        <w:tc>
          <w:tcPr>
            <w:tcW w:w="72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1,703</w:t>
            </w:r>
          </w:p>
        </w:tc>
        <w:tc>
          <w:tcPr>
            <w:tcW w:w="680" w:type="dxa"/>
            <w:vAlign w:val="bottom"/>
            <w:tcBorders>
              <w:bottom w:val="single" w:sz="8" w:color="D7282F"/>
            </w:tcBorders>
          </w:tcPr>
          <w:p>
            <w:pPr>
              <w:spacing w:after="0"/>
              <w:rPr>
                <w:sz w:val="10"/>
                <w:szCs w:val="10"/>
                <w:color w:val="auto"/>
              </w:rPr>
            </w:pPr>
          </w:p>
        </w:tc>
        <w:tc>
          <w:tcPr>
            <w:tcW w:w="6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1040" w:type="dxa"/>
            <w:vAlign w:val="bottom"/>
            <w:tcBorders>
              <w:bottom w:val="single" w:sz="8" w:color="D7282F"/>
            </w:tcBorders>
          </w:tcPr>
          <w:p>
            <w:pPr>
              <w:jc w:val="right"/>
              <w:ind w:right="372"/>
              <w:spacing w:after="0"/>
              <w:rPr>
                <w:sz w:val="20"/>
                <w:szCs w:val="20"/>
                <w:color w:val="auto"/>
              </w:rPr>
            </w:pPr>
            <w:r>
              <w:rPr>
                <w:rFonts w:ascii="Arial" w:cs="Arial" w:eastAsia="Arial" w:hAnsi="Arial"/>
                <w:sz w:val="10"/>
                <w:szCs w:val="10"/>
                <w:color w:val="auto"/>
              </w:rPr>
              <w:t>1,562</w:t>
            </w:r>
          </w:p>
        </w:tc>
        <w:tc>
          <w:tcPr>
            <w:tcW w:w="700" w:type="dxa"/>
            <w:vAlign w:val="bottom"/>
            <w:tcBorders>
              <w:bottom w:val="single" w:sz="8" w:color="D7282F"/>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42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Segment profit</w:t>
            </w:r>
          </w:p>
        </w:tc>
        <w:tc>
          <w:tcPr>
            <w:tcW w:w="222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gridSpan w:val="2"/>
          </w:tcPr>
          <w:p>
            <w:pPr>
              <w:jc w:val="right"/>
              <w:ind w:right="40"/>
              <w:spacing w:after="0"/>
              <w:rPr>
                <w:sz w:val="20"/>
                <w:szCs w:val="20"/>
                <w:color w:val="auto"/>
              </w:rPr>
            </w:pPr>
            <w:r>
              <w:rPr>
                <w:rFonts w:ascii="Arial" w:cs="Arial" w:eastAsia="Arial" w:hAnsi="Arial"/>
                <w:sz w:val="10"/>
                <w:szCs w:val="10"/>
                <w:b w:val="1"/>
                <w:bCs w:val="1"/>
                <w:color w:val="auto"/>
              </w:rPr>
              <w:t>2,549</w:t>
            </w:r>
          </w:p>
        </w:tc>
        <w:tc>
          <w:tcPr>
            <w:tcW w:w="36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72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2,354</w:t>
            </w:r>
          </w:p>
        </w:tc>
        <w:tc>
          <w:tcPr>
            <w:tcW w:w="680" w:type="dxa"/>
            <w:vAlign w:val="bottom"/>
            <w:tcBorders>
              <w:bottom w:val="single" w:sz="8" w:color="D7282F"/>
            </w:tcBorders>
          </w:tcPr>
          <w:p>
            <w:pPr>
              <w:spacing w:after="0"/>
              <w:rPr>
                <w:sz w:val="10"/>
                <w:szCs w:val="10"/>
                <w:color w:val="auto"/>
              </w:rPr>
            </w:pPr>
          </w:p>
        </w:tc>
        <w:tc>
          <w:tcPr>
            <w:tcW w:w="6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gridSpan w:val="2"/>
          </w:tcPr>
          <w:p>
            <w:pPr>
              <w:jc w:val="right"/>
              <w:ind w:right="120"/>
              <w:spacing w:after="0"/>
              <w:rPr>
                <w:sz w:val="20"/>
                <w:szCs w:val="20"/>
                <w:color w:val="auto"/>
              </w:rPr>
            </w:pPr>
            <w:r>
              <w:rPr>
                <w:rFonts w:ascii="Arial" w:cs="Arial" w:eastAsia="Arial" w:hAnsi="Arial"/>
                <w:sz w:val="10"/>
                <w:szCs w:val="10"/>
                <w:b w:val="1"/>
                <w:bCs w:val="1"/>
                <w:color w:val="auto"/>
              </w:rPr>
              <w:t>8 %</w:t>
            </w: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1040" w:type="dxa"/>
            <w:vAlign w:val="bottom"/>
            <w:tcBorders>
              <w:bottom w:val="single" w:sz="8" w:color="D7282F"/>
            </w:tcBorders>
          </w:tcPr>
          <w:p>
            <w:pPr>
              <w:jc w:val="right"/>
              <w:ind w:right="372"/>
              <w:spacing w:after="0"/>
              <w:rPr>
                <w:sz w:val="20"/>
                <w:szCs w:val="20"/>
                <w:color w:val="auto"/>
              </w:rPr>
            </w:pPr>
            <w:r>
              <w:rPr>
                <w:rFonts w:ascii="Arial" w:cs="Arial" w:eastAsia="Arial" w:hAnsi="Arial"/>
                <w:sz w:val="10"/>
                <w:szCs w:val="10"/>
                <w:b w:val="1"/>
                <w:bCs w:val="1"/>
                <w:color w:val="auto"/>
              </w:rPr>
              <w:t>2,120</w:t>
            </w: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11 %</w:t>
            </w:r>
          </w:p>
        </w:tc>
        <w:tc>
          <w:tcPr>
            <w:tcW w:w="0" w:type="dxa"/>
            <w:vAlign w:val="bottom"/>
          </w:tcPr>
          <w:p>
            <w:pPr>
              <w:spacing w:after="0"/>
              <w:rPr>
                <w:sz w:val="1"/>
                <w:szCs w:val="1"/>
                <w:color w:val="auto"/>
              </w:rPr>
            </w:pPr>
          </w:p>
        </w:tc>
      </w:tr>
      <w:tr>
        <w:trPr>
          <w:trHeight w:val="313"/>
        </w:trPr>
        <w:tc>
          <w:tcPr>
            <w:tcW w:w="4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Borders>
              <w:bottom w:val="single" w:sz="8" w:color="D7282F"/>
            </w:tcBorders>
          </w:tcPr>
          <w:p>
            <w:pPr>
              <w:spacing w:after="0"/>
              <w:rPr>
                <w:sz w:val="24"/>
                <w:szCs w:val="24"/>
                <w:color w:val="auto"/>
              </w:rPr>
            </w:pPr>
          </w:p>
        </w:tc>
        <w:tc>
          <w:tcPr>
            <w:tcW w:w="360" w:type="dxa"/>
            <w:vAlign w:val="bottom"/>
            <w:tcBorders>
              <w:bottom w:val="single" w:sz="8" w:color="D7282F"/>
            </w:tcBorders>
          </w:tcPr>
          <w:p>
            <w:pPr>
              <w:spacing w:after="0"/>
              <w:rPr>
                <w:sz w:val="24"/>
                <w:szCs w:val="24"/>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2023 vs. 2022</w:t>
            </w:r>
          </w:p>
        </w:tc>
        <w:tc>
          <w:tcPr>
            <w:tcW w:w="680" w:type="dxa"/>
            <w:vAlign w:val="bottom"/>
            <w:tcBorders>
              <w:bottom w:val="single" w:sz="8" w:color="D7282F"/>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D7282F"/>
            </w:tcBorders>
          </w:tcPr>
          <w:p>
            <w:pPr>
              <w:spacing w:after="0"/>
              <w:rPr>
                <w:sz w:val="24"/>
                <w:szCs w:val="24"/>
                <w:color w:val="auto"/>
              </w:rPr>
            </w:pPr>
          </w:p>
        </w:tc>
        <w:tc>
          <w:tcPr>
            <w:tcW w:w="180" w:type="dxa"/>
            <w:vAlign w:val="bottom"/>
            <w:tcBorders>
              <w:bottom w:val="single" w:sz="8" w:color="D7282F"/>
            </w:tcBorders>
          </w:tcPr>
          <w:p>
            <w:pPr>
              <w:spacing w:after="0"/>
              <w:rPr>
                <w:sz w:val="24"/>
                <w:szCs w:val="24"/>
                <w:color w:val="auto"/>
              </w:rPr>
            </w:pP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2022 vs. 2021</w:t>
            </w:r>
          </w:p>
        </w:tc>
        <w:tc>
          <w:tcPr>
            <w:tcW w:w="70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420" w:type="dxa"/>
            <w:vAlign w:val="bottom"/>
            <w:vMerge w:val="restart"/>
          </w:tcPr>
          <w:p>
            <w:pPr>
              <w:spacing w:after="0"/>
              <w:rPr>
                <w:sz w:val="20"/>
                <w:szCs w:val="20"/>
                <w:color w:val="auto"/>
              </w:rPr>
            </w:pPr>
            <w:r>
              <w:rPr>
                <w:rFonts w:ascii="Arial" w:cs="Arial" w:eastAsia="Arial" w:hAnsi="Arial"/>
                <w:sz w:val="10"/>
                <w:szCs w:val="10"/>
                <w:b w:val="1"/>
                <w:bCs w:val="1"/>
                <w:color w:val="auto"/>
              </w:rPr>
              <w:t>Factors Contributing to Year-Over-Year Change</w:t>
            </w:r>
          </w:p>
        </w:tc>
        <w:tc>
          <w:tcPr>
            <w:tcW w:w="2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jc w:val="right"/>
              <w:ind w:right="72"/>
              <w:spacing w:after="0" w:line="107" w:lineRule="exact"/>
              <w:rPr>
                <w:sz w:val="20"/>
                <w:szCs w:val="20"/>
                <w:color w:val="auto"/>
              </w:rPr>
            </w:pPr>
            <w:r>
              <w:rPr>
                <w:rFonts w:ascii="Arial" w:cs="Arial" w:eastAsia="Arial" w:hAnsi="Arial"/>
                <w:sz w:val="10"/>
                <w:szCs w:val="10"/>
                <w:b w:val="1"/>
                <w:bCs w:val="1"/>
                <w:color w:val="auto"/>
              </w:rPr>
              <w:t>Net</w:t>
            </w:r>
          </w:p>
        </w:tc>
        <w:tc>
          <w:tcPr>
            <w:tcW w:w="720" w:type="dxa"/>
            <w:vAlign w:val="bottom"/>
          </w:tcPr>
          <w:p>
            <w:pPr>
              <w:spacing w:after="0"/>
              <w:rPr>
                <w:sz w:val="9"/>
                <w:szCs w:val="9"/>
                <w:color w:val="auto"/>
              </w:rPr>
            </w:pPr>
          </w:p>
        </w:tc>
        <w:tc>
          <w:tcPr>
            <w:tcW w:w="740" w:type="dxa"/>
            <w:vAlign w:val="bottom"/>
            <w:gridSpan w:val="2"/>
          </w:tcPr>
          <w:p>
            <w:pPr>
              <w:jc w:val="center"/>
              <w:ind w:right="300"/>
              <w:spacing w:after="0" w:line="107" w:lineRule="exact"/>
              <w:rPr>
                <w:sz w:val="20"/>
                <w:szCs w:val="20"/>
                <w:color w:val="auto"/>
              </w:rPr>
            </w:pPr>
            <w:r>
              <w:rPr>
                <w:rFonts w:ascii="Arial" w:cs="Arial" w:eastAsia="Arial" w:hAnsi="Arial"/>
                <w:sz w:val="10"/>
                <w:szCs w:val="10"/>
                <w:b w:val="1"/>
                <w:bCs w:val="1"/>
                <w:color w:val="auto"/>
                <w:w w:val="94"/>
              </w:rPr>
              <w:t>Segment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jc w:val="right"/>
              <w:ind w:right="792"/>
              <w:spacing w:after="0" w:line="107" w:lineRule="exact"/>
              <w:rPr>
                <w:sz w:val="20"/>
                <w:szCs w:val="20"/>
                <w:color w:val="auto"/>
              </w:rPr>
            </w:pPr>
            <w:r>
              <w:rPr>
                <w:rFonts w:ascii="Arial" w:cs="Arial" w:eastAsia="Arial" w:hAnsi="Arial"/>
                <w:sz w:val="10"/>
                <w:szCs w:val="10"/>
                <w:b w:val="1"/>
                <w:bCs w:val="1"/>
                <w:color w:val="auto"/>
              </w:rPr>
              <w:t>Net</w:t>
            </w:r>
          </w:p>
        </w:tc>
        <w:tc>
          <w:tcPr>
            <w:tcW w:w="700" w:type="dxa"/>
            <w:vAlign w:val="bottom"/>
          </w:tcPr>
          <w:p>
            <w:pPr>
              <w:jc w:val="right"/>
              <w:ind w:right="212"/>
              <w:spacing w:after="0" w:line="107" w:lineRule="exact"/>
              <w:rPr>
                <w:sz w:val="20"/>
                <w:szCs w:val="20"/>
                <w:color w:val="auto"/>
              </w:rPr>
            </w:pPr>
            <w:r>
              <w:rPr>
                <w:rFonts w:ascii="Arial" w:cs="Arial" w:eastAsia="Arial" w:hAnsi="Arial"/>
                <w:sz w:val="10"/>
                <w:szCs w:val="10"/>
                <w:b w:val="1"/>
                <w:bCs w:val="1"/>
                <w:color w:val="auto"/>
                <w:w w:val="99"/>
              </w:rPr>
              <w:t>Segment</w:t>
            </w:r>
          </w:p>
        </w:tc>
        <w:tc>
          <w:tcPr>
            <w:tcW w:w="0" w:type="dxa"/>
            <w:vAlign w:val="bottom"/>
          </w:tcPr>
          <w:p>
            <w:pPr>
              <w:spacing w:after="0"/>
              <w:rPr>
                <w:sz w:val="1"/>
                <w:szCs w:val="1"/>
                <w:color w:val="auto"/>
              </w:rPr>
            </w:pPr>
          </w:p>
        </w:tc>
      </w:tr>
      <w:tr>
        <w:trPr>
          <w:trHeight w:val="126"/>
        </w:trPr>
        <w:tc>
          <w:tcPr>
            <w:tcW w:w="4420" w:type="dxa"/>
            <w:vAlign w:val="bottom"/>
            <w:tcBorders>
              <w:bottom w:val="single" w:sz="8" w:color="D7282F"/>
            </w:tcBorders>
            <w:vMerge w:val="continue"/>
          </w:tcPr>
          <w:p>
            <w:pPr>
              <w:spacing w:after="0"/>
              <w:rPr>
                <w:sz w:val="10"/>
                <w:szCs w:val="10"/>
                <w:color w:val="auto"/>
              </w:rPr>
            </w:pPr>
          </w:p>
        </w:tc>
        <w:tc>
          <w:tcPr>
            <w:tcW w:w="222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Sales</w:t>
            </w:r>
          </w:p>
        </w:tc>
        <w:tc>
          <w:tcPr>
            <w:tcW w:w="72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gridSpan w:val="2"/>
          </w:tcPr>
          <w:p>
            <w:pPr>
              <w:jc w:val="center"/>
              <w:ind w:right="280"/>
              <w:spacing w:after="0"/>
              <w:rPr>
                <w:sz w:val="20"/>
                <w:szCs w:val="20"/>
                <w:color w:val="auto"/>
              </w:rPr>
            </w:pPr>
            <w:r>
              <w:rPr>
                <w:rFonts w:ascii="Arial" w:cs="Arial" w:eastAsia="Arial" w:hAnsi="Arial"/>
                <w:sz w:val="10"/>
                <w:szCs w:val="10"/>
                <w:b w:val="1"/>
                <w:bCs w:val="1"/>
                <w:color w:val="auto"/>
                <w:w w:val="99"/>
              </w:rPr>
              <w:t>Profit</w:t>
            </w:r>
          </w:p>
        </w:tc>
        <w:tc>
          <w:tcPr>
            <w:tcW w:w="16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1040" w:type="dxa"/>
            <w:vAlign w:val="bottom"/>
            <w:tcBorders>
              <w:bottom w:val="single" w:sz="8" w:color="D7282F"/>
            </w:tcBorders>
          </w:tcPr>
          <w:p>
            <w:pPr>
              <w:jc w:val="right"/>
              <w:ind w:right="732"/>
              <w:spacing w:after="0"/>
              <w:rPr>
                <w:sz w:val="20"/>
                <w:szCs w:val="20"/>
                <w:color w:val="auto"/>
              </w:rPr>
            </w:pPr>
            <w:r>
              <w:rPr>
                <w:rFonts w:ascii="Arial" w:cs="Arial" w:eastAsia="Arial" w:hAnsi="Arial"/>
                <w:sz w:val="10"/>
                <w:szCs w:val="10"/>
                <w:b w:val="1"/>
                <w:bCs w:val="1"/>
                <w:color w:val="auto"/>
                <w:w w:val="91"/>
              </w:rPr>
              <w:t>Sales</w:t>
            </w:r>
          </w:p>
        </w:tc>
        <w:tc>
          <w:tcPr>
            <w:tcW w:w="70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rPr>
              <w:t>Profit</w:t>
            </w:r>
          </w:p>
        </w:tc>
        <w:tc>
          <w:tcPr>
            <w:tcW w:w="0" w:type="dxa"/>
            <w:vAlign w:val="bottom"/>
          </w:tcPr>
          <w:p>
            <w:pPr>
              <w:spacing w:after="0"/>
              <w:rPr>
                <w:sz w:val="1"/>
                <w:szCs w:val="1"/>
                <w:color w:val="auto"/>
              </w:rPr>
            </w:pPr>
          </w:p>
        </w:tc>
      </w:tr>
      <w:tr>
        <w:trPr>
          <w:trHeight w:val="121"/>
        </w:trPr>
        <w:tc>
          <w:tcPr>
            <w:tcW w:w="44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Organic</w:t>
            </w:r>
          </w:p>
        </w:tc>
        <w:tc>
          <w:tcPr>
            <w:tcW w:w="2220" w:type="dxa"/>
            <w:vAlign w:val="bottom"/>
            <w:tcBorders>
              <w:bottom w:val="single" w:sz="8" w:color="888B8D"/>
            </w:tcBorders>
          </w:tcPr>
          <w:p>
            <w:pPr>
              <w:spacing w:after="0"/>
              <w:rPr>
                <w:sz w:val="10"/>
                <w:szCs w:val="10"/>
                <w:color w:val="auto"/>
              </w:rPr>
            </w:pPr>
          </w:p>
        </w:tc>
        <w:tc>
          <w:tcPr>
            <w:tcW w:w="300" w:type="dxa"/>
            <w:vAlign w:val="bottom"/>
            <w:tcBorders>
              <w:bottom w:val="single" w:sz="8" w:color="888B8D"/>
            </w:tcBorders>
          </w:tcPr>
          <w:p>
            <w:pPr>
              <w:spacing w:after="0"/>
              <w:rPr>
                <w:sz w:val="10"/>
                <w:szCs w:val="10"/>
                <w:color w:val="auto"/>
              </w:rPr>
            </w:pPr>
          </w:p>
        </w:tc>
        <w:tc>
          <w:tcPr>
            <w:tcW w:w="3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spacing w:after="0"/>
              <w:rPr>
                <w:sz w:val="10"/>
                <w:szCs w:val="10"/>
                <w:color w:val="auto"/>
              </w:rPr>
            </w:pPr>
          </w:p>
        </w:tc>
        <w:tc>
          <w:tcPr>
            <w:tcW w:w="720" w:type="dxa"/>
            <w:vAlign w:val="bottom"/>
            <w:tcBorders>
              <w:bottom w:val="single" w:sz="8" w:color="888B8D"/>
            </w:tcBorders>
          </w:tcPr>
          <w:p>
            <w:pPr>
              <w:jc w:val="right"/>
              <w:ind w:right="412"/>
              <w:spacing w:after="0"/>
              <w:rPr>
                <w:sz w:val="20"/>
                <w:szCs w:val="20"/>
                <w:color w:val="auto"/>
              </w:rPr>
            </w:pPr>
            <w:r>
              <w:rPr>
                <w:rFonts w:ascii="Arial" w:cs="Arial" w:eastAsia="Arial" w:hAnsi="Arial"/>
                <w:sz w:val="10"/>
                <w:szCs w:val="10"/>
                <w:color w:val="auto"/>
              </w:rPr>
              <w:t>7 %</w:t>
            </w: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9 %</w:t>
            </w:r>
          </w:p>
        </w:tc>
        <w:tc>
          <w:tcPr>
            <w:tcW w:w="60" w:type="dxa"/>
            <w:vAlign w:val="bottom"/>
            <w:tcBorders>
              <w:bottom w:val="single" w:sz="8" w:color="888B8D"/>
            </w:tcBorders>
          </w:tcPr>
          <w:p>
            <w:pPr>
              <w:spacing w:after="0"/>
              <w:rPr>
                <w:sz w:val="10"/>
                <w:szCs w:val="10"/>
                <w:color w:val="auto"/>
              </w:rPr>
            </w:pPr>
          </w:p>
        </w:tc>
        <w:tc>
          <w:tcPr>
            <w:tcW w:w="160" w:type="dxa"/>
            <w:vAlign w:val="bottom"/>
            <w:tcBorders>
              <w:bottom w:val="single" w:sz="8" w:color="888B8D"/>
            </w:tcBorders>
          </w:tcPr>
          <w:p>
            <w:pPr>
              <w:spacing w:after="0"/>
              <w:rPr>
                <w:sz w:val="10"/>
                <w:szCs w:val="10"/>
                <w:color w:val="auto"/>
              </w:rPr>
            </w:pPr>
          </w:p>
        </w:tc>
        <w:tc>
          <w:tcPr>
            <w:tcW w:w="16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jc w:val="right"/>
              <w:ind w:right="412"/>
              <w:spacing w:after="0"/>
              <w:rPr>
                <w:sz w:val="20"/>
                <w:szCs w:val="20"/>
                <w:color w:val="auto"/>
              </w:rPr>
            </w:pPr>
            <w:r>
              <w:rPr>
                <w:rFonts w:ascii="Arial" w:cs="Arial" w:eastAsia="Arial" w:hAnsi="Arial"/>
                <w:sz w:val="10"/>
                <w:szCs w:val="10"/>
                <w:color w:val="auto"/>
              </w:rPr>
              <w:t>11 %</w:t>
            </w:r>
          </w:p>
        </w:tc>
        <w:tc>
          <w:tcPr>
            <w:tcW w:w="7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15 %</w:t>
            </w:r>
          </w:p>
        </w:tc>
        <w:tc>
          <w:tcPr>
            <w:tcW w:w="0" w:type="dxa"/>
            <w:vAlign w:val="bottom"/>
          </w:tcPr>
          <w:p>
            <w:pPr>
              <w:spacing w:after="0"/>
              <w:rPr>
                <w:sz w:val="1"/>
                <w:szCs w:val="1"/>
                <w:color w:val="auto"/>
              </w:rPr>
            </w:pPr>
          </w:p>
        </w:tc>
      </w:tr>
      <w:tr>
        <w:trPr>
          <w:trHeight w:val="124"/>
        </w:trPr>
        <w:tc>
          <w:tcPr>
            <w:tcW w:w="44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Foreign currency translation</w:t>
            </w:r>
          </w:p>
        </w:tc>
        <w:tc>
          <w:tcPr>
            <w:tcW w:w="2220" w:type="dxa"/>
            <w:vAlign w:val="bottom"/>
            <w:tcBorders>
              <w:bottom w:val="single" w:sz="8" w:color="888B8D"/>
            </w:tcBorders>
          </w:tcPr>
          <w:p>
            <w:pPr>
              <w:spacing w:after="0"/>
              <w:rPr>
                <w:sz w:val="10"/>
                <w:szCs w:val="10"/>
                <w:color w:val="auto"/>
              </w:rPr>
            </w:pPr>
          </w:p>
        </w:tc>
        <w:tc>
          <w:tcPr>
            <w:tcW w:w="300" w:type="dxa"/>
            <w:vAlign w:val="bottom"/>
            <w:tcBorders>
              <w:bottom w:val="single" w:sz="8" w:color="888B8D"/>
            </w:tcBorders>
          </w:tcPr>
          <w:p>
            <w:pPr>
              <w:spacing w:after="0"/>
              <w:rPr>
                <w:sz w:val="10"/>
                <w:szCs w:val="10"/>
                <w:color w:val="auto"/>
              </w:rPr>
            </w:pPr>
          </w:p>
        </w:tc>
        <w:tc>
          <w:tcPr>
            <w:tcW w:w="3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spacing w:after="0"/>
              <w:rPr>
                <w:sz w:val="10"/>
                <w:szCs w:val="10"/>
                <w:color w:val="auto"/>
              </w:rPr>
            </w:pPr>
          </w:p>
        </w:tc>
        <w:tc>
          <w:tcPr>
            <w:tcW w:w="720" w:type="dxa"/>
            <w:vAlign w:val="bottom"/>
            <w:tcBorders>
              <w:bottom w:val="single" w:sz="8" w:color="888B8D"/>
            </w:tcBorders>
          </w:tcPr>
          <w:p>
            <w:pPr>
              <w:jc w:val="right"/>
              <w:ind w:right="412"/>
              <w:spacing w:after="0"/>
              <w:rPr>
                <w:sz w:val="20"/>
                <w:szCs w:val="20"/>
                <w:color w:val="auto"/>
              </w:rPr>
            </w:pPr>
            <w:r>
              <w:rPr>
                <w:rFonts w:ascii="Arial" w:cs="Arial" w:eastAsia="Arial" w:hAnsi="Arial"/>
                <w:sz w:val="10"/>
                <w:szCs w:val="10"/>
                <w:color w:val="auto"/>
              </w:rPr>
              <w:t>(1)%</w:t>
            </w: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w:t>
            </w:r>
          </w:p>
        </w:tc>
        <w:tc>
          <w:tcPr>
            <w:tcW w:w="60" w:type="dxa"/>
            <w:vAlign w:val="bottom"/>
            <w:tcBorders>
              <w:bottom w:val="single" w:sz="8" w:color="888B8D"/>
            </w:tcBorders>
          </w:tcPr>
          <w:p>
            <w:pPr>
              <w:spacing w:after="0"/>
              <w:rPr>
                <w:sz w:val="10"/>
                <w:szCs w:val="10"/>
                <w:color w:val="auto"/>
              </w:rPr>
            </w:pPr>
          </w:p>
        </w:tc>
        <w:tc>
          <w:tcPr>
            <w:tcW w:w="160" w:type="dxa"/>
            <w:vAlign w:val="bottom"/>
            <w:tcBorders>
              <w:bottom w:val="single" w:sz="8" w:color="888B8D"/>
            </w:tcBorders>
          </w:tcPr>
          <w:p>
            <w:pPr>
              <w:spacing w:after="0"/>
              <w:rPr>
                <w:sz w:val="10"/>
                <w:szCs w:val="10"/>
                <w:color w:val="auto"/>
              </w:rPr>
            </w:pPr>
          </w:p>
        </w:tc>
        <w:tc>
          <w:tcPr>
            <w:tcW w:w="16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jc w:val="right"/>
              <w:ind w:right="412"/>
              <w:spacing w:after="0"/>
              <w:rPr>
                <w:sz w:val="20"/>
                <w:szCs w:val="20"/>
                <w:color w:val="auto"/>
              </w:rPr>
            </w:pPr>
            <w:r>
              <w:rPr>
                <w:rFonts w:ascii="Arial" w:cs="Arial" w:eastAsia="Arial" w:hAnsi="Arial"/>
                <w:sz w:val="10"/>
                <w:szCs w:val="10"/>
                <w:color w:val="auto"/>
              </w:rPr>
              <w:t>(4)%</w:t>
            </w:r>
          </w:p>
        </w:tc>
        <w:tc>
          <w:tcPr>
            <w:tcW w:w="7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24"/>
        </w:trPr>
        <w:tc>
          <w:tcPr>
            <w:tcW w:w="442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Acquisitions, divestitures, and other, net</w:t>
            </w:r>
          </w:p>
        </w:tc>
        <w:tc>
          <w:tcPr>
            <w:tcW w:w="222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spacing w:after="0"/>
              <w:rPr>
                <w:sz w:val="10"/>
                <w:szCs w:val="10"/>
                <w:color w:val="auto"/>
              </w:rPr>
            </w:pPr>
          </w:p>
        </w:tc>
        <w:tc>
          <w:tcPr>
            <w:tcW w:w="72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color w:val="auto"/>
              </w:rPr>
              <w:t>1 %</w:t>
            </w:r>
          </w:p>
        </w:tc>
        <w:tc>
          <w:tcPr>
            <w:tcW w:w="740" w:type="dxa"/>
            <w:vAlign w:val="bottom"/>
            <w:tcBorders>
              <w:bottom w:val="single" w:sz="8" w:color="D7282F"/>
            </w:tcBorders>
            <w:gridSpan w:val="2"/>
          </w:tcPr>
          <w:p>
            <w:pPr>
              <w:jc w:val="right"/>
              <w:ind w:right="60"/>
              <w:spacing w:after="0"/>
              <w:rPr>
                <w:sz w:val="20"/>
                <w:szCs w:val="20"/>
                <w:color w:val="auto"/>
              </w:rPr>
            </w:pPr>
            <w:r>
              <w:rPr>
                <w:rFonts w:ascii="Arial" w:cs="Arial" w:eastAsia="Arial" w:hAnsi="Arial"/>
                <w:sz w:val="10"/>
                <w:szCs w:val="10"/>
                <w:color w:val="auto"/>
              </w:rPr>
              <w:t>— %</w:t>
            </w:r>
          </w:p>
        </w:tc>
        <w:tc>
          <w:tcPr>
            <w:tcW w:w="16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104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color w:val="auto"/>
              </w:rPr>
              <w:t>— %</w:t>
            </w: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6"/>
        </w:trPr>
        <w:tc>
          <w:tcPr>
            <w:tcW w:w="442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 change</w:t>
            </w:r>
          </w:p>
        </w:tc>
        <w:tc>
          <w:tcPr>
            <w:tcW w:w="222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spacing w:after="0"/>
              <w:rPr>
                <w:sz w:val="10"/>
                <w:szCs w:val="10"/>
                <w:color w:val="auto"/>
              </w:rPr>
            </w:pPr>
          </w:p>
        </w:tc>
        <w:tc>
          <w:tcPr>
            <w:tcW w:w="72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b w:val="1"/>
                <w:bCs w:val="1"/>
                <w:color w:val="auto"/>
              </w:rPr>
              <w:t>7 %</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8 %</w:t>
            </w:r>
          </w:p>
        </w:tc>
        <w:tc>
          <w:tcPr>
            <w:tcW w:w="6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104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b w:val="1"/>
                <w:bCs w:val="1"/>
                <w:color w:val="auto"/>
              </w:rPr>
              <w:t>7 %</w:t>
            </w: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11 %</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2023 compared with 2022</w:t>
      </w:r>
    </w:p>
    <w:p>
      <w:pPr>
        <w:spacing w:after="0" w:line="19" w:lineRule="exact"/>
        <w:rPr>
          <w:sz w:val="20"/>
          <w:szCs w:val="20"/>
          <w:color w:val="auto"/>
        </w:rPr>
      </w:pPr>
    </w:p>
    <w:p>
      <w:pPr>
        <w:jc w:val="both"/>
        <w:ind w:left="8"/>
        <w:spacing w:after="0" w:line="249" w:lineRule="auto"/>
        <w:rPr>
          <w:sz w:val="20"/>
          <w:szCs w:val="20"/>
          <w:color w:val="auto"/>
        </w:rPr>
      </w:pPr>
      <w:r>
        <w:rPr>
          <w:rFonts w:ascii="Arial" w:cs="Arial" w:eastAsia="Arial" w:hAnsi="Arial"/>
          <w:sz w:val="11"/>
          <w:szCs w:val="11"/>
          <w:color w:val="auto"/>
        </w:rPr>
        <w:t>Sales increased $779 million due to organic sales growth of $491 million in Process Solutions driven by increased demand in projects and lifecycle solutions and services and higher organic sales of $193 million in UOP driven by growth in gas processing and refining catalyst shipments.</w:t>
      </w:r>
    </w:p>
    <w:p>
      <w:pPr>
        <w:spacing w:after="0" w:line="52" w:lineRule="exact"/>
        <w:rPr>
          <w:sz w:val="20"/>
          <w:szCs w:val="20"/>
          <w:color w:val="auto"/>
        </w:rPr>
      </w:pPr>
    </w:p>
    <w:p>
      <w:pPr>
        <w:ind w:left="8"/>
        <w:spacing w:after="0"/>
        <w:rPr>
          <w:sz w:val="20"/>
          <w:szCs w:val="20"/>
          <w:color w:val="auto"/>
        </w:rPr>
      </w:pPr>
      <w:r>
        <w:rPr>
          <w:rFonts w:ascii="Arial" w:cs="Arial" w:eastAsia="Arial" w:hAnsi="Arial"/>
          <w:sz w:val="11"/>
          <w:szCs w:val="11"/>
          <w:color w:val="auto"/>
        </w:rPr>
        <w:t>Segment profit increased $195 million and segment margin percentage increased 30 basis points to 22.2% compared to 21.9% for the same period of 2022.</w:t>
      </w:r>
    </w:p>
    <w:p>
      <w:pPr>
        <w:spacing w:after="0" w:line="305" w:lineRule="exact"/>
        <w:rPr>
          <w:sz w:val="20"/>
          <w:szCs w:val="20"/>
          <w:color w:val="auto"/>
        </w:rPr>
      </w:pPr>
    </w:p>
    <w:p>
      <w:pPr>
        <w:ind w:left="268" w:hanging="268"/>
        <w:spacing w:after="0"/>
        <w:tabs>
          <w:tab w:leader="none" w:pos="268" w:val="left"/>
        </w:tabs>
        <w:numPr>
          <w:ilvl w:val="0"/>
          <w:numId w:val="60"/>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29" w:name="page30"/>
    <w:bookmarkEnd w:id="29"/>
    <w:p>
      <w:pPr>
        <w:ind w:left="8"/>
        <w:spacing w:after="0"/>
        <w:tabs>
          <w:tab w:leader="none" w:pos="984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REVIEW OF BUSINESS SEGMENTS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
        <w:spacing w:after="0"/>
        <w:rPr>
          <w:sz w:val="20"/>
          <w:szCs w:val="20"/>
          <w:color w:val="auto"/>
        </w:rPr>
      </w:pPr>
      <w:r>
        <w:rPr>
          <w:rFonts w:ascii="Arial" w:cs="Arial" w:eastAsia="Arial" w:hAnsi="Arial"/>
          <w:sz w:val="19"/>
          <w:szCs w:val="19"/>
          <w:color w:val="D7282F"/>
        </w:rPr>
        <w:t>SAFETY AND PRODUCTIVITY SOLUTIONS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50800</wp:posOffset>
            </wp:positionV>
            <wp:extent cx="2000250" cy="17145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00025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w w:val="98"/>
              </w:rPr>
              <w:t>Change</w:t>
            </w: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jc w:val="center"/>
              <w:ind w:right="112"/>
              <w:spacing w:after="0"/>
              <w:rPr>
                <w:sz w:val="20"/>
                <w:szCs w:val="20"/>
                <w:color w:val="auto"/>
              </w:rPr>
            </w:pPr>
            <w:r>
              <w:rPr>
                <w:rFonts w:ascii="Arial" w:cs="Arial" w:eastAsia="Arial" w:hAnsi="Arial"/>
                <w:sz w:val="10"/>
                <w:szCs w:val="10"/>
                <w:b w:val="1"/>
                <w:bCs w:val="1"/>
                <w:color w:val="auto"/>
                <w:w w:val="92"/>
              </w:rPr>
              <w:t>Change</w:t>
            </w:r>
          </w:p>
        </w:tc>
        <w:tc>
          <w:tcPr>
            <w:tcW w:w="0" w:type="dxa"/>
            <w:vAlign w:val="bottom"/>
          </w:tcPr>
          <w:p>
            <w:pPr>
              <w:spacing w:after="0"/>
              <w:rPr>
                <w:sz w:val="1"/>
                <w:szCs w:val="1"/>
                <w:color w:val="auto"/>
              </w:rPr>
            </w:pPr>
          </w:p>
        </w:tc>
      </w:tr>
      <w:tr>
        <w:trPr>
          <w:trHeight w:val="97"/>
        </w:trPr>
        <w:tc>
          <w:tcPr>
            <w:tcW w:w="44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jc w:val="center"/>
              <w:ind w:left="312"/>
              <w:spacing w:after="0" w:line="97" w:lineRule="exact"/>
              <w:rPr>
                <w:sz w:val="20"/>
                <w:szCs w:val="20"/>
                <w:color w:val="auto"/>
              </w:rPr>
            </w:pPr>
            <w:r>
              <w:rPr>
                <w:rFonts w:ascii="Arial" w:cs="Arial" w:eastAsia="Arial" w:hAnsi="Arial"/>
                <w:sz w:val="10"/>
                <w:szCs w:val="10"/>
                <w:b w:val="1"/>
                <w:bCs w:val="1"/>
                <w:color w:val="auto"/>
                <w:w w:val="98"/>
              </w:rPr>
              <w:t>2023</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jc w:val="center"/>
              <w:ind w:right="112"/>
              <w:spacing w:after="0" w:line="97" w:lineRule="exact"/>
              <w:rPr>
                <w:sz w:val="20"/>
                <w:szCs w:val="20"/>
                <w:color w:val="auto"/>
              </w:rPr>
            </w:pPr>
            <w:r>
              <w:rPr>
                <w:rFonts w:ascii="Arial" w:cs="Arial" w:eastAsia="Arial" w:hAnsi="Arial"/>
                <w:sz w:val="10"/>
                <w:szCs w:val="10"/>
                <w:b w:val="1"/>
                <w:bCs w:val="1"/>
                <w:color w:val="auto"/>
                <w:w w:val="98"/>
              </w:rPr>
              <w:t>2022</w:t>
            </w:r>
          </w:p>
        </w:tc>
        <w:tc>
          <w:tcPr>
            <w:tcW w:w="0" w:type="dxa"/>
            <w:vAlign w:val="bottom"/>
          </w:tcPr>
          <w:p>
            <w:pPr>
              <w:spacing w:after="0"/>
              <w:rPr>
                <w:sz w:val="1"/>
                <w:szCs w:val="1"/>
                <w:color w:val="auto"/>
              </w:rPr>
            </w:pPr>
          </w:p>
        </w:tc>
      </w:tr>
      <w:tr>
        <w:trPr>
          <w:trHeight w:val="92"/>
        </w:trPr>
        <w:tc>
          <w:tcPr>
            <w:tcW w:w="44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60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2023</w:t>
            </w:r>
          </w:p>
        </w:tc>
        <w:tc>
          <w:tcPr>
            <w:tcW w:w="340" w:type="dxa"/>
            <w:vAlign w:val="bottom"/>
          </w:tcPr>
          <w:p>
            <w:pPr>
              <w:spacing w:after="0"/>
              <w:rPr>
                <w:sz w:val="8"/>
                <w:szCs w:val="8"/>
                <w:color w:val="auto"/>
              </w:rPr>
            </w:pPr>
          </w:p>
        </w:tc>
        <w:tc>
          <w:tcPr>
            <w:tcW w:w="740" w:type="dxa"/>
            <w:vAlign w:val="bottom"/>
            <w:vMerge w:val="restart"/>
          </w:tcPr>
          <w:p>
            <w:pPr>
              <w:jc w:val="right"/>
              <w:ind w:right="332"/>
              <w:spacing w:after="0"/>
              <w:rPr>
                <w:sz w:val="20"/>
                <w:szCs w:val="20"/>
                <w:color w:val="auto"/>
              </w:rPr>
            </w:pPr>
            <w:r>
              <w:rPr>
                <w:rFonts w:ascii="Arial" w:cs="Arial" w:eastAsia="Arial" w:hAnsi="Arial"/>
                <w:sz w:val="10"/>
                <w:szCs w:val="10"/>
                <w:b w:val="1"/>
                <w:bCs w:val="1"/>
                <w:color w:val="auto"/>
              </w:rPr>
              <w:t>2022</w:t>
            </w:r>
          </w:p>
        </w:tc>
        <w:tc>
          <w:tcPr>
            <w:tcW w:w="1060" w:type="dxa"/>
            <w:vAlign w:val="bottom"/>
            <w:gridSpan w:val="3"/>
          </w:tcPr>
          <w:p>
            <w:pPr>
              <w:jc w:val="center"/>
              <w:spacing w:after="0" w:line="92" w:lineRule="exact"/>
              <w:rPr>
                <w:sz w:val="20"/>
                <w:szCs w:val="20"/>
                <w:color w:val="auto"/>
              </w:rPr>
            </w:pPr>
            <w:r>
              <w:rPr>
                <w:rFonts w:ascii="Arial" w:cs="Arial" w:eastAsia="Arial" w:hAnsi="Arial"/>
                <w:sz w:val="10"/>
                <w:szCs w:val="10"/>
                <w:b w:val="1"/>
                <w:bCs w:val="1"/>
                <w:color w:val="auto"/>
              </w:rPr>
              <w:t>vs.</w:t>
            </w:r>
          </w:p>
        </w:tc>
        <w:tc>
          <w:tcPr>
            <w:tcW w:w="180" w:type="dxa"/>
            <w:vAlign w:val="bottom"/>
          </w:tcPr>
          <w:p>
            <w:pPr>
              <w:spacing w:after="0"/>
              <w:rPr>
                <w:sz w:val="8"/>
                <w:szCs w:val="8"/>
                <w:color w:val="auto"/>
              </w:rPr>
            </w:pPr>
          </w:p>
        </w:tc>
        <w:tc>
          <w:tcPr>
            <w:tcW w:w="1040" w:type="dxa"/>
            <w:vAlign w:val="bottom"/>
            <w:vMerge w:val="restart"/>
          </w:tcPr>
          <w:p>
            <w:pPr>
              <w:jc w:val="right"/>
              <w:ind w:right="592"/>
              <w:spacing w:after="0"/>
              <w:rPr>
                <w:sz w:val="20"/>
                <w:szCs w:val="20"/>
                <w:color w:val="auto"/>
              </w:rPr>
            </w:pPr>
            <w:r>
              <w:rPr>
                <w:rFonts w:ascii="Arial" w:cs="Arial" w:eastAsia="Arial" w:hAnsi="Arial"/>
                <w:sz w:val="10"/>
                <w:szCs w:val="10"/>
                <w:b w:val="1"/>
                <w:bCs w:val="1"/>
                <w:color w:val="auto"/>
              </w:rPr>
              <w:t>2021</w:t>
            </w:r>
          </w:p>
        </w:tc>
        <w:tc>
          <w:tcPr>
            <w:tcW w:w="700" w:type="dxa"/>
            <w:vAlign w:val="bottom"/>
          </w:tcPr>
          <w:p>
            <w:pPr>
              <w:jc w:val="center"/>
              <w:ind w:right="112"/>
              <w:spacing w:after="0" w:line="92" w:lineRule="exact"/>
              <w:rPr>
                <w:sz w:val="20"/>
                <w:szCs w:val="20"/>
                <w:color w:val="auto"/>
              </w:rPr>
            </w:pPr>
            <w:r>
              <w:rPr>
                <w:rFonts w:ascii="Arial" w:cs="Arial" w:eastAsia="Arial" w:hAnsi="Arial"/>
                <w:sz w:val="10"/>
                <w:szCs w:val="10"/>
                <w:b w:val="1"/>
                <w:bCs w:val="1"/>
                <w:color w:val="auto"/>
              </w:rPr>
              <w:t>vs.</w:t>
            </w:r>
          </w:p>
        </w:tc>
        <w:tc>
          <w:tcPr>
            <w:tcW w:w="0" w:type="dxa"/>
            <w:vAlign w:val="bottom"/>
          </w:tcPr>
          <w:p>
            <w:pPr>
              <w:spacing w:after="0"/>
              <w:rPr>
                <w:sz w:val="1"/>
                <w:szCs w:val="1"/>
                <w:color w:val="auto"/>
              </w:rPr>
            </w:pPr>
          </w:p>
        </w:tc>
      </w:tr>
      <w:tr>
        <w:trPr>
          <w:trHeight w:val="132"/>
        </w:trPr>
        <w:tc>
          <w:tcPr>
            <w:tcW w:w="4420" w:type="dxa"/>
            <w:vAlign w:val="bottom"/>
            <w:tcBorders>
              <w:bottom w:val="single" w:sz="8" w:color="D7282F"/>
            </w:tcBorders>
          </w:tcPr>
          <w:p>
            <w:pPr>
              <w:spacing w:after="0"/>
              <w:rPr>
                <w:sz w:val="11"/>
                <w:szCs w:val="11"/>
                <w:color w:val="auto"/>
              </w:rPr>
            </w:pPr>
          </w:p>
        </w:tc>
        <w:tc>
          <w:tcPr>
            <w:tcW w:w="2220" w:type="dxa"/>
            <w:vAlign w:val="bottom"/>
            <w:tcBorders>
              <w:bottom w:val="single" w:sz="8" w:color="D7282F"/>
            </w:tcBorders>
          </w:tcPr>
          <w:p>
            <w:pPr>
              <w:spacing w:after="0"/>
              <w:rPr>
                <w:sz w:val="11"/>
                <w:szCs w:val="11"/>
                <w:color w:val="auto"/>
              </w:rPr>
            </w:pPr>
          </w:p>
        </w:tc>
        <w:tc>
          <w:tcPr>
            <w:tcW w:w="600" w:type="dxa"/>
            <w:vAlign w:val="bottom"/>
            <w:tcBorders>
              <w:bottom w:val="single" w:sz="8" w:color="D7282F"/>
            </w:tcBorders>
            <w:gridSpan w:val="2"/>
            <w:vMerge w:val="continue"/>
          </w:tcPr>
          <w:p>
            <w:pPr>
              <w:spacing w:after="0"/>
              <w:rPr>
                <w:sz w:val="11"/>
                <w:szCs w:val="11"/>
                <w:color w:val="auto"/>
              </w:rPr>
            </w:pPr>
          </w:p>
        </w:tc>
        <w:tc>
          <w:tcPr>
            <w:tcW w:w="340" w:type="dxa"/>
            <w:vAlign w:val="bottom"/>
            <w:tcBorders>
              <w:bottom w:val="single" w:sz="8" w:color="D7282F"/>
            </w:tcBorders>
          </w:tcPr>
          <w:p>
            <w:pPr>
              <w:spacing w:after="0"/>
              <w:rPr>
                <w:sz w:val="11"/>
                <w:szCs w:val="11"/>
                <w:color w:val="auto"/>
              </w:rPr>
            </w:pPr>
          </w:p>
        </w:tc>
        <w:tc>
          <w:tcPr>
            <w:tcW w:w="740" w:type="dxa"/>
            <w:vAlign w:val="bottom"/>
            <w:tcBorders>
              <w:bottom w:val="single" w:sz="8" w:color="D7282F"/>
            </w:tcBorders>
            <w:vMerge w:val="continue"/>
          </w:tcPr>
          <w:p>
            <w:pPr>
              <w:spacing w:after="0"/>
              <w:rPr>
                <w:sz w:val="11"/>
                <w:szCs w:val="11"/>
                <w:color w:val="auto"/>
              </w:rPr>
            </w:pPr>
          </w:p>
        </w:tc>
        <w:tc>
          <w:tcPr>
            <w:tcW w:w="700" w:type="dxa"/>
            <w:vAlign w:val="bottom"/>
            <w:tcBorders>
              <w:bottom w:val="single" w:sz="8" w:color="D7282F"/>
            </w:tcBorders>
          </w:tcPr>
          <w:p>
            <w:pPr>
              <w:jc w:val="center"/>
              <w:ind w:left="312"/>
              <w:spacing w:after="0"/>
              <w:rPr>
                <w:sz w:val="20"/>
                <w:szCs w:val="20"/>
                <w:color w:val="auto"/>
              </w:rPr>
            </w:pPr>
            <w:r>
              <w:rPr>
                <w:rFonts w:ascii="Arial" w:cs="Arial" w:eastAsia="Arial" w:hAnsi="Arial"/>
                <w:sz w:val="10"/>
                <w:szCs w:val="10"/>
                <w:b w:val="1"/>
                <w:bCs w:val="1"/>
                <w:color w:val="auto"/>
                <w:w w:val="98"/>
              </w:rPr>
              <w:t>2022</w:t>
            </w:r>
          </w:p>
        </w:tc>
        <w:tc>
          <w:tcPr>
            <w:tcW w:w="220" w:type="dxa"/>
            <w:vAlign w:val="bottom"/>
            <w:tcBorders>
              <w:bottom w:val="single" w:sz="8" w:color="D7282F"/>
            </w:tcBorders>
          </w:tcPr>
          <w:p>
            <w:pPr>
              <w:spacing w:after="0"/>
              <w:rPr>
                <w:sz w:val="11"/>
                <w:szCs w:val="11"/>
                <w:color w:val="auto"/>
              </w:rPr>
            </w:pPr>
          </w:p>
        </w:tc>
        <w:tc>
          <w:tcPr>
            <w:tcW w:w="140" w:type="dxa"/>
            <w:vAlign w:val="bottom"/>
            <w:tcBorders>
              <w:bottom w:val="single" w:sz="8" w:color="D7282F"/>
            </w:tcBorders>
          </w:tcPr>
          <w:p>
            <w:pPr>
              <w:spacing w:after="0"/>
              <w:rPr>
                <w:sz w:val="11"/>
                <w:szCs w:val="11"/>
                <w:color w:val="auto"/>
              </w:rPr>
            </w:pPr>
          </w:p>
        </w:tc>
        <w:tc>
          <w:tcPr>
            <w:tcW w:w="180" w:type="dxa"/>
            <w:vAlign w:val="bottom"/>
            <w:tcBorders>
              <w:bottom w:val="single" w:sz="8" w:color="D7282F"/>
            </w:tcBorders>
          </w:tcPr>
          <w:p>
            <w:pPr>
              <w:spacing w:after="0"/>
              <w:rPr>
                <w:sz w:val="11"/>
                <w:szCs w:val="11"/>
                <w:color w:val="auto"/>
              </w:rPr>
            </w:pPr>
          </w:p>
        </w:tc>
        <w:tc>
          <w:tcPr>
            <w:tcW w:w="1040" w:type="dxa"/>
            <w:vAlign w:val="bottom"/>
            <w:tcBorders>
              <w:bottom w:val="single" w:sz="8" w:color="D7282F"/>
            </w:tcBorders>
            <w:vMerge w:val="continue"/>
          </w:tcPr>
          <w:p>
            <w:pPr>
              <w:spacing w:after="0"/>
              <w:rPr>
                <w:sz w:val="11"/>
                <w:szCs w:val="11"/>
                <w:color w:val="auto"/>
              </w:rPr>
            </w:pPr>
          </w:p>
        </w:tc>
        <w:tc>
          <w:tcPr>
            <w:tcW w:w="700" w:type="dxa"/>
            <w:vAlign w:val="bottom"/>
            <w:tcBorders>
              <w:bottom w:val="single" w:sz="8" w:color="D7282F"/>
            </w:tcBorders>
          </w:tcPr>
          <w:p>
            <w:pPr>
              <w:jc w:val="center"/>
              <w:ind w:right="112"/>
              <w:spacing w:after="0"/>
              <w:rPr>
                <w:sz w:val="20"/>
                <w:szCs w:val="20"/>
                <w:color w:val="auto"/>
              </w:rPr>
            </w:pPr>
            <w:r>
              <w:rPr>
                <w:rFonts w:ascii="Arial" w:cs="Arial" w:eastAsia="Arial" w:hAnsi="Arial"/>
                <w:sz w:val="10"/>
                <w:szCs w:val="10"/>
                <w:b w:val="1"/>
                <w:bCs w:val="1"/>
                <w:color w:val="auto"/>
                <w:w w:val="98"/>
              </w:rPr>
              <w:t>2021</w:t>
            </w:r>
          </w:p>
        </w:tc>
        <w:tc>
          <w:tcPr>
            <w:tcW w:w="0" w:type="dxa"/>
            <w:vAlign w:val="bottom"/>
          </w:tcPr>
          <w:p>
            <w:pPr>
              <w:spacing w:after="0"/>
              <w:rPr>
                <w:sz w:val="1"/>
                <w:szCs w:val="1"/>
                <w:color w:val="auto"/>
              </w:rPr>
            </w:pPr>
          </w:p>
        </w:tc>
      </w:tr>
      <w:tr>
        <w:trPr>
          <w:trHeight w:val="122"/>
        </w:trPr>
        <w:tc>
          <w:tcPr>
            <w:tcW w:w="44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Net sales</w:t>
            </w:r>
          </w:p>
        </w:tc>
        <w:tc>
          <w:tcPr>
            <w:tcW w:w="222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888B8D"/>
            </w:tcBorders>
            <w:gridSpan w:val="2"/>
          </w:tcPr>
          <w:p>
            <w:pPr>
              <w:jc w:val="right"/>
              <w:ind w:right="40"/>
              <w:spacing w:after="0"/>
              <w:rPr>
                <w:sz w:val="20"/>
                <w:szCs w:val="20"/>
                <w:color w:val="auto"/>
              </w:rPr>
            </w:pPr>
            <w:r>
              <w:rPr>
                <w:rFonts w:ascii="Arial" w:cs="Arial" w:eastAsia="Arial" w:hAnsi="Arial"/>
                <w:sz w:val="10"/>
                <w:szCs w:val="10"/>
                <w:color w:val="auto"/>
              </w:rPr>
              <w:t>5,489</w:t>
            </w:r>
          </w:p>
        </w:tc>
        <w:tc>
          <w:tcPr>
            <w:tcW w:w="3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6,907</w:t>
            </w:r>
          </w:p>
        </w:tc>
        <w:tc>
          <w:tcPr>
            <w:tcW w:w="1060" w:type="dxa"/>
            <w:vAlign w:val="bottom"/>
            <w:tcBorders>
              <w:bottom w:val="single" w:sz="8" w:color="888B8D"/>
            </w:tcBorders>
            <w:gridSpan w:val="3"/>
          </w:tcPr>
          <w:p>
            <w:pPr>
              <w:jc w:val="right"/>
              <w:ind w:right="120"/>
              <w:spacing w:after="0"/>
              <w:rPr>
                <w:sz w:val="20"/>
                <w:szCs w:val="20"/>
                <w:color w:val="auto"/>
              </w:rPr>
            </w:pPr>
            <w:r>
              <w:rPr>
                <w:rFonts w:ascii="Arial" w:cs="Arial" w:eastAsia="Arial" w:hAnsi="Arial"/>
                <w:sz w:val="10"/>
                <w:szCs w:val="10"/>
                <w:color w:val="auto"/>
              </w:rPr>
              <w:t>(21)%</w:t>
            </w:r>
          </w:p>
        </w:tc>
        <w:tc>
          <w:tcPr>
            <w:tcW w:w="1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888B8D"/>
            </w:tcBorders>
          </w:tcPr>
          <w:p>
            <w:pPr>
              <w:jc w:val="right"/>
              <w:ind w:right="372"/>
              <w:spacing w:after="0"/>
              <w:rPr>
                <w:sz w:val="20"/>
                <w:szCs w:val="20"/>
                <w:color w:val="auto"/>
              </w:rPr>
            </w:pPr>
            <w:r>
              <w:rPr>
                <w:rFonts w:ascii="Arial" w:cs="Arial" w:eastAsia="Arial" w:hAnsi="Arial"/>
                <w:sz w:val="10"/>
                <w:szCs w:val="10"/>
                <w:color w:val="auto"/>
              </w:rPr>
              <w:t>7,814</w:t>
            </w:r>
          </w:p>
        </w:tc>
        <w:tc>
          <w:tcPr>
            <w:tcW w:w="7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(12)%</w:t>
            </w:r>
          </w:p>
        </w:tc>
        <w:tc>
          <w:tcPr>
            <w:tcW w:w="0" w:type="dxa"/>
            <w:vAlign w:val="bottom"/>
          </w:tcPr>
          <w:p>
            <w:pPr>
              <w:spacing w:after="0"/>
              <w:rPr>
                <w:sz w:val="1"/>
                <w:szCs w:val="1"/>
                <w:color w:val="auto"/>
              </w:rPr>
            </w:pPr>
          </w:p>
        </w:tc>
      </w:tr>
      <w:tr>
        <w:trPr>
          <w:trHeight w:val="124"/>
        </w:trPr>
        <w:tc>
          <w:tcPr>
            <w:tcW w:w="44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Cost of products and services sold</w:t>
            </w:r>
          </w:p>
        </w:tc>
        <w:tc>
          <w:tcPr>
            <w:tcW w:w="222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gridSpan w:val="2"/>
          </w:tcPr>
          <w:p>
            <w:pPr>
              <w:jc w:val="right"/>
              <w:ind w:right="40"/>
              <w:spacing w:after="0"/>
              <w:rPr>
                <w:sz w:val="20"/>
                <w:szCs w:val="20"/>
                <w:color w:val="auto"/>
              </w:rPr>
            </w:pPr>
            <w:r>
              <w:rPr>
                <w:rFonts w:ascii="Arial" w:cs="Arial" w:eastAsia="Arial" w:hAnsi="Arial"/>
                <w:sz w:val="10"/>
                <w:szCs w:val="10"/>
                <w:color w:val="auto"/>
              </w:rPr>
              <w:t>3,409</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4,506</w:t>
            </w:r>
          </w:p>
        </w:tc>
        <w:tc>
          <w:tcPr>
            <w:tcW w:w="70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jc w:val="right"/>
              <w:ind w:right="372"/>
              <w:spacing w:after="0"/>
              <w:rPr>
                <w:sz w:val="20"/>
                <w:szCs w:val="20"/>
                <w:color w:val="auto"/>
              </w:rPr>
            </w:pPr>
            <w:r>
              <w:rPr>
                <w:rFonts w:ascii="Arial" w:cs="Arial" w:eastAsia="Arial" w:hAnsi="Arial"/>
                <w:sz w:val="10"/>
                <w:szCs w:val="10"/>
                <w:color w:val="auto"/>
              </w:rPr>
              <w:t>5,444</w:t>
            </w:r>
          </w:p>
        </w:tc>
        <w:tc>
          <w:tcPr>
            <w:tcW w:w="70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42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Selling, general and administrative and other expenses</w:t>
            </w:r>
          </w:p>
        </w:tc>
        <w:tc>
          <w:tcPr>
            <w:tcW w:w="222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gridSpan w:val="2"/>
          </w:tcPr>
          <w:p>
            <w:pPr>
              <w:jc w:val="right"/>
              <w:ind w:right="40"/>
              <w:spacing w:after="0"/>
              <w:rPr>
                <w:sz w:val="20"/>
                <w:szCs w:val="20"/>
                <w:color w:val="auto"/>
              </w:rPr>
            </w:pPr>
            <w:r>
              <w:rPr>
                <w:rFonts w:ascii="Arial" w:cs="Arial" w:eastAsia="Arial" w:hAnsi="Arial"/>
                <w:sz w:val="10"/>
                <w:szCs w:val="10"/>
                <w:color w:val="auto"/>
              </w:rPr>
              <w:t>1,179</w:t>
            </w:r>
          </w:p>
        </w:tc>
        <w:tc>
          <w:tcPr>
            <w:tcW w:w="34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1,321</w:t>
            </w:r>
          </w:p>
        </w:tc>
        <w:tc>
          <w:tcPr>
            <w:tcW w:w="70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14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1040" w:type="dxa"/>
            <w:vAlign w:val="bottom"/>
            <w:tcBorders>
              <w:bottom w:val="single" w:sz="8" w:color="D7282F"/>
            </w:tcBorders>
          </w:tcPr>
          <w:p>
            <w:pPr>
              <w:jc w:val="right"/>
              <w:ind w:right="372"/>
              <w:spacing w:after="0"/>
              <w:rPr>
                <w:sz w:val="20"/>
                <w:szCs w:val="20"/>
                <w:color w:val="auto"/>
              </w:rPr>
            </w:pPr>
            <w:r>
              <w:rPr>
                <w:rFonts w:ascii="Arial" w:cs="Arial" w:eastAsia="Arial" w:hAnsi="Arial"/>
                <w:sz w:val="10"/>
                <w:szCs w:val="10"/>
                <w:color w:val="auto"/>
              </w:rPr>
              <w:t>1,341</w:t>
            </w:r>
          </w:p>
        </w:tc>
        <w:tc>
          <w:tcPr>
            <w:tcW w:w="700" w:type="dxa"/>
            <w:vAlign w:val="bottom"/>
            <w:tcBorders>
              <w:bottom w:val="single" w:sz="8" w:color="D7282F"/>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42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Segment profit</w:t>
            </w:r>
          </w:p>
        </w:tc>
        <w:tc>
          <w:tcPr>
            <w:tcW w:w="222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gridSpan w:val="2"/>
          </w:tcPr>
          <w:p>
            <w:pPr>
              <w:jc w:val="right"/>
              <w:ind w:right="40"/>
              <w:spacing w:after="0"/>
              <w:rPr>
                <w:sz w:val="20"/>
                <w:szCs w:val="20"/>
                <w:color w:val="auto"/>
              </w:rPr>
            </w:pPr>
            <w:r>
              <w:rPr>
                <w:rFonts w:ascii="Arial" w:cs="Arial" w:eastAsia="Arial" w:hAnsi="Arial"/>
                <w:sz w:val="10"/>
                <w:szCs w:val="10"/>
                <w:b w:val="1"/>
                <w:bCs w:val="1"/>
                <w:color w:val="auto"/>
              </w:rPr>
              <w:t>901</w:t>
            </w:r>
          </w:p>
        </w:tc>
        <w:tc>
          <w:tcPr>
            <w:tcW w:w="3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1,080</w:t>
            </w:r>
          </w:p>
        </w:tc>
        <w:tc>
          <w:tcPr>
            <w:tcW w:w="1060" w:type="dxa"/>
            <w:vAlign w:val="bottom"/>
            <w:tcBorders>
              <w:bottom w:val="single" w:sz="8" w:color="D7282F"/>
            </w:tcBorders>
            <w:gridSpan w:val="3"/>
          </w:tcPr>
          <w:p>
            <w:pPr>
              <w:jc w:val="right"/>
              <w:ind w:right="120"/>
              <w:spacing w:after="0"/>
              <w:rPr>
                <w:sz w:val="20"/>
                <w:szCs w:val="20"/>
                <w:color w:val="auto"/>
              </w:rPr>
            </w:pPr>
            <w:r>
              <w:rPr>
                <w:rFonts w:ascii="Arial" w:cs="Arial" w:eastAsia="Arial" w:hAnsi="Arial"/>
                <w:sz w:val="10"/>
                <w:szCs w:val="10"/>
                <w:b w:val="1"/>
                <w:bCs w:val="1"/>
                <w:color w:val="auto"/>
              </w:rPr>
              <w:t>(17)%</w:t>
            </w: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1040" w:type="dxa"/>
            <w:vAlign w:val="bottom"/>
            <w:tcBorders>
              <w:bottom w:val="single" w:sz="8" w:color="D7282F"/>
            </w:tcBorders>
          </w:tcPr>
          <w:p>
            <w:pPr>
              <w:jc w:val="right"/>
              <w:ind w:right="372"/>
              <w:spacing w:after="0"/>
              <w:rPr>
                <w:sz w:val="20"/>
                <w:szCs w:val="20"/>
                <w:color w:val="auto"/>
              </w:rPr>
            </w:pPr>
            <w:r>
              <w:rPr>
                <w:rFonts w:ascii="Arial" w:cs="Arial" w:eastAsia="Arial" w:hAnsi="Arial"/>
                <w:sz w:val="10"/>
                <w:szCs w:val="10"/>
                <w:b w:val="1"/>
                <w:bCs w:val="1"/>
                <w:color w:val="auto"/>
              </w:rPr>
              <w:t>1,029</w:t>
            </w: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5 %</w:t>
            </w:r>
          </w:p>
        </w:tc>
        <w:tc>
          <w:tcPr>
            <w:tcW w:w="0" w:type="dxa"/>
            <w:vAlign w:val="bottom"/>
          </w:tcPr>
          <w:p>
            <w:pPr>
              <w:spacing w:after="0"/>
              <w:rPr>
                <w:sz w:val="1"/>
                <w:szCs w:val="1"/>
                <w:color w:val="auto"/>
              </w:rPr>
            </w:pPr>
          </w:p>
        </w:tc>
      </w:tr>
      <w:tr>
        <w:trPr>
          <w:trHeight w:val="313"/>
        </w:trPr>
        <w:tc>
          <w:tcPr>
            <w:tcW w:w="4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Borders>
              <w:bottom w:val="single" w:sz="8" w:color="D7282F"/>
            </w:tcBorders>
          </w:tcPr>
          <w:p>
            <w:pPr>
              <w:spacing w:after="0"/>
              <w:rPr>
                <w:sz w:val="24"/>
                <w:szCs w:val="24"/>
                <w:color w:val="auto"/>
              </w:rPr>
            </w:pPr>
          </w:p>
        </w:tc>
        <w:tc>
          <w:tcPr>
            <w:tcW w:w="340" w:type="dxa"/>
            <w:vAlign w:val="bottom"/>
            <w:tcBorders>
              <w:bottom w:val="single" w:sz="8" w:color="D7282F"/>
            </w:tcBorders>
          </w:tcPr>
          <w:p>
            <w:pPr>
              <w:spacing w:after="0"/>
              <w:rPr>
                <w:sz w:val="24"/>
                <w:szCs w:val="24"/>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2023 vs. 2022</w:t>
            </w:r>
          </w:p>
        </w:tc>
        <w:tc>
          <w:tcPr>
            <w:tcW w:w="700" w:type="dxa"/>
            <w:vAlign w:val="bottom"/>
            <w:tcBorders>
              <w:bottom w:val="single" w:sz="8" w:color="D7282F"/>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D7282F"/>
            </w:tcBorders>
          </w:tcPr>
          <w:p>
            <w:pPr>
              <w:spacing w:after="0"/>
              <w:rPr>
                <w:sz w:val="24"/>
                <w:szCs w:val="24"/>
                <w:color w:val="auto"/>
              </w:rPr>
            </w:pPr>
          </w:p>
        </w:tc>
        <w:tc>
          <w:tcPr>
            <w:tcW w:w="180" w:type="dxa"/>
            <w:vAlign w:val="bottom"/>
            <w:tcBorders>
              <w:bottom w:val="single" w:sz="8" w:color="D7282F"/>
            </w:tcBorders>
          </w:tcPr>
          <w:p>
            <w:pPr>
              <w:spacing w:after="0"/>
              <w:rPr>
                <w:sz w:val="24"/>
                <w:szCs w:val="24"/>
                <w:color w:val="auto"/>
              </w:rPr>
            </w:pP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2022 vs. 2021</w:t>
            </w:r>
          </w:p>
        </w:tc>
        <w:tc>
          <w:tcPr>
            <w:tcW w:w="70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420" w:type="dxa"/>
            <w:vAlign w:val="bottom"/>
            <w:vMerge w:val="restart"/>
          </w:tcPr>
          <w:p>
            <w:pPr>
              <w:spacing w:after="0"/>
              <w:rPr>
                <w:sz w:val="20"/>
                <w:szCs w:val="20"/>
                <w:color w:val="auto"/>
              </w:rPr>
            </w:pPr>
            <w:r>
              <w:rPr>
                <w:rFonts w:ascii="Arial" w:cs="Arial" w:eastAsia="Arial" w:hAnsi="Arial"/>
                <w:sz w:val="10"/>
                <w:szCs w:val="10"/>
                <w:b w:val="1"/>
                <w:bCs w:val="1"/>
                <w:color w:val="auto"/>
              </w:rPr>
              <w:t>Factors Contributing to Year-Over-Year Change</w:t>
            </w:r>
          </w:p>
        </w:tc>
        <w:tc>
          <w:tcPr>
            <w:tcW w:w="2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jc w:val="right"/>
              <w:ind w:right="32"/>
              <w:spacing w:after="0" w:line="107" w:lineRule="exact"/>
              <w:rPr>
                <w:sz w:val="20"/>
                <w:szCs w:val="20"/>
                <w:color w:val="auto"/>
              </w:rPr>
            </w:pPr>
            <w:r>
              <w:rPr>
                <w:rFonts w:ascii="Arial" w:cs="Arial" w:eastAsia="Arial" w:hAnsi="Arial"/>
                <w:sz w:val="10"/>
                <w:szCs w:val="10"/>
                <w:b w:val="1"/>
                <w:bCs w:val="1"/>
                <w:color w:val="auto"/>
              </w:rPr>
              <w:t>Net</w:t>
            </w:r>
          </w:p>
        </w:tc>
        <w:tc>
          <w:tcPr>
            <w:tcW w:w="740" w:type="dxa"/>
            <w:vAlign w:val="bottom"/>
          </w:tcPr>
          <w:p>
            <w:pPr>
              <w:spacing w:after="0"/>
              <w:rPr>
                <w:sz w:val="9"/>
                <w:szCs w:val="9"/>
                <w:color w:val="auto"/>
              </w:rPr>
            </w:pPr>
          </w:p>
        </w:tc>
        <w:tc>
          <w:tcPr>
            <w:tcW w:w="1060" w:type="dxa"/>
            <w:vAlign w:val="bottom"/>
            <w:gridSpan w:val="3"/>
          </w:tcPr>
          <w:p>
            <w:pPr>
              <w:jc w:val="right"/>
              <w:ind w:right="620"/>
              <w:spacing w:after="0" w:line="107" w:lineRule="exact"/>
              <w:rPr>
                <w:sz w:val="20"/>
                <w:szCs w:val="20"/>
                <w:color w:val="auto"/>
              </w:rPr>
            </w:pPr>
            <w:r>
              <w:rPr>
                <w:rFonts w:ascii="Arial" w:cs="Arial" w:eastAsia="Arial" w:hAnsi="Arial"/>
                <w:sz w:val="10"/>
                <w:szCs w:val="10"/>
                <w:b w:val="1"/>
                <w:bCs w:val="1"/>
                <w:color w:val="auto"/>
                <w:w w:val="99"/>
              </w:rPr>
              <w:t>Segment</w:t>
            </w:r>
          </w:p>
        </w:tc>
        <w:tc>
          <w:tcPr>
            <w:tcW w:w="180" w:type="dxa"/>
            <w:vAlign w:val="bottom"/>
          </w:tcPr>
          <w:p>
            <w:pPr>
              <w:spacing w:after="0"/>
              <w:rPr>
                <w:sz w:val="9"/>
                <w:szCs w:val="9"/>
                <w:color w:val="auto"/>
              </w:rPr>
            </w:pPr>
          </w:p>
        </w:tc>
        <w:tc>
          <w:tcPr>
            <w:tcW w:w="1040" w:type="dxa"/>
            <w:vAlign w:val="bottom"/>
          </w:tcPr>
          <w:p>
            <w:pPr>
              <w:jc w:val="right"/>
              <w:ind w:right="772"/>
              <w:spacing w:after="0" w:line="107" w:lineRule="exact"/>
              <w:rPr>
                <w:sz w:val="20"/>
                <w:szCs w:val="20"/>
                <w:color w:val="auto"/>
              </w:rPr>
            </w:pPr>
            <w:r>
              <w:rPr>
                <w:rFonts w:ascii="Arial" w:cs="Arial" w:eastAsia="Arial" w:hAnsi="Arial"/>
                <w:sz w:val="10"/>
                <w:szCs w:val="10"/>
                <w:b w:val="1"/>
                <w:bCs w:val="1"/>
                <w:color w:val="auto"/>
              </w:rPr>
              <w:t>Net</w:t>
            </w:r>
          </w:p>
        </w:tc>
        <w:tc>
          <w:tcPr>
            <w:tcW w:w="700" w:type="dxa"/>
            <w:vAlign w:val="bottom"/>
          </w:tcPr>
          <w:p>
            <w:pPr>
              <w:jc w:val="right"/>
              <w:ind w:right="212"/>
              <w:spacing w:after="0" w:line="107" w:lineRule="exact"/>
              <w:rPr>
                <w:sz w:val="20"/>
                <w:szCs w:val="20"/>
                <w:color w:val="auto"/>
              </w:rPr>
            </w:pPr>
            <w:r>
              <w:rPr>
                <w:rFonts w:ascii="Arial" w:cs="Arial" w:eastAsia="Arial" w:hAnsi="Arial"/>
                <w:sz w:val="10"/>
                <w:szCs w:val="10"/>
                <w:b w:val="1"/>
                <w:bCs w:val="1"/>
                <w:color w:val="auto"/>
                <w:w w:val="99"/>
              </w:rPr>
              <w:t>Segment</w:t>
            </w:r>
          </w:p>
        </w:tc>
        <w:tc>
          <w:tcPr>
            <w:tcW w:w="0" w:type="dxa"/>
            <w:vAlign w:val="bottom"/>
          </w:tcPr>
          <w:p>
            <w:pPr>
              <w:spacing w:after="0"/>
              <w:rPr>
                <w:sz w:val="1"/>
                <w:szCs w:val="1"/>
                <w:color w:val="auto"/>
              </w:rPr>
            </w:pPr>
          </w:p>
        </w:tc>
      </w:tr>
      <w:tr>
        <w:trPr>
          <w:trHeight w:val="126"/>
        </w:trPr>
        <w:tc>
          <w:tcPr>
            <w:tcW w:w="4420" w:type="dxa"/>
            <w:vAlign w:val="bottom"/>
            <w:tcBorders>
              <w:bottom w:val="single" w:sz="8" w:color="D7282F"/>
            </w:tcBorders>
            <w:vMerge w:val="continue"/>
          </w:tcPr>
          <w:p>
            <w:pPr>
              <w:spacing w:after="0"/>
              <w:rPr>
                <w:sz w:val="10"/>
                <w:szCs w:val="10"/>
                <w:color w:val="auto"/>
              </w:rPr>
            </w:pPr>
          </w:p>
        </w:tc>
        <w:tc>
          <w:tcPr>
            <w:tcW w:w="222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Sales</w:t>
            </w:r>
          </w:p>
        </w:tc>
        <w:tc>
          <w:tcPr>
            <w:tcW w:w="740" w:type="dxa"/>
            <w:vAlign w:val="bottom"/>
            <w:tcBorders>
              <w:bottom w:val="single" w:sz="8" w:color="D7282F"/>
            </w:tcBorders>
          </w:tcPr>
          <w:p>
            <w:pPr>
              <w:spacing w:after="0"/>
              <w:rPr>
                <w:sz w:val="10"/>
                <w:szCs w:val="10"/>
                <w:color w:val="auto"/>
              </w:rPr>
            </w:pPr>
          </w:p>
        </w:tc>
        <w:tc>
          <w:tcPr>
            <w:tcW w:w="1060" w:type="dxa"/>
            <w:vAlign w:val="bottom"/>
            <w:tcBorders>
              <w:bottom w:val="single" w:sz="8" w:color="D7282F"/>
            </w:tcBorders>
            <w:gridSpan w:val="3"/>
          </w:tcPr>
          <w:p>
            <w:pPr>
              <w:jc w:val="right"/>
              <w:ind w:right="700"/>
              <w:spacing w:after="0"/>
              <w:rPr>
                <w:sz w:val="20"/>
                <w:szCs w:val="20"/>
                <w:color w:val="auto"/>
              </w:rPr>
            </w:pPr>
            <w:r>
              <w:rPr>
                <w:rFonts w:ascii="Arial" w:cs="Arial" w:eastAsia="Arial" w:hAnsi="Arial"/>
                <w:sz w:val="10"/>
                <w:szCs w:val="10"/>
                <w:b w:val="1"/>
                <w:bCs w:val="1"/>
                <w:color w:val="auto"/>
              </w:rPr>
              <w:t>Profit</w:t>
            </w:r>
          </w:p>
        </w:tc>
        <w:tc>
          <w:tcPr>
            <w:tcW w:w="180" w:type="dxa"/>
            <w:vAlign w:val="bottom"/>
            <w:tcBorders>
              <w:bottom w:val="single" w:sz="8" w:color="D7282F"/>
            </w:tcBorders>
          </w:tcPr>
          <w:p>
            <w:pPr>
              <w:spacing w:after="0"/>
              <w:rPr>
                <w:sz w:val="10"/>
                <w:szCs w:val="10"/>
                <w:color w:val="auto"/>
              </w:rPr>
            </w:pPr>
          </w:p>
        </w:tc>
        <w:tc>
          <w:tcPr>
            <w:tcW w:w="1040" w:type="dxa"/>
            <w:vAlign w:val="bottom"/>
            <w:tcBorders>
              <w:bottom w:val="single" w:sz="8" w:color="D7282F"/>
            </w:tcBorders>
          </w:tcPr>
          <w:p>
            <w:pPr>
              <w:jc w:val="right"/>
              <w:ind w:right="732"/>
              <w:spacing w:after="0"/>
              <w:rPr>
                <w:sz w:val="20"/>
                <w:szCs w:val="20"/>
                <w:color w:val="auto"/>
              </w:rPr>
            </w:pPr>
            <w:r>
              <w:rPr>
                <w:rFonts w:ascii="Arial" w:cs="Arial" w:eastAsia="Arial" w:hAnsi="Arial"/>
                <w:sz w:val="10"/>
                <w:szCs w:val="10"/>
                <w:b w:val="1"/>
                <w:bCs w:val="1"/>
                <w:color w:val="auto"/>
                <w:w w:val="91"/>
              </w:rPr>
              <w:t>Sales</w:t>
            </w:r>
          </w:p>
        </w:tc>
        <w:tc>
          <w:tcPr>
            <w:tcW w:w="70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rPr>
              <w:t>Profit</w:t>
            </w:r>
          </w:p>
        </w:tc>
        <w:tc>
          <w:tcPr>
            <w:tcW w:w="0" w:type="dxa"/>
            <w:vAlign w:val="bottom"/>
          </w:tcPr>
          <w:p>
            <w:pPr>
              <w:spacing w:after="0"/>
              <w:rPr>
                <w:sz w:val="1"/>
                <w:szCs w:val="1"/>
                <w:color w:val="auto"/>
              </w:rPr>
            </w:pPr>
          </w:p>
        </w:tc>
      </w:tr>
      <w:tr>
        <w:trPr>
          <w:trHeight w:val="121"/>
        </w:trPr>
        <w:tc>
          <w:tcPr>
            <w:tcW w:w="44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Organic</w:t>
            </w:r>
          </w:p>
        </w:tc>
        <w:tc>
          <w:tcPr>
            <w:tcW w:w="2220" w:type="dxa"/>
            <w:vAlign w:val="bottom"/>
            <w:tcBorders>
              <w:bottom w:val="single" w:sz="8" w:color="888B8D"/>
            </w:tcBorders>
          </w:tcPr>
          <w:p>
            <w:pPr>
              <w:spacing w:after="0"/>
              <w:rPr>
                <w:sz w:val="10"/>
                <w:szCs w:val="10"/>
                <w:color w:val="auto"/>
              </w:rPr>
            </w:pPr>
          </w:p>
        </w:tc>
        <w:tc>
          <w:tcPr>
            <w:tcW w:w="320" w:type="dxa"/>
            <w:vAlign w:val="bottom"/>
            <w:tcBorders>
              <w:bottom w:val="single" w:sz="8" w:color="888B8D"/>
            </w:tcBorders>
          </w:tcPr>
          <w:p>
            <w:pPr>
              <w:spacing w:after="0"/>
              <w:rPr>
                <w:sz w:val="10"/>
                <w:szCs w:val="10"/>
                <w:color w:val="auto"/>
              </w:rPr>
            </w:pPr>
          </w:p>
        </w:tc>
        <w:tc>
          <w:tcPr>
            <w:tcW w:w="280" w:type="dxa"/>
            <w:vAlign w:val="bottom"/>
            <w:tcBorders>
              <w:bottom w:val="single" w:sz="8" w:color="888B8D"/>
            </w:tcBorders>
          </w:tcPr>
          <w:p>
            <w:pPr>
              <w:spacing w:after="0"/>
              <w:rPr>
                <w:sz w:val="10"/>
                <w:szCs w:val="10"/>
                <w:color w:val="auto"/>
              </w:rPr>
            </w:pP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412"/>
              <w:spacing w:after="0"/>
              <w:rPr>
                <w:sz w:val="20"/>
                <w:szCs w:val="20"/>
                <w:color w:val="auto"/>
              </w:rPr>
            </w:pPr>
            <w:r>
              <w:rPr>
                <w:rFonts w:ascii="Arial" w:cs="Arial" w:eastAsia="Arial" w:hAnsi="Arial"/>
                <w:sz w:val="10"/>
                <w:szCs w:val="10"/>
                <w:color w:val="auto"/>
                <w:w w:val="97"/>
              </w:rPr>
              <w:t>(20)%</w:t>
            </w:r>
          </w:p>
        </w:tc>
        <w:tc>
          <w:tcPr>
            <w:tcW w:w="7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(16)%</w:t>
            </w: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jc w:val="right"/>
              <w:ind w:right="412"/>
              <w:spacing w:after="0"/>
              <w:rPr>
                <w:sz w:val="20"/>
                <w:szCs w:val="20"/>
                <w:color w:val="auto"/>
              </w:rPr>
            </w:pPr>
            <w:r>
              <w:rPr>
                <w:rFonts w:ascii="Arial" w:cs="Arial" w:eastAsia="Arial" w:hAnsi="Arial"/>
                <w:sz w:val="10"/>
                <w:szCs w:val="10"/>
                <w:color w:val="auto"/>
              </w:rPr>
              <w:t>(9)%</w:t>
            </w:r>
          </w:p>
        </w:tc>
        <w:tc>
          <w:tcPr>
            <w:tcW w:w="7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9 %</w:t>
            </w:r>
          </w:p>
        </w:tc>
        <w:tc>
          <w:tcPr>
            <w:tcW w:w="0" w:type="dxa"/>
            <w:vAlign w:val="bottom"/>
          </w:tcPr>
          <w:p>
            <w:pPr>
              <w:spacing w:after="0"/>
              <w:rPr>
                <w:sz w:val="1"/>
                <w:szCs w:val="1"/>
                <w:color w:val="auto"/>
              </w:rPr>
            </w:pPr>
          </w:p>
        </w:tc>
      </w:tr>
      <w:tr>
        <w:trPr>
          <w:trHeight w:val="124"/>
        </w:trPr>
        <w:tc>
          <w:tcPr>
            <w:tcW w:w="44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Foreign currency translation</w:t>
            </w:r>
          </w:p>
        </w:tc>
        <w:tc>
          <w:tcPr>
            <w:tcW w:w="2220" w:type="dxa"/>
            <w:vAlign w:val="bottom"/>
            <w:tcBorders>
              <w:bottom w:val="single" w:sz="8" w:color="888B8D"/>
            </w:tcBorders>
          </w:tcPr>
          <w:p>
            <w:pPr>
              <w:spacing w:after="0"/>
              <w:rPr>
                <w:sz w:val="10"/>
                <w:szCs w:val="10"/>
                <w:color w:val="auto"/>
              </w:rPr>
            </w:pPr>
          </w:p>
        </w:tc>
        <w:tc>
          <w:tcPr>
            <w:tcW w:w="320" w:type="dxa"/>
            <w:vAlign w:val="bottom"/>
            <w:tcBorders>
              <w:bottom w:val="single" w:sz="8" w:color="888B8D"/>
            </w:tcBorders>
          </w:tcPr>
          <w:p>
            <w:pPr>
              <w:spacing w:after="0"/>
              <w:rPr>
                <w:sz w:val="10"/>
                <w:szCs w:val="10"/>
                <w:color w:val="auto"/>
              </w:rPr>
            </w:pPr>
          </w:p>
        </w:tc>
        <w:tc>
          <w:tcPr>
            <w:tcW w:w="280" w:type="dxa"/>
            <w:vAlign w:val="bottom"/>
            <w:tcBorders>
              <w:bottom w:val="single" w:sz="8" w:color="888B8D"/>
            </w:tcBorders>
          </w:tcPr>
          <w:p>
            <w:pPr>
              <w:spacing w:after="0"/>
              <w:rPr>
                <w:sz w:val="10"/>
                <w:szCs w:val="10"/>
                <w:color w:val="auto"/>
              </w:rPr>
            </w:pP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412"/>
              <w:spacing w:after="0"/>
              <w:rPr>
                <w:sz w:val="20"/>
                <w:szCs w:val="20"/>
                <w:color w:val="auto"/>
              </w:rPr>
            </w:pPr>
            <w:r>
              <w:rPr>
                <w:rFonts w:ascii="Arial" w:cs="Arial" w:eastAsia="Arial" w:hAnsi="Arial"/>
                <w:sz w:val="10"/>
                <w:szCs w:val="10"/>
                <w:color w:val="auto"/>
              </w:rPr>
              <w:t>(1)%</w:t>
            </w:r>
          </w:p>
        </w:tc>
        <w:tc>
          <w:tcPr>
            <w:tcW w:w="7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w:t>
            </w: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jc w:val="right"/>
              <w:ind w:right="412"/>
              <w:spacing w:after="0"/>
              <w:rPr>
                <w:sz w:val="20"/>
                <w:szCs w:val="20"/>
                <w:color w:val="auto"/>
              </w:rPr>
            </w:pPr>
            <w:r>
              <w:rPr>
                <w:rFonts w:ascii="Arial" w:cs="Arial" w:eastAsia="Arial" w:hAnsi="Arial"/>
                <w:sz w:val="10"/>
                <w:szCs w:val="10"/>
                <w:color w:val="auto"/>
              </w:rPr>
              <w:t>(3)%</w:t>
            </w:r>
          </w:p>
        </w:tc>
        <w:tc>
          <w:tcPr>
            <w:tcW w:w="7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24"/>
        </w:trPr>
        <w:tc>
          <w:tcPr>
            <w:tcW w:w="442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Acquisitions, divestitures, and other, net</w:t>
            </w:r>
          </w:p>
        </w:tc>
        <w:tc>
          <w:tcPr>
            <w:tcW w:w="222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color w:val="auto"/>
              </w:rPr>
              <w:t>— %</w:t>
            </w:r>
          </w:p>
        </w:tc>
        <w:tc>
          <w:tcPr>
            <w:tcW w:w="1060" w:type="dxa"/>
            <w:vAlign w:val="bottom"/>
            <w:tcBorders>
              <w:bottom w:val="single" w:sz="8" w:color="D7282F"/>
            </w:tcBorders>
            <w:gridSpan w:val="3"/>
          </w:tcPr>
          <w:p>
            <w:pPr>
              <w:jc w:val="right"/>
              <w:ind w:right="380"/>
              <w:spacing w:after="0"/>
              <w:rPr>
                <w:sz w:val="20"/>
                <w:szCs w:val="20"/>
                <w:color w:val="auto"/>
              </w:rPr>
            </w:pPr>
            <w:r>
              <w:rPr>
                <w:rFonts w:ascii="Arial" w:cs="Arial" w:eastAsia="Arial" w:hAnsi="Arial"/>
                <w:sz w:val="10"/>
                <w:szCs w:val="10"/>
                <w:color w:val="auto"/>
              </w:rPr>
              <w:t>— %</w:t>
            </w:r>
          </w:p>
        </w:tc>
        <w:tc>
          <w:tcPr>
            <w:tcW w:w="180" w:type="dxa"/>
            <w:vAlign w:val="bottom"/>
            <w:tcBorders>
              <w:bottom w:val="single" w:sz="8" w:color="D7282F"/>
            </w:tcBorders>
          </w:tcPr>
          <w:p>
            <w:pPr>
              <w:spacing w:after="0"/>
              <w:rPr>
                <w:sz w:val="10"/>
                <w:szCs w:val="10"/>
                <w:color w:val="auto"/>
              </w:rPr>
            </w:pPr>
          </w:p>
        </w:tc>
        <w:tc>
          <w:tcPr>
            <w:tcW w:w="104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color w:val="auto"/>
              </w:rPr>
              <w:t>— %</w:t>
            </w: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26"/>
        </w:trPr>
        <w:tc>
          <w:tcPr>
            <w:tcW w:w="442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 change</w:t>
            </w:r>
          </w:p>
        </w:tc>
        <w:tc>
          <w:tcPr>
            <w:tcW w:w="222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b w:val="1"/>
                <w:bCs w:val="1"/>
                <w:color w:val="auto"/>
                <w:w w:val="97"/>
              </w:rPr>
              <w:t>(21)%</w:t>
            </w: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(17)%</w:t>
            </w:r>
          </w:p>
        </w:tc>
        <w:tc>
          <w:tcPr>
            <w:tcW w:w="220" w:type="dxa"/>
            <w:vAlign w:val="bottom"/>
            <w:tcBorders>
              <w:bottom w:val="single" w:sz="8" w:color="D7282F"/>
            </w:tcBorders>
          </w:tcPr>
          <w:p>
            <w:pPr>
              <w:spacing w:after="0"/>
              <w:rPr>
                <w:sz w:val="10"/>
                <w:szCs w:val="10"/>
                <w:color w:val="auto"/>
              </w:rPr>
            </w:pPr>
          </w:p>
        </w:tc>
        <w:tc>
          <w:tcPr>
            <w:tcW w:w="14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104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b w:val="1"/>
                <w:bCs w:val="1"/>
                <w:color w:val="auto"/>
              </w:rPr>
              <w:t>(12)%</w:t>
            </w: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5 %</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2023 compared with 2022</w:t>
      </w:r>
    </w:p>
    <w:p>
      <w:pPr>
        <w:spacing w:after="0" w:line="19" w:lineRule="exact"/>
        <w:rPr>
          <w:sz w:val="20"/>
          <w:szCs w:val="20"/>
          <w:color w:val="auto"/>
        </w:rPr>
      </w:pPr>
    </w:p>
    <w:p>
      <w:pPr>
        <w:jc w:val="both"/>
        <w:ind w:left="8"/>
        <w:spacing w:after="0" w:line="249" w:lineRule="auto"/>
        <w:rPr>
          <w:sz w:val="20"/>
          <w:szCs w:val="20"/>
          <w:color w:val="auto"/>
        </w:rPr>
      </w:pPr>
      <w:r>
        <w:rPr>
          <w:rFonts w:ascii="Arial" w:cs="Arial" w:eastAsia="Arial" w:hAnsi="Arial"/>
          <w:sz w:val="11"/>
          <w:szCs w:val="11"/>
          <w:color w:val="auto"/>
        </w:rPr>
        <w:t>Sales decreased $1,418 million due to lower organic sales of $866 million in Warehouse and Workflow Solutions driven by lower demand for projects and lower organic sales of $426 million in Productivity Solutions and Services driven by lower demand for products.</w:t>
      </w:r>
    </w:p>
    <w:p>
      <w:pPr>
        <w:spacing w:after="0" w:line="52" w:lineRule="exact"/>
        <w:rPr>
          <w:sz w:val="20"/>
          <w:szCs w:val="20"/>
          <w:color w:val="auto"/>
        </w:rPr>
      </w:pPr>
    </w:p>
    <w:p>
      <w:pPr>
        <w:ind w:left="8"/>
        <w:spacing w:after="0"/>
        <w:rPr>
          <w:sz w:val="20"/>
          <w:szCs w:val="20"/>
          <w:color w:val="auto"/>
        </w:rPr>
      </w:pPr>
      <w:r>
        <w:rPr>
          <w:rFonts w:ascii="Arial" w:cs="Arial" w:eastAsia="Arial" w:hAnsi="Arial"/>
          <w:sz w:val="11"/>
          <w:szCs w:val="11"/>
          <w:color w:val="auto"/>
        </w:rPr>
        <w:t>Segment profit decreased $179 million and segment margin percentage increased 80 basis points to 16.4% compared to 15.6% for the same period in 2022.</w:t>
      </w:r>
    </w:p>
    <w:p>
      <w:pPr>
        <w:spacing w:after="0" w:line="81"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During the second quarter of 2022, our Productivity Solutions and Services business entered into a license and settlement agreement (the Agreement). Under the Agreement, we will receive up to $360 million, paid in equal quarterly installments over eight quarters, beginning with the second quarter of 2022. The Agreement provides each party a license to its existing patent portfolio for use by the other party’s existing products and resolves all patent-related litigation between the parties.</w:t>
      </w:r>
    </w:p>
    <w:p>
      <w:pPr>
        <w:spacing w:after="0" w:line="270" w:lineRule="exact"/>
        <w:rPr>
          <w:sz w:val="20"/>
          <w:szCs w:val="20"/>
          <w:color w:val="auto"/>
        </w:rPr>
      </w:pPr>
    </w:p>
    <w:p>
      <w:pPr>
        <w:ind w:left="268" w:hanging="268"/>
        <w:spacing w:after="0"/>
        <w:tabs>
          <w:tab w:leader="none" w:pos="268" w:val="left"/>
        </w:tabs>
        <w:numPr>
          <w:ilvl w:val="0"/>
          <w:numId w:val="61"/>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30" w:name="page31"/>
    <w:bookmarkEnd w:id="30"/>
    <w:p>
      <w:pPr>
        <w:ind w:left="8"/>
        <w:spacing w:after="0"/>
        <w:tabs>
          <w:tab w:leader="none" w:pos="984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REVIEW OF BUSINESS SEGMENTS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
        <w:spacing w:after="0"/>
        <w:rPr>
          <w:sz w:val="20"/>
          <w:szCs w:val="20"/>
          <w:color w:val="auto"/>
        </w:rPr>
      </w:pPr>
      <w:r>
        <w:rPr>
          <w:rFonts w:ascii="Arial" w:cs="Arial" w:eastAsia="Arial" w:hAnsi="Arial"/>
          <w:sz w:val="19"/>
          <w:szCs w:val="19"/>
          <w:color w:val="D7282F"/>
        </w:rPr>
        <w:t>CORPORATE AND ALL OTHER</w:t>
      </w:r>
    </w:p>
    <w:p>
      <w:pPr>
        <w:spacing w:after="0" w:line="172"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Corporate and All Other primarily includes unallocated corporate costs, interest expense on holding-company debt, and the controlling majority-owned interest in Quantinuum. Corporate and All Other is not a separate reportable business segment as segment reporting criteria is not met. The Company continues to monitor the activities in Corporate and All Other to determine the need for further reportable business segment disaggregation.</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9"/>
          <w:szCs w:val="19"/>
          <w:color w:val="D7282F"/>
        </w:rPr>
        <w:t>REPOSITIONING CHARGES</w:t>
      </w:r>
    </w:p>
    <w:p>
      <w:pPr>
        <w:spacing w:after="0" w:line="172" w:lineRule="exact"/>
        <w:rPr>
          <w:sz w:val="20"/>
          <w:szCs w:val="20"/>
          <w:color w:val="auto"/>
        </w:rPr>
      </w:pPr>
    </w:p>
    <w:p>
      <w:pPr>
        <w:jc w:val="both"/>
        <w:ind w:left="8" w:right="20"/>
        <w:spacing w:after="0" w:line="268" w:lineRule="auto"/>
        <w:rPr>
          <w:sz w:val="20"/>
          <w:szCs w:val="20"/>
          <w:color w:val="auto"/>
        </w:rPr>
      </w:pPr>
      <w:r>
        <w:rPr>
          <w:rFonts w:ascii="Arial" w:cs="Arial" w:eastAsia="Arial" w:hAnsi="Arial"/>
          <w:sz w:val="11"/>
          <w:szCs w:val="11"/>
          <w:color w:val="auto"/>
        </w:rPr>
        <w:t>See Note 4 Repositioning and Other Charges of Notes to Consolidated Financial Statements for a discussion of our repositioning actions and related charges incurred in 2023, 2022, and 2021. Cash spending related to our repositioning actions was $294 million, $275 million, and $382 million in 2023, 2022, and 2021, respectively, and was funded through operating cash flows.</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9"/>
          <w:szCs w:val="19"/>
          <w:color w:val="D7282F"/>
        </w:rPr>
        <w:t>BUSINESS REALIGNMENT</w:t>
      </w:r>
    </w:p>
    <w:p>
      <w:pPr>
        <w:spacing w:after="0" w:line="163" w:lineRule="exact"/>
        <w:rPr>
          <w:sz w:val="20"/>
          <w:szCs w:val="20"/>
          <w:color w:val="auto"/>
        </w:rPr>
      </w:pPr>
    </w:p>
    <w:p>
      <w:pPr>
        <w:jc w:val="both"/>
        <w:ind w:left="8"/>
        <w:spacing w:after="0" w:line="252" w:lineRule="auto"/>
        <w:rPr>
          <w:sz w:val="20"/>
          <w:szCs w:val="20"/>
          <w:color w:val="auto"/>
        </w:rPr>
      </w:pPr>
      <w:r>
        <w:rPr>
          <w:rFonts w:ascii="Arial" w:cs="Arial" w:eastAsia="Arial" w:hAnsi="Arial"/>
          <w:sz w:val="11"/>
          <w:szCs w:val="11"/>
          <w:color w:val="auto"/>
        </w:rPr>
        <w:t>In October 2023, the Company announced a realignment, effective in the first quarter of 2024, of its business units comprising its Performance Materials and Technologies, and Safety and Productivity Solutions reportable business segments by forming two new reportable business segments: Industrial Automation, and Energy and Sustainability Solutions. Industrial Automation will include Sensing and Safety Technologies, Productivity Solutions and Services, and Warehouse and Workflow Solutions, which are currently included in Safety and Productivity Solutions, in addition to Process Solutions, which is currently included in Performance Materials and Technologies. Energy and Sustainability Solutions will include UOP and Advanced Materials, which are currently included in Performance Materials and Technologies. Further, as part of the realignment, the Company will rename its Aerospace and Honeywell Building Technologies reportable business segments to Aerospace Technologies and Building Automation, respectively. Following the realignment, the Company’s reportable business segments will be Aerospace Technologies, Industrial Automation, Building Automation, and Energy and Sustainability Solutions. The realignment will not impact the Company’s historical consolidated financial position, results of operations, or cash flows. The Company expects to report its financial performance based on this realignment effective with the first quarter of 2024.</w:t>
      </w:r>
    </w:p>
    <w:p>
      <w:pPr>
        <w:spacing w:after="0" w:line="276" w:lineRule="exact"/>
        <w:rPr>
          <w:sz w:val="20"/>
          <w:szCs w:val="20"/>
          <w:color w:val="auto"/>
        </w:rPr>
      </w:pPr>
    </w:p>
    <w:p>
      <w:pPr>
        <w:ind w:left="268" w:hanging="268"/>
        <w:spacing w:after="0"/>
        <w:tabs>
          <w:tab w:leader="none" w:pos="268" w:val="left"/>
        </w:tabs>
        <w:numPr>
          <w:ilvl w:val="0"/>
          <w:numId w:val="62"/>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31" w:name="page32"/>
    <w:bookmarkEnd w:id="31"/>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RISK FACTORS</w:t>
      </w:r>
    </w:p>
    <w:p>
      <w:pPr>
        <w:spacing w:after="0" w:line="262" w:lineRule="exact"/>
        <w:rPr>
          <w:sz w:val="20"/>
          <w:szCs w:val="20"/>
          <w:color w:val="auto"/>
        </w:rPr>
      </w:pPr>
    </w:p>
    <w:p>
      <w:pPr>
        <w:ind w:left="8"/>
        <w:spacing w:after="0" w:line="268" w:lineRule="auto"/>
        <w:rPr>
          <w:sz w:val="20"/>
          <w:szCs w:val="20"/>
          <w:color w:val="auto"/>
        </w:rPr>
      </w:pPr>
      <w:r>
        <w:rPr>
          <w:rFonts w:ascii="Arial" w:cs="Arial" w:eastAsia="Arial" w:hAnsi="Arial"/>
          <w:sz w:val="11"/>
          <w:szCs w:val="11"/>
          <w:color w:val="auto"/>
        </w:rPr>
        <w:t>Our business, operating results, cash flows, and financial condition are subject to the material risks and uncertainties set forth below, any one of which could cause our actual results to vary materially from recent results or from our anticipated future results. Disclosures of risks should not be interpreted to imply that the risks have not already materialized, and there may be additional risks that are not presently material or known.</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9"/>
          <w:szCs w:val="19"/>
          <w:color w:val="D7282F"/>
        </w:rPr>
        <w:t>MACROECONOMIC AND INDUSTRY RISKS</w:t>
      </w:r>
    </w:p>
    <w:p>
      <w:pPr>
        <w:spacing w:after="0" w:line="163" w:lineRule="exact"/>
        <w:rPr>
          <w:sz w:val="20"/>
          <w:szCs w:val="20"/>
          <w:color w:val="auto"/>
        </w:rPr>
      </w:pPr>
    </w:p>
    <w:p>
      <w:pPr>
        <w:ind w:left="8" w:right="20"/>
        <w:spacing w:after="0" w:line="296" w:lineRule="auto"/>
        <w:rPr>
          <w:sz w:val="20"/>
          <w:szCs w:val="20"/>
          <w:color w:val="auto"/>
        </w:rPr>
      </w:pPr>
      <w:r>
        <w:rPr>
          <w:rFonts w:ascii="Arial" w:cs="Arial" w:eastAsia="Arial" w:hAnsi="Arial"/>
          <w:sz w:val="11"/>
          <w:szCs w:val="11"/>
          <w:b w:val="1"/>
          <w:bCs w:val="1"/>
          <w:color w:val="DC202E"/>
        </w:rPr>
        <w:t>Each of our businesses is subject to unique industry and economic conditions that may adversely affect the markets and operating conditions of our customers, which in turn can affect demand for our products and services and our results of operations.</w:t>
      </w:r>
    </w:p>
    <w:p>
      <w:pPr>
        <w:spacing w:after="0" w:line="21" w:lineRule="exact"/>
        <w:rPr>
          <w:sz w:val="20"/>
          <w:szCs w:val="20"/>
          <w:color w:val="auto"/>
        </w:rPr>
      </w:pPr>
    </w:p>
    <w:p>
      <w:pPr>
        <w:jc w:val="both"/>
        <w:ind w:left="128" w:hanging="128"/>
        <w:spacing w:after="0" w:line="251" w:lineRule="auto"/>
        <w:tabs>
          <w:tab w:leader="none" w:pos="126" w:val="left"/>
        </w:tabs>
        <w:numPr>
          <w:ilvl w:val="0"/>
          <w:numId w:val="63"/>
        </w:numPr>
        <w:rPr>
          <w:rFonts w:ascii="Arial" w:cs="Arial" w:eastAsia="Arial" w:hAnsi="Arial"/>
          <w:sz w:val="11"/>
          <w:szCs w:val="11"/>
          <w:b w:val="1"/>
          <w:bCs w:val="1"/>
          <w:color w:val="D7282F"/>
        </w:rPr>
      </w:pPr>
      <w:r>
        <w:rPr>
          <w:rFonts w:ascii="Arial" w:cs="Arial" w:eastAsia="Arial" w:hAnsi="Arial"/>
          <w:sz w:val="11"/>
          <w:szCs w:val="11"/>
          <w:b w:val="1"/>
          <w:bCs w:val="1"/>
          <w:i w:val="1"/>
          <w:iCs w:val="1"/>
          <w:color w:val="auto"/>
        </w:rPr>
        <w:t>Aerospace</w:t>
      </w:r>
      <w:r>
        <w:rPr>
          <w:rFonts w:ascii="Arial" w:cs="Arial" w:eastAsia="Arial" w:hAnsi="Arial"/>
          <w:sz w:val="11"/>
          <w:szCs w:val="11"/>
          <w:color w:val="auto"/>
        </w:rPr>
        <w:t>—Our Aerospace business is impacted by customer buying patterns of aftermarket parts, supplier stability, factory transitions, and global supply chain capacity constraints that may lead to shortages of crucial components.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Operating results may be adversely affected by downturns in the global demand for air travel, which may impact new aircraft production or result in the delay or cancellation of new aircraft orders, delays in launch schedules for new aircrafts, the retirement of aircrafts, and reductions in global flying hours, which impacts air transport and regional, business, and general aviation aircraft utilization rates. Operating results may also be adversely affected by any decrease in air travel demand due to regional restrictions or suspension of service for events related to public health, safety, the environment, or regional conflicts. Operating results could also be impacted by changes in overall trends related to end market demand for the product portfolio, as well as new entrants and non-traditional players entering the market. Operating results in our Defense and Space business unit may be affected by the mix of U.S. and foreign government appropriations for defense and space programs and by compliance risks. Results may also be impacted by the potential introduction of counterfeit parts into our global supply chain.</w:t>
      </w:r>
    </w:p>
    <w:p>
      <w:pPr>
        <w:spacing w:after="0" w:line="34" w:lineRule="exact"/>
        <w:rPr>
          <w:rFonts w:ascii="Arial" w:cs="Arial" w:eastAsia="Arial" w:hAnsi="Arial"/>
          <w:sz w:val="11"/>
          <w:szCs w:val="11"/>
          <w:b w:val="1"/>
          <w:bCs w:val="1"/>
          <w:color w:val="D7282F"/>
        </w:rPr>
      </w:pPr>
    </w:p>
    <w:p>
      <w:pPr>
        <w:ind w:left="128" w:hanging="128"/>
        <w:spacing w:after="0" w:line="268" w:lineRule="auto"/>
        <w:tabs>
          <w:tab w:leader="none" w:pos="126" w:val="left"/>
        </w:tabs>
        <w:numPr>
          <w:ilvl w:val="0"/>
          <w:numId w:val="63"/>
        </w:numPr>
        <w:rPr>
          <w:rFonts w:ascii="Arial" w:cs="Arial" w:eastAsia="Arial" w:hAnsi="Arial"/>
          <w:sz w:val="11"/>
          <w:szCs w:val="11"/>
          <w:b w:val="1"/>
          <w:bCs w:val="1"/>
          <w:color w:val="D7282F"/>
        </w:rPr>
      </w:pPr>
      <w:r>
        <w:rPr>
          <w:rFonts w:ascii="Arial" w:cs="Arial" w:eastAsia="Arial" w:hAnsi="Arial"/>
          <w:sz w:val="11"/>
          <w:szCs w:val="11"/>
          <w:b w:val="1"/>
          <w:bCs w:val="1"/>
          <w:i w:val="1"/>
          <w:iCs w:val="1"/>
          <w:color w:val="auto"/>
        </w:rPr>
        <w:t>Honeywell Building Technologies</w:t>
      </w:r>
      <w:r>
        <w:rPr>
          <w:rFonts w:ascii="Arial" w:cs="Arial" w:eastAsia="Arial" w:hAnsi="Arial"/>
          <w:sz w:val="11"/>
          <w:szCs w:val="11"/>
          <w:color w:val="auto"/>
        </w:rPr>
        <w:t>—Operating results may be adversely impacted by downturns in the level of global commercial construction activity (including retrofits and upgrades), lower capital spending and operating</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expenditures on building projects, changes in the competitive landscape, including new market entrants and new technologies, and fluctuations in inventory levels in distribution channels.</w:t>
      </w:r>
    </w:p>
    <w:p>
      <w:pPr>
        <w:spacing w:after="0" w:line="23" w:lineRule="exact"/>
        <w:rPr>
          <w:rFonts w:ascii="Arial" w:cs="Arial" w:eastAsia="Arial" w:hAnsi="Arial"/>
          <w:sz w:val="11"/>
          <w:szCs w:val="11"/>
          <w:b w:val="1"/>
          <w:bCs w:val="1"/>
          <w:color w:val="D7282F"/>
        </w:rPr>
      </w:pPr>
    </w:p>
    <w:p>
      <w:pPr>
        <w:jc w:val="both"/>
        <w:ind w:left="128" w:hanging="128"/>
        <w:spacing w:after="0" w:line="262" w:lineRule="auto"/>
        <w:tabs>
          <w:tab w:leader="none" w:pos="126" w:val="left"/>
        </w:tabs>
        <w:numPr>
          <w:ilvl w:val="0"/>
          <w:numId w:val="63"/>
        </w:numPr>
        <w:rPr>
          <w:rFonts w:ascii="Arial" w:cs="Arial" w:eastAsia="Arial" w:hAnsi="Arial"/>
          <w:sz w:val="11"/>
          <w:szCs w:val="11"/>
          <w:b w:val="1"/>
          <w:bCs w:val="1"/>
          <w:color w:val="D7282F"/>
        </w:rPr>
      </w:pPr>
      <w:r>
        <w:rPr>
          <w:rFonts w:ascii="Arial" w:cs="Arial" w:eastAsia="Arial" w:hAnsi="Arial"/>
          <w:sz w:val="11"/>
          <w:szCs w:val="11"/>
          <w:b w:val="1"/>
          <w:bCs w:val="1"/>
          <w:i w:val="1"/>
          <w:iCs w:val="1"/>
          <w:color w:val="auto"/>
        </w:rPr>
        <w:t>Performance Materials and Technologies</w:t>
      </w:r>
      <w:r>
        <w:rPr>
          <w:rFonts w:ascii="Arial" w:cs="Arial" w:eastAsia="Arial" w:hAnsi="Arial"/>
          <w:sz w:val="11"/>
          <w:szCs w:val="11"/>
          <w:color w:val="auto"/>
        </w:rPr>
        <w:t>—Operating results may be adversely impacted by downturns in capacity utilization for chemical, industrial, refining, petrochemical, and semiconductor plants, our customers’ availability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capital for refinery construction and expansion, raw material demand and supply, product commoditization, continued illegal imports of hydrofluorocarbons into Europe, and our ability to maximize our facilities’ production capacity and minimize downtime. Periods of increased volatility in oil and natural gas prices may result in less investment by our customers and therefore, lower demand for our products and services.</w:t>
      </w:r>
    </w:p>
    <w:p>
      <w:pPr>
        <w:spacing w:after="0" w:line="17" w:lineRule="exact"/>
        <w:rPr>
          <w:rFonts w:ascii="Arial" w:cs="Arial" w:eastAsia="Arial" w:hAnsi="Arial"/>
          <w:sz w:val="11"/>
          <w:szCs w:val="11"/>
          <w:b w:val="1"/>
          <w:bCs w:val="1"/>
          <w:color w:val="D7282F"/>
        </w:rPr>
      </w:pPr>
    </w:p>
    <w:p>
      <w:pPr>
        <w:jc w:val="both"/>
        <w:ind w:left="128" w:hanging="128"/>
        <w:spacing w:after="0" w:line="262" w:lineRule="auto"/>
        <w:tabs>
          <w:tab w:leader="none" w:pos="126" w:val="left"/>
        </w:tabs>
        <w:numPr>
          <w:ilvl w:val="0"/>
          <w:numId w:val="63"/>
        </w:numPr>
        <w:rPr>
          <w:rFonts w:ascii="Arial" w:cs="Arial" w:eastAsia="Arial" w:hAnsi="Arial"/>
          <w:sz w:val="11"/>
          <w:szCs w:val="11"/>
          <w:b w:val="1"/>
          <w:bCs w:val="1"/>
          <w:color w:val="D7282F"/>
        </w:rPr>
      </w:pPr>
      <w:r>
        <w:rPr>
          <w:rFonts w:ascii="Arial" w:cs="Arial" w:eastAsia="Arial" w:hAnsi="Arial"/>
          <w:sz w:val="11"/>
          <w:szCs w:val="11"/>
          <w:b w:val="1"/>
          <w:bCs w:val="1"/>
          <w:i w:val="1"/>
          <w:iCs w:val="1"/>
          <w:color w:val="auto"/>
        </w:rPr>
        <w:t>Safety and Productivity Solutions</w:t>
      </w:r>
      <w:r>
        <w:rPr>
          <w:rFonts w:ascii="Arial" w:cs="Arial" w:eastAsia="Arial" w:hAnsi="Arial"/>
          <w:sz w:val="11"/>
          <w:szCs w:val="11"/>
          <w:color w:val="auto"/>
        </w:rPr>
        <w:t>—Operating results may be adversely impacted by reduced investments in process automation, safety monitoring, and plant capacity utilization initiatives, fluctuations in retail markets, a slowdown in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demand for safety products, changes in the competitive landscape, including new market entrants and new technologies that may lead to product commoditization, and adverse industry economic conditions, all of which could result in lower market share, reduced selling prices, and lower margins.</w:t>
      </w:r>
    </w:p>
    <w:p>
      <w:pPr>
        <w:spacing w:after="0" w:line="5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C202E"/>
        </w:rPr>
        <w:t>A significant percentage of our sales and operations is in non-U.S. jurisdictions and is subject to the economic, political, regulatory, foreign exchange, and other risks of international operations.</w:t>
      </w:r>
    </w:p>
    <w:p>
      <w:pPr>
        <w:spacing w:after="0" w:line="72" w:lineRule="exact"/>
        <w:rPr>
          <w:sz w:val="20"/>
          <w:szCs w:val="20"/>
          <w:color w:val="auto"/>
        </w:rPr>
      </w:pPr>
    </w:p>
    <w:p>
      <w:pPr>
        <w:jc w:val="both"/>
        <w:ind w:left="8"/>
        <w:spacing w:after="0" w:line="249" w:lineRule="auto"/>
        <w:rPr>
          <w:sz w:val="20"/>
          <w:szCs w:val="20"/>
          <w:color w:val="auto"/>
        </w:rPr>
      </w:pPr>
      <w:r>
        <w:rPr>
          <w:rFonts w:ascii="Arial" w:cs="Arial" w:eastAsia="Arial" w:hAnsi="Arial"/>
          <w:sz w:val="11"/>
          <w:szCs w:val="11"/>
          <w:color w:val="auto"/>
        </w:rPr>
        <w:t>Our international operations, including U.S. exports, represent more than half of the Company’s sales. Risks related to international operations include exchange control regulations, wage and price controls, fluctuations in foreign currency exchange rates, antitrust regulations, employment regulations, foreign investment laws, import, export, and other trade restrictions (such as sanctions and embargoes), differing levels of protection of intellectual property, acts of industrial espionage, violations by our employees of anti-corruption laws (despite our efforts to mitigate such risk), changes in regulations regarding transactions with state-owned enterprises, nationalization of private enterprises, acts of terrorism, acts of war, civil strife, and our ability to hire and maintain qualified staff and maintain the safety of our employees in these regions. Instability and uncertainties arising from the global geopolitical environment and the evolving international and domestic political, regulatory, and economic landscape, including the potential for changes in global trade policies, such as sanctions and trade barriers, and trends such as populism, economic nationalism, and negative sentiment toward multinational companies, as well as the cost of compliance with increasingly complex and often conflicting regulations worldwide, can impair our flexibility in modifying product, marketing, pricing, or other strategies for growing our businesses, as well as our ability to improve productivity and maintain acceptable operating margins.</w:t>
      </w:r>
    </w:p>
    <w:p>
      <w:pPr>
        <w:spacing w:after="0" w:line="62" w:lineRule="exact"/>
        <w:rPr>
          <w:sz w:val="20"/>
          <w:szCs w:val="20"/>
          <w:color w:val="auto"/>
        </w:rPr>
      </w:pPr>
    </w:p>
    <w:p>
      <w:pPr>
        <w:jc w:val="both"/>
        <w:ind w:left="8"/>
        <w:spacing w:after="0" w:line="318" w:lineRule="auto"/>
        <w:rPr>
          <w:sz w:val="20"/>
          <w:szCs w:val="20"/>
          <w:color w:val="auto"/>
        </w:rPr>
      </w:pPr>
      <w:r>
        <w:rPr>
          <w:rFonts w:ascii="Arial" w:cs="Arial" w:eastAsia="Arial" w:hAnsi="Arial"/>
          <w:sz w:val="10"/>
          <w:szCs w:val="10"/>
          <w:color w:val="auto"/>
        </w:rPr>
        <w:t>Existing free trade laws and regulations provide certain beneficial duties and tariffs for qualifying imports and exports. Changes in laws or policies governing the terms of foreign trade, and in particular increased trade restrictions, tariffs, or taxes on imports from countries where we manufacture products or from where we import products or raw materials, either directly or through our suppliers, could have an impact on our competitive position and financial results.</w:t>
      </w:r>
    </w:p>
    <w:p>
      <w:pPr>
        <w:spacing w:after="0" w:line="253" w:lineRule="exact"/>
        <w:rPr>
          <w:sz w:val="20"/>
          <w:szCs w:val="20"/>
          <w:color w:val="auto"/>
        </w:rPr>
      </w:pPr>
    </w:p>
    <w:p>
      <w:pPr>
        <w:ind w:left="268" w:hanging="268"/>
        <w:spacing w:after="0"/>
        <w:tabs>
          <w:tab w:leader="none" w:pos="268" w:val="left"/>
        </w:tabs>
        <w:numPr>
          <w:ilvl w:val="0"/>
          <w:numId w:val="64"/>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32" w:name="page33"/>
    <w:bookmarkEnd w:id="32"/>
    <w:p>
      <w:pPr>
        <w:ind w:left="8"/>
        <w:spacing w:after="0"/>
        <w:tabs>
          <w:tab w:leader="none" w:pos="1064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8" w:right="20"/>
        <w:spacing w:after="0" w:line="268" w:lineRule="auto"/>
        <w:rPr>
          <w:sz w:val="20"/>
          <w:szCs w:val="20"/>
          <w:color w:val="auto"/>
        </w:rPr>
      </w:pPr>
      <w:r>
        <w:rPr>
          <w:rFonts w:ascii="Arial" w:cs="Arial" w:eastAsia="Arial" w:hAnsi="Arial"/>
          <w:sz w:val="11"/>
          <w:szCs w:val="11"/>
          <w:color w:val="auto"/>
        </w:rPr>
        <w:t>The U.S. continues to implement certain trade actions, including imposing tariffs on certain goods imported from China and other countries, which has resulted in retaliatory tariffs by China and other countries. Additional tariffs, export controls, and sanctions laws imposed by the U.S. on a broader range of imports, or further retaliatory trade measures taken by China or other countries in response, could increase the cost of our products.</w:t>
      </w:r>
    </w:p>
    <w:p>
      <w:pPr>
        <w:spacing w:after="0" w:line="51" w:lineRule="exact"/>
        <w:rPr>
          <w:sz w:val="20"/>
          <w:szCs w:val="20"/>
          <w:color w:val="auto"/>
        </w:rPr>
      </w:pPr>
    </w:p>
    <w:p>
      <w:pPr>
        <w:jc w:val="both"/>
        <w:ind w:left="8"/>
        <w:spacing w:after="0" w:line="281" w:lineRule="auto"/>
        <w:rPr>
          <w:sz w:val="20"/>
          <w:szCs w:val="20"/>
          <w:color w:val="auto"/>
        </w:rPr>
      </w:pPr>
      <w:r>
        <w:rPr>
          <w:rFonts w:ascii="Arial" w:cs="Arial" w:eastAsia="Arial" w:hAnsi="Arial"/>
          <w:sz w:val="10"/>
          <w:szCs w:val="10"/>
          <w:color w:val="auto"/>
        </w:rPr>
        <w:t>In response to the conflict between Russia and Ukraine, the U.S. and other countries imposed actions including sanctions, export and import controls, and trade restrictions with respect to Russian and Belarusian governments, government-related entities, and other entities and individuals. Further, the Russian government implemented retaliatory actions against the U.S. and other nation members of the North Atlantic Treaty Organization (NATO) as well as certain other nations. Given the uncertainty inherent in our remaining obligations related to our contracts with Russian counterparties, we do not believe it is possible to develop estimates of reasonably possible loss in excess of current accruals for these matters. As the conflict continues to evolve, existing conditions may worsen, or other impacts, including escalation of the conflict in other regions of Europe where there is a material portion of our business, increased tension between Russia and the U.S. and other NATO members and other countries, or other impacts that are unknown at this time, could lead to increased charges and could have a material adverse effect on our consolidated financial position. These impacts may result in increased costs or additional impacts on our operations and may adversely affect our ability to meet contractual and financial obligations, results of operations, and financial condition.</w:t>
      </w:r>
    </w:p>
    <w:p>
      <w:pPr>
        <w:spacing w:after="0" w:line="38"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To the extent the current conflict between Russia and Ukraine escalates, it may also negatively impact other risk factors disclosed in this Form 10-K and further impact our financial results. Such risks include, but are not limited to, adverse effects on macroeconomic conditions, including inflation and consumer spending; cybersecurity incidents and other disruptions to our information technology infrastructure or that of our customers and suppliers, including disruptions at our cloud computing, server, systems, and other third party information technology (IT) service providers; adverse changes in international trade policies and relations; our ability to implement and execute our business strategy, particularly in Eastern Europe and surrounding regions; disruptions in global supply chains; energy shortages; terrorist activities targeting U.S. government contractors and/or critical infrastructure; our exposure to foreign currency fluctuations; and constraints, volatility, or disruption in the capital markets.</w:t>
      </w:r>
    </w:p>
    <w:p>
      <w:pPr>
        <w:spacing w:after="0" w:line="51"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Operating outside of the U.S. also exposes us to foreign exchange risk, which we monitor and seek to reduce through hedging activities. However, foreign exchange hedging activities bear a financial cost and may not always be available to us or be successful in eliminating such volatility. Finally, we generate significant amounts of cash outside of the U.S. that is invested with financial and non-financial counterparties. While we employ comprehensive controls regarding global cash management to guard against cash or investment loss and to ensure our ability to fund our operations and commitments, a material disruption to the counterparties with whom we transact business could expose Honeywell to financial loss.</w:t>
      </w:r>
    </w:p>
    <w:p>
      <w:pPr>
        <w:spacing w:after="0" w:line="59"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Operating outside the U.S. also exposes us to additional intellectual property risk. The laws and enforcement practices of certain jurisdictions in which we operate may not protect our intellectual property rights to the same extent as in the U.S. and may impose joint venture, technology transfer, local service or other foreign investment requirements, and restrictions that potentially compromise control over our technology and proprietary information. Failure of foreign jurisdictions to protect our intellectual property rights, an inability to effectively enforce such rights in foreign jurisdictions, or the imposition of foreign jurisdiction investment or sourcing restrictions or requirements could result in loss of valuable proprietary information and could impact our competitive position and financial results.</w:t>
      </w:r>
    </w:p>
    <w:p>
      <w:pPr>
        <w:spacing w:after="0" w:line="5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7282F"/>
        </w:rPr>
        <w:t>Risks related to our defined benefit pension plans may adversely impact our results of operations and cash flow.</w:t>
      </w:r>
    </w:p>
    <w:p>
      <w:pPr>
        <w:spacing w:after="0" w:line="81"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Significant changes in actual investment return on pension assets, discount rates, and other factors could adversely affect our results of operations and require cash pension contributions in future periods. Changes in discount rates and actual asset returns different than our anticipated asset returns can result in significant non-cash actuarial gains or losses, which we record in the fourth quarter of each fiscal year, and, if applicable, in any quarter in which an interim re-measurement is triggered. With regard to cash pension contributions, funding requirements for our pension plans are largely dependent upon interest rates, actual investment returns on pension assets, and the impact of legislative or regulatory changes related to pension funding obligations.</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9"/>
          <w:szCs w:val="19"/>
          <w:color w:val="D7282F"/>
        </w:rPr>
        <w:t>OPERATIONAL RISKS</w:t>
      </w:r>
    </w:p>
    <w:p>
      <w:pPr>
        <w:spacing w:after="0" w:line="172" w:lineRule="exact"/>
        <w:rPr>
          <w:sz w:val="20"/>
          <w:szCs w:val="20"/>
          <w:color w:val="auto"/>
        </w:rPr>
      </w:pPr>
    </w:p>
    <w:p>
      <w:pPr>
        <w:jc w:val="both"/>
        <w:ind w:left="8"/>
        <w:spacing w:after="0" w:line="279" w:lineRule="auto"/>
        <w:rPr>
          <w:sz w:val="20"/>
          <w:szCs w:val="20"/>
          <w:color w:val="auto"/>
        </w:rPr>
      </w:pPr>
      <w:r>
        <w:rPr>
          <w:rFonts w:ascii="Arial" w:cs="Arial" w:eastAsia="Arial" w:hAnsi="Arial"/>
          <w:sz w:val="11"/>
          <w:szCs w:val="11"/>
          <w:b w:val="1"/>
          <w:bCs w:val="1"/>
          <w:color w:val="D7282F"/>
        </w:rPr>
        <w:t>Raw material price fluctuations, inflation, the ability of key suppliers to meet quality and delivery requirements, or catastrophic events can increase the cost of our products and services, impact our ability to meet commitments to customers, and cause us to incur significant liabilities.</w:t>
      </w:r>
    </w:p>
    <w:p>
      <w:pPr>
        <w:spacing w:after="0" w:line="39"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The cost of raw materials is a key element in the cost of our products, particularly in Performance Materials and Technologies (copper, fluorspar, tungsten salts, ethylene, aluminum, and molybdenum) and in Aerospace (nickel, steel, titanium, and other metals). As of December 31, 2023, Aerospace and Performance Materials and Technologies had 85% and 64%, respectively, of raw materials supply base under contract. While we have implemented mitigation strategies to reduce the impact of supply chain disruptions, any inability to source necessary materials when and as needed, offset material price or labor inflation through increased prices to customers, formula-driven or long-term fixed price contracts with suppliers, productivity actions, or commodity hedges could adversely affect our results of operations.</w:t>
      </w:r>
    </w:p>
    <w:p>
      <w:pPr>
        <w:spacing w:after="0" w:line="274" w:lineRule="exact"/>
        <w:rPr>
          <w:sz w:val="20"/>
          <w:szCs w:val="20"/>
          <w:color w:val="auto"/>
        </w:rPr>
      </w:pPr>
    </w:p>
    <w:p>
      <w:pPr>
        <w:ind w:left="268" w:hanging="268"/>
        <w:spacing w:after="0"/>
        <w:tabs>
          <w:tab w:leader="none" w:pos="268" w:val="left"/>
        </w:tabs>
        <w:numPr>
          <w:ilvl w:val="0"/>
          <w:numId w:val="65"/>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33" w:name="page34"/>
    <w:bookmarkEnd w:id="33"/>
    <w:p>
      <w:pPr>
        <w:ind w:left="8"/>
        <w:spacing w:after="0"/>
        <w:tabs>
          <w:tab w:leader="none" w:pos="1064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8"/>
        <w:spacing w:after="0" w:line="249" w:lineRule="auto"/>
        <w:rPr>
          <w:sz w:val="20"/>
          <w:szCs w:val="20"/>
          <w:color w:val="auto"/>
        </w:rPr>
      </w:pPr>
      <w:r>
        <w:rPr>
          <w:rFonts w:ascii="Arial" w:cs="Arial" w:eastAsia="Arial" w:hAnsi="Arial"/>
          <w:sz w:val="11"/>
          <w:szCs w:val="11"/>
          <w:color w:val="auto"/>
        </w:rPr>
        <w:t>Many major components, product equipment items, and raw materials, particularly in Aerospace, are procured or subcontracted on a single or sole-source basis. Although we maintain a qualification and performance surveillance process and we believe that sources of supply for raw materials and components are generally adequate, it is difficult to predict what effects shortages or price increases, in addition to other supply chain disruptions, may have in the future. Our ability to manage inventory and meet delivery requirements may be constrained by our suppliers’ inability to scale production and adjust delivery of long-lead time products during times of volatile demand. In addition, current or future global economic uncertainty, including inflation and increased interest rates, supply chain and labor disruptions, unemployment rates, banking instability, any U.S. government shutdown, any downgrades in the U.S. government's sovereign credit rating, public health crises, volatile financial markets, geopolitical instability and regional conflicts, and potential recession may affect the financial stability of our key suppliers or their access to financing, which may in turn affect their ability to perform their obligations to us. If one or more of our suppliers experiences financial difficulties, delivery delays, or other performance problems, our resulting inability to fill our supply needs would jeopardize our ability to fulfill obligations under commercial and government contracts, which could, in turn, result in reduced sales and profits, contract penalties or terminations, and damage to customer relationships.</w:t>
      </w:r>
    </w:p>
    <w:p>
      <w:pPr>
        <w:spacing w:after="0" w:line="53" w:lineRule="exact"/>
        <w:rPr>
          <w:sz w:val="20"/>
          <w:szCs w:val="20"/>
          <w:color w:val="auto"/>
        </w:rPr>
      </w:pPr>
    </w:p>
    <w:p>
      <w:pPr>
        <w:jc w:val="both"/>
        <w:ind w:left="8"/>
        <w:spacing w:after="0" w:line="300" w:lineRule="auto"/>
        <w:rPr>
          <w:sz w:val="20"/>
          <w:szCs w:val="20"/>
          <w:color w:val="auto"/>
        </w:rPr>
      </w:pPr>
      <w:r>
        <w:rPr>
          <w:rFonts w:ascii="Arial" w:cs="Arial" w:eastAsia="Arial" w:hAnsi="Arial"/>
          <w:sz w:val="10"/>
          <w:szCs w:val="10"/>
          <w:color w:val="auto"/>
        </w:rPr>
        <w:t>In an effort to reduce the impact of current and future supply chain disruptions, we have implemented short-term and long-term strategies to reduce the impact of such disruptions, including pricing actions, longer-term planning for constrained materials, material supply tracking tools, direct engagement with key suppliers to meet customer demand, and development of new or redesigned products that satisfy our product quality controls and engineering qualifications and/or any applicable regulatory requirements. We cannot provide any assurance that our mitigation strategies will continue to be successful, or that we will be able to alter our strategies or develop new strategies if and as needed.</w:t>
      </w:r>
    </w:p>
    <w:p>
      <w:pPr>
        <w:spacing w:after="0" w:line="3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C202E"/>
        </w:rPr>
        <w:t>We may be unable to successfully execute or effectively integrate acquisitions, and divestitures may not occur as planned.</w:t>
      </w:r>
    </w:p>
    <w:p>
      <w:pPr>
        <w:spacing w:after="0" w:line="72"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We regularly review our portfolio of businesses and pursue growth through acquisitions and seek to divest non-core businesses. We may not be able to complete transactions on favorable terms, on a timely basis, or at all. In addition, our results of operations and cash flows may be adversely impacted by (i) the failure of acquired businesses to meet or exceed expected returns, including risk of impairment; (ii) the failure to integrate multiple acquired businesses into Honeywell simultaneously and on schedule and/or to achieve expected synergies; (iii) the inability to dispose of non-core assets and businesses on satisfactory terms and conditions; and (iv) the discovery of unanticipated liabilities, labor relations difficulties, cybersecurity concerns, compliance issues, or other problems in acquired businesses for which we lack contractual protections, insurance or indemnities, or, with regard to divested businesses, claims by purchasers to whom we have provided contractual indemnification.</w:t>
      </w:r>
    </w:p>
    <w:p>
      <w:pPr>
        <w:spacing w:after="0" w:line="5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7282F"/>
        </w:rPr>
        <w:t>Our future growth is largely dependent upon our ability to develop new technologies and introduce new products that achieve market acceptance in increasingly competitive markets with acceptable margins.</w:t>
      </w:r>
    </w:p>
    <w:p>
      <w:pPr>
        <w:spacing w:after="0" w:line="72" w:lineRule="exact"/>
        <w:rPr>
          <w:sz w:val="20"/>
          <w:szCs w:val="20"/>
          <w:color w:val="auto"/>
        </w:rPr>
      </w:pPr>
    </w:p>
    <w:p>
      <w:pPr>
        <w:jc w:val="both"/>
        <w:ind w:left="8"/>
        <w:spacing w:after="0" w:line="252" w:lineRule="auto"/>
        <w:rPr>
          <w:sz w:val="20"/>
          <w:szCs w:val="20"/>
          <w:color w:val="auto"/>
        </w:rPr>
      </w:pPr>
      <w:r>
        <w:rPr>
          <w:rFonts w:ascii="Arial" w:cs="Arial" w:eastAsia="Arial" w:hAnsi="Arial"/>
          <w:sz w:val="11"/>
          <w:szCs w:val="11"/>
          <w:color w:val="auto"/>
        </w:rPr>
        <w:t>Our future growth rate depends upon a number of factors, including our ability to (i) identify and evolve with emerging technological and broader industry trends, including technologies such as artificial intelligence and machine learning in our target end markets; (ii) develop and maintain competitive products; (iii) defend our market share against an ever-expanding number of competitors, including many new and non-traditional competitors; (iv) enhance our products by adding innovative features that differentiate our products from those of our competitors and prevent commoditization of our products; (v) develop, manufacture, and bring compelling new products to market quickly and cost-effectively; (vi) monitor disruptive technologies and business models; (vii) achieve sufficient return on investment for new products introduced based on capital expenditures and research and development spending; (viii) respond to changes in overall trends related to end market demand; and (ix) attract, develop, and retain individuals with the requisite technical expertise and understanding of customers’ needs to develop new technologies and introduce new products. Competitors may also develop after-market services and parts for our products which attract customers and adversely affect our return on investment for new products. The failure of our technologies or products to gain market acceptance due to more attractive offerings by our competitors or the failure to address any of the above factors could significantly reduce our revenues and adversely affect our competitive standing and prospects.</w:t>
      </w:r>
    </w:p>
    <w:p>
      <w:pPr>
        <w:spacing w:after="0" w:line="51" w:lineRule="exact"/>
        <w:rPr>
          <w:sz w:val="20"/>
          <w:szCs w:val="20"/>
          <w:color w:val="auto"/>
        </w:rPr>
      </w:pPr>
    </w:p>
    <w:p>
      <w:pPr>
        <w:jc w:val="both"/>
        <w:ind w:left="8"/>
        <w:spacing w:after="0" w:line="279" w:lineRule="auto"/>
        <w:rPr>
          <w:sz w:val="20"/>
          <w:szCs w:val="20"/>
          <w:color w:val="auto"/>
        </w:rPr>
      </w:pPr>
      <w:r>
        <w:rPr>
          <w:rFonts w:ascii="Arial" w:cs="Arial" w:eastAsia="Arial" w:hAnsi="Arial"/>
          <w:sz w:val="11"/>
          <w:szCs w:val="11"/>
          <w:b w:val="1"/>
          <w:bCs w:val="1"/>
          <w:color w:val="D7282F"/>
        </w:rPr>
        <w:t>Failure to increase productivity through sustainable operational improvements, as well as an inability to successfully execute repositioning projects or to effectively manage our workforce, may reduce our profitability or adversely impact our businesses.</w:t>
      </w:r>
    </w:p>
    <w:p>
      <w:pPr>
        <w:spacing w:after="0" w:line="39" w:lineRule="exact"/>
        <w:rPr>
          <w:sz w:val="20"/>
          <w:szCs w:val="20"/>
          <w:color w:val="auto"/>
        </w:rPr>
      </w:pPr>
    </w:p>
    <w:p>
      <w:pPr>
        <w:jc w:val="both"/>
        <w:ind w:left="8"/>
        <w:spacing w:after="0" w:line="249" w:lineRule="auto"/>
        <w:rPr>
          <w:sz w:val="20"/>
          <w:szCs w:val="20"/>
          <w:color w:val="auto"/>
        </w:rPr>
      </w:pPr>
      <w:r>
        <w:rPr>
          <w:rFonts w:ascii="Arial" w:cs="Arial" w:eastAsia="Arial" w:hAnsi="Arial"/>
          <w:sz w:val="11"/>
          <w:szCs w:val="11"/>
          <w:color w:val="auto"/>
        </w:rPr>
        <w:t>Our profitability and margin growth are dependent upon our ability to drive sustainable improvements. We seek productivity and cost savings benefits through repositioning actions and projects, such as consolidation of manufacturing facilities, transitions to cost-competitive regions, and product line rationalizations. Risks associated with these actions include delays in execution, additional unexpected costs, realization of fewer than estimated productivity improvements, and adverse effects on employee morale. We may not realize the full operational or financial benefits we expect, the recognition of these benefits may be delayed, and these actions may potentially disrupt our operations. In addition, organizational changes, increased attrition, failure to create and implement a succession plan for key Company positions, not retaining key talent, inability to attract new employees with unique skills, trends in rising labor costs and labor availability, labor relations difficulties, or workforce stoppage could have a material adverse effect on our business, reputation, financial position, and results of operations. Additionally, certain personnel may be required to receive various clearances and substantial training in order to work on certain programs or perform certain tasks. Necessary security clearances may be delayed, which may impact our ability to perform on our U.S. government contracts. We also may not be successful in training or developing qualified personnel with the requisite relevant skills or security clearances.</w:t>
      </w:r>
    </w:p>
    <w:p>
      <w:pPr>
        <w:spacing w:after="0" w:line="287" w:lineRule="exact"/>
        <w:rPr>
          <w:sz w:val="20"/>
          <w:szCs w:val="20"/>
          <w:color w:val="auto"/>
        </w:rPr>
      </w:pPr>
    </w:p>
    <w:p>
      <w:pPr>
        <w:ind w:left="268" w:hanging="268"/>
        <w:spacing w:after="0"/>
        <w:tabs>
          <w:tab w:leader="none" w:pos="268" w:val="left"/>
        </w:tabs>
        <w:numPr>
          <w:ilvl w:val="0"/>
          <w:numId w:val="66"/>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34" w:name="page35"/>
    <w:bookmarkEnd w:id="34"/>
    <w:p>
      <w:pPr>
        <w:ind w:left="8"/>
        <w:spacing w:after="0"/>
        <w:tabs>
          <w:tab w:leader="none" w:pos="1064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8"/>
        <w:spacing w:after="0" w:line="279" w:lineRule="auto"/>
        <w:rPr>
          <w:sz w:val="20"/>
          <w:szCs w:val="20"/>
          <w:color w:val="auto"/>
        </w:rPr>
      </w:pPr>
      <w:r>
        <w:rPr>
          <w:rFonts w:ascii="Arial" w:cs="Arial" w:eastAsia="Arial" w:hAnsi="Arial"/>
          <w:sz w:val="11"/>
          <w:szCs w:val="11"/>
          <w:b w:val="1"/>
          <w:bCs w:val="1"/>
          <w:color w:val="D7282F"/>
        </w:rPr>
        <w:t>As a supplier to the U.S. government, we are subject to unique risks, such as the right of the U.S. government to terminate contracts for convenience and to conduct audits and investigations of our operations and performance.</w:t>
      </w:r>
    </w:p>
    <w:p>
      <w:pPr>
        <w:spacing w:after="0" w:line="39"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U.S. government contracts are subject to termination by the government, either for the convenience of the government or for our failure to perform consistent with the terms of the applicable contract. Our contracts with the U.S. government are also subject to government audits that may recommend downward price adjustments and other changes. When appropriate and prudent, we made adjustments and paid voluntary refunds in the past and may do so in the future. In addition, U.S. government contracts are subject to congressional funding, which may be unavailable due to changes in priorities or subject to continuing resolution, which may result in funding reductions, eliminations, or other effects that could impact our business.</w:t>
      </w:r>
    </w:p>
    <w:p>
      <w:pPr>
        <w:spacing w:after="0" w:line="50"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We are also subject to government investigations of business practices and compliance with government procurement and security regulations. If, as a result of any such investigation or other government investigations (including investigation of violations of certain environmental, employment, or export laws), Honeywell or one of its businesses were found to have violated applicable law, then it could be suspended from bidding on or receiving awards of new government contracts, suspended from contract performance pending the completion of legal proceedings, and/or have its export privileges suspended.</w:t>
      </w:r>
    </w:p>
    <w:p>
      <w:pPr>
        <w:spacing w:after="0" w:line="5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7282F"/>
        </w:rPr>
        <w:t>Our operations and the prior operations of predecessor companies expose us to the risk of material environmental liabilities.</w:t>
      </w:r>
    </w:p>
    <w:p>
      <w:pPr>
        <w:spacing w:after="0" w:line="72"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Mainly because of past operations and operations of predecessor companies, we are subject to potentially material liabilities related to the remediation of environmental hazards and to claims of personal injuries or property damages that may be caused by hazardous substance releases and exposures. We continue to incur remedial response and voluntary clean-up costs for site contamination and are a party to lawsuits and claims associated with environmental and safety matters, including past production of products containing hazardous substances. Additional lawsuits, claims, and costs involving environmental matters are likely to continue to arise in the future. Various federal, state, local, and foreign governments regulate the use of certain materials, the discharge of materials into the environment, and/or communications respecting certain materials in our products, and can impose substantial fines and criminal sanctions for violations, and require injunctive relief measures, including installation of costly equipment, implementation of operational changes to limit emissions and/or decrease the likelihood of accidental hazardous substance releases, or limiting access of our products to markets, among others. In addition, changes in laws, regulations and enforcement of policies, the discovery of previously unknown contamination or new technology or information related to individual sites, the establishment of stricter toxicity standards with respect to certain contaminants, or the imposition of new clean-up requirements or remedial techniques could require us to incur additional costs in the future that would have a negative effect on our financial condition or results of operations.</w:t>
      </w:r>
    </w:p>
    <w:p>
      <w:pPr>
        <w:spacing w:after="0" w:line="53"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7282F"/>
        </w:rPr>
        <w:t>Our business, reputation, and financial performance may be materially impacted by cybersecurity attacks on our information technology infrastructure and products.</w:t>
      </w:r>
    </w:p>
    <w:p>
      <w:pPr>
        <w:spacing w:after="0" w:line="72" w:lineRule="exact"/>
        <w:rPr>
          <w:sz w:val="20"/>
          <w:szCs w:val="20"/>
          <w:color w:val="auto"/>
        </w:rPr>
      </w:pPr>
    </w:p>
    <w:p>
      <w:pPr>
        <w:jc w:val="both"/>
        <w:ind w:left="8"/>
        <w:spacing w:after="0" w:line="249" w:lineRule="auto"/>
        <w:rPr>
          <w:sz w:val="20"/>
          <w:szCs w:val="20"/>
          <w:color w:val="auto"/>
        </w:rPr>
      </w:pPr>
      <w:r>
        <w:rPr>
          <w:rFonts w:ascii="Arial" w:cs="Arial" w:eastAsia="Arial" w:hAnsi="Arial"/>
          <w:sz w:val="11"/>
          <w:szCs w:val="11"/>
          <w:color w:val="auto"/>
        </w:rPr>
        <w:t>Cybersecurity is a critical component of the Company’s enterprise risk management program. Global cybersecurity threats and incidents can range from uncoordinated individual attempts to gain unauthorized access to IT systems to sophisticated and targeted measures known as advanced persistent threats, directed at the Company, its products, its customers, and/or its third party software and service providers, including cloud providers. Our customers, including the U.S. government, are increasingly requiring cybersecurity protections and mandating cybersecurity standards in our products, and we may incur additional costs to comply with such demands. While we have experienced, and expect to continue to experience, these types of threats and incidents, none of them to date have been material to the Company. We seek to deploy comprehensive measures to deter, prevent, detect, respond to, and mitigate these threats, including identity and access controls, data protection, vulnerability assessments, continuous monitoring of our IT networks and systems, and maintenance of backup and protective systems. Despite these efforts, cybersecurity incidents (against us, parties with whom we contract, or software used in our business), including incidents due to human error, third-party action, including actions of foreign actors, which risk may be exacerbated by the current Russia-Ukraine and Israel-Hamas conflicts and U.S. and international response, insider attacks, phishing or denial-of-service attacks, ransomware or other malware, social engineering, malfeasance, other unauthorized physical or electronic access, or other vulnerabilities, depending on their nature and scope, could potentially result in the misappropriation, destruction, corruption or unavailability of critical data and confidential or proprietary information (our own or that of third parties), theft of funds, and the disruption of business operations. In addition, the techniques used to obtain unauthorized access to sensitive data continue to evolve and become more sophisticated and may not be recognized until launched against a target; accordingly, we may be unable to anticipate these techniques or implement adequate preventative measures, and future cybersecurity incidents could go undetected and persist for an extended period of time. Furthermore, to the extent artificial intelligence capabilities improve and are increasingly adopted, they may be used to identify vulnerabilities and craft increasingly sophisticated cybersecurity attacks, and vulnerabilities may be introduced from the use of artificial intelligence by us, our financial services providers and other vendors and third-party providers.</w:t>
      </w:r>
    </w:p>
    <w:p>
      <w:pPr>
        <w:spacing w:after="0" w:line="54"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Our customers, partners (including our suppliers), subcontractors, and other third parties to whom we entrust confidential data, and on whom we rely to provide products and services, face similar threats and growing requirements. We depend on such parties to implement adequate controls and safeguards to protect against and report cyber incidents. If such parties fail to deter, detect, or report cybersecurity incidents in a timely manner, we may suffer from financial and other harm, including to our information, operations, performance, employees, and reputation.</w:t>
      </w:r>
    </w:p>
    <w:p>
      <w:pPr>
        <w:spacing w:after="0" w:line="270" w:lineRule="exact"/>
        <w:rPr>
          <w:sz w:val="20"/>
          <w:szCs w:val="20"/>
          <w:color w:val="auto"/>
        </w:rPr>
      </w:pPr>
    </w:p>
    <w:p>
      <w:pPr>
        <w:ind w:left="268" w:hanging="268"/>
        <w:spacing w:after="0"/>
        <w:tabs>
          <w:tab w:leader="none" w:pos="268" w:val="left"/>
        </w:tabs>
        <w:numPr>
          <w:ilvl w:val="0"/>
          <w:numId w:val="67"/>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35" w:name="page36"/>
    <w:bookmarkEnd w:id="35"/>
    <w:p>
      <w:pPr>
        <w:ind w:left="8"/>
        <w:spacing w:after="0"/>
        <w:tabs>
          <w:tab w:leader="none" w:pos="1064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color w:val="auto"/>
        </w:rPr>
        <w:t>The potential consequences of a material cybersecurity incident and its effects include financial loss, reputational damage, litigation with third parties, theft of intellectual property, fines levied by the Federal Trade Commission or other government agencies, diminution in the value of our investment in research, development, and engineering, and increased cybersecurity protection and remediation costs due to the increasing sophistication and proliferation of threats, which in turn could have a material impact on our competitiveness, business, financial condition, and results of operations. In addition, cybersecurity laws and regulations continue to evolve, and are increasingly demanding, both in the U.S. and globally, which adds compliance complexity and may increase our costs of compliance and expose us to reputational damage or litigation, monetary damages, regulatory enforcement actions, or fines in one or more jurisdictions. We cannot be certain that our cybersecurity insurance coverage will be adequate for liabilities actually incurred, that insurance will continue to be available to us on economically reasonable terms, or at all, or that any insurer will not deny coverage as to any future claim.</w:t>
      </w:r>
    </w:p>
    <w:p>
      <w:pPr>
        <w:spacing w:after="0" w:line="5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7282F"/>
        </w:rPr>
        <w:t>The development of technology products and services presents security and safety risks.</w:t>
      </w:r>
    </w:p>
    <w:p>
      <w:pPr>
        <w:spacing w:after="0" w:line="72" w:lineRule="exact"/>
        <w:rPr>
          <w:sz w:val="20"/>
          <w:szCs w:val="20"/>
          <w:color w:val="auto"/>
        </w:rPr>
      </w:pPr>
    </w:p>
    <w:p>
      <w:pPr>
        <w:jc w:val="both"/>
        <w:ind w:left="8"/>
        <w:spacing w:after="0" w:line="260" w:lineRule="auto"/>
        <w:rPr>
          <w:sz w:val="20"/>
          <w:szCs w:val="20"/>
          <w:color w:val="auto"/>
        </w:rPr>
      </w:pPr>
      <w:r>
        <w:rPr>
          <w:rFonts w:ascii="Arial" w:cs="Arial" w:eastAsia="Arial" w:hAnsi="Arial"/>
          <w:sz w:val="11"/>
          <w:szCs w:val="11"/>
          <w:color w:val="auto"/>
        </w:rPr>
        <w:t>An increasing number of our products, services, and technologies are delivered with Internet of Things (IoT) capabilities and the accompanying interconnected device networks, which include sensors, data, and advanced computing capabilities. We have developed product software designs that we believe are less susceptible to cyber-attacks, but despite these efforts, if our products and services that include IoT solutions do not work as intended or are compromised, the possible consequences include financial loss, reputational damage, exposure to legal claims or enforcement actions, theft of intellectual property, and diminution in the value of our investment in research, development, and engineering, which in turn could adversely affect our competitiveness and results of operations.</w:t>
      </w:r>
    </w:p>
    <w:p>
      <w:pPr>
        <w:spacing w:after="0" w:line="4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7282F"/>
        </w:rPr>
        <w:t>Data privacy, data protection, and information security may require significant resources and present certain risks.</w:t>
      </w:r>
    </w:p>
    <w:p>
      <w:pPr>
        <w:spacing w:after="0" w:line="72" w:lineRule="exact"/>
        <w:rPr>
          <w:sz w:val="20"/>
          <w:szCs w:val="20"/>
          <w:color w:val="auto"/>
        </w:rPr>
      </w:pPr>
    </w:p>
    <w:p>
      <w:pPr>
        <w:jc w:val="both"/>
        <w:ind w:left="8"/>
        <w:spacing w:after="0" w:line="276" w:lineRule="auto"/>
        <w:rPr>
          <w:sz w:val="20"/>
          <w:szCs w:val="20"/>
          <w:color w:val="auto"/>
        </w:rPr>
      </w:pPr>
      <w:r>
        <w:rPr>
          <w:rFonts w:ascii="Arial" w:cs="Arial" w:eastAsia="Arial" w:hAnsi="Arial"/>
          <w:sz w:val="10"/>
          <w:szCs w:val="10"/>
          <w:color w:val="auto"/>
        </w:rPr>
        <w:t>We collect, store, have access to, and otherwise process certain confidential or sensitive data, including proprietary business information, personal data, or other information that is subject to data privacy and security laws, regulations, and/or contractual obligations with third parties. Despite our efforts to protect such data, we may be vulnerable to material security breaches, theft, misplaced or lost data, programming errors, or human errors that could potentially lead to the compromise of such data, improper use of our products, systems, software solutions, or networks, unauthorized access, use, disclosure, modification, or destruction of data, defective products, production downtimes, and operational disruptions. A significant actual or perceived risk of theft, loss, fraudulent use or misuse of customer, employee, or other data, whether by us, our suppliers, channel partners, customers, or other third parties, as a result of employee error or malfeasance, or as a result of the imaging, software, security, and other products we incorporate into our products, as well as non-compliance with applicable industry standards or our contractual or other legal obligations or privacy and information security policies regarding such data, could result in costs, fines, litigation, or regulatory actions, or could lead customers to select the products and services of our competitors. In addition, we operate in an environment in which there are different and potentially conflicting laws in effect in the U.S. and foreign jurisdictions in which we operate, and we must understand and comply with each law and standard in these jurisdictions while also ensuring the data is secure. Many of these laws impose stringent requirements as to how we collect, store, maintain, transfer, and otherwise process personal data and provide significant or material penalties for noncompliance. Many jurisdictions have passed or are considering laws that require personal data relating to their residents or citizens to be maintained or replicated on local servers or impose specific obligations related to extraterritorial data transfers. Government enforcement actions can be costly and interrupt the regular operation of our business, and actual or alleged violations of such laws, including in relation to the Company’s processing of personal data or adoption of emerging technologies such as artificial intelligence and machine learning, can result in fines, reputational damage, and civil lawsuits, any of which may adversely affect our business, reputation, and financial statements.</w:t>
      </w:r>
    </w:p>
    <w:p>
      <w:pPr>
        <w:spacing w:after="0" w:line="48"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7282F"/>
        </w:rPr>
        <w:t>A material disruption of our operations, particularly at our manufacturing facilities or within our IT infrastructure, could adversely affect our business.</w:t>
      </w:r>
    </w:p>
    <w:p>
      <w:pPr>
        <w:spacing w:after="0" w:line="72" w:lineRule="exact"/>
        <w:rPr>
          <w:sz w:val="20"/>
          <w:szCs w:val="20"/>
          <w:color w:val="auto"/>
        </w:rPr>
      </w:pPr>
    </w:p>
    <w:p>
      <w:pPr>
        <w:jc w:val="both"/>
        <w:ind w:left="8"/>
        <w:spacing w:after="0" w:line="281" w:lineRule="auto"/>
        <w:rPr>
          <w:sz w:val="20"/>
          <w:szCs w:val="20"/>
          <w:color w:val="auto"/>
        </w:rPr>
      </w:pPr>
      <w:r>
        <w:rPr>
          <w:rFonts w:ascii="Arial" w:cs="Arial" w:eastAsia="Arial" w:hAnsi="Arial"/>
          <w:sz w:val="10"/>
          <w:szCs w:val="10"/>
          <w:color w:val="auto"/>
        </w:rPr>
        <w:t>Our facilities, supply chains, distribution systems, and IT systems are subject to catastrophic loss due to natural disasters or other weather-related disruptions, including hurricanes and floods, which may be exacerbated by the effects of climate change, power outages, fires, explosions, terrorism, equipment failures, sabotage, cyber incidents, any potential effects of climate change and adverse weather conditions, including water scarcity and rising sea levels, labor disputes, critical supply failure, inaccurate downtime forecast, political disruption and regional conflicts, public health crises, like a regional or global pandemic, and other reasons, which can result in undesirable consequences, including financial losses and damaged relationships with customers. We employ IT systems and networks to support the business and rely on them to process, transmit and store electronic information, and to manage or support a variety of business processes and activities. Although preventative measures may help to mitigate damage, such measures could be costly, and disruptions to our manufacturing facilities or IT infrastructure from system failures, shutdowns, power outages and energy shortages, telecommunication or utility failures, cybersecurity incidents, and other events, including disruptions at our cloud computing, server, systems, and other third party IT service providers, could interfere with</w:t>
      </w:r>
    </w:p>
    <w:p>
      <w:pPr>
        <w:spacing w:after="0" w:line="2" w:lineRule="exact"/>
        <w:rPr>
          <w:sz w:val="20"/>
          <w:szCs w:val="20"/>
          <w:color w:val="auto"/>
        </w:rPr>
      </w:pPr>
    </w:p>
    <w:p>
      <w:pPr>
        <w:jc w:val="both"/>
        <w:ind w:left="8" w:right="20"/>
        <w:spacing w:after="0" w:line="356" w:lineRule="auto"/>
        <w:rPr>
          <w:sz w:val="20"/>
          <w:szCs w:val="20"/>
          <w:color w:val="auto"/>
        </w:rPr>
      </w:pPr>
      <w:r>
        <w:rPr>
          <w:rFonts w:ascii="Arial" w:cs="Arial" w:eastAsia="Arial" w:hAnsi="Arial"/>
          <w:sz w:val="10"/>
          <w:szCs w:val="10"/>
          <w:color w:val="auto"/>
        </w:rPr>
        <w:t>our operations, interrupt production and shipments, damage customer and business partner relationships, and negatively impact our reputation. In addition, the insurance we maintain may not be adequate to cover our losses resulting from any business interruption, including those resulting from a natural disaster or other severe weather event, and recurring extreme weather events or other adverse events could reduce the availability or increase the cost of insurance.</w:t>
      </w:r>
    </w:p>
    <w:p>
      <w:pPr>
        <w:spacing w:after="0" w:line="226" w:lineRule="exact"/>
        <w:rPr>
          <w:sz w:val="20"/>
          <w:szCs w:val="20"/>
          <w:color w:val="auto"/>
        </w:rPr>
      </w:pPr>
    </w:p>
    <w:p>
      <w:pPr>
        <w:ind w:left="268" w:hanging="268"/>
        <w:spacing w:after="0"/>
        <w:tabs>
          <w:tab w:leader="none" w:pos="268" w:val="left"/>
        </w:tabs>
        <w:numPr>
          <w:ilvl w:val="0"/>
          <w:numId w:val="68"/>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36" w:name="page37"/>
    <w:bookmarkEnd w:id="36"/>
    <w:p>
      <w:pPr>
        <w:ind w:left="8"/>
        <w:spacing w:after="0"/>
        <w:tabs>
          <w:tab w:leader="none" w:pos="1064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7282F"/>
        </w:rPr>
        <w:t>Concentrations of credit, counterparty, and market risk may adversely affect our results of operations and financial condition.</w:t>
      </w:r>
    </w:p>
    <w:p>
      <w:pPr>
        <w:spacing w:after="0" w:line="72" w:lineRule="exact"/>
        <w:rPr>
          <w:sz w:val="20"/>
          <w:szCs w:val="20"/>
          <w:color w:val="auto"/>
        </w:rPr>
      </w:pPr>
    </w:p>
    <w:p>
      <w:pPr>
        <w:jc w:val="both"/>
        <w:ind w:left="8"/>
        <w:spacing w:after="0" w:line="260" w:lineRule="auto"/>
        <w:rPr>
          <w:sz w:val="20"/>
          <w:szCs w:val="20"/>
          <w:color w:val="auto"/>
        </w:rPr>
      </w:pPr>
      <w:r>
        <w:rPr>
          <w:rFonts w:ascii="Arial" w:cs="Arial" w:eastAsia="Arial" w:hAnsi="Arial"/>
          <w:sz w:val="11"/>
          <w:szCs w:val="11"/>
          <w:color w:val="auto"/>
        </w:rPr>
        <w:t>We maintain long-term contractual relationships with many of our customers, suppliers, and other counterparties. While we monitor the financial health of these counterparties, we are exposed to credit and market risks of such counterparties, including those concentrated in the same or similar industries and geographic regions. Changes in political and economic conditions could also lead to concerns about the creditworthiness of counterparties and their ability to pay in the same or similar industry or geography, impacting our ability to renew our long-term contractual arrangements or collect amounts due under these arrangements. Among other factors, geopolitical events, inflation, rising interest rates, banking instability, and changes in economic conditions, including an economic downturn or recession, could also result in the credit deterioration or insolvency of a significant counterparty.</w:t>
      </w:r>
    </w:p>
    <w:p>
      <w:pPr>
        <w:spacing w:after="0" w:line="4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7282F"/>
        </w:rPr>
        <w:t>We are impacted by increasing stakeholder interest in public company performance, disclosure, and goal-setting with respect to environmental, social, and governance matters.</w:t>
      </w:r>
    </w:p>
    <w:p>
      <w:pPr>
        <w:spacing w:after="0" w:line="72" w:lineRule="exact"/>
        <w:rPr>
          <w:sz w:val="20"/>
          <w:szCs w:val="20"/>
          <w:color w:val="auto"/>
        </w:rPr>
      </w:pPr>
    </w:p>
    <w:p>
      <w:pPr>
        <w:jc w:val="both"/>
        <w:ind w:left="8"/>
        <w:spacing w:after="0" w:line="249" w:lineRule="auto"/>
        <w:rPr>
          <w:sz w:val="20"/>
          <w:szCs w:val="20"/>
          <w:color w:val="auto"/>
        </w:rPr>
      </w:pPr>
      <w:r>
        <w:rPr>
          <w:rFonts w:ascii="Arial" w:cs="Arial" w:eastAsia="Arial" w:hAnsi="Arial"/>
          <w:sz w:val="11"/>
          <w:szCs w:val="11"/>
          <w:color w:val="auto"/>
        </w:rPr>
        <w:t>In response to growing customer, investor, employee, governmental, and other stakeholder interest in our ESG practices, including our procedures, standards, performance metrics, and goals, we have increased reporting of our ESG programs and performance and have established and announced goals and other objectives related to ESG matters. These goal statements reflect our current plans and aspirations and are not guarantees that we will be able to achieve them. Our ability to achieve any goal or objective, including with respect to ESG initiatives, is subject to numerous risks, many of which are outside of our control. Examples of such risks include: (i) the availability and cost of low- or non-carbon-based energy sources and technologies, (ii) evolving regulatory requirements affecting ESG standards or disclosures, (iii) the availability of suppliers that can meet our sustainability, diversity and other standards, (iv) our ability to recruit, develop, and retain diverse talent in our labor markets, and (v) the impact of our organic growth and acquisitions or dispositions of businesses or operations. In addition, standards for tracking and reporting on ESG matters have not been harmonized and continue to evolve. Our processes and controls for reporting of ESG matters may not always comply with evolving and disparate standards for identifying, measuring, and reporting ESG metrics, our interpretation of reporting standards may differ from those of others, and such standards may change over time, any of which could result in significant revisions to our performance metrics, goals, or reported progress in achieving such goals. In addition, certain of our products and services, including offerings in our Defense and Space business unit, are unattractive to certain investors and may cause us to be increasingly subject to ESG-driven investment practices that preclude investment in our debt and equity. On the other hand, some investors have a negative response to ESG practices as a result of anti-ESG sentiment and may choose not to invest in us, or divest in their holdings of us, as a result of our ESG practices and initiatives.</w:t>
      </w:r>
    </w:p>
    <w:p>
      <w:pPr>
        <w:spacing w:after="0" w:line="56"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If our ESG practices or business portfolio do not meet evolving investor or other stakeholder expectations and standards, then our reputation, our ability to attract or retain employees, and our attractiveness as an investment, supplier, business partner, or acquiror could be negatively impacted. Our failure or perceived failure to pursue or fulfill our goals, targets, and objectives or to satisfy various reporting standards within the timelines we announce, or at all, could have similar negative impacts and expose us to government enforcement actions and private litigation.</w:t>
      </w:r>
    </w:p>
    <w:p>
      <w:pPr>
        <w:spacing w:after="0" w:line="45"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7282F"/>
        </w:rPr>
        <w:t>Global climate change and related regulations and changes in customer demand could negatively affect our operations and our business.</w:t>
      </w:r>
    </w:p>
    <w:p>
      <w:pPr>
        <w:spacing w:after="0" w:line="81"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The effects of climate change could create financial risks to our business. For example, the effects of physical impacts of climate change could disrupt our operations by impacting the availability and cost of materials needed for manufacturing, exacerbate existing risks to our supply chain, disrupt our operations, and increase insurance and other operating costs. These factors may impact our decisions to construct new facilities or maintain existing facilities in areas most prone to physical climate risks. We could also face indirect financial risks passed through the supply chain and disruptions that could result in increased prices for our products and the resources needed to produce them.</w:t>
      </w:r>
    </w:p>
    <w:p>
      <w:pPr>
        <w:spacing w:after="0" w:line="45"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color w:val="auto"/>
        </w:rPr>
        <w:t>The growing focus on addressing global climate change has resulted in more regulations designed to reduce GHG emissions and more customer demand for products and services that have a lower carbon footprint or that help businesses and consumers reduce carbon emissions throughout their value chains. These regulations tend to be implemented under global, national and sub-national climate objectives or policies, and target the global warming potential of refrigerants, energy efficiency, and the combustion of fossil fuels. Although we offer and continue to invest in developing solutions that help our customers meet their carbon reduction and sustainability goals, many of our products combust fossil fuels, consume energy, and use refrigerants. Regulations and carbon reduction goals which seek to reduce GHG emissions could reduce demand for such products and present a risk to our business. We may be required to further increase research and development and other capital expenditures in order to develop offerings that meet these new regulations, standards, and customer demands. There can be no assurance that our new product development efforts will be successful, that our products will be accepted by the market, or that economic returns will reflect our investments in new product development.</w:t>
      </w:r>
    </w:p>
    <w:p>
      <w:pPr>
        <w:spacing w:after="0" w:line="277" w:lineRule="exact"/>
        <w:rPr>
          <w:sz w:val="20"/>
          <w:szCs w:val="20"/>
          <w:color w:val="auto"/>
        </w:rPr>
      </w:pPr>
    </w:p>
    <w:p>
      <w:pPr>
        <w:ind w:left="268" w:hanging="268"/>
        <w:spacing w:after="0"/>
        <w:tabs>
          <w:tab w:leader="none" w:pos="268" w:val="left"/>
        </w:tabs>
        <w:numPr>
          <w:ilvl w:val="0"/>
          <w:numId w:val="69"/>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37" w:name="page38"/>
    <w:bookmarkEnd w:id="37"/>
    <w:p>
      <w:pPr>
        <w:ind w:left="8"/>
        <w:spacing w:after="0"/>
        <w:tabs>
          <w:tab w:leader="none" w:pos="1064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
        <w:spacing w:after="0"/>
        <w:rPr>
          <w:sz w:val="20"/>
          <w:szCs w:val="20"/>
          <w:color w:val="auto"/>
        </w:rPr>
      </w:pPr>
      <w:r>
        <w:rPr>
          <w:rFonts w:ascii="Arial" w:cs="Arial" w:eastAsia="Arial" w:hAnsi="Arial"/>
          <w:sz w:val="19"/>
          <w:szCs w:val="19"/>
          <w:color w:val="D7282F"/>
        </w:rPr>
        <w:t>LEGAL AND REGULATORY RISKS</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7282F"/>
        </w:rPr>
        <w:t>Our U.S. and non-U.S. tax liabilities are dependent, in part, upon the distribution of income among various jurisdictions in which we operate, as well as changes in tax law or regulation.</w:t>
      </w:r>
    </w:p>
    <w:p>
      <w:pPr>
        <w:spacing w:after="0" w:line="81"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Our future results of operations could be adversely affected by changes in the effective tax rate as a result of a change in the mix of earnings in countries with differing statutory tax rates, changes in tax laws, regulations and judicial rulings (or changes in the interpretation thereof), potential taxation of digital services, changes in generally accepted accounting principles, changes in the valuation of deferred tax assets and liabilities, changes in the amount of earnings permanently reinvested offshore, the results of audits and examinations of previously filed tax returns and continuing assessments of our tax exposures, and various other governmental enforcement initiatives. Our tax expense includes estimates of tax reserves and reflects other estimates and assumptions, including assessments of future earnings of the Company, which could impact the valuation of our deferred tax assets. In addition, our future effective tax rates could be subject to volatility or adversely affected by changes in tax laws, regulations, accounting principles, or interpretations thereof.</w:t>
      </w:r>
    </w:p>
    <w:p>
      <w:pPr>
        <w:spacing w:after="0" w:line="61"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The Organisation for Economic Co-operation and Development (OECD)/G20 and other invited countries, developed a global tax framework inclusive of a 15% global minimum tax under the Pillar Two Global Anti-Base Erosion Rules (Pillar Two). On December 15, 2022, the Council of the European Union (EU) formally adopted the OECD’s framework to achieve a coordinated implementation amongst EU Member States consistent with EU law. The EU’s Pillar Two Directive effective dates are January 1, 2024, and January 1, 2025, for different aspects of the directive. Other major jurisdictions are actively considering and implementing changes to their tax laws to adopt certain parts of the OECD’s proposals. We have assessed this framework and determined, based upon available guidance, that these changes will not have a material impact to our results of operations. Any future changes in OECD guidance or interpretations, including local country tax legislative changes thereof, could impact our initial assessment; therefore, we will continue to monitor and refine our assessment as further guidance is made available.</w:t>
      </w:r>
    </w:p>
    <w:p>
      <w:pPr>
        <w:spacing w:after="0" w:line="6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7282F"/>
        </w:rPr>
        <w:t>Changes in legislation or government regulations or policies can have a significant impact on our results of operations.</w:t>
      </w:r>
    </w:p>
    <w:p>
      <w:pPr>
        <w:spacing w:after="0" w:line="72"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The sales and margins of each of our reportable business segments are directly impacted by government regulations, including environmental, safety, performance, and product certification regulations. Within Aerospace, the operating results of Commercial Aviation Original Equipment and Commercial Aviation Aftermarket may be impacted by, among other things, mandates of the Federal Aviation Administration and other similar international regulatory bodies requiring the installation of equipment on aircraft. Our Defense and Space business unit may be affected by changes in government procurement regulations. Within Honeywell Building Technologies and Safety and Productivity Solutions, the demand for and cost of providing products, services and solutions can be impacted by fire, security, safety, health care, environmental, and energy efficiency standards and regulations. Performance Materials and Technologies’ results of operations can be impacted by environmental and health standards, regulations, and judicial determinations, including potential per/polyfluoroalkyl substances (PFAS) legislation and regulations that, if adopted, could impact the sale of certain products in our Advanced Materials business unit, without fully assessing level of risk or environmental impact. Growth in all our businesses within emerging markets may be adversely impacted by the inability to acquire and retain qualified employees where local employment law mandates may be restrictive. Changes in such regulations and government policies could negatively impact us; for instance, noncompliance with legislation and regulations can result in fines and penalties, and compliance with any new regulations or policies may be burdensome and/or require significant expenditures.</w:t>
      </w:r>
    </w:p>
    <w:p>
      <w:pPr>
        <w:spacing w:after="0" w:line="53"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7282F"/>
        </w:rPr>
        <w:t>Increased focus and evolving views of lawmakers on climate change and other ESG issues could have a long-term impact on our business and result of operations.</w:t>
      </w:r>
    </w:p>
    <w:p>
      <w:pPr>
        <w:spacing w:after="0" w:line="72"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color w:val="auto"/>
        </w:rPr>
        <w:t>Increased public awareness and concern regarding global climate change and other ESG matters may result in more international, regional, and/or federal regulatory or other stakeholder requirements or expectations that could mandate more restrictive or expansive standards, such as stricter limits on GHG emissions or more prescriptive reporting of ESG metrics, practices, and targets, than the voluntary commitments that the Company has adopted or require such changes on a more accelerated time frame. There continues to be a lack of consistent climate and other ESG legislation, which creates economic and regulatory uncertainty; however, there has been an increasing amount of legislative and regulatory activity, particularly in the European Union, United Kingdom, and U.S. In addition, there is also an increasing number of state-level anti-ESG initiatives in the U.S. that may conflict with other regulatory requirements, resulting in regulatory uncertainty. New or revised legal and regulatory requirements could impose significant operational restrictions and compliance requirements upon the Company or its products, and could negatively impact the Company’s business, capital expenditures, results of operations, financial condition, and competitive position.</w:t>
      </w:r>
    </w:p>
    <w:p>
      <w:pPr>
        <w:spacing w:after="0" w:line="286" w:lineRule="exact"/>
        <w:rPr>
          <w:sz w:val="20"/>
          <w:szCs w:val="20"/>
          <w:color w:val="auto"/>
        </w:rPr>
      </w:pPr>
    </w:p>
    <w:p>
      <w:pPr>
        <w:ind w:left="268" w:hanging="268"/>
        <w:spacing w:after="0"/>
        <w:tabs>
          <w:tab w:leader="none" w:pos="268" w:val="left"/>
        </w:tabs>
        <w:numPr>
          <w:ilvl w:val="0"/>
          <w:numId w:val="70"/>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38" w:name="page39"/>
    <w:bookmarkEnd w:id="38"/>
    <w:p>
      <w:pPr>
        <w:ind w:left="8"/>
        <w:spacing w:after="0"/>
        <w:tabs>
          <w:tab w:leader="none" w:pos="1064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7282F"/>
        </w:rPr>
        <w:t>We cannot predict with certainty the outcome of litigation matters, government proceedings and other contingencies and uncertainties.</w:t>
      </w:r>
    </w:p>
    <w:p>
      <w:pPr>
        <w:spacing w:after="0" w:line="72" w:lineRule="exact"/>
        <w:rPr>
          <w:sz w:val="20"/>
          <w:szCs w:val="20"/>
          <w:color w:val="auto"/>
        </w:rPr>
      </w:pPr>
    </w:p>
    <w:p>
      <w:pPr>
        <w:jc w:val="both"/>
        <w:ind w:left="8"/>
        <w:spacing w:after="0" w:line="252" w:lineRule="auto"/>
        <w:rPr>
          <w:sz w:val="20"/>
          <w:szCs w:val="20"/>
          <w:color w:val="auto"/>
        </w:rPr>
      </w:pPr>
      <w:r>
        <w:rPr>
          <w:rFonts w:ascii="Arial" w:cs="Arial" w:eastAsia="Arial" w:hAnsi="Arial"/>
          <w:sz w:val="11"/>
          <w:szCs w:val="11"/>
          <w:color w:val="auto"/>
        </w:rPr>
        <w:t>We are currently, and may in the future become, subject to lawsuits, fines, investigations, and disputes (some of which involve substantial amounts claimed) arising out of the conduct of our business, including matters relating to commercial transactions, government contracts, product liability (including asbestos), the integration of emerging technologies (such as, but not limited to, artificial intelligence and machine learning), prior acquisitions and divestitures, employment, employee benefits plans, intellectual property, antitrust, anti-corruption, accounting, import and export, and environmental, health, and safety matters. Our potential liabilities are subject to change over time due to new developments, changes in settlement strategy or the impact of evidentiary requirements, and we may become subject to or be required to pay damage awards or settlements that could have a material adverse effect on our results of operations, reputation, cash flows, and financial condition. While we maintain insurance for certain risks, the amount of our insurance coverage may not be adequate to cover the total amount of all insured claims and liabilities. The incurrence of significant liabilities for which there is no or insufficient insurance coverage could adversely affect our results of operations, cash flows, liquidity, and financial condition. See Note 19 Commitments and Contingencies of Notes to Consolidated Financial Statements for further discussion regarding the uncertainty associated with asbestos-related liabilities.</w:t>
      </w:r>
    </w:p>
    <w:p>
      <w:pPr>
        <w:spacing w:after="0" w:line="200" w:lineRule="exact"/>
        <w:rPr>
          <w:sz w:val="20"/>
          <w:szCs w:val="20"/>
          <w:color w:val="auto"/>
        </w:rPr>
      </w:pPr>
    </w:p>
    <w:p>
      <w:pPr>
        <w:spacing w:after="0" w:line="310" w:lineRule="exact"/>
        <w:rPr>
          <w:sz w:val="20"/>
          <w:szCs w:val="20"/>
          <w:color w:val="auto"/>
        </w:rPr>
      </w:pPr>
    </w:p>
    <w:p>
      <w:pPr>
        <w:ind w:left="268" w:hanging="268"/>
        <w:spacing w:after="0"/>
        <w:tabs>
          <w:tab w:leader="none" w:pos="268" w:val="left"/>
        </w:tabs>
        <w:numPr>
          <w:ilvl w:val="0"/>
          <w:numId w:val="71"/>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39" w:name="page40"/>
    <w:bookmarkEnd w:id="39"/>
    <w:p>
      <w:pPr>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QUANTITATIVE AND QUALITATIVE DISCLOSURES ABOUT MARKET RISKS</w:t>
      </w: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Information relating to market risks is included within Liquidity and Capital Resources of our Form 10-K under the caption “Financial Instruments.”</w:t>
      </w:r>
    </w:p>
    <w:p>
      <w:pPr>
        <w:spacing w:after="0" w:line="23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LIQUIDITY AND CAPITAL RESOURCES</w:t>
      </w:r>
    </w:p>
    <w:p>
      <w:pPr>
        <w:spacing w:after="0" w:line="25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(Dollars in tables in millions)</w:t>
      </w:r>
    </w:p>
    <w:p>
      <w:pPr>
        <w:spacing w:after="0" w:line="81"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We manage our businesses to maximize operating cash flows as the primary source of liquidity. Each of our businesses focus on increasing operating cash flows through revenue growth, margin expansion, and improved working capital turnover. Additional sources of liquidity include U.S. cash balances, and the ability to access non-U.S. cash balances, short-term debt from the commercial paper market, long-term borrowings, committed credit lines, and access to the public debt and equity markets.</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color w:val="D7282F"/>
        </w:rPr>
        <w:t>CASH</w:t>
      </w:r>
    </w:p>
    <w:p>
      <w:pPr>
        <w:spacing w:after="0" w:line="172" w:lineRule="exact"/>
        <w:rPr>
          <w:sz w:val="20"/>
          <w:szCs w:val="20"/>
          <w:color w:val="auto"/>
        </w:rPr>
      </w:pPr>
    </w:p>
    <w:p>
      <w:pPr>
        <w:jc w:val="both"/>
        <w:spacing w:after="0" w:line="318" w:lineRule="auto"/>
        <w:rPr>
          <w:sz w:val="20"/>
          <w:szCs w:val="20"/>
          <w:color w:val="auto"/>
        </w:rPr>
      </w:pPr>
      <w:r>
        <w:rPr>
          <w:rFonts w:ascii="Arial" w:cs="Arial" w:eastAsia="Arial" w:hAnsi="Arial"/>
          <w:sz w:val="10"/>
          <w:szCs w:val="10"/>
          <w:color w:val="auto"/>
        </w:rPr>
        <w:t>As of December 31, 2023, and 2022, we held $8.1 billion and $10.1 billion, respectively, of cash and cash equivalents, including our short-term investments. We monitor the third-party depository institutions that hold our cash and cash equivalents on a daily basis. Our emphasis is primarily safety of principal and secondarily maximizing yield of those funds. We diversify our cash and cash equivalents among counterparties to minimize exposure to any one counterparty.</w:t>
      </w:r>
    </w:p>
    <w:p>
      <w:pPr>
        <w:spacing w:after="0" w:line="28"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As of December 31, 2023, $5.9 billion of the Company’s cash, cash equivalents, and short-term investments were held by non-U.S. subsidiaries. We do not have material amounts related to any jurisdiction subject to currency control restrictions that impact our ability to access and repatriate such amounts. Under current laws, we do not expect taxes on repatriation or restrictions on amounts held outside of the U.S. to have a material effect on our overall liquidity.</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D7282F"/>
        </w:rPr>
        <w:t>CASH FLOW SUMMARY</w:t>
      </w:r>
    </w:p>
    <w:p>
      <w:pPr>
        <w:spacing w:after="0" w:line="163" w:lineRule="exact"/>
        <w:rPr>
          <w:sz w:val="20"/>
          <w:szCs w:val="20"/>
          <w:color w:val="auto"/>
        </w:rPr>
      </w:pPr>
    </w:p>
    <w:p>
      <w:pPr>
        <w:spacing w:after="0"/>
        <w:rPr>
          <w:sz w:val="20"/>
          <w:szCs w:val="20"/>
          <w:color w:val="auto"/>
        </w:rPr>
      </w:pPr>
      <w:r>
        <w:rPr>
          <w:rFonts w:ascii="Arial" w:cs="Arial" w:eastAsia="Arial" w:hAnsi="Arial"/>
          <w:sz w:val="11"/>
          <w:szCs w:val="11"/>
          <w:color w:val="auto"/>
        </w:rPr>
        <w:t>Our cash flows from operating, investing, and financing activities, as reflected in the Consolidated Statement of Cash Flows, are summarized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6640" w:type="dxa"/>
            <w:vAlign w:val="bottom"/>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700" w:type="dxa"/>
            <w:vAlign w:val="bottom"/>
            <w:tcBorders>
              <w:bottom w:val="single" w:sz="8" w:color="D7282F"/>
            </w:tcBorders>
          </w:tcPr>
          <w:p>
            <w:pPr>
              <w:spacing w:after="0"/>
              <w:rPr>
                <w:sz w:val="11"/>
                <w:szCs w:val="11"/>
                <w:color w:val="auto"/>
              </w:rPr>
            </w:pPr>
          </w:p>
        </w:tc>
        <w:tc>
          <w:tcPr>
            <w:tcW w:w="280" w:type="dxa"/>
            <w:vAlign w:val="bottom"/>
            <w:tcBorders>
              <w:bottom w:val="single" w:sz="8" w:color="D7282F"/>
            </w:tcBorders>
          </w:tcPr>
          <w:p>
            <w:pPr>
              <w:spacing w:after="0"/>
              <w:rPr>
                <w:sz w:val="11"/>
                <w:szCs w:val="11"/>
                <w:color w:val="auto"/>
              </w:rPr>
            </w:pPr>
          </w:p>
        </w:tc>
        <w:tc>
          <w:tcPr>
            <w:tcW w:w="560" w:type="dxa"/>
            <w:vAlign w:val="bottom"/>
            <w:tcBorders>
              <w:bottom w:val="single" w:sz="8" w:color="D7282F"/>
            </w:tcBorders>
          </w:tcPr>
          <w:p>
            <w:pPr>
              <w:spacing w:after="0"/>
              <w:rPr>
                <w:sz w:val="11"/>
                <w:szCs w:val="11"/>
                <w:color w:val="auto"/>
              </w:rPr>
            </w:pPr>
          </w:p>
        </w:tc>
        <w:tc>
          <w:tcPr>
            <w:tcW w:w="1380" w:type="dxa"/>
            <w:vAlign w:val="bottom"/>
            <w:tcBorders>
              <w:bottom w:val="single" w:sz="8" w:color="D7282F"/>
            </w:tcBorders>
            <w:gridSpan w:val="3"/>
          </w:tcPr>
          <w:p>
            <w:pPr>
              <w:jc w:val="center"/>
              <w:ind w:right="72"/>
              <w:spacing w:after="0"/>
              <w:rPr>
                <w:sz w:val="20"/>
                <w:szCs w:val="20"/>
                <w:color w:val="auto"/>
              </w:rPr>
            </w:pPr>
            <w:r>
              <w:rPr>
                <w:rFonts w:ascii="Arial" w:cs="Arial" w:eastAsia="Arial" w:hAnsi="Arial"/>
                <w:sz w:val="10"/>
                <w:szCs w:val="10"/>
                <w:b w:val="1"/>
                <w:bCs w:val="1"/>
                <w:color w:val="auto"/>
                <w:w w:val="94"/>
              </w:rPr>
              <w:t>Years Ended December 31,</w:t>
            </w:r>
          </w:p>
        </w:tc>
        <w:tc>
          <w:tcPr>
            <w:tcW w:w="700" w:type="dxa"/>
            <w:vAlign w:val="bottom"/>
            <w:tcBorders>
              <w:bottom w:val="single" w:sz="8" w:color="D7282F"/>
            </w:tcBorders>
          </w:tcPr>
          <w:p>
            <w:pPr>
              <w:spacing w:after="0"/>
              <w:rPr>
                <w:sz w:val="11"/>
                <w:szCs w:val="11"/>
                <w:color w:val="auto"/>
              </w:rPr>
            </w:pPr>
          </w:p>
        </w:tc>
        <w:tc>
          <w:tcPr>
            <w:tcW w:w="240" w:type="dxa"/>
            <w:vAlign w:val="bottom"/>
            <w:tcBorders>
              <w:bottom w:val="single" w:sz="8" w:color="D7282F"/>
            </w:tcBorders>
          </w:tcPr>
          <w:p>
            <w:pPr>
              <w:spacing w:after="0"/>
              <w:rPr>
                <w:sz w:val="11"/>
                <w:szCs w:val="11"/>
                <w:color w:val="auto"/>
              </w:rPr>
            </w:pPr>
          </w:p>
        </w:tc>
        <w:tc>
          <w:tcPr>
            <w:tcW w:w="640" w:type="dxa"/>
            <w:vAlign w:val="bottom"/>
            <w:tcBorders>
              <w:bottom w:val="single" w:sz="8" w:color="D7282F"/>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6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vMerge w:val="restart"/>
          </w:tcPr>
          <w:p>
            <w:pPr>
              <w:jc w:val="center"/>
              <w:ind w:right="132"/>
              <w:spacing w:after="0"/>
              <w:rPr>
                <w:sz w:val="20"/>
                <w:szCs w:val="20"/>
                <w:color w:val="auto"/>
              </w:rPr>
            </w:pPr>
            <w:r>
              <w:rPr>
                <w:rFonts w:ascii="Arial" w:cs="Arial" w:eastAsia="Arial" w:hAnsi="Arial"/>
                <w:sz w:val="10"/>
                <w:szCs w:val="10"/>
                <w:b w:val="1"/>
                <w:bCs w:val="1"/>
                <w:color w:val="auto"/>
                <w:w w:val="97"/>
              </w:rPr>
              <w:t>Change 2023</w:t>
            </w: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jc w:val="center"/>
              <w:ind w:right="92"/>
              <w:spacing w:after="0"/>
              <w:rPr>
                <w:sz w:val="20"/>
                <w:szCs w:val="20"/>
                <w:color w:val="auto"/>
              </w:rPr>
            </w:pPr>
            <w:r>
              <w:rPr>
                <w:rFonts w:ascii="Arial" w:cs="Arial" w:eastAsia="Arial" w:hAnsi="Arial"/>
                <w:sz w:val="10"/>
                <w:szCs w:val="10"/>
                <w:b w:val="1"/>
                <w:bCs w:val="1"/>
                <w:color w:val="auto"/>
                <w:w w:val="92"/>
              </w:rPr>
              <w:t>Change</w:t>
            </w:r>
          </w:p>
        </w:tc>
        <w:tc>
          <w:tcPr>
            <w:tcW w:w="0" w:type="dxa"/>
            <w:vAlign w:val="bottom"/>
          </w:tcPr>
          <w:p>
            <w:pPr>
              <w:spacing w:after="0"/>
              <w:rPr>
                <w:sz w:val="1"/>
                <w:szCs w:val="1"/>
                <w:color w:val="auto"/>
              </w:rPr>
            </w:pPr>
          </w:p>
        </w:tc>
      </w:tr>
      <w:tr>
        <w:trPr>
          <w:trHeight w:val="99"/>
        </w:trPr>
        <w:tc>
          <w:tcPr>
            <w:tcW w:w="6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jc w:val="center"/>
              <w:ind w:right="92"/>
              <w:spacing w:after="0" w:line="99" w:lineRule="exact"/>
              <w:rPr>
                <w:sz w:val="20"/>
                <w:szCs w:val="20"/>
                <w:color w:val="auto"/>
              </w:rPr>
            </w:pPr>
            <w:r>
              <w:rPr>
                <w:rFonts w:ascii="Arial" w:cs="Arial" w:eastAsia="Arial" w:hAnsi="Arial"/>
                <w:sz w:val="10"/>
                <w:szCs w:val="10"/>
                <w:b w:val="1"/>
                <w:bCs w:val="1"/>
                <w:color w:val="auto"/>
                <w:w w:val="98"/>
              </w:rPr>
              <w:t>2022</w:t>
            </w:r>
          </w:p>
        </w:tc>
        <w:tc>
          <w:tcPr>
            <w:tcW w:w="0" w:type="dxa"/>
            <w:vAlign w:val="bottom"/>
          </w:tcPr>
          <w:p>
            <w:pPr>
              <w:spacing w:after="0"/>
              <w:rPr>
                <w:sz w:val="1"/>
                <w:szCs w:val="1"/>
                <w:color w:val="auto"/>
              </w:rPr>
            </w:pPr>
          </w:p>
        </w:tc>
      </w:tr>
      <w:tr>
        <w:trPr>
          <w:trHeight w:val="92"/>
        </w:trPr>
        <w:tc>
          <w:tcPr>
            <w:tcW w:w="6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vMerge w:val="restart"/>
          </w:tcPr>
          <w:p>
            <w:pPr>
              <w:jc w:val="right"/>
              <w:ind w:right="332"/>
              <w:spacing w:after="0"/>
              <w:rPr>
                <w:sz w:val="20"/>
                <w:szCs w:val="20"/>
                <w:color w:val="auto"/>
              </w:rPr>
            </w:pPr>
            <w:r>
              <w:rPr>
                <w:rFonts w:ascii="Arial" w:cs="Arial" w:eastAsia="Arial" w:hAnsi="Arial"/>
                <w:sz w:val="10"/>
                <w:szCs w:val="10"/>
                <w:b w:val="1"/>
                <w:bCs w:val="1"/>
                <w:color w:val="auto"/>
              </w:rPr>
              <w:t>2023</w:t>
            </w:r>
          </w:p>
        </w:tc>
        <w:tc>
          <w:tcPr>
            <w:tcW w:w="280" w:type="dxa"/>
            <w:vAlign w:val="bottom"/>
          </w:tcPr>
          <w:p>
            <w:pPr>
              <w:spacing w:after="0"/>
              <w:rPr>
                <w:sz w:val="8"/>
                <w:szCs w:val="8"/>
                <w:color w:val="auto"/>
              </w:rPr>
            </w:pPr>
          </w:p>
        </w:tc>
        <w:tc>
          <w:tcPr>
            <w:tcW w:w="560" w:type="dxa"/>
            <w:vAlign w:val="bottom"/>
            <w:vMerge w:val="restart"/>
          </w:tcPr>
          <w:p>
            <w:pPr>
              <w:jc w:val="right"/>
              <w:ind w:right="192"/>
              <w:spacing w:after="0"/>
              <w:rPr>
                <w:sz w:val="20"/>
                <w:szCs w:val="20"/>
                <w:color w:val="auto"/>
              </w:rPr>
            </w:pPr>
            <w:r>
              <w:rPr>
                <w:rFonts w:ascii="Arial" w:cs="Arial" w:eastAsia="Arial" w:hAnsi="Arial"/>
                <w:sz w:val="10"/>
                <w:szCs w:val="10"/>
                <w:b w:val="1"/>
                <w:bCs w:val="1"/>
                <w:color w:val="auto"/>
              </w:rPr>
              <w:t>2022</w:t>
            </w:r>
          </w:p>
        </w:tc>
        <w:tc>
          <w:tcPr>
            <w:tcW w:w="320" w:type="dxa"/>
            <w:vAlign w:val="bottom"/>
          </w:tcPr>
          <w:p>
            <w:pPr>
              <w:spacing w:after="0"/>
              <w:rPr>
                <w:sz w:val="8"/>
                <w:szCs w:val="8"/>
                <w:color w:val="auto"/>
              </w:rPr>
            </w:pPr>
          </w:p>
        </w:tc>
        <w:tc>
          <w:tcPr>
            <w:tcW w:w="780" w:type="dxa"/>
            <w:vAlign w:val="bottom"/>
          </w:tcPr>
          <w:p>
            <w:pPr>
              <w:jc w:val="center"/>
              <w:ind w:right="152"/>
              <w:spacing w:after="0" w:line="92" w:lineRule="exact"/>
              <w:rPr>
                <w:sz w:val="20"/>
                <w:szCs w:val="20"/>
                <w:color w:val="auto"/>
              </w:rPr>
            </w:pPr>
            <w:r>
              <w:rPr>
                <w:rFonts w:ascii="Arial" w:cs="Arial" w:eastAsia="Arial" w:hAnsi="Arial"/>
                <w:sz w:val="10"/>
                <w:szCs w:val="10"/>
                <w:b w:val="1"/>
                <w:bCs w:val="1"/>
                <w:color w:val="auto"/>
              </w:rPr>
              <w:t>vs.</w:t>
            </w:r>
          </w:p>
        </w:tc>
        <w:tc>
          <w:tcPr>
            <w:tcW w:w="280" w:type="dxa"/>
            <w:vAlign w:val="bottom"/>
          </w:tcPr>
          <w:p>
            <w:pPr>
              <w:spacing w:after="0"/>
              <w:rPr>
                <w:sz w:val="8"/>
                <w:szCs w:val="8"/>
                <w:color w:val="auto"/>
              </w:rPr>
            </w:pPr>
          </w:p>
        </w:tc>
        <w:tc>
          <w:tcPr>
            <w:tcW w:w="700" w:type="dxa"/>
            <w:vAlign w:val="bottom"/>
            <w:vMerge w:val="restart"/>
          </w:tcPr>
          <w:p>
            <w:pPr>
              <w:jc w:val="right"/>
              <w:ind w:right="332"/>
              <w:spacing w:after="0"/>
              <w:rPr>
                <w:sz w:val="20"/>
                <w:szCs w:val="20"/>
                <w:color w:val="auto"/>
              </w:rPr>
            </w:pPr>
            <w:r>
              <w:rPr>
                <w:rFonts w:ascii="Arial" w:cs="Arial" w:eastAsia="Arial" w:hAnsi="Arial"/>
                <w:sz w:val="10"/>
                <w:szCs w:val="10"/>
                <w:b w:val="1"/>
                <w:bCs w:val="1"/>
                <w:color w:val="auto"/>
              </w:rPr>
              <w:t>2021</w:t>
            </w:r>
          </w:p>
        </w:tc>
        <w:tc>
          <w:tcPr>
            <w:tcW w:w="240" w:type="dxa"/>
            <w:vAlign w:val="bottom"/>
          </w:tcPr>
          <w:p>
            <w:pPr>
              <w:spacing w:after="0"/>
              <w:rPr>
                <w:sz w:val="8"/>
                <w:szCs w:val="8"/>
                <w:color w:val="auto"/>
              </w:rPr>
            </w:pPr>
          </w:p>
        </w:tc>
        <w:tc>
          <w:tcPr>
            <w:tcW w:w="640" w:type="dxa"/>
            <w:vAlign w:val="bottom"/>
          </w:tcPr>
          <w:p>
            <w:pPr>
              <w:jc w:val="center"/>
              <w:ind w:right="92"/>
              <w:spacing w:after="0" w:line="92" w:lineRule="exact"/>
              <w:rPr>
                <w:sz w:val="20"/>
                <w:szCs w:val="20"/>
                <w:color w:val="auto"/>
              </w:rPr>
            </w:pPr>
            <w:r>
              <w:rPr>
                <w:rFonts w:ascii="Arial" w:cs="Arial" w:eastAsia="Arial" w:hAnsi="Arial"/>
                <w:sz w:val="10"/>
                <w:szCs w:val="10"/>
                <w:b w:val="1"/>
                <w:bCs w:val="1"/>
                <w:color w:val="auto"/>
              </w:rPr>
              <w:t>vs.</w:t>
            </w:r>
          </w:p>
        </w:tc>
        <w:tc>
          <w:tcPr>
            <w:tcW w:w="0" w:type="dxa"/>
            <w:vAlign w:val="bottom"/>
          </w:tcPr>
          <w:p>
            <w:pPr>
              <w:spacing w:after="0"/>
              <w:rPr>
                <w:sz w:val="1"/>
                <w:szCs w:val="1"/>
                <w:color w:val="auto"/>
              </w:rPr>
            </w:pPr>
          </w:p>
        </w:tc>
      </w:tr>
      <w:tr>
        <w:trPr>
          <w:trHeight w:val="132"/>
        </w:trPr>
        <w:tc>
          <w:tcPr>
            <w:tcW w:w="6640" w:type="dxa"/>
            <w:vAlign w:val="bottom"/>
            <w:tcBorders>
              <w:bottom w:val="single" w:sz="8" w:color="D7282F"/>
            </w:tcBorders>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700" w:type="dxa"/>
            <w:vAlign w:val="bottom"/>
            <w:tcBorders>
              <w:bottom w:val="single" w:sz="8" w:color="D7282F"/>
            </w:tcBorders>
            <w:vMerge w:val="continue"/>
          </w:tcPr>
          <w:p>
            <w:pPr>
              <w:spacing w:after="0"/>
              <w:rPr>
                <w:sz w:val="11"/>
                <w:szCs w:val="11"/>
                <w:color w:val="auto"/>
              </w:rPr>
            </w:pPr>
          </w:p>
        </w:tc>
        <w:tc>
          <w:tcPr>
            <w:tcW w:w="280" w:type="dxa"/>
            <w:vAlign w:val="bottom"/>
            <w:tcBorders>
              <w:bottom w:val="single" w:sz="8" w:color="D7282F"/>
            </w:tcBorders>
          </w:tcPr>
          <w:p>
            <w:pPr>
              <w:spacing w:after="0"/>
              <w:rPr>
                <w:sz w:val="11"/>
                <w:szCs w:val="11"/>
                <w:color w:val="auto"/>
              </w:rPr>
            </w:pPr>
          </w:p>
        </w:tc>
        <w:tc>
          <w:tcPr>
            <w:tcW w:w="560" w:type="dxa"/>
            <w:vAlign w:val="bottom"/>
            <w:tcBorders>
              <w:bottom w:val="single" w:sz="8" w:color="D7282F"/>
            </w:tcBorders>
            <w:vMerge w:val="continue"/>
          </w:tcPr>
          <w:p>
            <w:pPr>
              <w:spacing w:after="0"/>
              <w:rPr>
                <w:sz w:val="11"/>
                <w:szCs w:val="11"/>
                <w:color w:val="auto"/>
              </w:rPr>
            </w:pPr>
          </w:p>
        </w:tc>
        <w:tc>
          <w:tcPr>
            <w:tcW w:w="320" w:type="dxa"/>
            <w:vAlign w:val="bottom"/>
            <w:tcBorders>
              <w:bottom w:val="single" w:sz="8" w:color="D7282F"/>
            </w:tcBorders>
          </w:tcPr>
          <w:p>
            <w:pPr>
              <w:spacing w:after="0"/>
              <w:rPr>
                <w:sz w:val="11"/>
                <w:szCs w:val="11"/>
                <w:color w:val="auto"/>
              </w:rPr>
            </w:pPr>
          </w:p>
        </w:tc>
        <w:tc>
          <w:tcPr>
            <w:tcW w:w="780" w:type="dxa"/>
            <w:vAlign w:val="bottom"/>
            <w:tcBorders>
              <w:bottom w:val="single" w:sz="8" w:color="D7282F"/>
            </w:tcBorders>
          </w:tcPr>
          <w:p>
            <w:pPr>
              <w:jc w:val="center"/>
              <w:ind w:right="152"/>
              <w:spacing w:after="0"/>
              <w:rPr>
                <w:sz w:val="20"/>
                <w:szCs w:val="20"/>
                <w:color w:val="auto"/>
              </w:rPr>
            </w:pPr>
            <w:r>
              <w:rPr>
                <w:rFonts w:ascii="Arial" w:cs="Arial" w:eastAsia="Arial" w:hAnsi="Arial"/>
                <w:sz w:val="10"/>
                <w:szCs w:val="10"/>
                <w:b w:val="1"/>
                <w:bCs w:val="1"/>
                <w:color w:val="auto"/>
                <w:w w:val="98"/>
              </w:rPr>
              <w:t>2022</w:t>
            </w:r>
          </w:p>
        </w:tc>
        <w:tc>
          <w:tcPr>
            <w:tcW w:w="280" w:type="dxa"/>
            <w:vAlign w:val="bottom"/>
            <w:tcBorders>
              <w:bottom w:val="single" w:sz="8" w:color="D7282F"/>
            </w:tcBorders>
          </w:tcPr>
          <w:p>
            <w:pPr>
              <w:spacing w:after="0"/>
              <w:rPr>
                <w:sz w:val="11"/>
                <w:szCs w:val="11"/>
                <w:color w:val="auto"/>
              </w:rPr>
            </w:pPr>
          </w:p>
        </w:tc>
        <w:tc>
          <w:tcPr>
            <w:tcW w:w="700" w:type="dxa"/>
            <w:vAlign w:val="bottom"/>
            <w:tcBorders>
              <w:bottom w:val="single" w:sz="8" w:color="D7282F"/>
            </w:tcBorders>
            <w:vMerge w:val="continue"/>
          </w:tcPr>
          <w:p>
            <w:pPr>
              <w:spacing w:after="0"/>
              <w:rPr>
                <w:sz w:val="11"/>
                <w:szCs w:val="11"/>
                <w:color w:val="auto"/>
              </w:rPr>
            </w:pPr>
          </w:p>
        </w:tc>
        <w:tc>
          <w:tcPr>
            <w:tcW w:w="240" w:type="dxa"/>
            <w:vAlign w:val="bottom"/>
            <w:tcBorders>
              <w:bottom w:val="single" w:sz="8" w:color="D7282F"/>
            </w:tcBorders>
          </w:tcPr>
          <w:p>
            <w:pPr>
              <w:spacing w:after="0"/>
              <w:rPr>
                <w:sz w:val="11"/>
                <w:szCs w:val="11"/>
                <w:color w:val="auto"/>
              </w:rPr>
            </w:pPr>
          </w:p>
        </w:tc>
        <w:tc>
          <w:tcPr>
            <w:tcW w:w="640" w:type="dxa"/>
            <w:vAlign w:val="bottom"/>
            <w:tcBorders>
              <w:bottom w:val="single" w:sz="8" w:color="D7282F"/>
            </w:tcBorders>
          </w:tcPr>
          <w:p>
            <w:pPr>
              <w:jc w:val="center"/>
              <w:ind w:right="92"/>
              <w:spacing w:after="0"/>
              <w:rPr>
                <w:sz w:val="20"/>
                <w:szCs w:val="20"/>
                <w:color w:val="auto"/>
              </w:rPr>
            </w:pPr>
            <w:r>
              <w:rPr>
                <w:rFonts w:ascii="Arial" w:cs="Arial" w:eastAsia="Arial" w:hAnsi="Arial"/>
                <w:sz w:val="10"/>
                <w:szCs w:val="10"/>
                <w:b w:val="1"/>
                <w:bCs w:val="1"/>
                <w:color w:val="auto"/>
                <w:w w:val="98"/>
              </w:rPr>
              <w:t>2021</w:t>
            </w:r>
          </w:p>
        </w:tc>
        <w:tc>
          <w:tcPr>
            <w:tcW w:w="0" w:type="dxa"/>
            <w:vAlign w:val="bottom"/>
          </w:tcPr>
          <w:p>
            <w:pPr>
              <w:spacing w:after="0"/>
              <w:rPr>
                <w:sz w:val="1"/>
                <w:szCs w:val="1"/>
                <w:color w:val="auto"/>
              </w:rPr>
            </w:pPr>
          </w:p>
        </w:tc>
      </w:tr>
      <w:tr>
        <w:trPr>
          <w:trHeight w:val="124"/>
        </w:trPr>
        <w:tc>
          <w:tcPr>
            <w:tcW w:w="66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Cash and cash equivalents at beginning of period</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9,627</w:t>
            </w:r>
          </w:p>
        </w:tc>
        <w:tc>
          <w:tcPr>
            <w:tcW w:w="2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10,959</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(1,332)</w:t>
            </w:r>
          </w:p>
        </w:tc>
        <w:tc>
          <w:tcPr>
            <w:tcW w:w="2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14,275</w:t>
            </w:r>
          </w:p>
        </w:tc>
        <w:tc>
          <w:tcPr>
            <w:tcW w:w="24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(3,316)</w:t>
            </w:r>
          </w:p>
        </w:tc>
        <w:tc>
          <w:tcPr>
            <w:tcW w:w="0" w:type="dxa"/>
            <w:vAlign w:val="bottom"/>
          </w:tcPr>
          <w:p>
            <w:pPr>
              <w:spacing w:after="0"/>
              <w:rPr>
                <w:sz w:val="1"/>
                <w:szCs w:val="1"/>
                <w:color w:val="auto"/>
              </w:rPr>
            </w:pPr>
          </w:p>
        </w:tc>
      </w:tr>
      <w:tr>
        <w:trPr>
          <w:trHeight w:val="124"/>
        </w:trPr>
        <w:tc>
          <w:tcPr>
            <w:tcW w:w="664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Operating activities</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56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spacing w:after="0"/>
              <w:rPr>
                <w:sz w:val="10"/>
                <w:szCs w:val="10"/>
                <w:color w:val="auto"/>
              </w:rPr>
            </w:pPr>
          </w:p>
        </w:tc>
        <w:tc>
          <w:tcPr>
            <w:tcW w:w="78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64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Net income attributable to Honeywell</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5,658</w:t>
            </w:r>
          </w:p>
        </w:tc>
        <w:tc>
          <w:tcPr>
            <w:tcW w:w="280" w:type="dxa"/>
            <w:vAlign w:val="bottom"/>
            <w:tcBorders>
              <w:bottom w:val="single" w:sz="8" w:color="61656A"/>
            </w:tcBorders>
          </w:tcPr>
          <w:p>
            <w:pPr>
              <w:spacing w:after="0"/>
              <w:rPr>
                <w:sz w:val="10"/>
                <w:szCs w:val="10"/>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4,966</w:t>
            </w:r>
          </w:p>
        </w:tc>
        <w:tc>
          <w:tcPr>
            <w:tcW w:w="320" w:type="dxa"/>
            <w:vAlign w:val="bottom"/>
            <w:tcBorders>
              <w:bottom w:val="single" w:sz="8" w:color="61656A"/>
            </w:tcBorders>
          </w:tcPr>
          <w:p>
            <w:pPr>
              <w:spacing w:after="0"/>
              <w:rPr>
                <w:sz w:val="10"/>
                <w:szCs w:val="10"/>
                <w:color w:val="auto"/>
              </w:rPr>
            </w:pPr>
          </w:p>
        </w:tc>
        <w:tc>
          <w:tcPr>
            <w:tcW w:w="78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692</w:t>
            </w:r>
          </w:p>
        </w:tc>
        <w:tc>
          <w:tcPr>
            <w:tcW w:w="2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5,542</w:t>
            </w:r>
          </w:p>
        </w:tc>
        <w:tc>
          <w:tcPr>
            <w:tcW w:w="24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(576)</w:t>
            </w:r>
          </w:p>
        </w:tc>
        <w:tc>
          <w:tcPr>
            <w:tcW w:w="0" w:type="dxa"/>
            <w:vAlign w:val="bottom"/>
          </w:tcPr>
          <w:p>
            <w:pPr>
              <w:spacing w:after="0"/>
              <w:rPr>
                <w:sz w:val="1"/>
                <w:szCs w:val="1"/>
                <w:color w:val="auto"/>
              </w:rPr>
            </w:pPr>
          </w:p>
        </w:tc>
      </w:tr>
      <w:tr>
        <w:trPr>
          <w:trHeight w:val="124"/>
        </w:trPr>
        <w:tc>
          <w:tcPr>
            <w:tcW w:w="664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Noncash adjustments</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1,980</w:t>
            </w:r>
          </w:p>
        </w:tc>
        <w:tc>
          <w:tcPr>
            <w:tcW w:w="280" w:type="dxa"/>
            <w:vAlign w:val="bottom"/>
            <w:tcBorders>
              <w:bottom w:val="single" w:sz="8" w:color="61656A"/>
            </w:tcBorders>
          </w:tcPr>
          <w:p>
            <w:pPr>
              <w:spacing w:after="0"/>
              <w:rPr>
                <w:sz w:val="10"/>
                <w:szCs w:val="10"/>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1,946</w:t>
            </w:r>
          </w:p>
        </w:tc>
        <w:tc>
          <w:tcPr>
            <w:tcW w:w="320" w:type="dxa"/>
            <w:vAlign w:val="bottom"/>
            <w:tcBorders>
              <w:bottom w:val="single" w:sz="8" w:color="61656A"/>
            </w:tcBorders>
          </w:tcPr>
          <w:p>
            <w:pPr>
              <w:spacing w:after="0"/>
              <w:rPr>
                <w:sz w:val="10"/>
                <w:szCs w:val="10"/>
                <w:color w:val="auto"/>
              </w:rPr>
            </w:pPr>
          </w:p>
        </w:tc>
        <w:tc>
          <w:tcPr>
            <w:tcW w:w="78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34</w:t>
            </w:r>
          </w:p>
        </w:tc>
        <w:tc>
          <w:tcPr>
            <w:tcW w:w="2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971</w:t>
            </w:r>
          </w:p>
        </w:tc>
        <w:tc>
          <w:tcPr>
            <w:tcW w:w="24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975</w:t>
            </w:r>
          </w:p>
        </w:tc>
        <w:tc>
          <w:tcPr>
            <w:tcW w:w="0" w:type="dxa"/>
            <w:vAlign w:val="bottom"/>
          </w:tcPr>
          <w:p>
            <w:pPr>
              <w:spacing w:after="0"/>
              <w:rPr>
                <w:sz w:val="1"/>
                <w:szCs w:val="1"/>
                <w:color w:val="auto"/>
              </w:rPr>
            </w:pPr>
          </w:p>
        </w:tc>
      </w:tr>
      <w:tr>
        <w:trPr>
          <w:trHeight w:val="124"/>
        </w:trPr>
        <w:tc>
          <w:tcPr>
            <w:tcW w:w="664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Changes in working capital</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(150)</w:t>
            </w:r>
          </w:p>
        </w:tc>
        <w:tc>
          <w:tcPr>
            <w:tcW w:w="280" w:type="dxa"/>
            <w:vAlign w:val="bottom"/>
            <w:tcBorders>
              <w:bottom w:val="single" w:sz="8" w:color="61656A"/>
            </w:tcBorders>
          </w:tcPr>
          <w:p>
            <w:pPr>
              <w:spacing w:after="0"/>
              <w:rPr>
                <w:sz w:val="10"/>
                <w:szCs w:val="10"/>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(1,334)</w:t>
            </w:r>
          </w:p>
        </w:tc>
        <w:tc>
          <w:tcPr>
            <w:tcW w:w="320" w:type="dxa"/>
            <w:vAlign w:val="bottom"/>
            <w:tcBorders>
              <w:bottom w:val="single" w:sz="8" w:color="61656A"/>
            </w:tcBorders>
          </w:tcPr>
          <w:p>
            <w:pPr>
              <w:spacing w:after="0"/>
              <w:rPr>
                <w:sz w:val="10"/>
                <w:szCs w:val="10"/>
                <w:color w:val="auto"/>
              </w:rPr>
            </w:pPr>
          </w:p>
        </w:tc>
        <w:tc>
          <w:tcPr>
            <w:tcW w:w="78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1,184</w:t>
            </w:r>
          </w:p>
        </w:tc>
        <w:tc>
          <w:tcPr>
            <w:tcW w:w="2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51</w:t>
            </w:r>
          </w:p>
        </w:tc>
        <w:tc>
          <w:tcPr>
            <w:tcW w:w="24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(1,385)</w:t>
            </w:r>
          </w:p>
        </w:tc>
        <w:tc>
          <w:tcPr>
            <w:tcW w:w="0" w:type="dxa"/>
            <w:vAlign w:val="bottom"/>
          </w:tcPr>
          <w:p>
            <w:pPr>
              <w:spacing w:after="0"/>
              <w:rPr>
                <w:sz w:val="1"/>
                <w:szCs w:val="1"/>
                <w:color w:val="auto"/>
              </w:rPr>
            </w:pPr>
          </w:p>
        </w:tc>
      </w:tr>
      <w:tr>
        <w:trPr>
          <w:trHeight w:val="124"/>
        </w:trPr>
        <w:tc>
          <w:tcPr>
            <w:tcW w:w="664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NARCO Buyout payment</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(1,325)</w:t>
            </w:r>
          </w:p>
        </w:tc>
        <w:tc>
          <w:tcPr>
            <w:tcW w:w="280" w:type="dxa"/>
            <w:vAlign w:val="bottom"/>
            <w:tcBorders>
              <w:bottom w:val="single" w:sz="8" w:color="61656A"/>
            </w:tcBorders>
          </w:tcPr>
          <w:p>
            <w:pPr>
              <w:spacing w:after="0"/>
              <w:rPr>
                <w:sz w:val="10"/>
                <w:szCs w:val="10"/>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61656A"/>
            </w:tcBorders>
          </w:tcPr>
          <w:p>
            <w:pPr>
              <w:spacing w:after="0"/>
              <w:rPr>
                <w:sz w:val="10"/>
                <w:szCs w:val="10"/>
                <w:color w:val="auto"/>
              </w:rPr>
            </w:pPr>
          </w:p>
        </w:tc>
        <w:tc>
          <w:tcPr>
            <w:tcW w:w="7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(1,325)</w:t>
            </w:r>
          </w:p>
        </w:tc>
        <w:tc>
          <w:tcPr>
            <w:tcW w:w="2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6640" w:type="dxa"/>
            <w:vAlign w:val="bottom"/>
            <w:tcBorders>
              <w:bottom w:val="single" w:sz="8" w:color="DC202E"/>
            </w:tcBorders>
          </w:tcPr>
          <w:p>
            <w:pPr>
              <w:ind w:left="80"/>
              <w:spacing w:after="0"/>
              <w:rPr>
                <w:sz w:val="20"/>
                <w:szCs w:val="20"/>
                <w:color w:val="auto"/>
              </w:rPr>
            </w:pPr>
            <w:r>
              <w:rPr>
                <w:rFonts w:ascii="Arial" w:cs="Arial" w:eastAsia="Arial" w:hAnsi="Arial"/>
                <w:sz w:val="10"/>
                <w:szCs w:val="10"/>
                <w:color w:val="auto"/>
              </w:rPr>
              <w:t>Other operating activities</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(823)</w:t>
            </w:r>
          </w:p>
        </w:tc>
        <w:tc>
          <w:tcPr>
            <w:tcW w:w="28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(304)</w:t>
            </w:r>
          </w:p>
        </w:tc>
        <w:tc>
          <w:tcPr>
            <w:tcW w:w="32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(519)</w:t>
            </w:r>
          </w:p>
        </w:tc>
        <w:tc>
          <w:tcPr>
            <w:tcW w:w="28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(526)</w:t>
            </w:r>
          </w:p>
        </w:tc>
        <w:tc>
          <w:tcPr>
            <w:tcW w:w="24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222</w:t>
            </w:r>
          </w:p>
        </w:tc>
        <w:tc>
          <w:tcPr>
            <w:tcW w:w="0" w:type="dxa"/>
            <w:vAlign w:val="bottom"/>
          </w:tcPr>
          <w:p>
            <w:pPr>
              <w:spacing w:after="0"/>
              <w:rPr>
                <w:sz w:val="1"/>
                <w:szCs w:val="1"/>
                <w:color w:val="auto"/>
              </w:rPr>
            </w:pPr>
          </w:p>
        </w:tc>
      </w:tr>
      <w:tr>
        <w:trPr>
          <w:trHeight w:val="126"/>
        </w:trPr>
        <w:tc>
          <w:tcPr>
            <w:tcW w:w="664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Net cash provided by operating activities</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5,340</w:t>
            </w:r>
          </w:p>
        </w:tc>
        <w:tc>
          <w:tcPr>
            <w:tcW w:w="28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5,274</w:t>
            </w:r>
          </w:p>
        </w:tc>
        <w:tc>
          <w:tcPr>
            <w:tcW w:w="32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66</w:t>
            </w:r>
          </w:p>
        </w:tc>
        <w:tc>
          <w:tcPr>
            <w:tcW w:w="28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6,038</w:t>
            </w:r>
          </w:p>
        </w:tc>
        <w:tc>
          <w:tcPr>
            <w:tcW w:w="24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(764)</w:t>
            </w:r>
          </w:p>
        </w:tc>
        <w:tc>
          <w:tcPr>
            <w:tcW w:w="0" w:type="dxa"/>
            <w:vAlign w:val="bottom"/>
          </w:tcPr>
          <w:p>
            <w:pPr>
              <w:spacing w:after="0"/>
              <w:rPr>
                <w:sz w:val="1"/>
                <w:szCs w:val="1"/>
                <w:color w:val="auto"/>
              </w:rPr>
            </w:pPr>
          </w:p>
        </w:tc>
      </w:tr>
      <w:tr>
        <w:trPr>
          <w:trHeight w:val="122"/>
        </w:trPr>
        <w:tc>
          <w:tcPr>
            <w:tcW w:w="66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Net cash used for investing activities</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(1,293)</w:t>
            </w:r>
          </w:p>
        </w:tc>
        <w:tc>
          <w:tcPr>
            <w:tcW w:w="280" w:type="dxa"/>
            <w:vAlign w:val="bottom"/>
            <w:tcBorders>
              <w:bottom w:val="single" w:sz="8" w:color="61656A"/>
            </w:tcBorders>
          </w:tcPr>
          <w:p>
            <w:pPr>
              <w:spacing w:after="0"/>
              <w:rPr>
                <w:sz w:val="10"/>
                <w:szCs w:val="10"/>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(93)</w:t>
            </w:r>
          </w:p>
        </w:tc>
        <w:tc>
          <w:tcPr>
            <w:tcW w:w="320" w:type="dxa"/>
            <w:vAlign w:val="bottom"/>
            <w:tcBorders>
              <w:bottom w:val="single" w:sz="8" w:color="61656A"/>
            </w:tcBorders>
          </w:tcPr>
          <w:p>
            <w:pPr>
              <w:spacing w:after="0"/>
              <w:rPr>
                <w:sz w:val="10"/>
                <w:szCs w:val="10"/>
                <w:color w:val="auto"/>
              </w:rPr>
            </w:pPr>
          </w:p>
        </w:tc>
        <w:tc>
          <w:tcPr>
            <w:tcW w:w="7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(1,200)</w:t>
            </w:r>
          </w:p>
        </w:tc>
        <w:tc>
          <w:tcPr>
            <w:tcW w:w="2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(1,061)</w:t>
            </w:r>
          </w:p>
        </w:tc>
        <w:tc>
          <w:tcPr>
            <w:tcW w:w="24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968</w:t>
            </w:r>
          </w:p>
        </w:tc>
        <w:tc>
          <w:tcPr>
            <w:tcW w:w="0" w:type="dxa"/>
            <w:vAlign w:val="bottom"/>
          </w:tcPr>
          <w:p>
            <w:pPr>
              <w:spacing w:after="0"/>
              <w:rPr>
                <w:sz w:val="1"/>
                <w:szCs w:val="1"/>
                <w:color w:val="auto"/>
              </w:rPr>
            </w:pPr>
          </w:p>
        </w:tc>
      </w:tr>
      <w:tr>
        <w:trPr>
          <w:trHeight w:val="124"/>
        </w:trPr>
        <w:tc>
          <w:tcPr>
            <w:tcW w:w="66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Net cash used for financing activities</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(5,763)</w:t>
            </w:r>
          </w:p>
        </w:tc>
        <w:tc>
          <w:tcPr>
            <w:tcW w:w="280" w:type="dxa"/>
            <w:vAlign w:val="bottom"/>
            <w:tcBorders>
              <w:bottom w:val="single" w:sz="8" w:color="61656A"/>
            </w:tcBorders>
          </w:tcPr>
          <w:p>
            <w:pPr>
              <w:spacing w:after="0"/>
              <w:rPr>
                <w:sz w:val="10"/>
                <w:szCs w:val="10"/>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(6,330)</w:t>
            </w:r>
          </w:p>
        </w:tc>
        <w:tc>
          <w:tcPr>
            <w:tcW w:w="320" w:type="dxa"/>
            <w:vAlign w:val="bottom"/>
            <w:tcBorders>
              <w:bottom w:val="single" w:sz="8" w:color="61656A"/>
            </w:tcBorders>
          </w:tcPr>
          <w:p>
            <w:pPr>
              <w:spacing w:after="0"/>
              <w:rPr>
                <w:sz w:val="10"/>
                <w:szCs w:val="10"/>
                <w:color w:val="auto"/>
              </w:rPr>
            </w:pPr>
          </w:p>
        </w:tc>
        <w:tc>
          <w:tcPr>
            <w:tcW w:w="78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567</w:t>
            </w:r>
          </w:p>
        </w:tc>
        <w:tc>
          <w:tcPr>
            <w:tcW w:w="2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(8,254)</w:t>
            </w:r>
          </w:p>
        </w:tc>
        <w:tc>
          <w:tcPr>
            <w:tcW w:w="24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1,924</w:t>
            </w:r>
          </w:p>
        </w:tc>
        <w:tc>
          <w:tcPr>
            <w:tcW w:w="0" w:type="dxa"/>
            <w:vAlign w:val="bottom"/>
          </w:tcPr>
          <w:p>
            <w:pPr>
              <w:spacing w:after="0"/>
              <w:rPr>
                <w:sz w:val="1"/>
                <w:szCs w:val="1"/>
                <w:color w:val="auto"/>
              </w:rPr>
            </w:pPr>
          </w:p>
        </w:tc>
      </w:tr>
      <w:tr>
        <w:trPr>
          <w:trHeight w:val="124"/>
        </w:trPr>
        <w:tc>
          <w:tcPr>
            <w:tcW w:w="66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Effect of foreign exchange rate changes on cash and cash equivalents</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14</w:t>
            </w:r>
          </w:p>
        </w:tc>
        <w:tc>
          <w:tcPr>
            <w:tcW w:w="28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(183)</w:t>
            </w:r>
          </w:p>
        </w:tc>
        <w:tc>
          <w:tcPr>
            <w:tcW w:w="32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197</w:t>
            </w:r>
          </w:p>
        </w:tc>
        <w:tc>
          <w:tcPr>
            <w:tcW w:w="28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(39)</w:t>
            </w:r>
          </w:p>
        </w:tc>
        <w:tc>
          <w:tcPr>
            <w:tcW w:w="24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(144)</w:t>
            </w:r>
          </w:p>
        </w:tc>
        <w:tc>
          <w:tcPr>
            <w:tcW w:w="0" w:type="dxa"/>
            <w:vAlign w:val="bottom"/>
          </w:tcPr>
          <w:p>
            <w:pPr>
              <w:spacing w:after="0"/>
              <w:rPr>
                <w:sz w:val="1"/>
                <w:szCs w:val="1"/>
                <w:color w:val="auto"/>
              </w:rPr>
            </w:pPr>
          </w:p>
        </w:tc>
      </w:tr>
      <w:tr>
        <w:trPr>
          <w:trHeight w:val="126"/>
        </w:trPr>
        <w:tc>
          <w:tcPr>
            <w:tcW w:w="66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Net increase (decrease) in cash and cash equivalents</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(1,702)</w:t>
            </w:r>
          </w:p>
        </w:tc>
        <w:tc>
          <w:tcPr>
            <w:tcW w:w="28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(1,332)</w:t>
            </w:r>
          </w:p>
        </w:tc>
        <w:tc>
          <w:tcPr>
            <w:tcW w:w="32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(370)</w:t>
            </w:r>
          </w:p>
        </w:tc>
        <w:tc>
          <w:tcPr>
            <w:tcW w:w="28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(3,316)</w:t>
            </w:r>
          </w:p>
        </w:tc>
        <w:tc>
          <w:tcPr>
            <w:tcW w:w="24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1,984</w:t>
            </w:r>
          </w:p>
        </w:tc>
        <w:tc>
          <w:tcPr>
            <w:tcW w:w="0" w:type="dxa"/>
            <w:vAlign w:val="bottom"/>
          </w:tcPr>
          <w:p>
            <w:pPr>
              <w:spacing w:after="0"/>
              <w:rPr>
                <w:sz w:val="1"/>
                <w:szCs w:val="1"/>
                <w:color w:val="auto"/>
              </w:rPr>
            </w:pPr>
          </w:p>
        </w:tc>
      </w:tr>
      <w:tr>
        <w:trPr>
          <w:trHeight w:val="124"/>
        </w:trPr>
        <w:tc>
          <w:tcPr>
            <w:tcW w:w="66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Cash and cash equivalents at end of period</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7,925</w:t>
            </w:r>
          </w:p>
        </w:tc>
        <w:tc>
          <w:tcPr>
            <w:tcW w:w="2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9,627</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(1,702)</w:t>
            </w:r>
          </w:p>
        </w:tc>
        <w:tc>
          <w:tcPr>
            <w:tcW w:w="2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10,959</w:t>
            </w:r>
          </w:p>
        </w:tc>
        <w:tc>
          <w:tcPr>
            <w:tcW w:w="24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(1,332)</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D7282F"/>
        </w:rPr>
        <w:t>38</w:t>
      </w:r>
      <w:r>
        <w:rPr>
          <w:sz w:val="20"/>
          <w:szCs w:val="20"/>
          <w:color w:val="auto"/>
        </w:rPr>
        <w:tab/>
      </w:r>
      <w:r>
        <w:rPr>
          <w:rFonts w:ascii="Arial" w:cs="Arial" w:eastAsia="Arial" w:hAnsi="Arial"/>
          <w:sz w:val="8"/>
          <w:szCs w:val="8"/>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90805</wp:posOffset>
            </wp:positionV>
            <wp:extent cx="720344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40" w:name="page41"/>
    <w:bookmarkEnd w:id="40"/>
    <w:p>
      <w:pPr>
        <w:ind w:left="8"/>
        <w:spacing w:after="0"/>
        <w:tabs>
          <w:tab w:leader="none" w:pos="970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Year ended December 31, 2023</w:t>
      </w:r>
    </w:p>
    <w:p>
      <w:pPr>
        <w:spacing w:after="0" w:line="10" w:lineRule="exact"/>
        <w:rPr>
          <w:sz w:val="20"/>
          <w:szCs w:val="20"/>
          <w:color w:val="auto"/>
        </w:rPr>
      </w:pPr>
    </w:p>
    <w:p>
      <w:pPr>
        <w:jc w:val="both"/>
        <w:ind w:left="8"/>
        <w:spacing w:after="0" w:line="252" w:lineRule="auto"/>
        <w:rPr>
          <w:sz w:val="20"/>
          <w:szCs w:val="20"/>
          <w:color w:val="auto"/>
        </w:rPr>
      </w:pPr>
      <w:r>
        <w:rPr>
          <w:rFonts w:ascii="Arial" w:cs="Arial" w:eastAsia="Arial" w:hAnsi="Arial"/>
          <w:sz w:val="11"/>
          <w:szCs w:val="11"/>
          <w:color w:val="auto"/>
        </w:rPr>
        <w:t>Net cash provided by operating activities was $5,340 million, driven by $5,658 million of Net income attributable to Honeywell, adjusted for $1,176 million of depreciation and amortization, and a $518 million increase from Accounts payable, due to increased material receipts and lower disbursements, partially offset by the $1,325 million payment pursuant to the NARCO Amended Buyout Agreement and a $626 million increase in Inventories, due to increased purchases.</w:t>
      </w:r>
    </w:p>
    <w:p>
      <w:pPr>
        <w:spacing w:after="0" w:line="60" w:lineRule="exact"/>
        <w:rPr>
          <w:sz w:val="20"/>
          <w:szCs w:val="20"/>
          <w:color w:val="auto"/>
        </w:rPr>
      </w:pPr>
    </w:p>
    <w:p>
      <w:pPr>
        <w:ind w:left="8"/>
        <w:spacing w:after="0"/>
        <w:rPr>
          <w:sz w:val="20"/>
          <w:szCs w:val="20"/>
          <w:color w:val="auto"/>
        </w:rPr>
      </w:pPr>
      <w:r>
        <w:rPr>
          <w:rFonts w:ascii="Arial" w:cs="Arial" w:eastAsia="Arial" w:hAnsi="Arial"/>
          <w:sz w:val="11"/>
          <w:szCs w:val="11"/>
          <w:color w:val="auto"/>
        </w:rPr>
        <w:t>Net cash used for investing activities was $1,293 million, driven by $1,039 million of capital expenditures and $718 million cash paid for acquisitions, partially offset by a $411 million net decrease in investments.</w:t>
      </w:r>
    </w:p>
    <w:p>
      <w:pPr>
        <w:spacing w:after="0" w:line="72"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Net cash used for financing activities was $5,763 million, driven by $3,715 million of repurchases of common stock, $2,855 million of cash dividends paid, and $1,731 million of payments of long-term debt, partially offset by $2,986 million of proceeds from issuance of long-term debt.</w:t>
      </w:r>
    </w:p>
    <w:p>
      <w:pPr>
        <w:spacing w:after="0" w:line="5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2023 compared with 2022</w:t>
      </w:r>
    </w:p>
    <w:p>
      <w:pPr>
        <w:spacing w:after="0" w:line="10" w:lineRule="exact"/>
        <w:rPr>
          <w:sz w:val="20"/>
          <w:szCs w:val="20"/>
          <w:color w:val="auto"/>
        </w:rPr>
      </w:pPr>
    </w:p>
    <w:p>
      <w:pPr>
        <w:jc w:val="both"/>
        <w:ind w:left="8"/>
        <w:spacing w:after="0" w:line="252" w:lineRule="auto"/>
        <w:rPr>
          <w:sz w:val="20"/>
          <w:szCs w:val="20"/>
          <w:color w:val="auto"/>
        </w:rPr>
      </w:pPr>
      <w:r>
        <w:rPr>
          <w:rFonts w:ascii="Arial" w:cs="Arial" w:eastAsia="Arial" w:hAnsi="Arial"/>
          <w:sz w:val="11"/>
          <w:szCs w:val="11"/>
          <w:color w:val="auto"/>
        </w:rPr>
        <w:t>Net cash provided by operating activities increased by $66 million due to cash generated from operations, which included a favorable impact of working capital and the HWI Net Sale Proceeds of $275 million. The favorable impact of working capital was driven by a $697 million decrease in Accounts receivable, due to higher cash receipts, and a $673 million increase in Accounts payable, due to increased material receipts and lower disbursements. This was partially offset by the $1,325 million payment pursuant to the NARCO Amended Buyout Agreement and $203 million payment for the settlement of UOP Matters.</w:t>
      </w:r>
    </w:p>
    <w:p>
      <w:pPr>
        <w:spacing w:after="0" w:line="51"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Net cash used for investing activities increased by $1,200 million due to a $540 million increase in cash paid for acquisitions, $409 million of cash receipts from Garrett Motion Inc. (Garrett) in 2022, and a $363 million decrease in cash receipts from settlements of derivative contracts, partially offset by a $367 million net decrease in investments.</w:t>
      </w:r>
    </w:p>
    <w:p>
      <w:pPr>
        <w:spacing w:after="0" w:line="33"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Net cash used for financing activities decreased by $567 million due to a $485 million decrease in repurchases of common stock and $119 million decrease in payments of long-term debt, partially offset by a $136 million increase in cash dividends paid.</w:t>
      </w:r>
    </w:p>
    <w:p>
      <w:pPr>
        <w:spacing w:after="0" w:line="51" w:lineRule="exact"/>
        <w:rPr>
          <w:sz w:val="20"/>
          <w:szCs w:val="20"/>
          <w:color w:val="auto"/>
        </w:rPr>
      </w:pPr>
    </w:p>
    <w:p>
      <w:pPr>
        <w:ind w:left="8"/>
        <w:spacing w:after="0"/>
        <w:rPr>
          <w:sz w:val="20"/>
          <w:szCs w:val="20"/>
          <w:color w:val="auto"/>
        </w:rPr>
      </w:pPr>
      <w:r>
        <w:rPr>
          <w:rFonts w:ascii="Arial" w:cs="Arial" w:eastAsia="Arial" w:hAnsi="Arial"/>
          <w:sz w:val="11"/>
          <w:szCs w:val="11"/>
          <w:color w:val="auto"/>
        </w:rPr>
        <w:t>See Note 19 Commitments and Contingencies of Notes to Consolidated Financial Statements for additional information on the NARCO Amended Buyout Agreement, HWI Net Sale Proceeds, and UOP Matters.</w:t>
      </w:r>
    </w:p>
    <w:p>
      <w:pPr>
        <w:spacing w:after="0" w:line="186" w:lineRule="exact"/>
        <w:rPr>
          <w:sz w:val="20"/>
          <w:szCs w:val="20"/>
          <w:color w:val="auto"/>
        </w:rPr>
      </w:pPr>
    </w:p>
    <w:p>
      <w:pPr>
        <w:ind w:left="8"/>
        <w:spacing w:after="0"/>
        <w:rPr>
          <w:sz w:val="20"/>
          <w:szCs w:val="20"/>
          <w:color w:val="auto"/>
        </w:rPr>
      </w:pPr>
      <w:r>
        <w:rPr>
          <w:rFonts w:ascii="Arial" w:cs="Arial" w:eastAsia="Arial" w:hAnsi="Arial"/>
          <w:sz w:val="19"/>
          <w:szCs w:val="19"/>
          <w:color w:val="D7282F"/>
        </w:rPr>
        <w:t>CASH REQUIREMENTS AND ASSESSMENT OF CURRENT LIQUIDITY</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1"/>
          <w:szCs w:val="11"/>
          <w:color w:val="auto"/>
        </w:rPr>
        <w:t>In addition to our normal operating cash requirements, we expect our primary cash requirements in 2024 to be as follows:</w:t>
      </w:r>
    </w:p>
    <w:p>
      <w:pPr>
        <w:spacing w:after="0" w:line="81" w:lineRule="exact"/>
        <w:rPr>
          <w:sz w:val="20"/>
          <w:szCs w:val="20"/>
          <w:color w:val="auto"/>
        </w:rPr>
      </w:pPr>
    </w:p>
    <w:p>
      <w:pPr>
        <w:ind w:left="128" w:hanging="128"/>
        <w:spacing w:after="0"/>
        <w:tabs>
          <w:tab w:leader="none" w:pos="128" w:val="left"/>
        </w:tabs>
        <w:numPr>
          <w:ilvl w:val="0"/>
          <w:numId w:val="72"/>
        </w:numPr>
        <w:rPr>
          <w:rFonts w:ascii="Arial" w:cs="Arial" w:eastAsia="Arial" w:hAnsi="Arial"/>
          <w:sz w:val="10"/>
          <w:szCs w:val="10"/>
          <w:b w:val="1"/>
          <w:bCs w:val="1"/>
          <w:color w:val="D7282F"/>
        </w:rPr>
      </w:pPr>
      <w:r>
        <w:rPr>
          <w:rFonts w:ascii="Arial" w:cs="Arial" w:eastAsia="Arial" w:hAnsi="Arial"/>
          <w:sz w:val="10"/>
          <w:szCs w:val="10"/>
          <w:color w:val="auto"/>
        </w:rPr>
        <w:t>Capital expenditures—we expect to spend approximately $1.1 billion for capital expenditures in 2024 primarily for growth, production and capacity expansion, implementation of cost reduction measures, maintenance, and replacement.</w:t>
      </w:r>
    </w:p>
    <w:p>
      <w:pPr>
        <w:spacing w:after="0" w:line="56" w:lineRule="exact"/>
        <w:rPr>
          <w:rFonts w:ascii="Arial" w:cs="Arial" w:eastAsia="Arial" w:hAnsi="Arial"/>
          <w:sz w:val="10"/>
          <w:szCs w:val="10"/>
          <w:b w:val="1"/>
          <w:bCs w:val="1"/>
          <w:color w:val="D7282F"/>
        </w:rPr>
      </w:pPr>
    </w:p>
    <w:p>
      <w:pPr>
        <w:jc w:val="both"/>
        <w:ind w:left="128" w:hanging="128"/>
        <w:spacing w:after="0" w:line="254" w:lineRule="auto"/>
        <w:tabs>
          <w:tab w:leader="none" w:pos="126" w:val="left"/>
        </w:tabs>
        <w:numPr>
          <w:ilvl w:val="0"/>
          <w:numId w:val="72"/>
        </w:numPr>
        <w:rPr>
          <w:rFonts w:ascii="Arial" w:cs="Arial" w:eastAsia="Arial" w:hAnsi="Arial"/>
          <w:sz w:val="11"/>
          <w:szCs w:val="11"/>
          <w:b w:val="1"/>
          <w:bCs w:val="1"/>
          <w:color w:val="D7282F"/>
        </w:rPr>
      </w:pPr>
      <w:r>
        <w:rPr>
          <w:rFonts w:ascii="Arial" w:cs="Arial" w:eastAsia="Arial" w:hAnsi="Arial"/>
          <w:sz w:val="11"/>
          <w:szCs w:val="11"/>
          <w:color w:val="auto"/>
        </w:rPr>
        <w:t>Share repurchases—under our share repurchase program, $7.1 billion was available as of December 31, 2023, for additional share repurchases as authorized by the Board of Directors on April 24, 2023. We expect to repurchase outstanding shares from time to time to offset the dilutive impact of employee stock-based compensation plans, including option exercises, restricted unit vesting and matching contributions under our savings plans. Additionally, we will seek to reduce share count via share repurchases as and when attractive opportunities arise. The amount and timing of future repurchases may vary depending on market conditions and our level of operating, financing, and other investing activities.</w:t>
      </w:r>
    </w:p>
    <w:p>
      <w:pPr>
        <w:spacing w:after="0" w:line="31" w:lineRule="exact"/>
        <w:rPr>
          <w:rFonts w:ascii="Arial" w:cs="Arial" w:eastAsia="Arial" w:hAnsi="Arial"/>
          <w:sz w:val="11"/>
          <w:szCs w:val="11"/>
          <w:b w:val="1"/>
          <w:bCs w:val="1"/>
          <w:color w:val="D7282F"/>
        </w:rPr>
      </w:pPr>
    </w:p>
    <w:p>
      <w:pPr>
        <w:ind w:left="128" w:right="20" w:hanging="128"/>
        <w:spacing w:after="0" w:line="285" w:lineRule="auto"/>
        <w:tabs>
          <w:tab w:leader="none" w:pos="126" w:val="left"/>
        </w:tabs>
        <w:numPr>
          <w:ilvl w:val="0"/>
          <w:numId w:val="72"/>
        </w:numPr>
        <w:rPr>
          <w:rFonts w:ascii="Arial" w:cs="Arial" w:eastAsia="Arial" w:hAnsi="Arial"/>
          <w:sz w:val="11"/>
          <w:szCs w:val="11"/>
          <w:b w:val="1"/>
          <w:bCs w:val="1"/>
          <w:color w:val="D7282F"/>
        </w:rPr>
      </w:pPr>
      <w:r>
        <w:rPr>
          <w:rFonts w:ascii="Arial" w:cs="Arial" w:eastAsia="Arial" w:hAnsi="Arial"/>
          <w:sz w:val="11"/>
          <w:szCs w:val="11"/>
          <w:color w:val="auto"/>
        </w:rPr>
        <w:t>Mergers and acquisitions—we expect to spend $5.0 billion to complete the acquisition of Carrier Global Corporation's Global Access Solutions business, as announced on December 8, 2023, subject to customary closing conditions, including receipt of certain regulatory approvals. We expect to evaluate and undertake other actions to optimize our portfolio, including executing on strategic bolt-on acquisitions over the course of 2024.</w:t>
      </w:r>
    </w:p>
    <w:p>
      <w:pPr>
        <w:spacing w:after="0" w:line="5" w:lineRule="exact"/>
        <w:rPr>
          <w:rFonts w:ascii="Arial" w:cs="Arial" w:eastAsia="Arial" w:hAnsi="Arial"/>
          <w:sz w:val="11"/>
          <w:szCs w:val="11"/>
          <w:b w:val="1"/>
          <w:bCs w:val="1"/>
          <w:color w:val="D7282F"/>
        </w:rPr>
      </w:pPr>
    </w:p>
    <w:p>
      <w:pPr>
        <w:ind w:left="128" w:hanging="128"/>
        <w:spacing w:after="0"/>
        <w:tabs>
          <w:tab w:leader="none" w:pos="128" w:val="left"/>
        </w:tabs>
        <w:numPr>
          <w:ilvl w:val="0"/>
          <w:numId w:val="72"/>
        </w:numPr>
        <w:rPr>
          <w:rFonts w:ascii="Arial" w:cs="Arial" w:eastAsia="Arial" w:hAnsi="Arial"/>
          <w:sz w:val="11"/>
          <w:szCs w:val="11"/>
          <w:b w:val="1"/>
          <w:bCs w:val="1"/>
          <w:color w:val="D7282F"/>
        </w:rPr>
      </w:pPr>
      <w:r>
        <w:rPr>
          <w:rFonts w:ascii="Arial" w:cs="Arial" w:eastAsia="Arial" w:hAnsi="Arial"/>
          <w:sz w:val="11"/>
          <w:szCs w:val="11"/>
          <w:color w:val="auto"/>
        </w:rPr>
        <w:t>Dividends—we increased our quarterly dividend rate by 5% to $1.08 per share of common stock effective with the fourth quarter 2023 dividend. We intend to continue to pay quarterly dividends in 2024.</w:t>
      </w:r>
    </w:p>
    <w:p>
      <w:pPr>
        <w:spacing w:after="0" w:line="81"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color w:val="auto"/>
        </w:rPr>
        <w:t>We continually seek opportunities to improve our liquidity and working capital efficiency, which includes the extension of payment terms with our suppliers. In addition, we maintain agreements with third-party financial institutions that offer voluntary supply chain financing (SCF) programs to suppliers. The SCF programs enable suppliers, at their sole discretion, to sell their receivables to third-party financial institutions in order to receive payment on receivables earlier than the negotiated commercial terms between us and our suppliers. Supplier sale of receivables to third-party financial institutions is on terms negotiated between the supplier and the respective third-party financial institution. We agree on commercial terms for the goods and services we procure from our suppliers, including prices, quantities, and payment terms, which normally range between 60 and 120 days, regardless of whether the supplier elects to participate in the SCF programs. A suppliers’ voluntary participation in the SCF programs has no bearing on our payment terms and we have no economic interest in a supplier’s decision to participate in the SCF programs. We agree to pay participating third-party financial institutions the stated amounts of confirmed invoices from suppliers on the original maturity dates of the invoices.</w:t>
      </w:r>
    </w:p>
    <w:p>
      <w:pPr>
        <w:spacing w:after="0" w:line="277" w:lineRule="exact"/>
        <w:rPr>
          <w:sz w:val="20"/>
          <w:szCs w:val="20"/>
          <w:color w:val="auto"/>
        </w:rPr>
      </w:pPr>
    </w:p>
    <w:p>
      <w:pPr>
        <w:ind w:left="268" w:hanging="268"/>
        <w:spacing w:after="0"/>
        <w:tabs>
          <w:tab w:leader="none" w:pos="268" w:val="left"/>
        </w:tabs>
        <w:numPr>
          <w:ilvl w:val="0"/>
          <w:numId w:val="73"/>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41" w:name="page42"/>
    <w:bookmarkEnd w:id="41"/>
    <w:p>
      <w:pPr>
        <w:ind w:left="8"/>
        <w:spacing w:after="0"/>
        <w:tabs>
          <w:tab w:leader="none" w:pos="970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Amounts outstanding related to SCF programs are included in Accounts payable in the Consolidated Balance Sheet. At December 31, 2023, Accounts payable included approximately $1,112 million payable to suppliers who have elected to participate in the SCF programs. Amounts settled with third-party financial institutions through the SCF programs increased approximately $700 million for the year ended December 31, 2023. The increase for the year ended December 31, 2023, reflects a combination of increased enrollment and utilization of our SCF programs. All activity related to amounts due to suppliers that elected to participate in the SCF programs is reflected in Cash flows from operating activities in our Consolidated Statement of Cash Flows. While access to SCF could decrease if our credit ratings are downgraded, we do not believe that changes in the availability of SCF will have a significant impact on our liquidity. The impact of these programs is not material to our overall liquidity.</w:t>
      </w:r>
    </w:p>
    <w:p>
      <w:pPr>
        <w:spacing w:after="0" w:line="51"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We sell trade receivables to unaffiliated financial institutions with limited or no recourse. Transfers of the receivables are accounted for as sales and, accordingly, receivables sold are excluded from Accounts receivable—net in the Consolidated Balance Sheet and are reflected in Cash flows from operating activities in the Consolidated Statement of Cash Flows. The difference between the carrying amount of the trade receivables sold and the cash received is recorded in Cost of products and services sold in the Consolidated Statement of Operations. The impact of this program is not material to our overall liquidity.</w:t>
      </w:r>
    </w:p>
    <w:p>
      <w:pPr>
        <w:spacing w:after="0" w:line="45"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Finally, we continue to assess the relative strength of each business in our portfolio as to strategic fit, market position, profit, and cash flow contribution in order to identify target investment and acquisition opportunities in order to upgrade our combined portfolio. We identify acquisition candidates that will further our strategic plan and strengthen our existing core businesses.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45"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In early 2023, we made payments of approximately $1.5 billion in connection with the NARCO Buyout and UOP Matters. Pursuant to the NARCO Amended Buyout Agreement, in 2023 we received proceeds from the HWI Sale in the amount of $275 million. See Note 12 Fair Value Measurements of Notes to Consolidated Financial Statements for additional discussion related to the fair value of future proceeds from the HWI Sale.</w:t>
      </w:r>
    </w:p>
    <w:p>
      <w:pPr>
        <w:spacing w:after="0" w:line="33" w:lineRule="exact"/>
        <w:rPr>
          <w:sz w:val="20"/>
          <w:szCs w:val="20"/>
          <w:color w:val="auto"/>
        </w:rPr>
      </w:pPr>
    </w:p>
    <w:p>
      <w:pPr>
        <w:jc w:val="both"/>
        <w:ind w:left="8" w:right="20"/>
        <w:spacing w:after="0" w:line="268" w:lineRule="auto"/>
        <w:rPr>
          <w:sz w:val="20"/>
          <w:szCs w:val="20"/>
          <w:color w:val="auto"/>
        </w:rPr>
      </w:pPr>
      <w:r>
        <w:rPr>
          <w:rFonts w:ascii="Arial" w:cs="Arial" w:eastAsia="Arial" w:hAnsi="Arial"/>
          <w:sz w:val="11"/>
          <w:szCs w:val="11"/>
          <w:color w:val="auto"/>
        </w:rPr>
        <w:t>Based on past performance and current expectations, we believe that our operating cash flows will be sufficient to meet our future operating cash needs. Our available cash, committed credit lines, and access to the public debt and equity markets provide additional sources of short-term and long-term liquidity to fund current operations, debt maturities, and future investment opportunities.</w:t>
      </w:r>
    </w:p>
    <w:p>
      <w:pPr>
        <w:spacing w:after="0" w:line="51" w:lineRule="exact"/>
        <w:rPr>
          <w:sz w:val="20"/>
          <w:szCs w:val="20"/>
          <w:color w:val="auto"/>
        </w:rPr>
      </w:pPr>
    </w:p>
    <w:p>
      <w:pPr>
        <w:ind w:left="8"/>
        <w:spacing w:after="0"/>
        <w:rPr>
          <w:sz w:val="20"/>
          <w:szCs w:val="20"/>
          <w:color w:val="auto"/>
        </w:rPr>
      </w:pPr>
      <w:r>
        <w:rPr>
          <w:rFonts w:ascii="Arial" w:cs="Arial" w:eastAsia="Arial" w:hAnsi="Arial"/>
          <w:sz w:val="11"/>
          <w:szCs w:val="11"/>
          <w:color w:val="auto"/>
        </w:rPr>
        <w:t>See Note 9 Long-term Debt and Credit Agreements of Notes to Consolidated Financial Statements for additional discussion of items impacting our liquidity.</w:t>
      </w:r>
    </w:p>
    <w:p>
      <w:pPr>
        <w:spacing w:after="0" w:line="186" w:lineRule="exact"/>
        <w:rPr>
          <w:sz w:val="20"/>
          <w:szCs w:val="20"/>
          <w:color w:val="auto"/>
        </w:rPr>
      </w:pPr>
    </w:p>
    <w:p>
      <w:pPr>
        <w:ind w:left="8"/>
        <w:spacing w:after="0"/>
        <w:rPr>
          <w:sz w:val="20"/>
          <w:szCs w:val="20"/>
          <w:color w:val="auto"/>
        </w:rPr>
      </w:pPr>
      <w:r>
        <w:rPr>
          <w:rFonts w:ascii="Arial" w:cs="Arial" w:eastAsia="Arial" w:hAnsi="Arial"/>
          <w:sz w:val="19"/>
          <w:szCs w:val="19"/>
          <w:color w:val="D7282F"/>
        </w:rPr>
        <w:t>BORROWINGS</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1"/>
          <w:szCs w:val="11"/>
          <w:color w:val="auto"/>
        </w:rPr>
        <w:t>We leverage a variety of debt instruments to manage our overall borrowing costs. As of December 31, 2023, and 2022, our total borrowings were $20.4 billion and $19.6 billion, respectively.</w:t>
      </w:r>
    </w:p>
    <w:p>
      <w:pPr>
        <w:spacing w:after="0" w:line="109"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9560" w:type="dxa"/>
            <w:vAlign w:val="bottom"/>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1060" w:type="dxa"/>
            <w:vAlign w:val="bottom"/>
            <w:tcBorders>
              <w:bottom w:val="single" w:sz="8" w:color="D7282F"/>
            </w:tcBorders>
            <w:gridSpan w:val="2"/>
          </w:tcPr>
          <w:p>
            <w:pPr>
              <w:jc w:val="right"/>
              <w:spacing w:after="0"/>
              <w:rPr>
                <w:sz w:val="20"/>
                <w:szCs w:val="20"/>
                <w:color w:val="auto"/>
              </w:rPr>
            </w:pPr>
            <w:r>
              <w:rPr>
                <w:rFonts w:ascii="Arial" w:cs="Arial" w:eastAsia="Arial" w:hAnsi="Arial"/>
                <w:sz w:val="10"/>
                <w:szCs w:val="10"/>
                <w:b w:val="1"/>
                <w:bCs w:val="1"/>
                <w:color w:val="auto"/>
              </w:rPr>
              <w:t>December 31,</w:t>
            </w:r>
          </w:p>
        </w:tc>
        <w:tc>
          <w:tcPr>
            <w:tcW w:w="520" w:type="dxa"/>
            <w:vAlign w:val="bottom"/>
            <w:tcBorders>
              <w:bottom w:val="single" w:sz="8" w:color="D7282F"/>
            </w:tcBorders>
          </w:tcPr>
          <w:p>
            <w:pPr>
              <w:spacing w:after="0"/>
              <w:rPr>
                <w:sz w:val="11"/>
                <w:szCs w:val="11"/>
                <w:color w:val="auto"/>
              </w:rPr>
            </w:pPr>
          </w:p>
        </w:tc>
      </w:tr>
      <w:tr>
        <w:trPr>
          <w:trHeight w:val="124"/>
        </w:trPr>
        <w:tc>
          <w:tcPr>
            <w:tcW w:w="956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2023</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w w:val="98"/>
              </w:rPr>
              <w:t>2022</w:t>
            </w:r>
          </w:p>
        </w:tc>
      </w:tr>
      <w:tr>
        <w:trPr>
          <w:trHeight w:val="122"/>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Commercial paper</w:t>
            </w:r>
          </w:p>
        </w:tc>
        <w:tc>
          <w:tcPr>
            <w:tcW w:w="16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2,083</w:t>
            </w:r>
          </w:p>
        </w:tc>
        <w:tc>
          <w:tcPr>
            <w:tcW w:w="36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2,715</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Variable rate notes</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22</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22</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Fixed rate notes</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18,530</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17,086</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Other</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219</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267</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Fair value of hedging instruments</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(166)</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(287)</w:t>
            </w:r>
          </w:p>
        </w:tc>
      </w:tr>
      <w:tr>
        <w:trPr>
          <w:trHeight w:val="124"/>
        </w:trPr>
        <w:tc>
          <w:tcPr>
            <w:tcW w:w="95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Debt issuance costs</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(245)</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(233)</w:t>
            </w:r>
          </w:p>
        </w:tc>
      </w:tr>
      <w:tr>
        <w:trPr>
          <w:trHeight w:val="126"/>
        </w:trPr>
        <w:tc>
          <w:tcPr>
            <w:tcW w:w="956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borrowings</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20,443</w:t>
            </w:r>
          </w:p>
        </w:tc>
        <w:tc>
          <w:tcPr>
            <w:tcW w:w="36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19,570</w:t>
            </w:r>
          </w:p>
        </w:tc>
      </w:tr>
    </w:tbl>
    <w:p>
      <w:pPr>
        <w:spacing w:after="0" w:line="117" w:lineRule="exact"/>
        <w:rPr>
          <w:sz w:val="20"/>
          <w:szCs w:val="20"/>
          <w:color w:val="auto"/>
        </w:rPr>
      </w:pPr>
    </w:p>
    <w:p>
      <w:pPr>
        <w:ind w:left="8"/>
        <w:spacing w:after="0"/>
        <w:rPr>
          <w:sz w:val="20"/>
          <w:szCs w:val="20"/>
          <w:color w:val="auto"/>
        </w:rPr>
      </w:pPr>
      <w:r>
        <w:rPr>
          <w:rFonts w:ascii="Arial" w:cs="Arial" w:eastAsia="Arial" w:hAnsi="Arial"/>
          <w:sz w:val="11"/>
          <w:szCs w:val="11"/>
          <w:color w:val="auto"/>
        </w:rPr>
        <w:t>A primary source of liquidity is our ability to access the corporate bond markets. Through these markets, we issue a variety of long-term fixed rate notes, in a variety of currencies, to manage our overall funding costs.</w:t>
      </w:r>
    </w:p>
    <w:p>
      <w:pPr>
        <w:spacing w:after="0" w:line="81" w:lineRule="exact"/>
        <w:rPr>
          <w:sz w:val="20"/>
          <w:szCs w:val="20"/>
          <w:color w:val="auto"/>
        </w:rPr>
      </w:pPr>
    </w:p>
    <w:p>
      <w:pPr>
        <w:jc w:val="both"/>
        <w:ind w:left="8"/>
        <w:spacing w:after="0" w:line="253" w:lineRule="auto"/>
        <w:rPr>
          <w:sz w:val="20"/>
          <w:szCs w:val="20"/>
          <w:color w:val="auto"/>
        </w:rPr>
      </w:pPr>
      <w:r>
        <w:rPr>
          <w:rFonts w:ascii="Arial" w:cs="Arial" w:eastAsia="Arial" w:hAnsi="Arial"/>
          <w:sz w:val="11"/>
          <w:szCs w:val="11"/>
          <w:color w:val="auto"/>
        </w:rPr>
        <w:t>Another primary source of liquidity is our ability to access the commercial paper market. Commercial paper notes are sold at a discount or premium and have a maturity of not more than 365 days from date of issuance. Borrowings under the commercial paper program are available for general corporate purposes as well as for financing acquisitions. The weighted average interest rate on commercial paper and other short-term borrowings outstanding was 4.29% and 3.29% as of December 31, 2023, and 2022, respectively.</w:t>
      </w:r>
    </w:p>
    <w:p>
      <w:pPr>
        <w:spacing w:after="0" w:line="284" w:lineRule="exact"/>
        <w:rPr>
          <w:sz w:val="20"/>
          <w:szCs w:val="20"/>
          <w:color w:val="auto"/>
        </w:rPr>
      </w:pPr>
    </w:p>
    <w:p>
      <w:pPr>
        <w:ind w:left="268" w:hanging="268"/>
        <w:spacing w:after="0"/>
        <w:tabs>
          <w:tab w:leader="none" w:pos="268" w:val="left"/>
        </w:tabs>
        <w:numPr>
          <w:ilvl w:val="0"/>
          <w:numId w:val="74"/>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42" w:name="page43"/>
    <w:bookmarkEnd w:id="42"/>
    <w:p>
      <w:pPr>
        <w:ind w:left="8"/>
        <w:spacing w:after="0"/>
        <w:tabs>
          <w:tab w:leader="none" w:pos="970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
        <w:spacing w:after="0"/>
        <w:rPr>
          <w:sz w:val="20"/>
          <w:szCs w:val="20"/>
          <w:color w:val="auto"/>
        </w:rPr>
      </w:pPr>
      <w:r>
        <w:rPr>
          <w:rFonts w:ascii="Arial" w:cs="Arial" w:eastAsia="Arial" w:hAnsi="Arial"/>
          <w:sz w:val="11"/>
          <w:szCs w:val="11"/>
          <w:color w:val="auto"/>
        </w:rPr>
        <w:t>We also have the following revolving credit agreements:</w:t>
      </w:r>
    </w:p>
    <w:p>
      <w:pPr>
        <w:spacing w:after="0" w:line="72" w:lineRule="exact"/>
        <w:rPr>
          <w:sz w:val="20"/>
          <w:szCs w:val="20"/>
          <w:color w:val="auto"/>
        </w:rPr>
      </w:pPr>
    </w:p>
    <w:p>
      <w:pPr>
        <w:jc w:val="both"/>
        <w:ind w:left="128" w:hanging="128"/>
        <w:spacing w:after="0" w:line="260" w:lineRule="auto"/>
        <w:tabs>
          <w:tab w:leader="none" w:pos="126" w:val="left"/>
        </w:tabs>
        <w:numPr>
          <w:ilvl w:val="0"/>
          <w:numId w:val="75"/>
        </w:numPr>
        <w:rPr>
          <w:rFonts w:ascii="Arial" w:cs="Arial" w:eastAsia="Arial" w:hAnsi="Arial"/>
          <w:sz w:val="11"/>
          <w:szCs w:val="11"/>
          <w:b w:val="1"/>
          <w:bCs w:val="1"/>
          <w:color w:val="D7282F"/>
        </w:rPr>
      </w:pPr>
      <w:r>
        <w:rPr>
          <w:rFonts w:ascii="Arial" w:cs="Arial" w:eastAsia="Arial" w:hAnsi="Arial"/>
          <w:sz w:val="11"/>
          <w:szCs w:val="11"/>
          <w:color w:val="auto"/>
        </w:rPr>
        <w:t>A $1.5 billion 364-day credit agreement (the 364-Day Credit Agreement) with a syndicate of banks, dated as of March 20, 2023. Amounts borrowed under the 364-Day Credit Agreement are required to be repaid no later than March 18, 2024, unless (i) we elect to convert all then outstanding amounts into a term loan, upon which such amounts shall be repaid in full on March 18, 2025, or (ii) the 364-Day Credit Agreement is terminated earlier pursuant to its terms. The 364-Day Credit Agreement replaced the previously reported $1.5 billion 364-day credit agreement dated as of March 24, 2022, which was terminated in accordance with its terms effective March 20, 2023. As of December 31, 2023, there were no outstanding borrowings under our 364-Day Credit Agreement.</w:t>
      </w:r>
    </w:p>
    <w:p>
      <w:pPr>
        <w:spacing w:after="0" w:line="18" w:lineRule="exact"/>
        <w:rPr>
          <w:rFonts w:ascii="Arial" w:cs="Arial" w:eastAsia="Arial" w:hAnsi="Arial"/>
          <w:sz w:val="11"/>
          <w:szCs w:val="11"/>
          <w:b w:val="1"/>
          <w:bCs w:val="1"/>
          <w:color w:val="D7282F"/>
        </w:rPr>
      </w:pPr>
    </w:p>
    <w:p>
      <w:pPr>
        <w:jc w:val="both"/>
        <w:ind w:left="128" w:hanging="128"/>
        <w:spacing w:after="0" w:line="262" w:lineRule="auto"/>
        <w:tabs>
          <w:tab w:leader="none" w:pos="126" w:val="left"/>
        </w:tabs>
        <w:numPr>
          <w:ilvl w:val="0"/>
          <w:numId w:val="75"/>
        </w:numPr>
        <w:rPr>
          <w:rFonts w:ascii="Arial" w:cs="Arial" w:eastAsia="Arial" w:hAnsi="Arial"/>
          <w:sz w:val="11"/>
          <w:szCs w:val="11"/>
          <w:color w:val="D7282F"/>
        </w:rPr>
      </w:pPr>
      <w:r>
        <w:rPr>
          <w:rFonts w:ascii="Arial" w:cs="Arial" w:eastAsia="Arial" w:hAnsi="Arial"/>
          <w:sz w:val="11"/>
          <w:szCs w:val="11"/>
          <w:color w:val="auto"/>
        </w:rPr>
        <w:t>A $4.0 billion five-year credit agreement (the 5-Year Credit Agreement) with a syndicate of banks, dated as of March 20, 2023. Commitments under the 5-Year Credit Agreement can be increased pursuant to the terms of the 5-Year Credit Agreement to an aggregate amount not to exceed $4.5 billion. The 5-Year Credit Agreement amended and restated the previously reported $4.0 billion amended and restated five-year credit agreement dated as of March 24, 2022. As of December 31, 2023, there were no outstanding borrowings under our 5-Year Credit Agreement.</w:t>
      </w:r>
    </w:p>
    <w:p>
      <w:pPr>
        <w:spacing w:after="0" w:line="45" w:lineRule="exact"/>
        <w:rPr>
          <w:sz w:val="20"/>
          <w:szCs w:val="20"/>
          <w:color w:val="auto"/>
        </w:rPr>
      </w:pPr>
    </w:p>
    <w:p>
      <w:pPr>
        <w:ind w:left="8" w:right="20"/>
        <w:spacing w:after="0" w:line="285" w:lineRule="auto"/>
        <w:rPr>
          <w:sz w:val="20"/>
          <w:szCs w:val="20"/>
          <w:color w:val="auto"/>
        </w:rPr>
      </w:pPr>
      <w:r>
        <w:rPr>
          <w:rFonts w:ascii="Arial" w:cs="Arial" w:eastAsia="Arial" w:hAnsi="Arial"/>
          <w:sz w:val="11"/>
          <w:szCs w:val="11"/>
          <w:color w:val="auto"/>
        </w:rPr>
        <w:t>We also have a current shelf registration statement filed with the SEC under which we may issue additional debt securities, common stock, and preferred stock that may be offered in one or more offerings on terms to be determined at the time of the offering. We anticipate that net proceeds of any offering would be used for general corporate purposes, including repayment of existing indebtedness, share repurchases, capital expenditures, and acquisitions.</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9"/>
          <w:szCs w:val="19"/>
          <w:color w:val="D7282F"/>
        </w:rPr>
        <w:t>CREDIT RATINGS</w:t>
      </w:r>
    </w:p>
    <w:p>
      <w:pPr>
        <w:spacing w:after="0" w:line="163" w:lineRule="exact"/>
        <w:rPr>
          <w:sz w:val="20"/>
          <w:szCs w:val="20"/>
          <w:color w:val="auto"/>
        </w:rPr>
      </w:pPr>
    </w:p>
    <w:p>
      <w:pPr>
        <w:ind w:left="8"/>
        <w:spacing w:after="0" w:line="285" w:lineRule="auto"/>
        <w:rPr>
          <w:sz w:val="20"/>
          <w:szCs w:val="20"/>
          <w:color w:val="auto"/>
        </w:rPr>
      </w:pPr>
      <w:r>
        <w:rPr>
          <w:rFonts w:ascii="Arial" w:cs="Arial" w:eastAsia="Arial" w:hAnsi="Arial"/>
          <w:sz w:val="11"/>
          <w:szCs w:val="11"/>
          <w:color w:val="auto"/>
        </w:rPr>
        <w:t>Our ability to access the global debt capital markets and the related cost of these borrowings is affected by the strength of our credit rating and market conditions. Our credit ratings are periodically reviewed by the major independent debt-rating agencies. As of December 31, 2023, S&amp;P Global Inc. (S&amp;P), Fitch Ratings Inc. (Fitch), and Moody’s Investor Service (Moody's) have ratings on our debt set forth in the table below:</w:t>
      </w:r>
    </w:p>
    <w:p>
      <w:pPr>
        <w:spacing w:after="0" w:line="62"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3820" w:type="dxa"/>
            <w:vAlign w:val="bottom"/>
            <w:tcBorders>
              <w:bottom w:val="single" w:sz="8" w:color="D7282F"/>
            </w:tcBorders>
          </w:tcPr>
          <w:p>
            <w:pPr>
              <w:spacing w:after="0"/>
              <w:rPr>
                <w:sz w:val="11"/>
                <w:szCs w:val="11"/>
                <w:color w:val="auto"/>
              </w:rPr>
            </w:pPr>
          </w:p>
        </w:tc>
        <w:tc>
          <w:tcPr>
            <w:tcW w:w="4320" w:type="dxa"/>
            <w:vAlign w:val="bottom"/>
            <w:tcBorders>
              <w:bottom w:val="single" w:sz="8" w:color="D7282F"/>
            </w:tcBorders>
          </w:tcPr>
          <w:p>
            <w:pPr>
              <w:jc w:val="center"/>
              <w:ind w:left="2672"/>
              <w:spacing w:after="0"/>
              <w:rPr>
                <w:sz w:val="20"/>
                <w:szCs w:val="20"/>
                <w:color w:val="auto"/>
              </w:rPr>
            </w:pPr>
            <w:r>
              <w:rPr>
                <w:rFonts w:ascii="Arial" w:cs="Arial" w:eastAsia="Arial" w:hAnsi="Arial"/>
                <w:sz w:val="10"/>
                <w:szCs w:val="10"/>
                <w:b w:val="1"/>
                <w:bCs w:val="1"/>
                <w:color w:val="auto"/>
                <w:w w:val="97"/>
              </w:rPr>
              <w:t>S&amp;P</w:t>
            </w:r>
          </w:p>
        </w:tc>
        <w:tc>
          <w:tcPr>
            <w:tcW w:w="1600" w:type="dxa"/>
            <w:vAlign w:val="bottom"/>
            <w:tcBorders>
              <w:bottom w:val="single" w:sz="8" w:color="D7282F"/>
            </w:tcBorders>
          </w:tcPr>
          <w:p>
            <w:pPr>
              <w:jc w:val="center"/>
              <w:spacing w:after="0"/>
              <w:rPr>
                <w:sz w:val="20"/>
                <w:szCs w:val="20"/>
                <w:color w:val="auto"/>
              </w:rPr>
            </w:pPr>
            <w:r>
              <w:rPr>
                <w:rFonts w:ascii="Arial" w:cs="Arial" w:eastAsia="Arial" w:hAnsi="Arial"/>
                <w:sz w:val="10"/>
                <w:szCs w:val="10"/>
                <w:b w:val="1"/>
                <w:bCs w:val="1"/>
                <w:color w:val="auto"/>
              </w:rPr>
              <w:t>Fitch</w:t>
            </w:r>
          </w:p>
        </w:tc>
        <w:tc>
          <w:tcPr>
            <w:tcW w:w="1560" w:type="dxa"/>
            <w:vAlign w:val="bottom"/>
            <w:tcBorders>
              <w:bottom w:val="single" w:sz="8" w:color="D7282F"/>
            </w:tcBorders>
          </w:tcPr>
          <w:p>
            <w:pPr>
              <w:jc w:val="center"/>
              <w:ind w:left="92"/>
              <w:spacing w:after="0"/>
              <w:rPr>
                <w:sz w:val="20"/>
                <w:szCs w:val="20"/>
                <w:color w:val="auto"/>
              </w:rPr>
            </w:pPr>
            <w:r>
              <w:rPr>
                <w:rFonts w:ascii="Arial" w:cs="Arial" w:eastAsia="Arial" w:hAnsi="Arial"/>
                <w:sz w:val="10"/>
                <w:szCs w:val="10"/>
                <w:b w:val="1"/>
                <w:bCs w:val="1"/>
                <w:color w:val="auto"/>
                <w:w w:val="94"/>
              </w:rPr>
              <w:t>Moody's</w:t>
            </w:r>
          </w:p>
        </w:tc>
      </w:tr>
      <w:tr>
        <w:trPr>
          <w:trHeight w:val="122"/>
        </w:trPr>
        <w:tc>
          <w:tcPr>
            <w:tcW w:w="38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Outlook</w:t>
            </w:r>
          </w:p>
        </w:tc>
        <w:tc>
          <w:tcPr>
            <w:tcW w:w="4320" w:type="dxa"/>
            <w:vAlign w:val="bottom"/>
            <w:tcBorders>
              <w:bottom w:val="single" w:sz="8" w:color="61656A"/>
            </w:tcBorders>
          </w:tcPr>
          <w:p>
            <w:pPr>
              <w:jc w:val="center"/>
              <w:ind w:left="2652"/>
              <w:spacing w:after="0"/>
              <w:rPr>
                <w:sz w:val="20"/>
                <w:szCs w:val="20"/>
                <w:color w:val="auto"/>
              </w:rPr>
            </w:pPr>
            <w:r>
              <w:rPr>
                <w:rFonts w:ascii="Arial" w:cs="Arial" w:eastAsia="Arial" w:hAnsi="Arial"/>
                <w:sz w:val="10"/>
                <w:szCs w:val="10"/>
                <w:color w:val="auto"/>
                <w:w w:val="91"/>
              </w:rPr>
              <w:t>Stable</w:t>
            </w:r>
          </w:p>
        </w:tc>
        <w:tc>
          <w:tcPr>
            <w:tcW w:w="1600" w:type="dxa"/>
            <w:vAlign w:val="bottom"/>
            <w:tcBorders>
              <w:bottom w:val="single" w:sz="8" w:color="61656A"/>
            </w:tcBorders>
          </w:tcPr>
          <w:p>
            <w:pPr>
              <w:jc w:val="center"/>
              <w:spacing w:after="0"/>
              <w:rPr>
                <w:sz w:val="20"/>
                <w:szCs w:val="20"/>
                <w:color w:val="auto"/>
              </w:rPr>
            </w:pPr>
            <w:r>
              <w:rPr>
                <w:rFonts w:ascii="Arial" w:cs="Arial" w:eastAsia="Arial" w:hAnsi="Arial"/>
                <w:sz w:val="10"/>
                <w:szCs w:val="10"/>
                <w:color w:val="auto"/>
                <w:w w:val="98"/>
              </w:rPr>
              <w:t>Stable</w:t>
            </w:r>
          </w:p>
        </w:tc>
        <w:tc>
          <w:tcPr>
            <w:tcW w:w="1560" w:type="dxa"/>
            <w:vAlign w:val="bottom"/>
            <w:tcBorders>
              <w:bottom w:val="single" w:sz="8" w:color="61656A"/>
            </w:tcBorders>
          </w:tcPr>
          <w:p>
            <w:pPr>
              <w:jc w:val="center"/>
              <w:ind w:left="92"/>
              <w:spacing w:after="0"/>
              <w:rPr>
                <w:sz w:val="20"/>
                <w:szCs w:val="20"/>
                <w:color w:val="auto"/>
              </w:rPr>
            </w:pPr>
            <w:r>
              <w:rPr>
                <w:rFonts w:ascii="Arial" w:cs="Arial" w:eastAsia="Arial" w:hAnsi="Arial"/>
                <w:sz w:val="10"/>
                <w:szCs w:val="10"/>
                <w:color w:val="auto"/>
                <w:w w:val="96"/>
              </w:rPr>
              <w:t>Positive</w:t>
            </w:r>
          </w:p>
        </w:tc>
      </w:tr>
      <w:tr>
        <w:trPr>
          <w:trHeight w:val="124"/>
        </w:trPr>
        <w:tc>
          <w:tcPr>
            <w:tcW w:w="38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Short-term</w:t>
            </w:r>
          </w:p>
        </w:tc>
        <w:tc>
          <w:tcPr>
            <w:tcW w:w="4320" w:type="dxa"/>
            <w:vAlign w:val="bottom"/>
            <w:tcBorders>
              <w:bottom w:val="single" w:sz="8" w:color="61656A"/>
            </w:tcBorders>
          </w:tcPr>
          <w:p>
            <w:pPr>
              <w:jc w:val="center"/>
              <w:ind w:left="2652"/>
              <w:spacing w:after="0"/>
              <w:rPr>
                <w:sz w:val="20"/>
                <w:szCs w:val="20"/>
                <w:color w:val="auto"/>
              </w:rPr>
            </w:pPr>
            <w:r>
              <w:rPr>
                <w:rFonts w:ascii="Arial" w:cs="Arial" w:eastAsia="Arial" w:hAnsi="Arial"/>
                <w:sz w:val="10"/>
                <w:szCs w:val="10"/>
                <w:color w:val="auto"/>
                <w:w w:val="89"/>
              </w:rPr>
              <w:t>A-1</w:t>
            </w:r>
          </w:p>
        </w:tc>
        <w:tc>
          <w:tcPr>
            <w:tcW w:w="1600" w:type="dxa"/>
            <w:vAlign w:val="bottom"/>
            <w:tcBorders>
              <w:bottom w:val="single" w:sz="8" w:color="61656A"/>
            </w:tcBorders>
          </w:tcPr>
          <w:p>
            <w:pPr>
              <w:jc w:val="center"/>
              <w:spacing w:after="0"/>
              <w:rPr>
                <w:sz w:val="20"/>
                <w:szCs w:val="20"/>
                <w:color w:val="auto"/>
              </w:rPr>
            </w:pPr>
            <w:r>
              <w:rPr>
                <w:rFonts w:ascii="Arial" w:cs="Arial" w:eastAsia="Arial" w:hAnsi="Arial"/>
                <w:sz w:val="10"/>
                <w:szCs w:val="10"/>
                <w:color w:val="auto"/>
              </w:rPr>
              <w:t>F1</w:t>
            </w:r>
          </w:p>
        </w:tc>
        <w:tc>
          <w:tcPr>
            <w:tcW w:w="1560" w:type="dxa"/>
            <w:vAlign w:val="bottom"/>
            <w:tcBorders>
              <w:bottom w:val="single" w:sz="8" w:color="61656A"/>
            </w:tcBorders>
          </w:tcPr>
          <w:p>
            <w:pPr>
              <w:jc w:val="center"/>
              <w:ind w:left="92"/>
              <w:spacing w:after="0"/>
              <w:rPr>
                <w:sz w:val="20"/>
                <w:szCs w:val="20"/>
                <w:color w:val="auto"/>
              </w:rPr>
            </w:pPr>
            <w:r>
              <w:rPr>
                <w:rFonts w:ascii="Arial" w:cs="Arial" w:eastAsia="Arial" w:hAnsi="Arial"/>
                <w:sz w:val="10"/>
                <w:szCs w:val="10"/>
                <w:color w:val="auto"/>
                <w:w w:val="81"/>
              </w:rPr>
              <w:t>P1</w:t>
            </w:r>
          </w:p>
        </w:tc>
      </w:tr>
      <w:tr>
        <w:trPr>
          <w:trHeight w:val="124"/>
        </w:trPr>
        <w:tc>
          <w:tcPr>
            <w:tcW w:w="382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Long-term</w:t>
            </w:r>
          </w:p>
        </w:tc>
        <w:tc>
          <w:tcPr>
            <w:tcW w:w="4320" w:type="dxa"/>
            <w:vAlign w:val="bottom"/>
            <w:tcBorders>
              <w:bottom w:val="single" w:sz="8" w:color="D7282F"/>
            </w:tcBorders>
          </w:tcPr>
          <w:p>
            <w:pPr>
              <w:jc w:val="center"/>
              <w:ind w:left="2652"/>
              <w:spacing w:after="0"/>
              <w:rPr>
                <w:sz w:val="20"/>
                <w:szCs w:val="20"/>
                <w:color w:val="auto"/>
              </w:rPr>
            </w:pPr>
            <w:r>
              <w:rPr>
                <w:rFonts w:ascii="Arial" w:cs="Arial" w:eastAsia="Arial" w:hAnsi="Arial"/>
                <w:sz w:val="10"/>
                <w:szCs w:val="10"/>
                <w:color w:val="auto"/>
                <w:w w:val="89"/>
              </w:rPr>
              <w:t>A</w:t>
            </w:r>
          </w:p>
        </w:tc>
        <w:tc>
          <w:tcPr>
            <w:tcW w:w="1600" w:type="dxa"/>
            <w:vAlign w:val="bottom"/>
            <w:tcBorders>
              <w:bottom w:val="single" w:sz="8" w:color="D7282F"/>
            </w:tcBorders>
          </w:tcPr>
          <w:p>
            <w:pPr>
              <w:jc w:val="center"/>
              <w:spacing w:after="0"/>
              <w:rPr>
                <w:sz w:val="20"/>
                <w:szCs w:val="20"/>
                <w:color w:val="auto"/>
              </w:rPr>
            </w:pPr>
            <w:r>
              <w:rPr>
                <w:rFonts w:ascii="Arial" w:cs="Arial" w:eastAsia="Arial" w:hAnsi="Arial"/>
                <w:sz w:val="10"/>
                <w:szCs w:val="10"/>
                <w:color w:val="auto"/>
              </w:rPr>
              <w:t>A</w:t>
            </w:r>
          </w:p>
        </w:tc>
        <w:tc>
          <w:tcPr>
            <w:tcW w:w="1560" w:type="dxa"/>
            <w:vAlign w:val="bottom"/>
            <w:tcBorders>
              <w:bottom w:val="single" w:sz="8" w:color="D7282F"/>
            </w:tcBorders>
          </w:tcPr>
          <w:p>
            <w:pPr>
              <w:jc w:val="center"/>
              <w:ind w:left="92"/>
              <w:spacing w:after="0"/>
              <w:rPr>
                <w:sz w:val="20"/>
                <w:szCs w:val="20"/>
                <w:color w:val="auto"/>
              </w:rPr>
            </w:pPr>
            <w:r>
              <w:rPr>
                <w:rFonts w:ascii="Arial" w:cs="Arial" w:eastAsia="Arial" w:hAnsi="Arial"/>
                <w:sz w:val="10"/>
                <w:szCs w:val="10"/>
                <w:color w:val="auto"/>
                <w:w w:val="81"/>
              </w:rPr>
              <w:t>A2</w:t>
            </w:r>
          </w:p>
        </w:tc>
      </w:tr>
    </w:tbl>
    <w:p>
      <w:pPr>
        <w:spacing w:after="0" w:line="126" w:lineRule="exact"/>
        <w:rPr>
          <w:sz w:val="20"/>
          <w:szCs w:val="20"/>
          <w:color w:val="auto"/>
        </w:rPr>
      </w:pPr>
    </w:p>
    <w:p>
      <w:pPr>
        <w:ind w:left="8"/>
        <w:spacing w:after="0"/>
        <w:rPr>
          <w:sz w:val="20"/>
          <w:szCs w:val="20"/>
          <w:color w:val="auto"/>
        </w:rPr>
      </w:pPr>
      <w:r>
        <w:rPr>
          <w:rFonts w:ascii="Arial" w:cs="Arial" w:eastAsia="Arial" w:hAnsi="Arial"/>
          <w:sz w:val="11"/>
          <w:szCs w:val="11"/>
          <w:color w:val="auto"/>
        </w:rPr>
        <w:t>On September 20, 2023, Moody's affirmed all credit ratings of the Company and revised their credit rating outlook from stable to positive.</w:t>
      </w:r>
    </w:p>
    <w:p>
      <w:pPr>
        <w:spacing w:after="0" w:line="296" w:lineRule="exact"/>
        <w:rPr>
          <w:sz w:val="20"/>
          <w:szCs w:val="20"/>
          <w:color w:val="auto"/>
        </w:rPr>
      </w:pPr>
    </w:p>
    <w:p>
      <w:pPr>
        <w:ind w:left="268" w:hanging="268"/>
        <w:spacing w:after="0"/>
        <w:tabs>
          <w:tab w:leader="none" w:pos="268" w:val="left"/>
        </w:tabs>
        <w:numPr>
          <w:ilvl w:val="0"/>
          <w:numId w:val="76"/>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43" w:name="page44"/>
    <w:bookmarkEnd w:id="43"/>
    <w:p>
      <w:pPr>
        <w:ind w:left="8"/>
        <w:spacing w:after="0"/>
        <w:tabs>
          <w:tab w:leader="none" w:pos="970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
        <w:spacing w:after="0"/>
        <w:rPr>
          <w:sz w:val="20"/>
          <w:szCs w:val="20"/>
          <w:color w:val="auto"/>
        </w:rPr>
      </w:pPr>
      <w:r>
        <w:rPr>
          <w:rFonts w:ascii="Arial" w:cs="Arial" w:eastAsia="Arial" w:hAnsi="Arial"/>
          <w:sz w:val="19"/>
          <w:szCs w:val="19"/>
          <w:color w:val="D7282F"/>
        </w:rPr>
        <w:t>CONTRACTUAL OBLIGATIONS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1"/>
          <w:szCs w:val="11"/>
          <w:color w:val="auto"/>
        </w:rPr>
        <w:t>Following is a summary of our significant contractual obligations and probable liability payments at December 31, 2023:</w:t>
      </w:r>
    </w:p>
    <w:p>
      <w:pPr>
        <w:spacing w:after="0" w:line="136"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45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Borders>
              <w:bottom w:val="single" w:sz="8" w:color="D7282F"/>
            </w:tcBorders>
          </w:tcPr>
          <w:p>
            <w:pPr>
              <w:spacing w:after="0"/>
              <w:rPr>
                <w:sz w:val="11"/>
                <w:szCs w:val="11"/>
                <w:color w:val="auto"/>
              </w:rPr>
            </w:pPr>
          </w:p>
        </w:tc>
        <w:tc>
          <w:tcPr>
            <w:tcW w:w="540" w:type="dxa"/>
            <w:vAlign w:val="bottom"/>
            <w:tcBorders>
              <w:bottom w:val="single" w:sz="8" w:color="D7282F"/>
            </w:tcBorders>
          </w:tcPr>
          <w:p>
            <w:pPr>
              <w:spacing w:after="0"/>
              <w:rPr>
                <w:sz w:val="11"/>
                <w:szCs w:val="11"/>
                <w:color w:val="auto"/>
              </w:rPr>
            </w:pPr>
          </w:p>
        </w:tc>
        <w:tc>
          <w:tcPr>
            <w:tcW w:w="1020" w:type="dxa"/>
            <w:vAlign w:val="bottom"/>
            <w:tcBorders>
              <w:bottom w:val="single" w:sz="8" w:color="D7282F"/>
            </w:tcBorders>
            <w:gridSpan w:val="2"/>
          </w:tcPr>
          <w:p>
            <w:pPr>
              <w:jc w:val="right"/>
              <w:spacing w:after="0"/>
              <w:rPr>
                <w:sz w:val="20"/>
                <w:szCs w:val="20"/>
                <w:color w:val="auto"/>
              </w:rPr>
            </w:pPr>
            <w:r>
              <w:rPr>
                <w:rFonts w:ascii="Arial" w:cs="Arial" w:eastAsia="Arial" w:hAnsi="Arial"/>
                <w:sz w:val="10"/>
                <w:szCs w:val="10"/>
                <w:b w:val="1"/>
                <w:bCs w:val="1"/>
                <w:color w:val="auto"/>
              </w:rPr>
              <w:t>Payments by Period</w:t>
            </w:r>
          </w:p>
        </w:tc>
        <w:tc>
          <w:tcPr>
            <w:tcW w:w="100" w:type="dxa"/>
            <w:vAlign w:val="bottom"/>
            <w:tcBorders>
              <w:bottom w:val="single" w:sz="8" w:color="D7282F"/>
            </w:tcBorders>
          </w:tcPr>
          <w:p>
            <w:pPr>
              <w:spacing w:after="0"/>
              <w:rPr>
                <w:sz w:val="11"/>
                <w:szCs w:val="11"/>
                <w:color w:val="auto"/>
              </w:rPr>
            </w:pPr>
          </w:p>
        </w:tc>
        <w:tc>
          <w:tcPr>
            <w:tcW w:w="580" w:type="dxa"/>
            <w:vAlign w:val="bottom"/>
            <w:tcBorders>
              <w:bottom w:val="single" w:sz="8" w:color="D7282F"/>
            </w:tcBorders>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32"/>
        </w:trPr>
        <w:tc>
          <w:tcPr>
            <w:tcW w:w="4540" w:type="dxa"/>
            <w:vAlign w:val="bottom"/>
            <w:tcBorders>
              <w:bottom w:val="single" w:sz="8" w:color="D7282F"/>
            </w:tcBorders>
          </w:tcPr>
          <w:p>
            <w:pPr>
              <w:spacing w:after="0"/>
              <w:rPr>
                <w:sz w:val="20"/>
                <w:szCs w:val="20"/>
                <w:color w:val="auto"/>
              </w:rPr>
            </w:pPr>
          </w:p>
        </w:tc>
        <w:tc>
          <w:tcPr>
            <w:tcW w:w="2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Total</w:t>
            </w:r>
            <w:r>
              <w:rPr>
                <w:rFonts w:ascii="Arial" w:cs="Arial" w:eastAsia="Arial" w:hAnsi="Arial"/>
                <w:sz w:val="6"/>
                <w:szCs w:val="6"/>
                <w:b w:val="1"/>
                <w:bCs w:val="1"/>
                <w:color w:val="auto"/>
              </w:rPr>
              <w:t>6,7</w:t>
            </w:r>
          </w:p>
        </w:tc>
        <w:tc>
          <w:tcPr>
            <w:tcW w:w="560" w:type="dxa"/>
            <w:vAlign w:val="bottom"/>
            <w:tcBorders>
              <w:bottom w:val="single" w:sz="8" w:color="D7282F"/>
            </w:tcBorders>
          </w:tcPr>
          <w:p>
            <w:pPr>
              <w:spacing w:after="0"/>
              <w:rPr>
                <w:sz w:val="20"/>
                <w:szCs w:val="20"/>
                <w:color w:val="auto"/>
              </w:rPr>
            </w:pPr>
          </w:p>
        </w:tc>
        <w:tc>
          <w:tcPr>
            <w:tcW w:w="140" w:type="dxa"/>
            <w:vAlign w:val="bottom"/>
            <w:tcBorders>
              <w:bottom w:val="single" w:sz="8" w:color="D7282F"/>
            </w:tcBorders>
          </w:tcPr>
          <w:p>
            <w:pPr>
              <w:spacing w:after="0"/>
              <w:rPr>
                <w:sz w:val="20"/>
                <w:szCs w:val="20"/>
                <w:color w:val="auto"/>
              </w:rPr>
            </w:pPr>
          </w:p>
        </w:tc>
        <w:tc>
          <w:tcPr>
            <w:tcW w:w="540" w:type="dxa"/>
            <w:vAlign w:val="bottom"/>
            <w:tcBorders>
              <w:bottom w:val="single" w:sz="8" w:color="D7282F"/>
            </w:tcBorders>
          </w:tcPr>
          <w:p>
            <w:pPr>
              <w:jc w:val="right"/>
              <w:ind w:right="192"/>
              <w:spacing w:after="0"/>
              <w:rPr>
                <w:sz w:val="20"/>
                <w:szCs w:val="20"/>
                <w:color w:val="auto"/>
              </w:rPr>
            </w:pPr>
            <w:r>
              <w:rPr>
                <w:rFonts w:ascii="Arial" w:cs="Arial" w:eastAsia="Arial" w:hAnsi="Arial"/>
                <w:sz w:val="10"/>
                <w:szCs w:val="10"/>
                <w:b w:val="1"/>
                <w:bCs w:val="1"/>
                <w:color w:val="auto"/>
              </w:rPr>
              <w:t>2024</w:t>
            </w:r>
          </w:p>
        </w:tc>
        <w:tc>
          <w:tcPr>
            <w:tcW w:w="260" w:type="dxa"/>
            <w:vAlign w:val="bottom"/>
            <w:tcBorders>
              <w:bottom w:val="single" w:sz="8" w:color="D7282F"/>
            </w:tcBorders>
          </w:tcPr>
          <w:p>
            <w:pPr>
              <w:spacing w:after="0"/>
              <w:rPr>
                <w:sz w:val="20"/>
                <w:szCs w:val="20"/>
                <w:color w:val="auto"/>
              </w:rPr>
            </w:pPr>
          </w:p>
        </w:tc>
        <w:tc>
          <w:tcPr>
            <w:tcW w:w="760" w:type="dxa"/>
            <w:vAlign w:val="bottom"/>
            <w:tcBorders>
              <w:bottom w:val="single" w:sz="8" w:color="D7282F"/>
            </w:tcBorders>
          </w:tcPr>
          <w:p>
            <w:pPr>
              <w:jc w:val="right"/>
              <w:ind w:right="192"/>
              <w:spacing w:after="0"/>
              <w:rPr>
                <w:sz w:val="20"/>
                <w:szCs w:val="20"/>
                <w:color w:val="auto"/>
              </w:rPr>
            </w:pPr>
            <w:r>
              <w:rPr>
                <w:rFonts w:ascii="Arial" w:cs="Arial" w:eastAsia="Arial" w:hAnsi="Arial"/>
                <w:sz w:val="10"/>
                <w:szCs w:val="10"/>
                <w:b w:val="1"/>
                <w:bCs w:val="1"/>
                <w:color w:val="auto"/>
                <w:w w:val="93"/>
              </w:rPr>
              <w:t>2025 - 2026</w:t>
            </w:r>
          </w:p>
        </w:tc>
        <w:tc>
          <w:tcPr>
            <w:tcW w:w="100" w:type="dxa"/>
            <w:vAlign w:val="bottom"/>
            <w:tcBorders>
              <w:bottom w:val="single" w:sz="8" w:color="D7282F"/>
            </w:tcBorders>
          </w:tcPr>
          <w:p>
            <w:pPr>
              <w:spacing w:after="0"/>
              <w:rPr>
                <w:sz w:val="20"/>
                <w:szCs w:val="20"/>
                <w:color w:val="auto"/>
              </w:rPr>
            </w:pPr>
          </w:p>
        </w:tc>
        <w:tc>
          <w:tcPr>
            <w:tcW w:w="5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w w:val="93"/>
              </w:rPr>
              <w:t>2027 - 2028</w:t>
            </w:r>
          </w:p>
        </w:tc>
        <w:tc>
          <w:tcPr>
            <w:tcW w:w="380" w:type="dxa"/>
            <w:vAlign w:val="bottom"/>
            <w:tcBorders>
              <w:bottom w:val="single" w:sz="8" w:color="D7282F"/>
            </w:tcBorders>
          </w:tcPr>
          <w:p>
            <w:pPr>
              <w:spacing w:after="0"/>
              <w:rPr>
                <w:sz w:val="20"/>
                <w:szCs w:val="20"/>
                <w:color w:val="auto"/>
              </w:rPr>
            </w:pPr>
          </w:p>
        </w:tc>
        <w:tc>
          <w:tcPr>
            <w:tcW w:w="86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Thereafter</w:t>
            </w:r>
          </w:p>
        </w:tc>
      </w:tr>
      <w:tr>
        <w:trPr>
          <w:trHeight w:val="122"/>
        </w:trPr>
        <w:tc>
          <w:tcPr>
            <w:tcW w:w="45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Long-term debt, including finance leases</w:t>
            </w:r>
            <w:r>
              <w:rPr>
                <w:rFonts w:ascii="Arial" w:cs="Arial" w:eastAsia="Arial" w:hAnsi="Arial"/>
                <w:sz w:val="6"/>
                <w:szCs w:val="6"/>
                <w:color w:val="auto"/>
              </w:rPr>
              <w:t>1</w:t>
            </w:r>
          </w:p>
        </w:tc>
        <w:tc>
          <w:tcPr>
            <w:tcW w:w="2580" w:type="dxa"/>
            <w:vAlign w:val="bottom"/>
            <w:tcBorders>
              <w:bottom w:val="single" w:sz="8" w:color="888B8D"/>
            </w:tcBorders>
          </w:tcPr>
          <w:p>
            <w:pPr>
              <w:jc w:val="right"/>
              <w:ind w:right="55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w w:val="91"/>
              </w:rPr>
              <w:t>18,358</w:t>
            </w:r>
          </w:p>
        </w:tc>
        <w:tc>
          <w:tcPr>
            <w:tcW w:w="1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1,796</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2,842</w:t>
            </w:r>
          </w:p>
        </w:tc>
        <w:tc>
          <w:tcPr>
            <w:tcW w:w="1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3,245</w:t>
            </w:r>
          </w:p>
        </w:tc>
        <w:tc>
          <w:tcPr>
            <w:tcW w:w="38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10,475</w:t>
            </w:r>
          </w:p>
        </w:tc>
      </w:tr>
      <w:tr>
        <w:trPr>
          <w:trHeight w:val="124"/>
        </w:trPr>
        <w:tc>
          <w:tcPr>
            <w:tcW w:w="45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Interest payments on long-term debt, including finance leases</w:t>
            </w:r>
          </w:p>
        </w:tc>
        <w:tc>
          <w:tcPr>
            <w:tcW w:w="258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4,995</w:t>
            </w:r>
          </w:p>
        </w:tc>
        <w:tc>
          <w:tcPr>
            <w:tcW w:w="140" w:type="dxa"/>
            <w:vAlign w:val="bottom"/>
            <w:tcBorders>
              <w:bottom w:val="single" w:sz="8" w:color="888B8D"/>
            </w:tcBorders>
          </w:tcPr>
          <w:p>
            <w:pPr>
              <w:spacing w:after="0"/>
              <w:rPr>
                <w:sz w:val="10"/>
                <w:szCs w:val="10"/>
                <w:color w:val="auto"/>
              </w:rPr>
            </w:pPr>
          </w:p>
        </w:tc>
        <w:tc>
          <w:tcPr>
            <w:tcW w:w="5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568</w:t>
            </w:r>
          </w:p>
        </w:tc>
        <w:tc>
          <w:tcPr>
            <w:tcW w:w="26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1,037</w:t>
            </w:r>
          </w:p>
        </w:tc>
        <w:tc>
          <w:tcPr>
            <w:tcW w:w="1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893</w:t>
            </w:r>
          </w:p>
        </w:tc>
        <w:tc>
          <w:tcPr>
            <w:tcW w:w="38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2,497</w:t>
            </w:r>
          </w:p>
        </w:tc>
      </w:tr>
      <w:tr>
        <w:trPr>
          <w:trHeight w:val="124"/>
        </w:trPr>
        <w:tc>
          <w:tcPr>
            <w:tcW w:w="45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Operating lease liabilities</w:t>
            </w:r>
          </w:p>
        </w:tc>
        <w:tc>
          <w:tcPr>
            <w:tcW w:w="258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1,241</w:t>
            </w:r>
          </w:p>
        </w:tc>
        <w:tc>
          <w:tcPr>
            <w:tcW w:w="140" w:type="dxa"/>
            <w:vAlign w:val="bottom"/>
            <w:tcBorders>
              <w:bottom w:val="single" w:sz="8" w:color="888B8D"/>
            </w:tcBorders>
          </w:tcPr>
          <w:p>
            <w:pPr>
              <w:spacing w:after="0"/>
              <w:rPr>
                <w:sz w:val="10"/>
                <w:szCs w:val="10"/>
                <w:color w:val="auto"/>
              </w:rPr>
            </w:pPr>
          </w:p>
        </w:tc>
        <w:tc>
          <w:tcPr>
            <w:tcW w:w="5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222</w:t>
            </w:r>
          </w:p>
        </w:tc>
        <w:tc>
          <w:tcPr>
            <w:tcW w:w="26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340</w:t>
            </w:r>
          </w:p>
        </w:tc>
        <w:tc>
          <w:tcPr>
            <w:tcW w:w="1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236</w:t>
            </w:r>
          </w:p>
        </w:tc>
        <w:tc>
          <w:tcPr>
            <w:tcW w:w="38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443</w:t>
            </w:r>
          </w:p>
        </w:tc>
      </w:tr>
      <w:tr>
        <w:trPr>
          <w:trHeight w:val="124"/>
        </w:trPr>
        <w:tc>
          <w:tcPr>
            <w:tcW w:w="45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Purchase obligations</w:t>
            </w:r>
            <w:r>
              <w:rPr>
                <w:rFonts w:ascii="Arial" w:cs="Arial" w:eastAsia="Arial" w:hAnsi="Arial"/>
                <w:sz w:val="6"/>
                <w:szCs w:val="6"/>
                <w:color w:val="auto"/>
              </w:rPr>
              <w:t>2</w:t>
            </w:r>
          </w:p>
        </w:tc>
        <w:tc>
          <w:tcPr>
            <w:tcW w:w="258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3,004</w:t>
            </w:r>
          </w:p>
        </w:tc>
        <w:tc>
          <w:tcPr>
            <w:tcW w:w="140" w:type="dxa"/>
            <w:vAlign w:val="bottom"/>
            <w:tcBorders>
              <w:bottom w:val="single" w:sz="8" w:color="888B8D"/>
            </w:tcBorders>
          </w:tcPr>
          <w:p>
            <w:pPr>
              <w:spacing w:after="0"/>
              <w:rPr>
                <w:sz w:val="10"/>
                <w:szCs w:val="10"/>
                <w:color w:val="auto"/>
              </w:rPr>
            </w:pPr>
          </w:p>
        </w:tc>
        <w:tc>
          <w:tcPr>
            <w:tcW w:w="5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1,543</w:t>
            </w:r>
          </w:p>
        </w:tc>
        <w:tc>
          <w:tcPr>
            <w:tcW w:w="26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1,144</w:t>
            </w:r>
          </w:p>
        </w:tc>
        <w:tc>
          <w:tcPr>
            <w:tcW w:w="1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265</w:t>
            </w:r>
          </w:p>
        </w:tc>
        <w:tc>
          <w:tcPr>
            <w:tcW w:w="38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52</w:t>
            </w:r>
          </w:p>
        </w:tc>
      </w:tr>
      <w:tr>
        <w:trPr>
          <w:trHeight w:val="124"/>
        </w:trPr>
        <w:tc>
          <w:tcPr>
            <w:tcW w:w="45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Estimated environmental liability payments</w:t>
            </w:r>
            <w:r>
              <w:rPr>
                <w:rFonts w:ascii="Arial" w:cs="Arial" w:eastAsia="Arial" w:hAnsi="Arial"/>
                <w:sz w:val="6"/>
                <w:szCs w:val="6"/>
                <w:color w:val="auto"/>
              </w:rPr>
              <w:t>3</w:t>
            </w:r>
          </w:p>
        </w:tc>
        <w:tc>
          <w:tcPr>
            <w:tcW w:w="258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641</w:t>
            </w:r>
          </w:p>
        </w:tc>
        <w:tc>
          <w:tcPr>
            <w:tcW w:w="140" w:type="dxa"/>
            <w:vAlign w:val="bottom"/>
            <w:tcBorders>
              <w:bottom w:val="single" w:sz="8" w:color="888B8D"/>
            </w:tcBorders>
          </w:tcPr>
          <w:p>
            <w:pPr>
              <w:spacing w:after="0"/>
              <w:rPr>
                <w:sz w:val="10"/>
                <w:szCs w:val="10"/>
                <w:color w:val="auto"/>
              </w:rPr>
            </w:pPr>
          </w:p>
        </w:tc>
        <w:tc>
          <w:tcPr>
            <w:tcW w:w="5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227</w:t>
            </w:r>
          </w:p>
        </w:tc>
        <w:tc>
          <w:tcPr>
            <w:tcW w:w="26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211</w:t>
            </w:r>
          </w:p>
        </w:tc>
        <w:tc>
          <w:tcPr>
            <w:tcW w:w="1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153</w:t>
            </w:r>
          </w:p>
        </w:tc>
        <w:tc>
          <w:tcPr>
            <w:tcW w:w="38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50</w:t>
            </w:r>
          </w:p>
        </w:tc>
      </w:tr>
      <w:tr>
        <w:trPr>
          <w:trHeight w:val="124"/>
        </w:trPr>
        <w:tc>
          <w:tcPr>
            <w:tcW w:w="45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Asbestos-related liability payments</w:t>
            </w:r>
            <w:r>
              <w:rPr>
                <w:rFonts w:ascii="Arial" w:cs="Arial" w:eastAsia="Arial" w:hAnsi="Arial"/>
                <w:sz w:val="6"/>
                <w:szCs w:val="6"/>
                <w:color w:val="auto"/>
              </w:rPr>
              <w:t>4</w:t>
            </w:r>
          </w:p>
        </w:tc>
        <w:tc>
          <w:tcPr>
            <w:tcW w:w="258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1,644</w:t>
            </w:r>
          </w:p>
        </w:tc>
        <w:tc>
          <w:tcPr>
            <w:tcW w:w="140" w:type="dxa"/>
            <w:vAlign w:val="bottom"/>
            <w:tcBorders>
              <w:bottom w:val="single" w:sz="8" w:color="888B8D"/>
            </w:tcBorders>
          </w:tcPr>
          <w:p>
            <w:pPr>
              <w:spacing w:after="0"/>
              <w:rPr>
                <w:sz w:val="10"/>
                <w:szCs w:val="10"/>
                <w:color w:val="auto"/>
              </w:rPr>
            </w:pPr>
          </w:p>
        </w:tc>
        <w:tc>
          <w:tcPr>
            <w:tcW w:w="5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154</w:t>
            </w:r>
          </w:p>
        </w:tc>
        <w:tc>
          <w:tcPr>
            <w:tcW w:w="26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278</w:t>
            </w:r>
          </w:p>
        </w:tc>
        <w:tc>
          <w:tcPr>
            <w:tcW w:w="1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225</w:t>
            </w:r>
          </w:p>
        </w:tc>
        <w:tc>
          <w:tcPr>
            <w:tcW w:w="38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987</w:t>
            </w:r>
          </w:p>
        </w:tc>
      </w:tr>
      <w:tr>
        <w:trPr>
          <w:trHeight w:val="124"/>
        </w:trPr>
        <w:tc>
          <w:tcPr>
            <w:tcW w:w="45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Asbestos insurance recoveries</w:t>
            </w:r>
            <w:r>
              <w:rPr>
                <w:rFonts w:ascii="Arial" w:cs="Arial" w:eastAsia="Arial" w:hAnsi="Arial"/>
                <w:sz w:val="6"/>
                <w:szCs w:val="6"/>
                <w:color w:val="auto"/>
              </w:rPr>
              <w:t>5</w:t>
            </w:r>
          </w:p>
        </w:tc>
        <w:tc>
          <w:tcPr>
            <w:tcW w:w="258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(123)</w:t>
            </w:r>
          </w:p>
        </w:tc>
        <w:tc>
          <w:tcPr>
            <w:tcW w:w="140" w:type="dxa"/>
            <w:vAlign w:val="bottom"/>
            <w:tcBorders>
              <w:bottom w:val="single" w:sz="8" w:color="D7282F"/>
            </w:tcBorders>
          </w:tcPr>
          <w:p>
            <w:pPr>
              <w:spacing w:after="0"/>
              <w:rPr>
                <w:sz w:val="10"/>
                <w:szCs w:val="10"/>
                <w:color w:val="auto"/>
              </w:rPr>
            </w:pP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(16)</w:t>
            </w:r>
          </w:p>
        </w:tc>
        <w:tc>
          <w:tcPr>
            <w:tcW w:w="26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(24)</w:t>
            </w:r>
          </w:p>
        </w:tc>
        <w:tc>
          <w:tcPr>
            <w:tcW w:w="10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(19)</w:t>
            </w:r>
          </w:p>
        </w:tc>
        <w:tc>
          <w:tcPr>
            <w:tcW w:w="380" w:type="dxa"/>
            <w:vAlign w:val="bottom"/>
            <w:tcBorders>
              <w:bottom w:val="single" w:sz="8" w:color="D7282F"/>
            </w:tcBorders>
          </w:tcPr>
          <w:p>
            <w:pPr>
              <w:spacing w:after="0"/>
              <w:rPr>
                <w:sz w:val="10"/>
                <w:szCs w:val="10"/>
                <w:color w:val="auto"/>
              </w:rPr>
            </w:pP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(64)</w:t>
            </w:r>
          </w:p>
        </w:tc>
      </w:tr>
      <w:tr>
        <w:trPr>
          <w:trHeight w:val="126"/>
        </w:trPr>
        <w:tc>
          <w:tcPr>
            <w:tcW w:w="4540" w:type="dxa"/>
            <w:vAlign w:val="bottom"/>
            <w:tcBorders>
              <w:bottom w:val="single" w:sz="8" w:color="D7282F"/>
            </w:tcBorders>
          </w:tcPr>
          <w:p>
            <w:pPr>
              <w:ind w:left="100"/>
              <w:spacing w:after="0"/>
              <w:rPr>
                <w:sz w:val="20"/>
                <w:szCs w:val="20"/>
                <w:color w:val="auto"/>
              </w:rPr>
            </w:pPr>
            <w:r>
              <w:rPr>
                <w:rFonts w:ascii="Arial" w:cs="Arial" w:eastAsia="Arial" w:hAnsi="Arial"/>
                <w:sz w:val="10"/>
                <w:szCs w:val="10"/>
                <w:b w:val="1"/>
                <w:bCs w:val="1"/>
                <w:color w:val="auto"/>
              </w:rPr>
              <w:t>Total contractual obligations</w:t>
            </w:r>
          </w:p>
        </w:tc>
        <w:tc>
          <w:tcPr>
            <w:tcW w:w="2580" w:type="dxa"/>
            <w:vAlign w:val="bottom"/>
            <w:tcBorders>
              <w:bottom w:val="single" w:sz="8" w:color="D7282F"/>
            </w:tcBorders>
          </w:tcPr>
          <w:p>
            <w:pPr>
              <w:jc w:val="right"/>
              <w:ind w:right="552"/>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b w:val="1"/>
                <w:bCs w:val="1"/>
                <w:color w:val="auto"/>
                <w:w w:val="91"/>
              </w:rPr>
              <w:t>29,760</w:t>
            </w:r>
          </w:p>
        </w:tc>
        <w:tc>
          <w:tcPr>
            <w:tcW w:w="1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5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4,494</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5,828</w:t>
            </w:r>
          </w:p>
        </w:tc>
        <w:tc>
          <w:tcPr>
            <w:tcW w:w="1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4,998</w:t>
            </w:r>
          </w:p>
        </w:tc>
        <w:tc>
          <w:tcPr>
            <w:tcW w:w="3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14,440</w:t>
            </w:r>
          </w:p>
        </w:tc>
      </w:tr>
    </w:tbl>
    <w:p>
      <w:pPr>
        <w:spacing w:after="0" w:line="78" w:lineRule="exact"/>
        <w:rPr>
          <w:sz w:val="20"/>
          <w:szCs w:val="20"/>
          <w:color w:val="auto"/>
        </w:rPr>
      </w:pPr>
    </w:p>
    <w:p>
      <w:pPr>
        <w:ind w:left="428" w:hanging="280"/>
        <w:spacing w:after="0"/>
        <w:tabs>
          <w:tab w:leader="none" w:pos="428" w:val="left"/>
        </w:tabs>
        <w:numPr>
          <w:ilvl w:val="0"/>
          <w:numId w:val="77"/>
        </w:numPr>
        <w:rPr>
          <w:rFonts w:ascii="Arial" w:cs="Arial" w:eastAsia="Arial" w:hAnsi="Arial"/>
          <w:sz w:val="8"/>
          <w:szCs w:val="8"/>
          <w:color w:val="auto"/>
        </w:rPr>
      </w:pPr>
      <w:r>
        <w:rPr>
          <w:rFonts w:ascii="Arial" w:cs="Arial" w:eastAsia="Arial" w:hAnsi="Arial"/>
          <w:sz w:val="8"/>
          <w:szCs w:val="8"/>
          <w:color w:val="auto"/>
        </w:rPr>
        <w:t>Assumes all long-term debt is outstanding until scheduled maturity.</w:t>
      </w:r>
    </w:p>
    <w:p>
      <w:pPr>
        <w:spacing w:after="0" w:line="25" w:lineRule="exact"/>
        <w:rPr>
          <w:sz w:val="20"/>
          <w:szCs w:val="20"/>
          <w:color w:val="auto"/>
        </w:rPr>
      </w:pPr>
    </w:p>
    <w:p>
      <w:pPr>
        <w:ind w:left="428" w:hanging="280"/>
        <w:spacing w:after="0"/>
        <w:tabs>
          <w:tab w:leader="none" w:pos="428" w:val="left"/>
        </w:tabs>
        <w:numPr>
          <w:ilvl w:val="0"/>
          <w:numId w:val="78"/>
        </w:numPr>
        <w:rPr>
          <w:rFonts w:ascii="Arial" w:cs="Arial" w:eastAsia="Arial" w:hAnsi="Arial"/>
          <w:sz w:val="8"/>
          <w:szCs w:val="8"/>
          <w:color w:val="auto"/>
        </w:rPr>
      </w:pPr>
      <w:r>
        <w:rPr>
          <w:rFonts w:ascii="Arial" w:cs="Arial" w:eastAsia="Arial" w:hAnsi="Arial"/>
          <w:sz w:val="8"/>
          <w:szCs w:val="8"/>
          <w:color w:val="auto"/>
        </w:rPr>
        <w:t>Purchase obligations are entered into with various vendors in the normal course of business and are consistent with our expected requirements.</w:t>
      </w:r>
    </w:p>
    <w:p>
      <w:pPr>
        <w:ind w:left="428" w:hanging="280"/>
        <w:spacing w:after="0" w:line="209" w:lineRule="auto"/>
        <w:tabs>
          <w:tab w:leader="none" w:pos="428" w:val="left"/>
        </w:tabs>
        <w:numPr>
          <w:ilvl w:val="0"/>
          <w:numId w:val="79"/>
        </w:numPr>
        <w:rPr>
          <w:rFonts w:ascii="Arial" w:cs="Arial" w:eastAsia="Arial" w:hAnsi="Arial"/>
          <w:sz w:val="17"/>
          <w:szCs w:val="17"/>
          <w:color w:val="auto"/>
          <w:vertAlign w:val="superscript"/>
        </w:rPr>
      </w:pPr>
      <w:r>
        <w:rPr>
          <w:rFonts w:ascii="Arial" w:cs="Arial" w:eastAsia="Arial" w:hAnsi="Arial"/>
          <w:sz w:val="8"/>
          <w:szCs w:val="8"/>
          <w:color w:val="auto"/>
        </w:rPr>
        <w:t>The payment amounts in the table only reflect the environmental liabilities which are probable and reasonably estimable as of December 31, 2023.</w:t>
      </w:r>
    </w:p>
    <w:p>
      <w:pPr>
        <w:spacing w:after="0" w:line="98" w:lineRule="exact"/>
        <w:rPr>
          <w:sz w:val="20"/>
          <w:szCs w:val="20"/>
          <w:color w:val="auto"/>
        </w:rPr>
      </w:pPr>
    </w:p>
    <w:p>
      <w:pPr>
        <w:ind w:left="428" w:right="20" w:hanging="280"/>
        <w:spacing w:after="0" w:line="181" w:lineRule="auto"/>
        <w:tabs>
          <w:tab w:leader="none" w:pos="428" w:val="left"/>
        </w:tabs>
        <w:numPr>
          <w:ilvl w:val="0"/>
          <w:numId w:val="80"/>
        </w:numPr>
        <w:rPr>
          <w:rFonts w:ascii="Arial" w:cs="Arial" w:eastAsia="Arial" w:hAnsi="Arial"/>
          <w:sz w:val="16"/>
          <w:szCs w:val="16"/>
          <w:color w:val="auto"/>
          <w:vertAlign w:val="superscript"/>
        </w:rPr>
      </w:pPr>
      <w:r>
        <w:rPr>
          <w:rFonts w:ascii="Arial" w:cs="Arial" w:eastAsia="Arial" w:hAnsi="Arial"/>
          <w:sz w:val="8"/>
          <w:szCs w:val="8"/>
          <w:color w:val="auto"/>
        </w:rPr>
        <w:t>These amounts are estimates of asbestos-related cash payments for Bendix Friction Materials (Bendix) based on our asbestos-related liabilities which are probable and reasonably estimable as of December 31, 2023. See Asbestos Matters in Note 19 Commitments and Contingencies of Notes to Consolidated Financial Statements for additional information.</w:t>
      </w:r>
    </w:p>
    <w:p>
      <w:pPr>
        <w:spacing w:after="0" w:line="12" w:lineRule="exact"/>
        <w:rPr>
          <w:sz w:val="20"/>
          <w:szCs w:val="20"/>
          <w:color w:val="auto"/>
        </w:rPr>
      </w:pPr>
    </w:p>
    <w:p>
      <w:pPr>
        <w:ind w:left="428" w:hanging="280"/>
        <w:spacing w:after="0"/>
        <w:tabs>
          <w:tab w:leader="none" w:pos="428" w:val="left"/>
        </w:tabs>
        <w:numPr>
          <w:ilvl w:val="0"/>
          <w:numId w:val="81"/>
        </w:numPr>
        <w:rPr>
          <w:rFonts w:ascii="Arial" w:cs="Arial" w:eastAsia="Arial" w:hAnsi="Arial"/>
          <w:sz w:val="17"/>
          <w:szCs w:val="17"/>
          <w:color w:val="auto"/>
          <w:vertAlign w:val="superscript"/>
        </w:rPr>
      </w:pPr>
      <w:r>
        <w:rPr>
          <w:rFonts w:ascii="Arial" w:cs="Arial" w:eastAsia="Arial" w:hAnsi="Arial"/>
          <w:sz w:val="8"/>
          <w:szCs w:val="8"/>
          <w:color w:val="auto"/>
        </w:rPr>
        <w:t>These amounts represent our insurance recoveries that are deemed probable for asbestos-related liabilities as of December 31, 2023. See Asbestos Matters in Note 19 Commitments and Contingencies of Notes to Consolidated Financial Statements for additional information.</w:t>
      </w:r>
    </w:p>
    <w:p>
      <w:pPr>
        <w:spacing w:after="0" w:line="12" w:lineRule="exact"/>
        <w:rPr>
          <w:sz w:val="20"/>
          <w:szCs w:val="20"/>
          <w:color w:val="auto"/>
        </w:rPr>
      </w:pPr>
    </w:p>
    <w:p>
      <w:pPr>
        <w:ind w:left="428" w:hanging="280"/>
        <w:spacing w:after="0"/>
        <w:tabs>
          <w:tab w:leader="none" w:pos="428" w:val="left"/>
        </w:tabs>
        <w:numPr>
          <w:ilvl w:val="0"/>
          <w:numId w:val="82"/>
        </w:numPr>
        <w:rPr>
          <w:rFonts w:ascii="Arial" w:cs="Arial" w:eastAsia="Arial" w:hAnsi="Arial"/>
          <w:sz w:val="17"/>
          <w:szCs w:val="17"/>
          <w:color w:val="auto"/>
          <w:vertAlign w:val="superscript"/>
        </w:rPr>
      </w:pPr>
      <w:r>
        <w:rPr>
          <w:rFonts w:ascii="Arial" w:cs="Arial" w:eastAsia="Arial" w:hAnsi="Arial"/>
          <w:sz w:val="8"/>
          <w:szCs w:val="8"/>
          <w:color w:val="auto"/>
        </w:rPr>
        <w:t>The table excludes tax liability payments, including those for unrecognized tax benefits. See Note 5 Income Taxes of Notes to Consolidated Financial Statements for additional information.</w:t>
      </w:r>
    </w:p>
    <w:p>
      <w:pPr>
        <w:spacing w:after="0" w:line="12" w:lineRule="exact"/>
        <w:rPr>
          <w:sz w:val="20"/>
          <w:szCs w:val="20"/>
          <w:color w:val="auto"/>
        </w:rPr>
      </w:pPr>
    </w:p>
    <w:p>
      <w:pPr>
        <w:ind w:left="428" w:hanging="280"/>
        <w:spacing w:after="0"/>
        <w:tabs>
          <w:tab w:leader="none" w:pos="428" w:val="left"/>
        </w:tabs>
        <w:numPr>
          <w:ilvl w:val="0"/>
          <w:numId w:val="83"/>
        </w:numPr>
        <w:rPr>
          <w:rFonts w:ascii="Arial" w:cs="Arial" w:eastAsia="Arial" w:hAnsi="Arial"/>
          <w:sz w:val="17"/>
          <w:szCs w:val="17"/>
          <w:color w:val="auto"/>
          <w:vertAlign w:val="superscript"/>
        </w:rPr>
      </w:pPr>
      <w:r>
        <w:rPr>
          <w:rFonts w:ascii="Arial" w:cs="Arial" w:eastAsia="Arial" w:hAnsi="Arial"/>
          <w:sz w:val="8"/>
          <w:szCs w:val="8"/>
          <w:color w:val="auto"/>
        </w:rPr>
        <w:t>The table excludes expected proceeds from the indemnification and reimbursement agreements entered into with Resideo Technologies, Inc. (Resideo). See Note 19 Commitments and Contingencies of Notes to Consolidated Financial Statements for additional information.</w:t>
      </w:r>
    </w:p>
    <w:p>
      <w:pPr>
        <w:spacing w:after="0" w:line="295" w:lineRule="exact"/>
        <w:rPr>
          <w:sz w:val="20"/>
          <w:szCs w:val="20"/>
          <w:color w:val="auto"/>
        </w:rPr>
      </w:pPr>
    </w:p>
    <w:p>
      <w:pPr>
        <w:ind w:left="8"/>
        <w:spacing w:after="0"/>
        <w:rPr>
          <w:sz w:val="20"/>
          <w:szCs w:val="20"/>
          <w:color w:val="auto"/>
        </w:rPr>
      </w:pPr>
      <w:r>
        <w:rPr>
          <w:rFonts w:ascii="Arial" w:cs="Arial" w:eastAsia="Arial" w:hAnsi="Arial"/>
          <w:sz w:val="19"/>
          <w:szCs w:val="19"/>
          <w:color w:val="D7282F"/>
        </w:rPr>
        <w:t>ASBESTOS MATTERS</w:t>
      </w:r>
    </w:p>
    <w:p>
      <w:pPr>
        <w:spacing w:after="0" w:line="172"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Payments, net of insurance recoveries, related to known asbestos matters were $109 million, $166 million, and $240 million for the years ended December 31, 2023, 2022, and 2021, respectively, and are estimated to be approximately $177 million in 2024. We expect to make payments associated with these asbestos matters from operating cash flows. The timing of these payments depends on several factors, including the timing of litigation and settlements of liability claims. In early 2023, we made payments of approximately $1.3 billion in connection with the NARCO Buyout. For additional information regarding the NARCO Buyout, see Note 19 Commitments and Contingencies of Notes to Consolidated Financial Statements.</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9"/>
          <w:szCs w:val="19"/>
          <w:color w:val="D7282F"/>
        </w:rPr>
        <w:t>ENVIRONMENTAL MATTERS</w:t>
      </w:r>
    </w:p>
    <w:p>
      <w:pPr>
        <w:spacing w:after="0" w:line="172"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Accruals for environmental matters deemed probable and reasonably estimable were $222 million, $186 million, and $168 million for the years ended December 31, 2023, 2022, and 2021, respectively. In addition, for the years ended December 31, 2023, 2022, and 2021, we incurred operating costs for ongoing businesses of approximately $110 million, $71 million, and $88 million, respectively, relating to compliance with environmental regulations.</w:t>
      </w:r>
    </w:p>
    <w:p>
      <w:pPr>
        <w:spacing w:after="0" w:line="51"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Payments related to known environmental matters were $196 million, $211 million, and $210 million for the years ended December 31, 2023, 2022, and 2021, respectively, and are estimated to be approximately $227 million in 2024. We expect to make payments associated with these environmental matters from operating cash flows. The timing of these payments depends on several factors, including the timing of litigation and settlements of remediation liability, personal injury and property damage claims, regulatory approval of cleanup projects, execution timeframe of projects, remedial techniques to be utilized, and agreement with other parties.</w:t>
      </w:r>
    </w:p>
    <w:p>
      <w:pPr>
        <w:spacing w:after="0" w:line="45" w:lineRule="exact"/>
        <w:rPr>
          <w:sz w:val="20"/>
          <w:szCs w:val="20"/>
          <w:color w:val="auto"/>
        </w:rPr>
      </w:pPr>
    </w:p>
    <w:p>
      <w:pPr>
        <w:ind w:left="8"/>
        <w:spacing w:after="0"/>
        <w:rPr>
          <w:sz w:val="20"/>
          <w:szCs w:val="20"/>
          <w:color w:val="auto"/>
        </w:rPr>
      </w:pPr>
      <w:r>
        <w:rPr>
          <w:rFonts w:ascii="Arial" w:cs="Arial" w:eastAsia="Arial" w:hAnsi="Arial"/>
          <w:sz w:val="11"/>
          <w:szCs w:val="11"/>
          <w:color w:val="auto"/>
        </w:rPr>
        <w:t>Reimbursements from Resideo for payments related to environmental matters at certain sites, as defined in the indemnification and reimbursement agreement, were $140 million in 2023 and are expected to be $140 million in 2024.</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1"/>
          <w:szCs w:val="11"/>
          <w:color w:val="auto"/>
        </w:rPr>
        <w:t>See Note 19 Commitments and Contingencies of Notes to Consolidated Financial Statements for further discussion of our environmental matters and the indemnification and reimbursement agreement entered into with Resideo.</w:t>
      </w:r>
    </w:p>
    <w:p>
      <w:pPr>
        <w:spacing w:after="0" w:line="305" w:lineRule="exact"/>
        <w:rPr>
          <w:sz w:val="20"/>
          <w:szCs w:val="20"/>
          <w:color w:val="auto"/>
        </w:rPr>
      </w:pPr>
    </w:p>
    <w:p>
      <w:pPr>
        <w:ind w:left="268" w:hanging="268"/>
        <w:spacing w:after="0"/>
        <w:tabs>
          <w:tab w:leader="none" w:pos="268" w:val="left"/>
        </w:tabs>
        <w:numPr>
          <w:ilvl w:val="0"/>
          <w:numId w:val="84"/>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44" w:name="page45"/>
    <w:bookmarkEnd w:id="44"/>
    <w:p>
      <w:pPr>
        <w:ind w:left="8"/>
        <w:spacing w:after="0"/>
        <w:tabs>
          <w:tab w:leader="none" w:pos="970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
        <w:spacing w:after="0"/>
        <w:rPr>
          <w:sz w:val="20"/>
          <w:szCs w:val="20"/>
          <w:color w:val="auto"/>
        </w:rPr>
      </w:pPr>
      <w:r>
        <w:rPr>
          <w:rFonts w:ascii="Arial" w:cs="Arial" w:eastAsia="Arial" w:hAnsi="Arial"/>
          <w:sz w:val="19"/>
          <w:szCs w:val="19"/>
          <w:color w:val="D7282F"/>
        </w:rPr>
        <w:t>FINANCIAL INSTRUMENTS</w:t>
      </w:r>
    </w:p>
    <w:p>
      <w:pPr>
        <w:spacing w:after="0" w:line="172" w:lineRule="exact"/>
        <w:rPr>
          <w:sz w:val="20"/>
          <w:szCs w:val="20"/>
          <w:color w:val="auto"/>
        </w:rPr>
      </w:pPr>
    </w:p>
    <w:p>
      <w:pPr>
        <w:ind w:left="8" w:right="20"/>
        <w:spacing w:after="0" w:line="268" w:lineRule="auto"/>
        <w:rPr>
          <w:sz w:val="20"/>
          <w:szCs w:val="20"/>
          <w:color w:val="auto"/>
        </w:rPr>
      </w:pPr>
      <w:r>
        <w:rPr>
          <w:rFonts w:ascii="Arial" w:cs="Arial" w:eastAsia="Arial" w:hAnsi="Arial"/>
          <w:sz w:val="11"/>
          <w:szCs w:val="11"/>
          <w:color w:val="auto"/>
        </w:rPr>
        <w:t>The Company uses derivative financial instruments to reduce risks from interest and foreign currency exchange rate fluctuations. Derivative financial instruments are not used for trading or other speculative purposes and we do not use leveraged derivative financial instruments.</w:t>
      </w:r>
    </w:p>
    <w:p>
      <w:pPr>
        <w:spacing w:after="0" w:line="51" w:lineRule="exact"/>
        <w:rPr>
          <w:sz w:val="20"/>
          <w:szCs w:val="20"/>
          <w:color w:val="auto"/>
        </w:rPr>
      </w:pPr>
    </w:p>
    <w:p>
      <w:pPr>
        <w:ind w:left="8"/>
        <w:spacing w:after="0" w:line="268" w:lineRule="auto"/>
        <w:rPr>
          <w:sz w:val="20"/>
          <w:szCs w:val="20"/>
          <w:color w:val="auto"/>
        </w:rPr>
      </w:pPr>
      <w:r>
        <w:rPr>
          <w:rFonts w:ascii="Arial" w:cs="Arial" w:eastAsia="Arial" w:hAnsi="Arial"/>
          <w:sz w:val="11"/>
          <w:szCs w:val="11"/>
          <w:color w:val="auto"/>
        </w:rPr>
        <w:t>The following table illustrates the potential change in fair value for interest rate sensitive instruments based on a hypothetical immediate one percentage point increase in interest rates across all maturities and the potential change in fair value for foreign exchange rate sensitive instruments based on a 10% weakening of the U.S. Dollar versus local currency exchange rates across all maturities at December 31, 2023, and 2022:</w:t>
      </w:r>
    </w:p>
    <w:p>
      <w:pPr>
        <w:spacing w:after="0" w:line="54"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2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jc w:val="center"/>
              <w:ind w:right="132"/>
              <w:spacing w:after="0"/>
              <w:rPr>
                <w:sz w:val="20"/>
                <w:szCs w:val="20"/>
                <w:color w:val="auto"/>
              </w:rPr>
            </w:pPr>
            <w:r>
              <w:rPr>
                <w:rFonts w:ascii="Arial" w:cs="Arial" w:eastAsia="Arial" w:hAnsi="Arial"/>
                <w:sz w:val="10"/>
                <w:szCs w:val="10"/>
                <w:b w:val="1"/>
                <w:bCs w:val="1"/>
                <w:color w:val="auto"/>
                <w:w w:val="96"/>
              </w:rPr>
              <w:t>Estimated</w:t>
            </w:r>
          </w:p>
        </w:tc>
        <w:tc>
          <w:tcPr>
            <w:tcW w:w="0" w:type="dxa"/>
            <w:vAlign w:val="bottom"/>
          </w:tcPr>
          <w:p>
            <w:pPr>
              <w:spacing w:after="0"/>
              <w:rPr>
                <w:sz w:val="1"/>
                <w:szCs w:val="1"/>
                <w:color w:val="auto"/>
              </w:rPr>
            </w:pPr>
          </w:p>
        </w:tc>
      </w:tr>
      <w:tr>
        <w:trPr>
          <w:trHeight w:val="99"/>
        </w:trPr>
        <w:tc>
          <w:tcPr>
            <w:tcW w:w="42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920" w:type="dxa"/>
            <w:vAlign w:val="bottom"/>
            <w:vMerge w:val="restart"/>
          </w:tcPr>
          <w:p>
            <w:pPr>
              <w:jc w:val="center"/>
              <w:ind w:right="252"/>
              <w:spacing w:after="0"/>
              <w:rPr>
                <w:sz w:val="20"/>
                <w:szCs w:val="20"/>
                <w:color w:val="auto"/>
              </w:rPr>
            </w:pPr>
            <w:r>
              <w:rPr>
                <w:rFonts w:ascii="Arial" w:cs="Arial" w:eastAsia="Arial" w:hAnsi="Arial"/>
                <w:sz w:val="10"/>
                <w:szCs w:val="10"/>
                <w:b w:val="1"/>
                <w:bCs w:val="1"/>
                <w:color w:val="auto"/>
                <w:w w:val="95"/>
              </w:rPr>
              <w:t>Face or</w:t>
            </w: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jc w:val="center"/>
              <w:ind w:right="132"/>
              <w:spacing w:after="0" w:line="99" w:lineRule="exact"/>
              <w:rPr>
                <w:sz w:val="20"/>
                <w:szCs w:val="20"/>
                <w:color w:val="auto"/>
              </w:rPr>
            </w:pPr>
            <w:r>
              <w:rPr>
                <w:rFonts w:ascii="Arial" w:cs="Arial" w:eastAsia="Arial" w:hAnsi="Arial"/>
                <w:sz w:val="10"/>
                <w:szCs w:val="10"/>
                <w:b w:val="1"/>
                <w:bCs w:val="1"/>
                <w:color w:val="auto"/>
                <w:w w:val="93"/>
              </w:rPr>
              <w:t>Increase</w:t>
            </w:r>
          </w:p>
        </w:tc>
        <w:tc>
          <w:tcPr>
            <w:tcW w:w="0" w:type="dxa"/>
            <w:vAlign w:val="bottom"/>
          </w:tcPr>
          <w:p>
            <w:pPr>
              <w:spacing w:after="0"/>
              <w:rPr>
                <w:sz w:val="1"/>
                <w:szCs w:val="1"/>
                <w:color w:val="auto"/>
              </w:rPr>
            </w:pPr>
          </w:p>
        </w:tc>
      </w:tr>
      <w:tr>
        <w:trPr>
          <w:trHeight w:val="97"/>
        </w:trPr>
        <w:tc>
          <w:tcPr>
            <w:tcW w:w="42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0"/>
                <w:szCs w:val="10"/>
                <w:b w:val="1"/>
                <w:bCs w:val="1"/>
                <w:color w:val="auto"/>
              </w:rPr>
              <w:t>Carrying</w:t>
            </w:r>
          </w:p>
        </w:tc>
        <w:tc>
          <w:tcPr>
            <w:tcW w:w="320" w:type="dxa"/>
            <w:vAlign w:val="bottom"/>
          </w:tcPr>
          <w:p>
            <w:pPr>
              <w:spacing w:after="0"/>
              <w:rPr>
                <w:sz w:val="8"/>
                <w:szCs w:val="8"/>
                <w:color w:val="auto"/>
              </w:rPr>
            </w:pPr>
          </w:p>
        </w:tc>
        <w:tc>
          <w:tcPr>
            <w:tcW w:w="920" w:type="dxa"/>
            <w:vAlign w:val="bottom"/>
            <w:vMerge w:val="restart"/>
          </w:tcPr>
          <w:p>
            <w:pPr>
              <w:jc w:val="right"/>
              <w:ind w:right="492"/>
              <w:spacing w:after="0"/>
              <w:rPr>
                <w:sz w:val="20"/>
                <w:szCs w:val="20"/>
                <w:color w:val="auto"/>
              </w:rPr>
            </w:pPr>
            <w:r>
              <w:rPr>
                <w:rFonts w:ascii="Arial" w:cs="Arial" w:eastAsia="Arial" w:hAnsi="Arial"/>
                <w:sz w:val="10"/>
                <w:szCs w:val="10"/>
                <w:b w:val="1"/>
                <w:bCs w:val="1"/>
                <w:color w:val="auto"/>
              </w:rPr>
              <w:t>Fair</w:t>
            </w:r>
          </w:p>
        </w:tc>
        <w:tc>
          <w:tcPr>
            <w:tcW w:w="280" w:type="dxa"/>
            <w:vAlign w:val="bottom"/>
          </w:tcPr>
          <w:p>
            <w:pPr>
              <w:spacing w:after="0"/>
              <w:rPr>
                <w:sz w:val="8"/>
                <w:szCs w:val="8"/>
                <w:color w:val="auto"/>
              </w:rPr>
            </w:pPr>
          </w:p>
        </w:tc>
        <w:tc>
          <w:tcPr>
            <w:tcW w:w="880" w:type="dxa"/>
            <w:vAlign w:val="bottom"/>
          </w:tcPr>
          <w:p>
            <w:pPr>
              <w:jc w:val="center"/>
              <w:ind w:right="132"/>
              <w:spacing w:after="0" w:line="97" w:lineRule="exact"/>
              <w:rPr>
                <w:sz w:val="20"/>
                <w:szCs w:val="20"/>
                <w:color w:val="auto"/>
              </w:rPr>
            </w:pPr>
            <w:r>
              <w:rPr>
                <w:rFonts w:ascii="Arial" w:cs="Arial" w:eastAsia="Arial" w:hAnsi="Arial"/>
                <w:sz w:val="10"/>
                <w:szCs w:val="10"/>
                <w:b w:val="1"/>
                <w:bCs w:val="1"/>
                <w:color w:val="auto"/>
                <w:w w:val="97"/>
              </w:rPr>
              <w:t>(Decrease)</w:t>
            </w:r>
          </w:p>
        </w:tc>
        <w:tc>
          <w:tcPr>
            <w:tcW w:w="0" w:type="dxa"/>
            <w:vAlign w:val="bottom"/>
          </w:tcPr>
          <w:p>
            <w:pPr>
              <w:spacing w:after="0"/>
              <w:rPr>
                <w:sz w:val="1"/>
                <w:szCs w:val="1"/>
                <w:color w:val="auto"/>
              </w:rPr>
            </w:pPr>
          </w:p>
        </w:tc>
      </w:tr>
      <w:tr>
        <w:trPr>
          <w:trHeight w:val="99"/>
        </w:trPr>
        <w:tc>
          <w:tcPr>
            <w:tcW w:w="42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920" w:type="dxa"/>
            <w:vAlign w:val="bottom"/>
          </w:tcPr>
          <w:p>
            <w:pPr>
              <w:jc w:val="center"/>
              <w:ind w:right="252"/>
              <w:spacing w:after="0" w:line="99" w:lineRule="exact"/>
              <w:rPr>
                <w:sz w:val="20"/>
                <w:szCs w:val="20"/>
                <w:color w:val="auto"/>
              </w:rPr>
            </w:pPr>
            <w:r>
              <w:rPr>
                <w:rFonts w:ascii="Arial" w:cs="Arial" w:eastAsia="Arial" w:hAnsi="Arial"/>
                <w:sz w:val="10"/>
                <w:szCs w:val="10"/>
                <w:b w:val="1"/>
                <w:bCs w:val="1"/>
                <w:color w:val="auto"/>
                <w:w w:val="94"/>
              </w:rPr>
              <w:t>Notional</w:t>
            </w:r>
          </w:p>
        </w:tc>
        <w:tc>
          <w:tcPr>
            <w:tcW w:w="3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jc w:val="center"/>
              <w:ind w:right="112"/>
              <w:spacing w:after="0" w:line="99" w:lineRule="exact"/>
              <w:rPr>
                <w:sz w:val="20"/>
                <w:szCs w:val="20"/>
                <w:color w:val="auto"/>
              </w:rPr>
            </w:pPr>
            <w:r>
              <w:rPr>
                <w:rFonts w:ascii="Arial" w:cs="Arial" w:eastAsia="Arial" w:hAnsi="Arial"/>
                <w:sz w:val="10"/>
                <w:szCs w:val="10"/>
                <w:b w:val="1"/>
                <w:bCs w:val="1"/>
                <w:color w:val="auto"/>
                <w:w w:val="93"/>
              </w:rPr>
              <w:t>in Fair</w:t>
            </w:r>
          </w:p>
        </w:tc>
        <w:tc>
          <w:tcPr>
            <w:tcW w:w="0" w:type="dxa"/>
            <w:vAlign w:val="bottom"/>
          </w:tcPr>
          <w:p>
            <w:pPr>
              <w:spacing w:after="0"/>
              <w:rPr>
                <w:sz w:val="1"/>
                <w:szCs w:val="1"/>
                <w:color w:val="auto"/>
              </w:rPr>
            </w:pPr>
          </w:p>
        </w:tc>
      </w:tr>
      <w:tr>
        <w:trPr>
          <w:trHeight w:val="126"/>
        </w:trPr>
        <w:tc>
          <w:tcPr>
            <w:tcW w:w="4280" w:type="dxa"/>
            <w:vAlign w:val="bottom"/>
            <w:tcBorders>
              <w:bottom w:val="single" w:sz="8" w:color="D7282F"/>
            </w:tcBorders>
          </w:tcPr>
          <w:p>
            <w:pPr>
              <w:spacing w:after="0"/>
              <w:rPr>
                <w:sz w:val="10"/>
                <w:szCs w:val="10"/>
                <w:color w:val="auto"/>
              </w:rPr>
            </w:pPr>
          </w:p>
        </w:tc>
        <w:tc>
          <w:tcPr>
            <w:tcW w:w="242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center"/>
              <w:ind w:right="232"/>
              <w:spacing w:after="0"/>
              <w:rPr>
                <w:sz w:val="20"/>
                <w:szCs w:val="20"/>
                <w:color w:val="auto"/>
              </w:rPr>
            </w:pPr>
            <w:r>
              <w:rPr>
                <w:rFonts w:ascii="Arial" w:cs="Arial" w:eastAsia="Arial" w:hAnsi="Arial"/>
                <w:sz w:val="10"/>
                <w:szCs w:val="10"/>
                <w:b w:val="1"/>
                <w:bCs w:val="1"/>
                <w:color w:val="auto"/>
                <w:w w:val="95"/>
              </w:rPr>
              <w:t>Amount</w:t>
            </w:r>
          </w:p>
        </w:tc>
        <w:tc>
          <w:tcPr>
            <w:tcW w:w="32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jc w:val="right"/>
              <w:ind w:right="432"/>
              <w:spacing w:after="0" w:line="126"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2"/>
                <w:szCs w:val="12"/>
                <w:b w:val="1"/>
                <w:bCs w:val="1"/>
                <w:color w:val="auto"/>
                <w:vertAlign w:val="superscript"/>
              </w:rPr>
              <w:t>1</w:t>
            </w:r>
          </w:p>
        </w:tc>
        <w:tc>
          <w:tcPr>
            <w:tcW w:w="32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right"/>
              <w:ind w:right="432"/>
              <w:spacing w:after="0" w:line="126"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2"/>
                <w:szCs w:val="12"/>
                <w:b w:val="1"/>
                <w:bCs w:val="1"/>
                <w:color w:val="auto"/>
                <w:vertAlign w:val="superscript"/>
              </w:rPr>
              <w:t>1</w:t>
            </w:r>
          </w:p>
        </w:tc>
        <w:tc>
          <w:tcPr>
            <w:tcW w:w="280" w:type="dxa"/>
            <w:vAlign w:val="bottom"/>
            <w:tcBorders>
              <w:bottom w:val="single" w:sz="8" w:color="D7282F"/>
            </w:tcBorders>
          </w:tcPr>
          <w:p>
            <w:pPr>
              <w:spacing w:after="0"/>
              <w:rPr>
                <w:sz w:val="10"/>
                <w:szCs w:val="10"/>
                <w:color w:val="auto"/>
              </w:rPr>
            </w:pPr>
          </w:p>
        </w:tc>
        <w:tc>
          <w:tcPr>
            <w:tcW w:w="880" w:type="dxa"/>
            <w:vAlign w:val="bottom"/>
            <w:tcBorders>
              <w:bottom w:val="single" w:sz="8" w:color="D7282F"/>
            </w:tcBorders>
          </w:tcPr>
          <w:p>
            <w:pPr>
              <w:jc w:val="center"/>
              <w:ind w:right="112"/>
              <w:spacing w:after="0" w:line="126" w:lineRule="exact"/>
              <w:rPr>
                <w:sz w:val="20"/>
                <w:szCs w:val="20"/>
                <w:color w:val="auto"/>
              </w:rPr>
            </w:pPr>
            <w:r>
              <w:rPr>
                <w:rFonts w:ascii="Arial" w:cs="Arial" w:eastAsia="Arial" w:hAnsi="Arial"/>
                <w:sz w:val="10"/>
                <w:szCs w:val="10"/>
                <w:b w:val="1"/>
                <w:bCs w:val="1"/>
                <w:color w:val="auto"/>
                <w:w w:val="89"/>
              </w:rPr>
              <w:t>Value</w:t>
            </w:r>
            <w:r>
              <w:rPr>
                <w:rFonts w:ascii="Arial" w:cs="Arial" w:eastAsia="Arial" w:hAnsi="Arial"/>
                <w:sz w:val="12"/>
                <w:szCs w:val="12"/>
                <w:b w:val="1"/>
                <w:bCs w:val="1"/>
                <w:color w:val="auto"/>
                <w:w w:val="89"/>
                <w:vertAlign w:val="superscript"/>
              </w:rPr>
              <w:t>2</w:t>
            </w:r>
          </w:p>
        </w:tc>
        <w:tc>
          <w:tcPr>
            <w:tcW w:w="0" w:type="dxa"/>
            <w:vAlign w:val="bottom"/>
          </w:tcPr>
          <w:p>
            <w:pPr>
              <w:spacing w:after="0"/>
              <w:rPr>
                <w:sz w:val="1"/>
                <w:szCs w:val="1"/>
                <w:color w:val="auto"/>
              </w:rPr>
            </w:pPr>
          </w:p>
        </w:tc>
      </w:tr>
      <w:tr>
        <w:trPr>
          <w:trHeight w:val="123"/>
        </w:trPr>
        <w:tc>
          <w:tcPr>
            <w:tcW w:w="428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December 31, 2023</w:t>
            </w:r>
          </w:p>
        </w:tc>
        <w:tc>
          <w:tcPr>
            <w:tcW w:w="2420" w:type="dxa"/>
            <w:vAlign w:val="bottom"/>
            <w:tcBorders>
              <w:bottom w:val="single" w:sz="8" w:color="61656A"/>
            </w:tcBorders>
          </w:tcPr>
          <w:p>
            <w:pPr>
              <w:spacing w:after="0"/>
              <w:rPr>
                <w:sz w:val="10"/>
                <w:szCs w:val="10"/>
                <w:color w:val="auto"/>
              </w:rPr>
            </w:pPr>
          </w:p>
        </w:tc>
        <w:tc>
          <w:tcPr>
            <w:tcW w:w="92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spacing w:after="0"/>
              <w:rPr>
                <w:sz w:val="10"/>
                <w:szCs w:val="10"/>
                <w:color w:val="auto"/>
              </w:rPr>
            </w:pPr>
          </w:p>
        </w:tc>
        <w:tc>
          <w:tcPr>
            <w:tcW w:w="96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spacing w:after="0"/>
              <w:rPr>
                <w:sz w:val="10"/>
                <w:szCs w:val="10"/>
                <w:color w:val="auto"/>
              </w:rPr>
            </w:pPr>
          </w:p>
        </w:tc>
        <w:tc>
          <w:tcPr>
            <w:tcW w:w="92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880" w:type="dxa"/>
            <w:vAlign w:val="bottom"/>
            <w:tcBorders>
              <w:bottom w:val="single" w:sz="8" w:color="61656A"/>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28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Interest rate sensitive instruments</w:t>
            </w:r>
          </w:p>
        </w:tc>
        <w:tc>
          <w:tcPr>
            <w:tcW w:w="2420" w:type="dxa"/>
            <w:vAlign w:val="bottom"/>
            <w:tcBorders>
              <w:bottom w:val="single" w:sz="8" w:color="61656A"/>
            </w:tcBorders>
          </w:tcPr>
          <w:p>
            <w:pPr>
              <w:spacing w:after="0"/>
              <w:rPr>
                <w:sz w:val="10"/>
                <w:szCs w:val="10"/>
                <w:color w:val="auto"/>
              </w:rPr>
            </w:pPr>
          </w:p>
        </w:tc>
        <w:tc>
          <w:tcPr>
            <w:tcW w:w="92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spacing w:after="0"/>
              <w:rPr>
                <w:sz w:val="10"/>
                <w:szCs w:val="10"/>
                <w:color w:val="auto"/>
              </w:rPr>
            </w:pPr>
          </w:p>
        </w:tc>
        <w:tc>
          <w:tcPr>
            <w:tcW w:w="96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spacing w:after="0"/>
              <w:rPr>
                <w:sz w:val="10"/>
                <w:szCs w:val="10"/>
                <w:color w:val="auto"/>
              </w:rPr>
            </w:pPr>
          </w:p>
        </w:tc>
        <w:tc>
          <w:tcPr>
            <w:tcW w:w="92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880" w:type="dxa"/>
            <w:vAlign w:val="bottom"/>
            <w:tcBorders>
              <w:bottom w:val="single" w:sz="8" w:color="61656A"/>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8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Long-term debt (including current maturities)</w:t>
            </w:r>
          </w:p>
        </w:tc>
        <w:tc>
          <w:tcPr>
            <w:tcW w:w="2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18,358</w:t>
            </w:r>
          </w:p>
        </w:tc>
        <w:tc>
          <w:tcPr>
            <w:tcW w:w="32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9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(18,358)</w:t>
            </w:r>
          </w:p>
        </w:tc>
        <w:tc>
          <w:tcPr>
            <w:tcW w:w="32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(17,706)</w:t>
            </w:r>
          </w:p>
        </w:tc>
        <w:tc>
          <w:tcPr>
            <w:tcW w:w="28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(1,530)</w:t>
            </w:r>
          </w:p>
        </w:tc>
        <w:tc>
          <w:tcPr>
            <w:tcW w:w="0" w:type="dxa"/>
            <w:vAlign w:val="bottom"/>
          </w:tcPr>
          <w:p>
            <w:pPr>
              <w:spacing w:after="0"/>
              <w:rPr>
                <w:sz w:val="1"/>
                <w:szCs w:val="1"/>
                <w:color w:val="auto"/>
              </w:rPr>
            </w:pPr>
          </w:p>
        </w:tc>
      </w:tr>
      <w:tr>
        <w:trPr>
          <w:trHeight w:val="124"/>
        </w:trPr>
        <w:tc>
          <w:tcPr>
            <w:tcW w:w="42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Interest rate swap agreements</w:t>
            </w:r>
          </w:p>
        </w:tc>
        <w:tc>
          <w:tcPr>
            <w:tcW w:w="242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4,717</w:t>
            </w:r>
          </w:p>
        </w:tc>
        <w:tc>
          <w:tcPr>
            <w:tcW w:w="32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(166)</w:t>
            </w:r>
          </w:p>
        </w:tc>
        <w:tc>
          <w:tcPr>
            <w:tcW w:w="32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(166)</w:t>
            </w:r>
          </w:p>
        </w:tc>
        <w:tc>
          <w:tcPr>
            <w:tcW w:w="280" w:type="dxa"/>
            <w:vAlign w:val="bottom"/>
            <w:tcBorders>
              <w:bottom w:val="single" w:sz="8" w:color="D7282F"/>
            </w:tcBorders>
          </w:tcPr>
          <w:p>
            <w:pPr>
              <w:spacing w:after="0"/>
              <w:rPr>
                <w:sz w:val="10"/>
                <w:szCs w:val="10"/>
                <w:color w:val="auto"/>
              </w:rPr>
            </w:pP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(160)</w:t>
            </w:r>
          </w:p>
        </w:tc>
        <w:tc>
          <w:tcPr>
            <w:tcW w:w="0" w:type="dxa"/>
            <w:vAlign w:val="bottom"/>
          </w:tcPr>
          <w:p>
            <w:pPr>
              <w:spacing w:after="0"/>
              <w:rPr>
                <w:sz w:val="1"/>
                <w:szCs w:val="1"/>
                <w:color w:val="auto"/>
              </w:rPr>
            </w:pPr>
          </w:p>
        </w:tc>
      </w:tr>
      <w:tr>
        <w:trPr>
          <w:trHeight w:val="126"/>
        </w:trPr>
        <w:tc>
          <w:tcPr>
            <w:tcW w:w="42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w:t>
            </w:r>
          </w:p>
        </w:tc>
        <w:tc>
          <w:tcPr>
            <w:tcW w:w="2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23,075</w:t>
            </w:r>
          </w:p>
        </w:tc>
        <w:tc>
          <w:tcPr>
            <w:tcW w:w="3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9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(18,524)</w:t>
            </w:r>
          </w:p>
        </w:tc>
        <w:tc>
          <w:tcPr>
            <w:tcW w:w="32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(17,872)</w:t>
            </w:r>
          </w:p>
        </w:tc>
        <w:tc>
          <w:tcPr>
            <w:tcW w:w="2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(1,690)</w:t>
            </w:r>
          </w:p>
        </w:tc>
        <w:tc>
          <w:tcPr>
            <w:tcW w:w="0" w:type="dxa"/>
            <w:vAlign w:val="bottom"/>
          </w:tcPr>
          <w:p>
            <w:pPr>
              <w:spacing w:after="0"/>
              <w:rPr>
                <w:sz w:val="1"/>
                <w:szCs w:val="1"/>
                <w:color w:val="auto"/>
              </w:rPr>
            </w:pPr>
          </w:p>
        </w:tc>
      </w:tr>
      <w:tr>
        <w:trPr>
          <w:trHeight w:val="124"/>
        </w:trPr>
        <w:tc>
          <w:tcPr>
            <w:tcW w:w="428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Foreign exchange rate sensitive instruments</w:t>
            </w:r>
          </w:p>
        </w:tc>
        <w:tc>
          <w:tcPr>
            <w:tcW w:w="2420" w:type="dxa"/>
            <w:vAlign w:val="bottom"/>
            <w:tcBorders>
              <w:bottom w:val="single" w:sz="8" w:color="61656A"/>
            </w:tcBorders>
          </w:tcPr>
          <w:p>
            <w:pPr>
              <w:spacing w:after="0"/>
              <w:rPr>
                <w:sz w:val="10"/>
                <w:szCs w:val="10"/>
                <w:color w:val="auto"/>
              </w:rPr>
            </w:pPr>
          </w:p>
        </w:tc>
        <w:tc>
          <w:tcPr>
            <w:tcW w:w="92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spacing w:after="0"/>
              <w:rPr>
                <w:sz w:val="10"/>
                <w:szCs w:val="10"/>
                <w:color w:val="auto"/>
              </w:rPr>
            </w:pPr>
          </w:p>
        </w:tc>
        <w:tc>
          <w:tcPr>
            <w:tcW w:w="96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spacing w:after="0"/>
              <w:rPr>
                <w:sz w:val="10"/>
                <w:szCs w:val="10"/>
                <w:color w:val="auto"/>
              </w:rPr>
            </w:pPr>
          </w:p>
        </w:tc>
        <w:tc>
          <w:tcPr>
            <w:tcW w:w="92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880" w:type="dxa"/>
            <w:vAlign w:val="bottom"/>
            <w:tcBorders>
              <w:bottom w:val="single" w:sz="8" w:color="61656A"/>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8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Foreign currency exchange contracts</w:t>
            </w:r>
            <w:r>
              <w:rPr>
                <w:rFonts w:ascii="Arial" w:cs="Arial" w:eastAsia="Arial" w:hAnsi="Arial"/>
                <w:sz w:val="6"/>
                <w:szCs w:val="6"/>
                <w:color w:val="auto"/>
              </w:rPr>
              <w:t>3</w:t>
            </w:r>
          </w:p>
        </w:tc>
        <w:tc>
          <w:tcPr>
            <w:tcW w:w="2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8,910</w:t>
            </w:r>
          </w:p>
        </w:tc>
        <w:tc>
          <w:tcPr>
            <w:tcW w:w="32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96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26</w:t>
            </w:r>
          </w:p>
        </w:tc>
        <w:tc>
          <w:tcPr>
            <w:tcW w:w="32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26</w:t>
            </w:r>
          </w:p>
        </w:tc>
        <w:tc>
          <w:tcPr>
            <w:tcW w:w="28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(319)</w:t>
            </w:r>
          </w:p>
        </w:tc>
        <w:tc>
          <w:tcPr>
            <w:tcW w:w="0" w:type="dxa"/>
            <w:vAlign w:val="bottom"/>
          </w:tcPr>
          <w:p>
            <w:pPr>
              <w:spacing w:after="0"/>
              <w:rPr>
                <w:sz w:val="1"/>
                <w:szCs w:val="1"/>
                <w:color w:val="auto"/>
              </w:rPr>
            </w:pPr>
          </w:p>
        </w:tc>
      </w:tr>
      <w:tr>
        <w:trPr>
          <w:trHeight w:val="124"/>
        </w:trPr>
        <w:tc>
          <w:tcPr>
            <w:tcW w:w="42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Cross currency swap agreements</w:t>
            </w:r>
          </w:p>
        </w:tc>
        <w:tc>
          <w:tcPr>
            <w:tcW w:w="242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4,264</w:t>
            </w:r>
          </w:p>
        </w:tc>
        <w:tc>
          <w:tcPr>
            <w:tcW w:w="32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(145)</w:t>
            </w:r>
          </w:p>
        </w:tc>
        <w:tc>
          <w:tcPr>
            <w:tcW w:w="32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(145)</w:t>
            </w:r>
          </w:p>
        </w:tc>
        <w:tc>
          <w:tcPr>
            <w:tcW w:w="280" w:type="dxa"/>
            <w:vAlign w:val="bottom"/>
            <w:tcBorders>
              <w:bottom w:val="single" w:sz="8" w:color="D7282F"/>
            </w:tcBorders>
          </w:tcPr>
          <w:p>
            <w:pPr>
              <w:spacing w:after="0"/>
              <w:rPr>
                <w:sz w:val="10"/>
                <w:szCs w:val="10"/>
                <w:color w:val="auto"/>
              </w:rPr>
            </w:pP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(234)</w:t>
            </w:r>
          </w:p>
        </w:tc>
        <w:tc>
          <w:tcPr>
            <w:tcW w:w="0" w:type="dxa"/>
            <w:vAlign w:val="bottom"/>
          </w:tcPr>
          <w:p>
            <w:pPr>
              <w:spacing w:after="0"/>
              <w:rPr>
                <w:sz w:val="1"/>
                <w:szCs w:val="1"/>
                <w:color w:val="auto"/>
              </w:rPr>
            </w:pPr>
          </w:p>
        </w:tc>
      </w:tr>
      <w:tr>
        <w:trPr>
          <w:trHeight w:val="126"/>
        </w:trPr>
        <w:tc>
          <w:tcPr>
            <w:tcW w:w="42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w:t>
            </w:r>
          </w:p>
        </w:tc>
        <w:tc>
          <w:tcPr>
            <w:tcW w:w="2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13,174</w:t>
            </w:r>
          </w:p>
        </w:tc>
        <w:tc>
          <w:tcPr>
            <w:tcW w:w="3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9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(119)</w:t>
            </w:r>
          </w:p>
        </w:tc>
        <w:tc>
          <w:tcPr>
            <w:tcW w:w="32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(119)</w:t>
            </w:r>
          </w:p>
        </w:tc>
        <w:tc>
          <w:tcPr>
            <w:tcW w:w="2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(553)</w:t>
            </w:r>
          </w:p>
        </w:tc>
        <w:tc>
          <w:tcPr>
            <w:tcW w:w="0" w:type="dxa"/>
            <w:vAlign w:val="bottom"/>
          </w:tcPr>
          <w:p>
            <w:pPr>
              <w:spacing w:after="0"/>
              <w:rPr>
                <w:sz w:val="1"/>
                <w:szCs w:val="1"/>
                <w:color w:val="auto"/>
              </w:rPr>
            </w:pPr>
          </w:p>
        </w:tc>
      </w:tr>
      <w:tr>
        <w:trPr>
          <w:trHeight w:val="124"/>
        </w:trPr>
        <w:tc>
          <w:tcPr>
            <w:tcW w:w="428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December 31, 2022</w:t>
            </w:r>
          </w:p>
        </w:tc>
        <w:tc>
          <w:tcPr>
            <w:tcW w:w="2420" w:type="dxa"/>
            <w:vAlign w:val="bottom"/>
            <w:tcBorders>
              <w:bottom w:val="single" w:sz="8" w:color="61656A"/>
            </w:tcBorders>
          </w:tcPr>
          <w:p>
            <w:pPr>
              <w:spacing w:after="0"/>
              <w:rPr>
                <w:sz w:val="10"/>
                <w:szCs w:val="10"/>
                <w:color w:val="auto"/>
              </w:rPr>
            </w:pPr>
          </w:p>
        </w:tc>
        <w:tc>
          <w:tcPr>
            <w:tcW w:w="92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spacing w:after="0"/>
              <w:rPr>
                <w:sz w:val="10"/>
                <w:szCs w:val="10"/>
                <w:color w:val="auto"/>
              </w:rPr>
            </w:pPr>
          </w:p>
        </w:tc>
        <w:tc>
          <w:tcPr>
            <w:tcW w:w="96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spacing w:after="0"/>
              <w:rPr>
                <w:sz w:val="10"/>
                <w:szCs w:val="10"/>
                <w:color w:val="auto"/>
              </w:rPr>
            </w:pPr>
          </w:p>
        </w:tc>
        <w:tc>
          <w:tcPr>
            <w:tcW w:w="92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880" w:type="dxa"/>
            <w:vAlign w:val="bottom"/>
            <w:tcBorders>
              <w:bottom w:val="single" w:sz="8" w:color="61656A"/>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28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Interest rate sensitive instruments</w:t>
            </w:r>
          </w:p>
        </w:tc>
        <w:tc>
          <w:tcPr>
            <w:tcW w:w="2420" w:type="dxa"/>
            <w:vAlign w:val="bottom"/>
            <w:tcBorders>
              <w:bottom w:val="single" w:sz="8" w:color="61656A"/>
            </w:tcBorders>
          </w:tcPr>
          <w:p>
            <w:pPr>
              <w:spacing w:after="0"/>
              <w:rPr>
                <w:sz w:val="10"/>
                <w:szCs w:val="10"/>
                <w:color w:val="auto"/>
              </w:rPr>
            </w:pPr>
          </w:p>
        </w:tc>
        <w:tc>
          <w:tcPr>
            <w:tcW w:w="92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spacing w:after="0"/>
              <w:rPr>
                <w:sz w:val="10"/>
                <w:szCs w:val="10"/>
                <w:color w:val="auto"/>
              </w:rPr>
            </w:pPr>
          </w:p>
        </w:tc>
        <w:tc>
          <w:tcPr>
            <w:tcW w:w="96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spacing w:after="0"/>
              <w:rPr>
                <w:sz w:val="10"/>
                <w:szCs w:val="10"/>
                <w:color w:val="auto"/>
              </w:rPr>
            </w:pPr>
          </w:p>
        </w:tc>
        <w:tc>
          <w:tcPr>
            <w:tcW w:w="92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880" w:type="dxa"/>
            <w:vAlign w:val="bottom"/>
            <w:tcBorders>
              <w:bottom w:val="single" w:sz="8" w:color="61656A"/>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8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Long-term debt (including current maturities)</w:t>
            </w:r>
          </w:p>
        </w:tc>
        <w:tc>
          <w:tcPr>
            <w:tcW w:w="2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16,853</w:t>
            </w:r>
          </w:p>
        </w:tc>
        <w:tc>
          <w:tcPr>
            <w:tcW w:w="32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9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(16,853)</w:t>
            </w:r>
          </w:p>
        </w:tc>
        <w:tc>
          <w:tcPr>
            <w:tcW w:w="32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(15,856)</w:t>
            </w:r>
          </w:p>
        </w:tc>
        <w:tc>
          <w:tcPr>
            <w:tcW w:w="28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(980)</w:t>
            </w:r>
          </w:p>
        </w:tc>
        <w:tc>
          <w:tcPr>
            <w:tcW w:w="0" w:type="dxa"/>
            <w:vAlign w:val="bottom"/>
          </w:tcPr>
          <w:p>
            <w:pPr>
              <w:spacing w:after="0"/>
              <w:rPr>
                <w:sz w:val="1"/>
                <w:szCs w:val="1"/>
                <w:color w:val="auto"/>
              </w:rPr>
            </w:pPr>
          </w:p>
        </w:tc>
      </w:tr>
      <w:tr>
        <w:trPr>
          <w:trHeight w:val="124"/>
        </w:trPr>
        <w:tc>
          <w:tcPr>
            <w:tcW w:w="42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Interest rate swap agreements</w:t>
            </w:r>
          </w:p>
        </w:tc>
        <w:tc>
          <w:tcPr>
            <w:tcW w:w="242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4,984</w:t>
            </w:r>
          </w:p>
        </w:tc>
        <w:tc>
          <w:tcPr>
            <w:tcW w:w="32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(287)</w:t>
            </w:r>
          </w:p>
        </w:tc>
        <w:tc>
          <w:tcPr>
            <w:tcW w:w="32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(287)</w:t>
            </w:r>
          </w:p>
        </w:tc>
        <w:tc>
          <w:tcPr>
            <w:tcW w:w="280" w:type="dxa"/>
            <w:vAlign w:val="bottom"/>
            <w:tcBorders>
              <w:bottom w:val="single" w:sz="8" w:color="D7282F"/>
            </w:tcBorders>
          </w:tcPr>
          <w:p>
            <w:pPr>
              <w:spacing w:after="0"/>
              <w:rPr>
                <w:sz w:val="10"/>
                <w:szCs w:val="10"/>
                <w:color w:val="auto"/>
              </w:rPr>
            </w:pP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(189)</w:t>
            </w:r>
          </w:p>
        </w:tc>
        <w:tc>
          <w:tcPr>
            <w:tcW w:w="0" w:type="dxa"/>
            <w:vAlign w:val="bottom"/>
          </w:tcPr>
          <w:p>
            <w:pPr>
              <w:spacing w:after="0"/>
              <w:rPr>
                <w:sz w:val="1"/>
                <w:szCs w:val="1"/>
                <w:color w:val="auto"/>
              </w:rPr>
            </w:pPr>
          </w:p>
        </w:tc>
      </w:tr>
      <w:tr>
        <w:trPr>
          <w:trHeight w:val="126"/>
        </w:trPr>
        <w:tc>
          <w:tcPr>
            <w:tcW w:w="42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w:t>
            </w:r>
          </w:p>
        </w:tc>
        <w:tc>
          <w:tcPr>
            <w:tcW w:w="2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21,837</w:t>
            </w:r>
          </w:p>
        </w:tc>
        <w:tc>
          <w:tcPr>
            <w:tcW w:w="3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9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(17,140)</w:t>
            </w:r>
          </w:p>
        </w:tc>
        <w:tc>
          <w:tcPr>
            <w:tcW w:w="32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(16,143)</w:t>
            </w:r>
          </w:p>
        </w:tc>
        <w:tc>
          <w:tcPr>
            <w:tcW w:w="2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(1,169)</w:t>
            </w:r>
          </w:p>
        </w:tc>
        <w:tc>
          <w:tcPr>
            <w:tcW w:w="0" w:type="dxa"/>
            <w:vAlign w:val="bottom"/>
          </w:tcPr>
          <w:p>
            <w:pPr>
              <w:spacing w:after="0"/>
              <w:rPr>
                <w:sz w:val="1"/>
                <w:szCs w:val="1"/>
                <w:color w:val="auto"/>
              </w:rPr>
            </w:pPr>
          </w:p>
        </w:tc>
      </w:tr>
      <w:tr>
        <w:trPr>
          <w:trHeight w:val="124"/>
        </w:trPr>
        <w:tc>
          <w:tcPr>
            <w:tcW w:w="428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Foreign exchange rate sensitive instruments</w:t>
            </w:r>
          </w:p>
        </w:tc>
        <w:tc>
          <w:tcPr>
            <w:tcW w:w="2420" w:type="dxa"/>
            <w:vAlign w:val="bottom"/>
            <w:tcBorders>
              <w:bottom w:val="single" w:sz="8" w:color="61656A"/>
            </w:tcBorders>
          </w:tcPr>
          <w:p>
            <w:pPr>
              <w:spacing w:after="0"/>
              <w:rPr>
                <w:sz w:val="10"/>
                <w:szCs w:val="10"/>
                <w:color w:val="auto"/>
              </w:rPr>
            </w:pPr>
          </w:p>
        </w:tc>
        <w:tc>
          <w:tcPr>
            <w:tcW w:w="92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spacing w:after="0"/>
              <w:rPr>
                <w:sz w:val="10"/>
                <w:szCs w:val="10"/>
                <w:color w:val="auto"/>
              </w:rPr>
            </w:pPr>
          </w:p>
        </w:tc>
        <w:tc>
          <w:tcPr>
            <w:tcW w:w="96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spacing w:after="0"/>
              <w:rPr>
                <w:sz w:val="10"/>
                <w:szCs w:val="10"/>
                <w:color w:val="auto"/>
              </w:rPr>
            </w:pPr>
          </w:p>
        </w:tc>
        <w:tc>
          <w:tcPr>
            <w:tcW w:w="92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880" w:type="dxa"/>
            <w:vAlign w:val="bottom"/>
            <w:tcBorders>
              <w:bottom w:val="single" w:sz="8" w:color="61656A"/>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8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Foreign currency exchange contracts</w:t>
            </w:r>
            <w:r>
              <w:rPr>
                <w:rFonts w:ascii="Arial" w:cs="Arial" w:eastAsia="Arial" w:hAnsi="Arial"/>
                <w:sz w:val="6"/>
                <w:szCs w:val="6"/>
                <w:color w:val="auto"/>
              </w:rPr>
              <w:t>3</w:t>
            </w:r>
          </w:p>
        </w:tc>
        <w:tc>
          <w:tcPr>
            <w:tcW w:w="2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10,545</w:t>
            </w:r>
          </w:p>
        </w:tc>
        <w:tc>
          <w:tcPr>
            <w:tcW w:w="32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96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85</w:t>
            </w:r>
          </w:p>
        </w:tc>
        <w:tc>
          <w:tcPr>
            <w:tcW w:w="32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85</w:t>
            </w:r>
          </w:p>
        </w:tc>
        <w:tc>
          <w:tcPr>
            <w:tcW w:w="28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(305)</w:t>
            </w:r>
          </w:p>
        </w:tc>
        <w:tc>
          <w:tcPr>
            <w:tcW w:w="0" w:type="dxa"/>
            <w:vAlign w:val="bottom"/>
          </w:tcPr>
          <w:p>
            <w:pPr>
              <w:spacing w:after="0"/>
              <w:rPr>
                <w:sz w:val="1"/>
                <w:szCs w:val="1"/>
                <w:color w:val="auto"/>
              </w:rPr>
            </w:pPr>
          </w:p>
        </w:tc>
      </w:tr>
      <w:tr>
        <w:trPr>
          <w:trHeight w:val="124"/>
        </w:trPr>
        <w:tc>
          <w:tcPr>
            <w:tcW w:w="42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Cross currency swap agreements</w:t>
            </w:r>
          </w:p>
        </w:tc>
        <w:tc>
          <w:tcPr>
            <w:tcW w:w="242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3,189</w:t>
            </w:r>
          </w:p>
        </w:tc>
        <w:tc>
          <w:tcPr>
            <w:tcW w:w="32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90</w:t>
            </w:r>
          </w:p>
        </w:tc>
        <w:tc>
          <w:tcPr>
            <w:tcW w:w="32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90</w:t>
            </w:r>
          </w:p>
        </w:tc>
        <w:tc>
          <w:tcPr>
            <w:tcW w:w="280" w:type="dxa"/>
            <w:vAlign w:val="bottom"/>
            <w:tcBorders>
              <w:bottom w:val="single" w:sz="8" w:color="D7282F"/>
            </w:tcBorders>
          </w:tcPr>
          <w:p>
            <w:pPr>
              <w:spacing w:after="0"/>
              <w:rPr>
                <w:sz w:val="10"/>
                <w:szCs w:val="10"/>
                <w:color w:val="auto"/>
              </w:rPr>
            </w:pP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(311)</w:t>
            </w:r>
          </w:p>
        </w:tc>
        <w:tc>
          <w:tcPr>
            <w:tcW w:w="0" w:type="dxa"/>
            <w:vAlign w:val="bottom"/>
          </w:tcPr>
          <w:p>
            <w:pPr>
              <w:spacing w:after="0"/>
              <w:rPr>
                <w:sz w:val="1"/>
                <w:szCs w:val="1"/>
                <w:color w:val="auto"/>
              </w:rPr>
            </w:pPr>
          </w:p>
        </w:tc>
      </w:tr>
      <w:tr>
        <w:trPr>
          <w:trHeight w:val="126"/>
        </w:trPr>
        <w:tc>
          <w:tcPr>
            <w:tcW w:w="42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w:t>
            </w:r>
          </w:p>
        </w:tc>
        <w:tc>
          <w:tcPr>
            <w:tcW w:w="2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13,734</w:t>
            </w:r>
          </w:p>
        </w:tc>
        <w:tc>
          <w:tcPr>
            <w:tcW w:w="3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9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175</w:t>
            </w:r>
          </w:p>
        </w:tc>
        <w:tc>
          <w:tcPr>
            <w:tcW w:w="32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175</w:t>
            </w:r>
          </w:p>
        </w:tc>
        <w:tc>
          <w:tcPr>
            <w:tcW w:w="2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(616)</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428" w:hanging="280"/>
        <w:spacing w:after="0"/>
        <w:tabs>
          <w:tab w:leader="none" w:pos="428" w:val="left"/>
        </w:tabs>
        <w:numPr>
          <w:ilvl w:val="0"/>
          <w:numId w:val="85"/>
        </w:numPr>
        <w:rPr>
          <w:rFonts w:ascii="Arial" w:cs="Arial" w:eastAsia="Arial" w:hAnsi="Arial"/>
          <w:sz w:val="8"/>
          <w:szCs w:val="8"/>
          <w:color w:val="auto"/>
        </w:rPr>
      </w:pPr>
      <w:r>
        <w:rPr>
          <w:rFonts w:ascii="Arial" w:cs="Arial" w:eastAsia="Arial" w:hAnsi="Arial"/>
          <w:sz w:val="8"/>
          <w:szCs w:val="8"/>
          <w:color w:val="auto"/>
        </w:rPr>
        <w:t>Asset or (liability).</w:t>
      </w:r>
    </w:p>
    <w:p>
      <w:pPr>
        <w:spacing w:after="0" w:line="52" w:lineRule="exact"/>
        <w:rPr>
          <w:sz w:val="20"/>
          <w:szCs w:val="20"/>
          <w:color w:val="auto"/>
        </w:rPr>
      </w:pPr>
    </w:p>
    <w:p>
      <w:pPr>
        <w:ind w:left="428" w:right="20" w:hanging="280"/>
        <w:spacing w:after="0" w:line="189" w:lineRule="auto"/>
        <w:tabs>
          <w:tab w:leader="none" w:pos="428" w:val="left"/>
        </w:tabs>
        <w:numPr>
          <w:ilvl w:val="0"/>
          <w:numId w:val="86"/>
        </w:numPr>
        <w:rPr>
          <w:rFonts w:ascii="Arial" w:cs="Arial" w:eastAsia="Arial" w:hAnsi="Arial"/>
          <w:sz w:val="14"/>
          <w:szCs w:val="14"/>
          <w:color w:val="auto"/>
          <w:vertAlign w:val="superscript"/>
        </w:rPr>
      </w:pPr>
      <w:r>
        <w:rPr>
          <w:rFonts w:ascii="Arial" w:cs="Arial" w:eastAsia="Arial" w:hAnsi="Arial"/>
          <w:sz w:val="7"/>
          <w:szCs w:val="7"/>
          <w:color w:val="auto"/>
        </w:rPr>
        <w:t>A potential change in fair value of interest rate sensitive instruments based on a hypothetical immediate one percentage point decrease in interest rates across all maturities and a potential change in fair value of foreign exchange rate sensitive instruments based on a 10% strengthening of the U.S. dollar versus local currency exchange rates across all maturities will result in a change in fair value approximately equal to the inverse of the amount disclosed in the table.</w:t>
      </w:r>
    </w:p>
    <w:p>
      <w:pPr>
        <w:spacing w:after="0" w:line="3" w:lineRule="exact"/>
        <w:rPr>
          <w:sz w:val="20"/>
          <w:szCs w:val="20"/>
          <w:color w:val="auto"/>
        </w:rPr>
      </w:pPr>
    </w:p>
    <w:p>
      <w:pPr>
        <w:ind w:left="428" w:hanging="280"/>
        <w:spacing w:after="0"/>
        <w:tabs>
          <w:tab w:leader="none" w:pos="428" w:val="left"/>
        </w:tabs>
        <w:numPr>
          <w:ilvl w:val="0"/>
          <w:numId w:val="87"/>
        </w:numPr>
        <w:rPr>
          <w:rFonts w:ascii="Arial" w:cs="Arial" w:eastAsia="Arial" w:hAnsi="Arial"/>
          <w:sz w:val="17"/>
          <w:szCs w:val="17"/>
          <w:color w:val="auto"/>
          <w:vertAlign w:val="superscript"/>
        </w:rPr>
      </w:pPr>
      <w:r>
        <w:rPr>
          <w:rFonts w:ascii="Arial" w:cs="Arial" w:eastAsia="Arial" w:hAnsi="Arial"/>
          <w:sz w:val="8"/>
          <w:szCs w:val="8"/>
          <w:color w:val="auto"/>
        </w:rPr>
        <w:t>Changes in the fair value of foreign currency exchange contracts are offset by changes in the fair value, cash flows, or net investments of underlying hedged foreign currency transactions or foreign operations.</w:t>
      </w:r>
    </w:p>
    <w:p>
      <w:pPr>
        <w:spacing w:after="0" w:line="181" w:lineRule="exact"/>
        <w:rPr>
          <w:sz w:val="20"/>
          <w:szCs w:val="20"/>
          <w:color w:val="auto"/>
        </w:rPr>
      </w:pPr>
    </w:p>
    <w:p>
      <w:pPr>
        <w:ind w:left="8"/>
        <w:spacing w:after="0"/>
        <w:rPr>
          <w:sz w:val="20"/>
          <w:szCs w:val="20"/>
          <w:color w:val="auto"/>
        </w:rPr>
      </w:pPr>
      <w:r>
        <w:rPr>
          <w:rFonts w:ascii="Arial" w:cs="Arial" w:eastAsia="Arial" w:hAnsi="Arial"/>
          <w:sz w:val="11"/>
          <w:szCs w:val="11"/>
          <w:color w:val="auto"/>
        </w:rPr>
        <w:t>See Note 11 Derivative Instruments and Hedging Transactions of Notes to Consolidated Financial Statements for further discussion.</w:t>
      </w:r>
    </w:p>
    <w:p>
      <w:pPr>
        <w:spacing w:after="0" w:line="296" w:lineRule="exact"/>
        <w:rPr>
          <w:sz w:val="20"/>
          <w:szCs w:val="20"/>
          <w:color w:val="auto"/>
        </w:rPr>
      </w:pPr>
    </w:p>
    <w:p>
      <w:pPr>
        <w:ind w:left="268" w:hanging="268"/>
        <w:spacing w:after="0"/>
        <w:tabs>
          <w:tab w:leader="none" w:pos="268" w:val="left"/>
        </w:tabs>
        <w:numPr>
          <w:ilvl w:val="0"/>
          <w:numId w:val="88"/>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45" w:name="page46"/>
    <w:bookmarkEnd w:id="45"/>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CRITICAL ACCOUNTING ESTIMATES</w:t>
      </w:r>
    </w:p>
    <w:p>
      <w:pPr>
        <w:spacing w:after="0" w:line="262"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color w:val="auto"/>
        </w:rPr>
        <w:t>The preparation of our consolidated financial statements in accordance with generally accepted accounting principles is based on the selection and application of accounting policies that require us to make significant estimates and assumptions about the effects of matters that are inherently uncertain. Many estimates and assumptions involved in the application of accounting principles have a material impact on reported financial condition and operating performance and on the comparability of such reported information over different reporting periods. Critical accounting estimates or assumptions are those where the nature of the estimates or assumptions is material due to the levels of subjectivity and judgment necessary to account for highly uncertain matters or the susceptibility of such matters to change, and the impact of the estimates and assumptions on financial condition or operating performance is material. We consider the estimates and assumptions discussed below to be critical to the understanding of our financial statements. Actual results could differ from our estimates and assumptions, and any such differences could be material to our consolidated financial statements.</w:t>
      </w:r>
    </w:p>
    <w:p>
      <w:pPr>
        <w:spacing w:after="0" w:line="52" w:lineRule="exact"/>
        <w:rPr>
          <w:sz w:val="20"/>
          <w:szCs w:val="20"/>
          <w:color w:val="auto"/>
        </w:rPr>
      </w:pPr>
    </w:p>
    <w:p>
      <w:pPr>
        <w:jc w:val="both"/>
        <w:ind w:left="8"/>
        <w:spacing w:after="0" w:line="277" w:lineRule="auto"/>
        <w:rPr>
          <w:sz w:val="20"/>
          <w:szCs w:val="20"/>
          <w:color w:val="auto"/>
        </w:rPr>
      </w:pPr>
      <w:r>
        <w:rPr>
          <w:rFonts w:ascii="Arial" w:cs="Arial" w:eastAsia="Arial" w:hAnsi="Arial"/>
          <w:sz w:val="10"/>
          <w:szCs w:val="10"/>
          <w:b w:val="1"/>
          <w:bCs w:val="1"/>
          <w:i w:val="1"/>
          <w:iCs w:val="1"/>
          <w:color w:val="auto"/>
        </w:rPr>
        <w:t>Sales Recognition on Long-Term Contracts</w:t>
      </w:r>
      <w:r>
        <w:rPr>
          <w:rFonts w:ascii="Arial" w:cs="Arial" w:eastAsia="Arial" w:hAnsi="Arial"/>
          <w:sz w:val="10"/>
          <w:szCs w:val="10"/>
          <w:color w:val="auto"/>
        </w:rPr>
        <w:t>—We recognize sales for long-term contracts with performance obligations satisfied over time using either an input or output method. We recognize revenue over time as we perform on</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these contracts based on the continuous transfer of control to the customer. With control transferring over time, revenue is recognized based on the extent of progress towards completion of the performance obligation. We generally use the cost-to-cost input method of progress for our contracts because it best depicts the transfer of control to the customer that occurs as we incur costs. Under the cost-to-cost input method, the extent of progress towards completion is measured based on the proportion of costs incurred to date to the total estimated costs at completion of the performance obligation. Due to the nature of the work required to be performed on many of our performance obligations, the estimation of total revenue and cost at completion requires judgment. Contract revenues are largely determined by negotiated contract prices and quantities, modified by our assumptions regarding contract options, change orders, incentive and award provisions associated with technical performance and price adjustment clauses (such as inflation or index-based clauses). Cost estimates are largely based on negotiated or estimated purchase contract terms, historical performance trends and other economic projections. Significant factors that influence these estimates include inflationary trends, technical and schedule risks, internal and subcontractor performance trends, business volume assumptions, asset utilization, and anticipated labor agreements. Revenue and cost estimates are regularly monitored and revised based on changes in circumstances. Impacts from changes in estimates of net sales and cost of sales are recognized on a cumulative catch-up basis, which recognizes in the current period the cumulative effect of the changes on current and prior periods based on a performance obligation’s percentage of completion. Anticipated losses on long-term contracts are recognized when such losses become evident. We maintain financial controls over the customer qualification, contract pricing, and estimation processes to reduce the risk of contract losses.</w:t>
      </w:r>
    </w:p>
    <w:p>
      <w:pPr>
        <w:spacing w:after="0" w:line="41"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b w:val="1"/>
          <w:bCs w:val="1"/>
          <w:i w:val="1"/>
          <w:iCs w:val="1"/>
          <w:color w:val="auto"/>
        </w:rPr>
        <w:t>Income Taxes</w:t>
      </w:r>
      <w:r>
        <w:rPr>
          <w:rFonts w:ascii="Arial" w:cs="Arial" w:eastAsia="Arial" w:hAnsi="Arial"/>
          <w:sz w:val="11"/>
          <w:szCs w:val="11"/>
          <w:color w:val="auto"/>
        </w:rPr>
        <w:t>—On a recurring basis, we assess the need for a valuation allowance against our deferred tax assets by considering all available positive and negative evidence, such as past operating results, projections of future taxable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income, enacted tax law changes, and the feasibility and impact of tax planning initiatives. Our projections of future taxable income include a number of estimates and assumptions regarding our volume, pricing and costs, as well as the timing and amount of reversals of taxable temporary differences.</w:t>
      </w:r>
    </w:p>
    <w:p>
      <w:pPr>
        <w:spacing w:after="0" w:line="45"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We recognize tax benefits from uncertain tax positions only if it is more likely than not that the tax position will be sustained on examination by the taxing authorities, including resolution of any related appeals and litigation. We assess our income tax positions based upon our evaluation of the facts, circumstances, and information available at the reporting date. The tax benefits recognized in the financial statements from such positions are then measured based on the largest benefit that has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w:t>
      </w:r>
    </w:p>
    <w:p>
      <w:pPr>
        <w:spacing w:after="0" w:line="59" w:lineRule="exact"/>
        <w:rPr>
          <w:sz w:val="20"/>
          <w:szCs w:val="20"/>
          <w:color w:val="auto"/>
        </w:rPr>
      </w:pPr>
    </w:p>
    <w:p>
      <w:pPr>
        <w:ind w:left="8"/>
        <w:spacing w:after="0"/>
        <w:rPr>
          <w:sz w:val="20"/>
          <w:szCs w:val="20"/>
          <w:color w:val="auto"/>
        </w:rPr>
      </w:pPr>
      <w:r>
        <w:rPr>
          <w:rFonts w:ascii="Arial" w:cs="Arial" w:eastAsia="Arial" w:hAnsi="Arial"/>
          <w:sz w:val="11"/>
          <w:szCs w:val="11"/>
          <w:color w:val="auto"/>
        </w:rPr>
        <w:t>See Note 1 Summary of Significant Accounting Policies of Notes to Consolidated Financial Statements for further discussion of additional income tax policies.</w:t>
      </w:r>
    </w:p>
    <w:p>
      <w:pPr>
        <w:spacing w:after="0" w:line="296" w:lineRule="exact"/>
        <w:rPr>
          <w:sz w:val="20"/>
          <w:szCs w:val="20"/>
          <w:color w:val="auto"/>
        </w:rPr>
      </w:pPr>
    </w:p>
    <w:p>
      <w:pPr>
        <w:ind w:left="268" w:hanging="268"/>
        <w:spacing w:after="0"/>
        <w:tabs>
          <w:tab w:leader="none" w:pos="268" w:val="left"/>
        </w:tabs>
        <w:numPr>
          <w:ilvl w:val="0"/>
          <w:numId w:val="89"/>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46" w:name="page47"/>
    <w:bookmarkEnd w:id="46"/>
    <w:p>
      <w:pPr>
        <w:ind w:left="8"/>
        <w:spacing w:after="0"/>
        <w:tabs>
          <w:tab w:leader="none" w:pos="978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CRITICAL ACCOUNTING ESTIMATES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b w:val="1"/>
          <w:bCs w:val="1"/>
          <w:i w:val="1"/>
          <w:iCs w:val="1"/>
          <w:color w:val="auto"/>
        </w:rPr>
        <w:t>Goodwill and Indefinite-Lived Intangible Assets Impairment Testing</w:t>
      </w:r>
      <w:r>
        <w:rPr>
          <w:rFonts w:ascii="Arial" w:cs="Arial" w:eastAsia="Arial" w:hAnsi="Arial"/>
          <w:sz w:val="11"/>
          <w:szCs w:val="11"/>
          <w:color w:val="auto"/>
        </w:rPr>
        <w:t>—Goodwill and intangible assets deemed to have indefinite lives are not amortized, but are subject to annual, or more frequent if necessary, impairment testing. In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testing goodwill and indefinite-lived intangible assets, the fair value is estimated utilizing a discounted cash flow approach, including strategic and annual operating plans, adjusted for terminal value assumptions. These impairment tests involve the use of accounting estimates and assumptions, and changes to those assumptions could materially impact our financial condition or operating performance if actual results differ from such estimates and assumptions. To address this uncertainty, we perform sensitivity analyses on key estimates and assumptions. Once the fair value is determined, if the carrying amount exceeds the fair value, it is impaired. Any impairment is measured as the difference between the carrying amount and its fair value.</w:t>
      </w:r>
    </w:p>
    <w:p>
      <w:pPr>
        <w:spacing w:after="0" w:line="51"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b w:val="1"/>
          <w:bCs w:val="1"/>
          <w:i w:val="1"/>
          <w:iCs w:val="1"/>
          <w:color w:val="auto"/>
        </w:rPr>
        <w:t>Definite-Lived Intangible Assets</w:t>
      </w:r>
      <w:r>
        <w:rPr>
          <w:rFonts w:ascii="Arial" w:cs="Arial" w:eastAsia="Arial" w:hAnsi="Arial"/>
          <w:sz w:val="11"/>
          <w:szCs w:val="11"/>
          <w:color w:val="auto"/>
        </w:rPr>
        <w:t>—The determination of useful lives (for depreciation/amortization purposes) and whether or not intangible assets are impaired involves the use of accounting estimates and assumptions, and changes to</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those assumptions could materially impact our financial condition or operating performance if actual results differ from such estimates and assumptions. We evaluate the recoverability of the carrying amount of our definite-lived intangible assets whenever events or changes in circumstances indicate that the carrying amount of a definite-lived intangible asset group may not be fully recoverable. The principal factors in considering when to perform an impairment review are as follows:</w:t>
      </w:r>
    </w:p>
    <w:p>
      <w:pPr>
        <w:spacing w:after="0" w:line="59" w:lineRule="exact"/>
        <w:rPr>
          <w:sz w:val="20"/>
          <w:szCs w:val="20"/>
          <w:color w:val="auto"/>
        </w:rPr>
      </w:pPr>
    </w:p>
    <w:p>
      <w:pPr>
        <w:ind w:left="128" w:hanging="128"/>
        <w:spacing w:after="0"/>
        <w:tabs>
          <w:tab w:leader="none" w:pos="128" w:val="left"/>
        </w:tabs>
        <w:numPr>
          <w:ilvl w:val="0"/>
          <w:numId w:val="90"/>
        </w:numPr>
        <w:rPr>
          <w:rFonts w:ascii="Arial" w:cs="Arial" w:eastAsia="Arial" w:hAnsi="Arial"/>
          <w:sz w:val="11"/>
          <w:szCs w:val="11"/>
          <w:color w:val="D7282F"/>
        </w:rPr>
      </w:pPr>
      <w:r>
        <w:rPr>
          <w:rFonts w:ascii="Arial" w:cs="Arial" w:eastAsia="Arial" w:hAnsi="Arial"/>
          <w:sz w:val="11"/>
          <w:szCs w:val="11"/>
          <w:color w:val="auto"/>
        </w:rPr>
        <w:t>Significant under-performance (i.e., declines in sales, earnings, or cash flows) of a business or product line in relation to expectations;</w:t>
      </w:r>
    </w:p>
    <w:p>
      <w:pPr>
        <w:spacing w:after="0" w:line="44" w:lineRule="exact"/>
        <w:rPr>
          <w:rFonts w:ascii="Arial" w:cs="Arial" w:eastAsia="Arial" w:hAnsi="Arial"/>
          <w:sz w:val="11"/>
          <w:szCs w:val="11"/>
          <w:color w:val="D7282F"/>
        </w:rPr>
      </w:pPr>
    </w:p>
    <w:p>
      <w:pPr>
        <w:ind w:left="128" w:hanging="128"/>
        <w:spacing w:after="0"/>
        <w:tabs>
          <w:tab w:leader="none" w:pos="128" w:val="left"/>
        </w:tabs>
        <w:numPr>
          <w:ilvl w:val="0"/>
          <w:numId w:val="90"/>
        </w:numPr>
        <w:rPr>
          <w:rFonts w:ascii="Arial" w:cs="Arial" w:eastAsia="Arial" w:hAnsi="Arial"/>
          <w:sz w:val="11"/>
          <w:szCs w:val="11"/>
          <w:color w:val="D7282F"/>
        </w:rPr>
      </w:pPr>
      <w:r>
        <w:rPr>
          <w:rFonts w:ascii="Arial" w:cs="Arial" w:eastAsia="Arial" w:hAnsi="Arial"/>
          <w:sz w:val="11"/>
          <w:szCs w:val="11"/>
          <w:color w:val="auto"/>
        </w:rPr>
        <w:t>Annual operating plans or strategic plan outlook that indicates an unfavorable trend in operating performance of a business or product line;</w:t>
      </w:r>
    </w:p>
    <w:p>
      <w:pPr>
        <w:spacing w:after="0" w:line="53" w:lineRule="exact"/>
        <w:rPr>
          <w:rFonts w:ascii="Arial" w:cs="Arial" w:eastAsia="Arial" w:hAnsi="Arial"/>
          <w:sz w:val="11"/>
          <w:szCs w:val="11"/>
          <w:color w:val="D7282F"/>
        </w:rPr>
      </w:pPr>
    </w:p>
    <w:p>
      <w:pPr>
        <w:ind w:left="128" w:hanging="128"/>
        <w:spacing w:after="0"/>
        <w:tabs>
          <w:tab w:leader="none" w:pos="128" w:val="left"/>
        </w:tabs>
        <w:numPr>
          <w:ilvl w:val="0"/>
          <w:numId w:val="90"/>
        </w:numPr>
        <w:rPr>
          <w:rFonts w:ascii="Arial" w:cs="Arial" w:eastAsia="Arial" w:hAnsi="Arial"/>
          <w:sz w:val="11"/>
          <w:szCs w:val="11"/>
          <w:color w:val="D7282F"/>
        </w:rPr>
      </w:pPr>
      <w:r>
        <w:rPr>
          <w:rFonts w:ascii="Arial" w:cs="Arial" w:eastAsia="Arial" w:hAnsi="Arial"/>
          <w:sz w:val="11"/>
          <w:szCs w:val="11"/>
          <w:color w:val="auto"/>
        </w:rPr>
        <w:t>Significant negative industry or economic trends; or</w:t>
      </w:r>
    </w:p>
    <w:p>
      <w:pPr>
        <w:spacing w:after="0" w:line="53" w:lineRule="exact"/>
        <w:rPr>
          <w:rFonts w:ascii="Arial" w:cs="Arial" w:eastAsia="Arial" w:hAnsi="Arial"/>
          <w:sz w:val="11"/>
          <w:szCs w:val="11"/>
          <w:color w:val="D7282F"/>
        </w:rPr>
      </w:pPr>
    </w:p>
    <w:p>
      <w:pPr>
        <w:ind w:left="128" w:hanging="128"/>
        <w:spacing w:after="0"/>
        <w:tabs>
          <w:tab w:leader="none" w:pos="128" w:val="left"/>
        </w:tabs>
        <w:numPr>
          <w:ilvl w:val="0"/>
          <w:numId w:val="90"/>
        </w:numPr>
        <w:rPr>
          <w:rFonts w:ascii="Arial" w:cs="Arial" w:eastAsia="Arial" w:hAnsi="Arial"/>
          <w:sz w:val="11"/>
          <w:szCs w:val="11"/>
          <w:color w:val="D7282F"/>
        </w:rPr>
      </w:pPr>
      <w:r>
        <w:rPr>
          <w:rFonts w:ascii="Arial" w:cs="Arial" w:eastAsia="Arial" w:hAnsi="Arial"/>
          <w:sz w:val="11"/>
          <w:szCs w:val="11"/>
          <w:color w:val="auto"/>
        </w:rPr>
        <w:t>Significant changes or planned changes in our use of the assets.</w:t>
      </w:r>
    </w:p>
    <w:p>
      <w:pPr>
        <w:spacing w:after="0" w:line="72"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color w:val="auto"/>
        </w:rPr>
        <w:t>Once it is determined that an impairment review is necessary, recoverability of assets is measured by comparing the carrying amount of the asset grouping to the estimated future undiscounted cash flows. If the carrying amount exceeds the estimated future undiscounted cash flows, the asset grouping is considered to be impaired. The impairment is then measured as the difference between the carrying amount of the asset grouping and its fair value. We endeavor to utilize the best information available to measure fair value, which is usually either market prices (if available), level 1 or level 2 of the fair value hierarchy, or an estimate of the future discounted cash flows, level 3 of the fair value hierarchy. The key estimates in our discounted cash flow analysis include assumptions as to expected industry and business growth rates, sales volume, selling prices and costs, cash flows, and the discount rate selected. These estimates are subject to changes in the economic environment, including market interest rates and expected volatility. Management believes the estimates of future cash flows and fair values are reasonable; however, changes in estimates due to variances from assumptions could materially affect the valuations.</w:t>
      </w:r>
    </w:p>
    <w:p>
      <w:pPr>
        <w:spacing w:after="0" w:line="52" w:lineRule="exact"/>
        <w:rPr>
          <w:sz w:val="20"/>
          <w:szCs w:val="20"/>
          <w:color w:val="auto"/>
        </w:rPr>
      </w:pPr>
    </w:p>
    <w:p>
      <w:pPr>
        <w:jc w:val="both"/>
        <w:ind w:left="8"/>
        <w:spacing w:after="0" w:line="260" w:lineRule="auto"/>
        <w:rPr>
          <w:sz w:val="20"/>
          <w:szCs w:val="20"/>
          <w:color w:val="auto"/>
        </w:rPr>
      </w:pPr>
      <w:r>
        <w:rPr>
          <w:rFonts w:ascii="Arial" w:cs="Arial" w:eastAsia="Arial" w:hAnsi="Arial"/>
          <w:sz w:val="11"/>
          <w:szCs w:val="11"/>
          <w:b w:val="1"/>
          <w:bCs w:val="1"/>
          <w:i w:val="1"/>
          <w:iCs w:val="1"/>
          <w:color w:val="auto"/>
        </w:rPr>
        <w:t>Defined Benefit Pension Plans</w:t>
      </w:r>
      <w:r>
        <w:rPr>
          <w:rFonts w:ascii="Arial" w:cs="Arial" w:eastAsia="Arial" w:hAnsi="Arial"/>
          <w:sz w:val="11"/>
          <w:szCs w:val="11"/>
          <w:color w:val="auto"/>
        </w:rPr>
        <w:t>—We sponsor both funded and unfunded U.S. and non-U.S. defined benefit pension plans. For financial reporting purposes, net periodic pension (income) expense is calculated annually based upon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various actuarial assumptions, including a discount rate for plan obligations and an expected long-term rate of return on plan assets. Changes in the discount rate and expected long-term rate of return on plan assets could materially affect the annual pension (income) expense amount. Annual pension (income) expense is comprised of service and interest cost, assumed return on plan assets, prior service amortization (Pension ongoing (income) expense), and a potential mark-to-market adjustment (MTM Adjustment).</w:t>
      </w:r>
    </w:p>
    <w:p>
      <w:pPr>
        <w:spacing w:after="0" w:line="46"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key assumptions used in developing our net periodic pension (income) expense for our U.S. plans included the following:</w:t>
      </w:r>
    </w:p>
    <w:p>
      <w:pPr>
        <w:spacing w:after="0" w:line="100"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5600" w:type="dxa"/>
            <w:vAlign w:val="bottom"/>
            <w:tcBorders>
              <w:bottom w:val="single" w:sz="8" w:color="D7282F"/>
            </w:tcBorders>
          </w:tcPr>
          <w:p>
            <w:pPr>
              <w:spacing w:after="0"/>
              <w:rPr>
                <w:sz w:val="11"/>
                <w:szCs w:val="11"/>
                <w:color w:val="auto"/>
              </w:rPr>
            </w:pPr>
          </w:p>
        </w:tc>
        <w:tc>
          <w:tcPr>
            <w:tcW w:w="3840" w:type="dxa"/>
            <w:vAlign w:val="bottom"/>
            <w:tcBorders>
              <w:bottom w:val="single" w:sz="8" w:color="D7282F"/>
            </w:tcBorders>
          </w:tcPr>
          <w:p>
            <w:pPr>
              <w:jc w:val="right"/>
              <w:ind w:right="512"/>
              <w:spacing w:after="0"/>
              <w:rPr>
                <w:sz w:val="20"/>
                <w:szCs w:val="20"/>
                <w:color w:val="auto"/>
              </w:rPr>
            </w:pPr>
            <w:r>
              <w:rPr>
                <w:rFonts w:ascii="Arial" w:cs="Arial" w:eastAsia="Arial" w:hAnsi="Arial"/>
                <w:sz w:val="10"/>
                <w:szCs w:val="10"/>
                <w:b w:val="1"/>
                <w:bCs w:val="1"/>
                <w:color w:val="auto"/>
              </w:rPr>
              <w:t>2023</w:t>
            </w:r>
          </w:p>
        </w:tc>
        <w:tc>
          <w:tcPr>
            <w:tcW w:w="1060" w:type="dxa"/>
            <w:vAlign w:val="bottom"/>
            <w:tcBorders>
              <w:bottom w:val="single" w:sz="8" w:color="D7282F"/>
            </w:tcBorders>
          </w:tcPr>
          <w:p>
            <w:pPr>
              <w:jc w:val="right"/>
              <w:ind w:right="512"/>
              <w:spacing w:after="0"/>
              <w:rPr>
                <w:sz w:val="20"/>
                <w:szCs w:val="20"/>
                <w:color w:val="auto"/>
              </w:rPr>
            </w:pPr>
            <w:r>
              <w:rPr>
                <w:rFonts w:ascii="Arial" w:cs="Arial" w:eastAsia="Arial" w:hAnsi="Arial"/>
                <w:sz w:val="10"/>
                <w:szCs w:val="10"/>
                <w:b w:val="1"/>
                <w:bCs w:val="1"/>
                <w:color w:val="auto"/>
              </w:rPr>
              <w:t>2022</w:t>
            </w:r>
          </w:p>
        </w:tc>
        <w:tc>
          <w:tcPr>
            <w:tcW w:w="80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rPr>
              <w:t>2021</w:t>
            </w:r>
          </w:p>
        </w:tc>
      </w:tr>
      <w:tr>
        <w:trPr>
          <w:trHeight w:val="122"/>
        </w:trPr>
        <w:tc>
          <w:tcPr>
            <w:tcW w:w="56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Discount rate</w:t>
            </w:r>
          </w:p>
        </w:tc>
        <w:tc>
          <w:tcPr>
            <w:tcW w:w="3840" w:type="dxa"/>
            <w:vAlign w:val="bottom"/>
            <w:tcBorders>
              <w:bottom w:val="single" w:sz="8" w:color="61656A"/>
            </w:tcBorders>
          </w:tcPr>
          <w:p>
            <w:pPr>
              <w:spacing w:after="0"/>
              <w:rPr>
                <w:sz w:val="10"/>
                <w:szCs w:val="10"/>
                <w:color w:val="auto"/>
              </w:rPr>
            </w:pPr>
          </w:p>
        </w:tc>
        <w:tc>
          <w:tcPr>
            <w:tcW w:w="1060" w:type="dxa"/>
            <w:vAlign w:val="bottom"/>
            <w:tcBorders>
              <w:bottom w:val="single" w:sz="8" w:color="61656A"/>
            </w:tcBorders>
          </w:tcPr>
          <w:p>
            <w:pPr>
              <w:spacing w:after="0"/>
              <w:rPr>
                <w:sz w:val="10"/>
                <w:szCs w:val="10"/>
                <w:color w:val="auto"/>
              </w:rPr>
            </w:pPr>
          </w:p>
        </w:tc>
        <w:tc>
          <w:tcPr>
            <w:tcW w:w="800" w:type="dxa"/>
            <w:vAlign w:val="bottom"/>
            <w:tcBorders>
              <w:bottom w:val="single" w:sz="8" w:color="61656A"/>
            </w:tcBorders>
          </w:tcPr>
          <w:p>
            <w:pPr>
              <w:spacing w:after="0"/>
              <w:rPr>
                <w:sz w:val="10"/>
                <w:szCs w:val="10"/>
                <w:color w:val="auto"/>
              </w:rPr>
            </w:pPr>
          </w:p>
        </w:tc>
      </w:tr>
      <w:tr>
        <w:trPr>
          <w:trHeight w:val="124"/>
        </w:trPr>
        <w:tc>
          <w:tcPr>
            <w:tcW w:w="56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Projected benefit obligation</w:t>
            </w:r>
          </w:p>
        </w:tc>
        <w:tc>
          <w:tcPr>
            <w:tcW w:w="3840" w:type="dxa"/>
            <w:vAlign w:val="bottom"/>
            <w:tcBorders>
              <w:bottom w:val="single" w:sz="8" w:color="61656A"/>
            </w:tcBorders>
          </w:tcPr>
          <w:p>
            <w:pPr>
              <w:jc w:val="right"/>
              <w:ind w:right="212"/>
              <w:spacing w:after="0"/>
              <w:rPr>
                <w:sz w:val="20"/>
                <w:szCs w:val="20"/>
                <w:color w:val="auto"/>
              </w:rPr>
            </w:pPr>
            <w:r>
              <w:rPr>
                <w:rFonts w:ascii="Arial" w:cs="Arial" w:eastAsia="Arial" w:hAnsi="Arial"/>
                <w:sz w:val="10"/>
                <w:szCs w:val="10"/>
                <w:color w:val="auto"/>
              </w:rPr>
              <w:t>5.17 %</w:t>
            </w:r>
          </w:p>
        </w:tc>
        <w:tc>
          <w:tcPr>
            <w:tcW w:w="1060" w:type="dxa"/>
            <w:vAlign w:val="bottom"/>
            <w:tcBorders>
              <w:bottom w:val="single" w:sz="8" w:color="61656A"/>
            </w:tcBorders>
          </w:tcPr>
          <w:p>
            <w:pPr>
              <w:jc w:val="right"/>
              <w:ind w:right="212"/>
              <w:spacing w:after="0"/>
              <w:rPr>
                <w:sz w:val="20"/>
                <w:szCs w:val="20"/>
                <w:color w:val="auto"/>
              </w:rPr>
            </w:pPr>
            <w:r>
              <w:rPr>
                <w:rFonts w:ascii="Arial" w:cs="Arial" w:eastAsia="Arial" w:hAnsi="Arial"/>
                <w:sz w:val="10"/>
                <w:szCs w:val="10"/>
                <w:color w:val="auto"/>
              </w:rPr>
              <w:t>2.87 %</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2.50 %</w:t>
            </w:r>
          </w:p>
        </w:tc>
      </w:tr>
      <w:tr>
        <w:trPr>
          <w:trHeight w:val="124"/>
        </w:trPr>
        <w:tc>
          <w:tcPr>
            <w:tcW w:w="56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Service cost</w:t>
            </w:r>
          </w:p>
        </w:tc>
        <w:tc>
          <w:tcPr>
            <w:tcW w:w="3840" w:type="dxa"/>
            <w:vAlign w:val="bottom"/>
            <w:tcBorders>
              <w:bottom w:val="single" w:sz="8" w:color="61656A"/>
            </w:tcBorders>
          </w:tcPr>
          <w:p>
            <w:pPr>
              <w:jc w:val="right"/>
              <w:ind w:right="212"/>
              <w:spacing w:after="0"/>
              <w:rPr>
                <w:sz w:val="20"/>
                <w:szCs w:val="20"/>
                <w:color w:val="auto"/>
              </w:rPr>
            </w:pPr>
            <w:r>
              <w:rPr>
                <w:rFonts w:ascii="Arial" w:cs="Arial" w:eastAsia="Arial" w:hAnsi="Arial"/>
                <w:sz w:val="10"/>
                <w:szCs w:val="10"/>
                <w:color w:val="auto"/>
              </w:rPr>
              <w:t>5.26 %</w:t>
            </w:r>
          </w:p>
        </w:tc>
        <w:tc>
          <w:tcPr>
            <w:tcW w:w="1060" w:type="dxa"/>
            <w:vAlign w:val="bottom"/>
            <w:tcBorders>
              <w:bottom w:val="single" w:sz="8" w:color="61656A"/>
            </w:tcBorders>
          </w:tcPr>
          <w:p>
            <w:pPr>
              <w:jc w:val="right"/>
              <w:ind w:right="212"/>
              <w:spacing w:after="0"/>
              <w:rPr>
                <w:sz w:val="20"/>
                <w:szCs w:val="20"/>
                <w:color w:val="auto"/>
              </w:rPr>
            </w:pPr>
            <w:r>
              <w:rPr>
                <w:rFonts w:ascii="Arial" w:cs="Arial" w:eastAsia="Arial" w:hAnsi="Arial"/>
                <w:sz w:val="10"/>
                <w:szCs w:val="10"/>
                <w:color w:val="auto"/>
              </w:rPr>
              <w:t>2.98 %</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2.68 %</w:t>
            </w:r>
          </w:p>
        </w:tc>
      </w:tr>
      <w:tr>
        <w:trPr>
          <w:trHeight w:val="124"/>
        </w:trPr>
        <w:tc>
          <w:tcPr>
            <w:tcW w:w="56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Interest cost</w:t>
            </w:r>
          </w:p>
        </w:tc>
        <w:tc>
          <w:tcPr>
            <w:tcW w:w="3840" w:type="dxa"/>
            <w:vAlign w:val="bottom"/>
            <w:tcBorders>
              <w:bottom w:val="single" w:sz="8" w:color="61656A"/>
            </w:tcBorders>
          </w:tcPr>
          <w:p>
            <w:pPr>
              <w:jc w:val="right"/>
              <w:ind w:right="212"/>
              <w:spacing w:after="0"/>
              <w:rPr>
                <w:sz w:val="20"/>
                <w:szCs w:val="20"/>
                <w:color w:val="auto"/>
              </w:rPr>
            </w:pPr>
            <w:r>
              <w:rPr>
                <w:rFonts w:ascii="Arial" w:cs="Arial" w:eastAsia="Arial" w:hAnsi="Arial"/>
                <w:sz w:val="10"/>
                <w:szCs w:val="10"/>
                <w:color w:val="auto"/>
              </w:rPr>
              <w:t>5.07 %</w:t>
            </w:r>
          </w:p>
        </w:tc>
        <w:tc>
          <w:tcPr>
            <w:tcW w:w="1060" w:type="dxa"/>
            <w:vAlign w:val="bottom"/>
            <w:tcBorders>
              <w:bottom w:val="single" w:sz="8" w:color="61656A"/>
            </w:tcBorders>
          </w:tcPr>
          <w:p>
            <w:pPr>
              <w:jc w:val="right"/>
              <w:ind w:right="212"/>
              <w:spacing w:after="0"/>
              <w:rPr>
                <w:sz w:val="20"/>
                <w:szCs w:val="20"/>
                <w:color w:val="auto"/>
              </w:rPr>
            </w:pPr>
            <w:r>
              <w:rPr>
                <w:rFonts w:ascii="Arial" w:cs="Arial" w:eastAsia="Arial" w:hAnsi="Arial"/>
                <w:sz w:val="10"/>
                <w:szCs w:val="10"/>
                <w:color w:val="auto"/>
              </w:rPr>
              <w:t>2.26 %</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1.76 %</w:t>
            </w:r>
          </w:p>
        </w:tc>
      </w:tr>
      <w:tr>
        <w:trPr>
          <w:trHeight w:val="124"/>
        </w:trPr>
        <w:tc>
          <w:tcPr>
            <w:tcW w:w="56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Assets</w:t>
            </w:r>
          </w:p>
        </w:tc>
        <w:tc>
          <w:tcPr>
            <w:tcW w:w="3840" w:type="dxa"/>
            <w:vAlign w:val="bottom"/>
            <w:tcBorders>
              <w:bottom w:val="single" w:sz="8" w:color="61656A"/>
            </w:tcBorders>
          </w:tcPr>
          <w:p>
            <w:pPr>
              <w:spacing w:after="0"/>
              <w:rPr>
                <w:sz w:val="10"/>
                <w:szCs w:val="10"/>
                <w:color w:val="auto"/>
              </w:rPr>
            </w:pPr>
          </w:p>
        </w:tc>
        <w:tc>
          <w:tcPr>
            <w:tcW w:w="1060" w:type="dxa"/>
            <w:vAlign w:val="bottom"/>
            <w:tcBorders>
              <w:bottom w:val="single" w:sz="8" w:color="61656A"/>
            </w:tcBorders>
          </w:tcPr>
          <w:p>
            <w:pPr>
              <w:spacing w:after="0"/>
              <w:rPr>
                <w:sz w:val="10"/>
                <w:szCs w:val="10"/>
                <w:color w:val="auto"/>
              </w:rPr>
            </w:pPr>
          </w:p>
        </w:tc>
        <w:tc>
          <w:tcPr>
            <w:tcW w:w="800" w:type="dxa"/>
            <w:vAlign w:val="bottom"/>
            <w:tcBorders>
              <w:bottom w:val="single" w:sz="8" w:color="61656A"/>
            </w:tcBorders>
          </w:tcPr>
          <w:p>
            <w:pPr>
              <w:spacing w:after="0"/>
              <w:rPr>
                <w:sz w:val="10"/>
                <w:szCs w:val="10"/>
                <w:color w:val="auto"/>
              </w:rPr>
            </w:pPr>
          </w:p>
        </w:tc>
      </w:tr>
      <w:tr>
        <w:trPr>
          <w:trHeight w:val="124"/>
        </w:trPr>
        <w:tc>
          <w:tcPr>
            <w:tcW w:w="56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Expected rate of return</w:t>
            </w:r>
          </w:p>
        </w:tc>
        <w:tc>
          <w:tcPr>
            <w:tcW w:w="3840" w:type="dxa"/>
            <w:vAlign w:val="bottom"/>
            <w:tcBorders>
              <w:bottom w:val="single" w:sz="8" w:color="61656A"/>
            </w:tcBorders>
          </w:tcPr>
          <w:p>
            <w:pPr>
              <w:jc w:val="right"/>
              <w:ind w:right="212"/>
              <w:spacing w:after="0"/>
              <w:rPr>
                <w:sz w:val="20"/>
                <w:szCs w:val="20"/>
                <w:color w:val="auto"/>
              </w:rPr>
            </w:pPr>
            <w:r>
              <w:rPr>
                <w:rFonts w:ascii="Arial" w:cs="Arial" w:eastAsia="Arial" w:hAnsi="Arial"/>
                <w:sz w:val="10"/>
                <w:szCs w:val="10"/>
                <w:color w:val="auto"/>
              </w:rPr>
              <w:t>6.75 %</w:t>
            </w:r>
          </w:p>
        </w:tc>
        <w:tc>
          <w:tcPr>
            <w:tcW w:w="1060" w:type="dxa"/>
            <w:vAlign w:val="bottom"/>
            <w:tcBorders>
              <w:bottom w:val="single" w:sz="8" w:color="61656A"/>
            </w:tcBorders>
          </w:tcPr>
          <w:p>
            <w:pPr>
              <w:jc w:val="right"/>
              <w:ind w:right="212"/>
              <w:spacing w:after="0"/>
              <w:rPr>
                <w:sz w:val="20"/>
                <w:szCs w:val="20"/>
                <w:color w:val="auto"/>
              </w:rPr>
            </w:pPr>
            <w:r>
              <w:rPr>
                <w:rFonts w:ascii="Arial" w:cs="Arial" w:eastAsia="Arial" w:hAnsi="Arial"/>
                <w:sz w:val="10"/>
                <w:szCs w:val="10"/>
                <w:color w:val="auto"/>
              </w:rPr>
              <w:t>6.40 %</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6.15 %</w:t>
            </w:r>
          </w:p>
        </w:tc>
      </w:tr>
      <w:tr>
        <w:trPr>
          <w:trHeight w:val="124"/>
        </w:trPr>
        <w:tc>
          <w:tcPr>
            <w:tcW w:w="56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Actual rate of return</w:t>
            </w:r>
          </w:p>
        </w:tc>
        <w:tc>
          <w:tcPr>
            <w:tcW w:w="3840" w:type="dxa"/>
            <w:vAlign w:val="bottom"/>
            <w:tcBorders>
              <w:bottom w:val="single" w:sz="8" w:color="61656A"/>
            </w:tcBorders>
          </w:tcPr>
          <w:p>
            <w:pPr>
              <w:jc w:val="right"/>
              <w:ind w:right="212"/>
              <w:spacing w:after="0"/>
              <w:rPr>
                <w:sz w:val="20"/>
                <w:szCs w:val="20"/>
                <w:color w:val="auto"/>
              </w:rPr>
            </w:pPr>
            <w:r>
              <w:rPr>
                <w:rFonts w:ascii="Arial" w:cs="Arial" w:eastAsia="Arial" w:hAnsi="Arial"/>
                <w:sz w:val="10"/>
                <w:szCs w:val="10"/>
                <w:color w:val="auto"/>
              </w:rPr>
              <w:t>7.09 %</w:t>
            </w:r>
          </w:p>
        </w:tc>
        <w:tc>
          <w:tcPr>
            <w:tcW w:w="1060" w:type="dxa"/>
            <w:vAlign w:val="bottom"/>
            <w:tcBorders>
              <w:bottom w:val="single" w:sz="8" w:color="61656A"/>
            </w:tcBorders>
          </w:tcPr>
          <w:p>
            <w:pPr>
              <w:jc w:val="right"/>
              <w:ind w:right="212"/>
              <w:spacing w:after="0"/>
              <w:rPr>
                <w:sz w:val="20"/>
                <w:szCs w:val="20"/>
                <w:color w:val="auto"/>
              </w:rPr>
            </w:pPr>
            <w:r>
              <w:rPr>
                <w:rFonts w:ascii="Arial" w:cs="Arial" w:eastAsia="Arial" w:hAnsi="Arial"/>
                <w:sz w:val="10"/>
                <w:szCs w:val="10"/>
                <w:color w:val="auto"/>
              </w:rPr>
              <w:t>(10.45)%</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6.84 %</w:t>
            </w:r>
          </w:p>
        </w:tc>
      </w:tr>
      <w:tr>
        <w:trPr>
          <w:trHeight w:val="124"/>
        </w:trPr>
        <w:tc>
          <w:tcPr>
            <w:tcW w:w="560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Actual 10 year average annual compounded rate of return</w:t>
            </w:r>
          </w:p>
        </w:tc>
        <w:tc>
          <w:tcPr>
            <w:tcW w:w="384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color w:val="auto"/>
              </w:rPr>
              <w:t>7.26 %</w:t>
            </w:r>
          </w:p>
        </w:tc>
        <w:tc>
          <w:tcPr>
            <w:tcW w:w="106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color w:val="auto"/>
              </w:rPr>
              <w:t>8.77 %</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11.37 %</w:t>
            </w:r>
          </w:p>
        </w:tc>
      </w:tr>
    </w:tbl>
    <w:p>
      <w:pPr>
        <w:spacing w:after="0" w:line="126"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The MTM Adjustment represents the recognition of net actuarial gains or losses in excess of 10% of the greater of the fair value of plan assets or the plans’ projected benefit obligation (the corridor). Net actuarial gains and losses occur when the actual experience differs from any of the various assumptions used to value our pension plans or when assumptions change. The primary factors contributing to actuarial gains and losses are changes in the discount rate used to value pension obligations as of the measurement date each year and the difference between expected and actual returns on plan assets. The mark-to-market accounting method results in the potential for volatile and difficult to forecast MTM Adjustments. These adjustments resulted in expenses of $153 million, $523 million, and $40 million for the years ended December 31, 2023, 2022, and 2021, respectively.</w:t>
      </w:r>
    </w:p>
    <w:p>
      <w:pPr>
        <w:spacing w:after="0" w:line="283" w:lineRule="exact"/>
        <w:rPr>
          <w:sz w:val="20"/>
          <w:szCs w:val="20"/>
          <w:color w:val="auto"/>
        </w:rPr>
      </w:pPr>
    </w:p>
    <w:p>
      <w:pPr>
        <w:ind w:left="268" w:hanging="268"/>
        <w:spacing w:after="0"/>
        <w:tabs>
          <w:tab w:leader="none" w:pos="268" w:val="left"/>
        </w:tabs>
        <w:numPr>
          <w:ilvl w:val="0"/>
          <w:numId w:val="91"/>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47" w:name="page48"/>
    <w:bookmarkEnd w:id="47"/>
    <w:p>
      <w:pPr>
        <w:ind w:left="8"/>
        <w:spacing w:after="0"/>
        <w:tabs>
          <w:tab w:leader="none" w:pos="978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CRITICAL ACCOUNTING ESTIMATES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We determine the expected long-term rate of return on plan assets utilizing historical plan asset returns over varying long-term periods combined with our expectations of future market conditions and asset mix considerations (see Note 20 Pension and Other Postretirement Benefits of Notes to Consolidated Financial Statements for details on the actual various asset classes and targeted asset allocation percentages for our pension plans). We plan to use an expected rate of return on plan assets of 7.00% for 2024, which is an increase in the assumption used for 2023.</w:t>
      </w:r>
    </w:p>
    <w:p>
      <w:pPr>
        <w:spacing w:after="0" w:line="45"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The discount rate reflects the market rate on December 31 (measurement date) for high-quality fixed income investments with maturities corresponding to our benefit obligations and is subject to change each year. The discount rate can be volatile from year to year as it is determined based upon prevailing interest rates as of the measurement date. We used a 4.97% discount rate to determine benefit obligations as of December 31, 2023, reflecting an decrease in the market interest rate environment since the prior year-end.</w:t>
      </w:r>
    </w:p>
    <w:p>
      <w:pPr>
        <w:spacing w:after="0" w:line="45"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In addition to the potential for MTM Adjustments, changes in our expected rate of return on plan assets and discount rate resulting from economic events also affects future Pension ongoing (income) expense. The following table highlights the sensitivity of our U.S. pension obligations and ongoing (income) expense to changes in these assumptions, with all other assumptions remaining constant. These estimates exclude any potential MTM Adjustment:</w:t>
      </w:r>
    </w:p>
    <w:p>
      <w:pPr>
        <w:spacing w:after="0" w:line="46"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080" w:type="dxa"/>
            <w:vAlign w:val="bottom"/>
            <w:vMerge w:val="restart"/>
          </w:tcPr>
          <w:p>
            <w:pPr>
              <w:spacing w:after="0"/>
              <w:rPr>
                <w:sz w:val="20"/>
                <w:szCs w:val="20"/>
                <w:color w:val="auto"/>
              </w:rPr>
            </w:pPr>
            <w:r>
              <w:rPr>
                <w:rFonts w:ascii="Arial" w:cs="Arial" w:eastAsia="Arial" w:hAnsi="Arial"/>
                <w:sz w:val="10"/>
                <w:szCs w:val="10"/>
                <w:b w:val="1"/>
                <w:bCs w:val="1"/>
                <w:color w:val="auto"/>
              </w:rPr>
              <w:t>Change in Assumption</w:t>
            </w:r>
          </w:p>
        </w:tc>
        <w:tc>
          <w:tcPr>
            <w:tcW w:w="3780" w:type="dxa"/>
            <w:vAlign w:val="bottom"/>
          </w:tcPr>
          <w:p>
            <w:pPr>
              <w:jc w:val="center"/>
              <w:ind w:left="1692"/>
              <w:spacing w:after="0"/>
              <w:rPr>
                <w:sz w:val="20"/>
                <w:szCs w:val="20"/>
                <w:color w:val="auto"/>
              </w:rPr>
            </w:pPr>
            <w:r>
              <w:rPr>
                <w:rFonts w:ascii="Arial" w:cs="Arial" w:eastAsia="Arial" w:hAnsi="Arial"/>
                <w:sz w:val="10"/>
                <w:szCs w:val="10"/>
                <w:b w:val="1"/>
                <w:bCs w:val="1"/>
                <w:color w:val="auto"/>
                <w:w w:val="94"/>
              </w:rPr>
              <w:t>Impact on 2024 Pension</w:t>
            </w:r>
          </w:p>
        </w:tc>
        <w:tc>
          <w:tcPr>
            <w:tcW w:w="2440" w:type="dxa"/>
            <w:vAlign w:val="bottom"/>
            <w:vMerge w:val="restart"/>
          </w:tcPr>
          <w:p>
            <w:pPr>
              <w:jc w:val="center"/>
              <w:ind w:left="232"/>
              <w:spacing w:after="0"/>
              <w:rPr>
                <w:sz w:val="20"/>
                <w:szCs w:val="20"/>
                <w:color w:val="auto"/>
              </w:rPr>
            </w:pPr>
            <w:r>
              <w:rPr>
                <w:rFonts w:ascii="Arial" w:cs="Arial" w:eastAsia="Arial" w:hAnsi="Arial"/>
                <w:sz w:val="10"/>
                <w:szCs w:val="10"/>
                <w:b w:val="1"/>
                <w:bCs w:val="1"/>
                <w:color w:val="auto"/>
                <w:w w:val="95"/>
              </w:rPr>
              <w:t>Impact on Projected Benefit Obligation</w:t>
            </w:r>
          </w:p>
        </w:tc>
        <w:tc>
          <w:tcPr>
            <w:tcW w:w="0" w:type="dxa"/>
            <w:vAlign w:val="bottom"/>
          </w:tcPr>
          <w:p>
            <w:pPr>
              <w:spacing w:after="0"/>
              <w:rPr>
                <w:sz w:val="1"/>
                <w:szCs w:val="1"/>
                <w:color w:val="auto"/>
              </w:rPr>
            </w:pPr>
          </w:p>
        </w:tc>
      </w:tr>
      <w:tr>
        <w:trPr>
          <w:trHeight w:val="124"/>
        </w:trPr>
        <w:tc>
          <w:tcPr>
            <w:tcW w:w="5080" w:type="dxa"/>
            <w:vAlign w:val="bottom"/>
            <w:tcBorders>
              <w:bottom w:val="single" w:sz="8" w:color="D7282F"/>
            </w:tcBorders>
            <w:vMerge w:val="continue"/>
          </w:tcPr>
          <w:p>
            <w:pPr>
              <w:spacing w:after="0"/>
              <w:rPr>
                <w:sz w:val="10"/>
                <w:szCs w:val="10"/>
                <w:color w:val="auto"/>
              </w:rPr>
            </w:pPr>
          </w:p>
        </w:tc>
        <w:tc>
          <w:tcPr>
            <w:tcW w:w="3780" w:type="dxa"/>
            <w:vAlign w:val="bottom"/>
            <w:tcBorders>
              <w:bottom w:val="single" w:sz="8" w:color="D7282F"/>
            </w:tcBorders>
          </w:tcPr>
          <w:p>
            <w:pPr>
              <w:jc w:val="center"/>
              <w:ind w:left="1692"/>
              <w:spacing w:after="0"/>
              <w:rPr>
                <w:sz w:val="20"/>
                <w:szCs w:val="20"/>
                <w:color w:val="auto"/>
              </w:rPr>
            </w:pPr>
            <w:r>
              <w:rPr>
                <w:rFonts w:ascii="Arial" w:cs="Arial" w:eastAsia="Arial" w:hAnsi="Arial"/>
                <w:sz w:val="10"/>
                <w:szCs w:val="10"/>
                <w:b w:val="1"/>
                <w:bCs w:val="1"/>
                <w:color w:val="auto"/>
                <w:w w:val="94"/>
              </w:rPr>
              <w:t>Ongoing Expense</w:t>
            </w:r>
          </w:p>
        </w:tc>
        <w:tc>
          <w:tcPr>
            <w:tcW w:w="2440" w:type="dxa"/>
            <w:vAlign w:val="bottom"/>
            <w:tcBorders>
              <w:bottom w:val="single" w:sz="8" w:color="D7282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0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0.25 percentage point decrease in discount rate</w:t>
            </w:r>
          </w:p>
        </w:tc>
        <w:tc>
          <w:tcPr>
            <w:tcW w:w="3780" w:type="dxa"/>
            <w:vAlign w:val="bottom"/>
            <w:tcBorders>
              <w:bottom w:val="single" w:sz="8" w:color="61656A"/>
            </w:tcBorders>
          </w:tcPr>
          <w:p>
            <w:pPr>
              <w:jc w:val="center"/>
              <w:ind w:left="1692"/>
              <w:spacing w:after="0"/>
              <w:rPr>
                <w:sz w:val="20"/>
                <w:szCs w:val="20"/>
                <w:color w:val="auto"/>
              </w:rPr>
            </w:pPr>
            <w:r>
              <w:rPr>
                <w:rFonts w:ascii="Arial" w:cs="Arial" w:eastAsia="Arial" w:hAnsi="Arial"/>
                <w:sz w:val="10"/>
                <w:szCs w:val="10"/>
                <w:color w:val="auto"/>
                <w:w w:val="94"/>
              </w:rPr>
              <w:t>Decrease $16 million</w:t>
            </w:r>
          </w:p>
        </w:tc>
        <w:tc>
          <w:tcPr>
            <w:tcW w:w="2440" w:type="dxa"/>
            <w:vAlign w:val="bottom"/>
            <w:tcBorders>
              <w:bottom w:val="single" w:sz="8" w:color="61656A"/>
            </w:tcBorders>
          </w:tcPr>
          <w:p>
            <w:pPr>
              <w:jc w:val="center"/>
              <w:ind w:left="212"/>
              <w:spacing w:after="0"/>
              <w:rPr>
                <w:sz w:val="20"/>
                <w:szCs w:val="20"/>
                <w:color w:val="auto"/>
              </w:rPr>
            </w:pPr>
            <w:r>
              <w:rPr>
                <w:rFonts w:ascii="Arial" w:cs="Arial" w:eastAsia="Arial" w:hAnsi="Arial"/>
                <w:sz w:val="10"/>
                <w:szCs w:val="10"/>
                <w:color w:val="auto"/>
                <w:w w:val="95"/>
              </w:rPr>
              <w:t>Increase $292 million</w:t>
            </w:r>
          </w:p>
        </w:tc>
        <w:tc>
          <w:tcPr>
            <w:tcW w:w="0" w:type="dxa"/>
            <w:vAlign w:val="bottom"/>
          </w:tcPr>
          <w:p>
            <w:pPr>
              <w:spacing w:after="0"/>
              <w:rPr>
                <w:sz w:val="1"/>
                <w:szCs w:val="1"/>
                <w:color w:val="auto"/>
              </w:rPr>
            </w:pPr>
          </w:p>
        </w:tc>
      </w:tr>
      <w:tr>
        <w:trPr>
          <w:trHeight w:val="124"/>
        </w:trPr>
        <w:tc>
          <w:tcPr>
            <w:tcW w:w="50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0.25 percentage point increase in discount rate</w:t>
            </w:r>
          </w:p>
        </w:tc>
        <w:tc>
          <w:tcPr>
            <w:tcW w:w="3780" w:type="dxa"/>
            <w:vAlign w:val="bottom"/>
            <w:tcBorders>
              <w:bottom w:val="single" w:sz="8" w:color="61656A"/>
            </w:tcBorders>
          </w:tcPr>
          <w:p>
            <w:pPr>
              <w:jc w:val="center"/>
              <w:ind w:left="1692"/>
              <w:spacing w:after="0"/>
              <w:rPr>
                <w:sz w:val="20"/>
                <w:szCs w:val="20"/>
                <w:color w:val="auto"/>
              </w:rPr>
            </w:pPr>
            <w:r>
              <w:rPr>
                <w:rFonts w:ascii="Arial" w:cs="Arial" w:eastAsia="Arial" w:hAnsi="Arial"/>
                <w:sz w:val="10"/>
                <w:szCs w:val="10"/>
                <w:color w:val="auto"/>
                <w:w w:val="94"/>
              </w:rPr>
              <w:t>Increase $15 million</w:t>
            </w:r>
          </w:p>
        </w:tc>
        <w:tc>
          <w:tcPr>
            <w:tcW w:w="2440" w:type="dxa"/>
            <w:vAlign w:val="bottom"/>
            <w:tcBorders>
              <w:bottom w:val="single" w:sz="8" w:color="61656A"/>
            </w:tcBorders>
          </w:tcPr>
          <w:p>
            <w:pPr>
              <w:jc w:val="center"/>
              <w:ind w:left="232"/>
              <w:spacing w:after="0"/>
              <w:rPr>
                <w:sz w:val="20"/>
                <w:szCs w:val="20"/>
                <w:color w:val="auto"/>
              </w:rPr>
            </w:pPr>
            <w:r>
              <w:rPr>
                <w:rFonts w:ascii="Arial" w:cs="Arial" w:eastAsia="Arial" w:hAnsi="Arial"/>
                <w:sz w:val="10"/>
                <w:szCs w:val="10"/>
                <w:color w:val="auto"/>
                <w:w w:val="96"/>
              </w:rPr>
              <w:t>Decrease $280 million</w:t>
            </w:r>
          </w:p>
        </w:tc>
        <w:tc>
          <w:tcPr>
            <w:tcW w:w="0" w:type="dxa"/>
            <w:vAlign w:val="bottom"/>
          </w:tcPr>
          <w:p>
            <w:pPr>
              <w:spacing w:after="0"/>
              <w:rPr>
                <w:sz w:val="1"/>
                <w:szCs w:val="1"/>
                <w:color w:val="auto"/>
              </w:rPr>
            </w:pPr>
          </w:p>
        </w:tc>
      </w:tr>
      <w:tr>
        <w:trPr>
          <w:trHeight w:val="124"/>
        </w:trPr>
        <w:tc>
          <w:tcPr>
            <w:tcW w:w="50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0.25 percentage point decrease in expected rate of return on assets</w:t>
            </w:r>
          </w:p>
        </w:tc>
        <w:tc>
          <w:tcPr>
            <w:tcW w:w="3780" w:type="dxa"/>
            <w:vAlign w:val="bottom"/>
            <w:tcBorders>
              <w:bottom w:val="single" w:sz="8" w:color="61656A"/>
            </w:tcBorders>
          </w:tcPr>
          <w:p>
            <w:pPr>
              <w:jc w:val="center"/>
              <w:ind w:left="1692"/>
              <w:spacing w:after="0"/>
              <w:rPr>
                <w:sz w:val="20"/>
                <w:szCs w:val="20"/>
                <w:color w:val="auto"/>
              </w:rPr>
            </w:pPr>
            <w:r>
              <w:rPr>
                <w:rFonts w:ascii="Arial" w:cs="Arial" w:eastAsia="Arial" w:hAnsi="Arial"/>
                <w:sz w:val="10"/>
                <w:szCs w:val="10"/>
                <w:color w:val="auto"/>
                <w:w w:val="94"/>
              </w:rPr>
              <w:t>Increase $40 million</w:t>
            </w:r>
          </w:p>
        </w:tc>
        <w:tc>
          <w:tcPr>
            <w:tcW w:w="2440" w:type="dxa"/>
            <w:vAlign w:val="bottom"/>
            <w:tcBorders>
              <w:bottom w:val="single" w:sz="8" w:color="61656A"/>
            </w:tcBorders>
          </w:tcPr>
          <w:p>
            <w:pPr>
              <w:jc w:val="center"/>
              <w:ind w:left="212"/>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24"/>
        </w:trPr>
        <w:tc>
          <w:tcPr>
            <w:tcW w:w="50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0.25 percentage point increase in expected rate of return on assets</w:t>
            </w:r>
          </w:p>
        </w:tc>
        <w:tc>
          <w:tcPr>
            <w:tcW w:w="3780" w:type="dxa"/>
            <w:vAlign w:val="bottom"/>
            <w:tcBorders>
              <w:bottom w:val="single" w:sz="8" w:color="D7282F"/>
            </w:tcBorders>
          </w:tcPr>
          <w:p>
            <w:pPr>
              <w:jc w:val="center"/>
              <w:ind w:left="1692"/>
              <w:spacing w:after="0"/>
              <w:rPr>
                <w:sz w:val="20"/>
                <w:szCs w:val="20"/>
                <w:color w:val="auto"/>
              </w:rPr>
            </w:pPr>
            <w:r>
              <w:rPr>
                <w:rFonts w:ascii="Arial" w:cs="Arial" w:eastAsia="Arial" w:hAnsi="Arial"/>
                <w:sz w:val="10"/>
                <w:szCs w:val="10"/>
                <w:color w:val="auto"/>
                <w:w w:val="94"/>
              </w:rPr>
              <w:t>Decrease $40 million</w:t>
            </w:r>
          </w:p>
        </w:tc>
        <w:tc>
          <w:tcPr>
            <w:tcW w:w="2440" w:type="dxa"/>
            <w:vAlign w:val="bottom"/>
            <w:tcBorders>
              <w:bottom w:val="single" w:sz="8" w:color="D7282F"/>
            </w:tcBorders>
          </w:tcPr>
          <w:p>
            <w:pPr>
              <w:jc w:val="center"/>
              <w:ind w:left="212"/>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Pension ongoing income for our world-wide pension plans is expected to be approximately $538 million in 2024 compared with Pension ongoing income of $528 million in 2023. Also, if required, a MTM Adjustment will be recorded in the fourth quarter of 2024 in accordance with our pension accounting method as previously described. It is difficult to reliably forecast or predict whether there will be a MTM Adjustment in 2024, and if one is required, what the magnitude of such adjustment will be. MTM Adjustments are primarily driven by events and circumstances beyond the control of the Company such as changes in interest rates and the performance of the financial markets.</w:t>
      </w:r>
    </w:p>
    <w:p>
      <w:pPr>
        <w:spacing w:after="0" w:line="45"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b w:val="1"/>
          <w:bCs w:val="1"/>
          <w:i w:val="1"/>
          <w:iCs w:val="1"/>
          <w:color w:val="auto"/>
        </w:rPr>
        <w:t>Asbestos-Related Liabilities and Insurance Recoveries</w:t>
      </w:r>
      <w:r>
        <w:rPr>
          <w:rFonts w:ascii="Arial" w:cs="Arial" w:eastAsia="Arial" w:hAnsi="Arial"/>
          <w:sz w:val="11"/>
          <w:szCs w:val="11"/>
          <w:color w:val="auto"/>
        </w:rPr>
        <w:t>—The recognition of asbestos-related liabilities relates to a predecessor company, Bendix Friction Materials (Bendix). For Bendix asbestos-related claims, we accrue for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estimated value of pending claims using average resolution values over a defined look-back period. We also accrue for the estimated value of future claims related to Bendix over the full term of epidemiological disease projection through 2059 based on historic and anticipated claims filing experience and dismissal rates, disease classifications, and average resolution values in the tort system over a defined look-back period. We review our valuation assumptions and average resolution values used to estimate the cost of Bendix asserted and unasserted claims during the fourth quarter of each year.</w:t>
      </w:r>
    </w:p>
    <w:p>
      <w:pPr>
        <w:spacing w:after="0" w:line="59"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In connection with the recognition of liabilities for asbestos-related matters, we record asbestos-related insurance recoveries that are deemed probable. In assessing the probability of insurance recovery, we make judgments concerning insurance coverage that we believe are reasonable and consistent with our historical dealings and our knowledge of any pertinent solvency issues surrounding insurers. While the substantial majority of our insurance carriers are solvent, some of our individual carriers are insolvent, which was considered in our analysis of probable recoveries. Projecting future events is subject to various uncertainties that could cause the insurance recovery on asbestos-related liabilities to be higher or lower than that projected and recorded. Given the inherent uncertainty in making future projections, we reevaluate our projections concerning our probable insurance recoveries considering any changes to the projected liability, our recovery experience or other relevant factors that may impact future insurance recoveries.</w:t>
      </w:r>
    </w:p>
    <w:p>
      <w:pPr>
        <w:spacing w:after="0" w:line="52"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See Note 19 Commitments and Contingencies of Notes to Consolidated Financial Statements for a discussion of management’s judgments applied in the recognition and measurement of our asbestos-related liabilities and related insurance recoveries.</w:t>
      </w:r>
    </w:p>
    <w:p>
      <w:pPr>
        <w:spacing w:after="0" w:line="33"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b w:val="1"/>
          <w:bCs w:val="1"/>
          <w:i w:val="1"/>
          <w:iCs w:val="1"/>
          <w:color w:val="auto"/>
        </w:rPr>
        <w:t>Contingent Liabilities</w:t>
      </w:r>
      <w:r>
        <w:rPr>
          <w:rFonts w:ascii="Arial" w:cs="Arial" w:eastAsia="Arial" w:hAnsi="Arial"/>
          <w:sz w:val="11"/>
          <w:szCs w:val="11"/>
          <w:color w:val="auto"/>
        </w:rPr>
        <w:t>—We are subject to a number of lawsuits, investigations, and claims (some of which involve substantial dollar amounts) arising out of the conduct of our business operations or those of previously owned entities,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including matters relating to commercial transactions, government contracts, product liability (including asbestos), prior acquisitions and divestitures, employee benefit plans, intellectual property, legal, and environmental, health, and safety matters. We continually assess the likelihood of any adverse judgments or outcomes to our contingencies, as well as potential amounts or ranges of probable losses, and recognize a liability, if any, for these contingencies based on a careful analysis of each matter with the assistance of outside legal counsel and, if applicable, other experts. Such analysis includes making judgments concerning matters such as the costs associated with environmental matters, the outcome of negotiations, the number and cost of pending and future asbestos claims, and the impact of evidentiary requirements. Because most contingencies are resolved over long periods of time, liabilities may change in the future due to new developments (including new discovery of facts, changes in legislation, and outcomes of similar cases through the judicial system), changes in assumptions, or changes in our settlement strategy. See Note 19 Commitments and Contingencies of Notes to Consolidated Financial Statements for a discussion of management’s judgment applied in the recognition and measurement of our environmental and asbestos liabilities, which represent our most significant contingencies.</w:t>
      </w:r>
    </w:p>
    <w:p>
      <w:pPr>
        <w:spacing w:after="0" w:line="278" w:lineRule="exact"/>
        <w:rPr>
          <w:sz w:val="20"/>
          <w:szCs w:val="20"/>
          <w:color w:val="auto"/>
        </w:rPr>
      </w:pPr>
    </w:p>
    <w:p>
      <w:pPr>
        <w:ind w:left="268" w:hanging="268"/>
        <w:spacing w:after="0"/>
        <w:tabs>
          <w:tab w:leader="none" w:pos="268" w:val="left"/>
        </w:tabs>
        <w:numPr>
          <w:ilvl w:val="0"/>
          <w:numId w:val="92"/>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48" w:name="page49"/>
    <w:bookmarkEnd w:id="48"/>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OTHER MATTERS</w:t>
      </w:r>
    </w:p>
    <w:p>
      <w:pPr>
        <w:spacing w:after="0" w:line="250" w:lineRule="exact"/>
        <w:rPr>
          <w:sz w:val="20"/>
          <w:szCs w:val="20"/>
          <w:color w:val="auto"/>
        </w:rPr>
      </w:pPr>
    </w:p>
    <w:p>
      <w:pPr>
        <w:ind w:left="8"/>
        <w:spacing w:after="0"/>
        <w:rPr>
          <w:sz w:val="20"/>
          <w:szCs w:val="20"/>
          <w:color w:val="auto"/>
        </w:rPr>
      </w:pPr>
      <w:r>
        <w:rPr>
          <w:rFonts w:ascii="Arial" w:cs="Arial" w:eastAsia="Arial" w:hAnsi="Arial"/>
          <w:sz w:val="19"/>
          <w:szCs w:val="19"/>
          <w:color w:val="D7282F"/>
        </w:rPr>
        <w:t>LITIGATION</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0"/>
          <w:szCs w:val="10"/>
          <w:color w:val="auto"/>
        </w:rPr>
        <w:t>See Note 19 Commitments and Contingencies of Notes to Consolidated Financial Statements for a discussion of environmental, asbestos, and other litigation matters.</w:t>
      </w:r>
    </w:p>
    <w:p>
      <w:pPr>
        <w:spacing w:after="0" w:line="197" w:lineRule="exact"/>
        <w:rPr>
          <w:sz w:val="20"/>
          <w:szCs w:val="20"/>
          <w:color w:val="auto"/>
        </w:rPr>
      </w:pPr>
    </w:p>
    <w:p>
      <w:pPr>
        <w:ind w:left="8"/>
        <w:spacing w:after="0"/>
        <w:rPr>
          <w:sz w:val="20"/>
          <w:szCs w:val="20"/>
          <w:color w:val="auto"/>
        </w:rPr>
      </w:pPr>
      <w:r>
        <w:rPr>
          <w:rFonts w:ascii="Arial" w:cs="Arial" w:eastAsia="Arial" w:hAnsi="Arial"/>
          <w:sz w:val="19"/>
          <w:szCs w:val="19"/>
          <w:color w:val="D7282F"/>
        </w:rPr>
        <w:t>RECENT ACCOUNTING PRONOUNCEMENTS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1"/>
          <w:szCs w:val="11"/>
          <w:color w:val="auto"/>
        </w:rPr>
        <w:t>See Note 1 Summary of Significant Accounting Policies of Notes to Consolidated Financial Statements for a discussion of recent accounting pronouncements.</w:t>
      </w:r>
    </w:p>
    <w:p>
      <w:pPr>
        <w:spacing w:after="0" w:line="296" w:lineRule="exact"/>
        <w:rPr>
          <w:sz w:val="20"/>
          <w:szCs w:val="20"/>
          <w:color w:val="auto"/>
        </w:rPr>
      </w:pPr>
    </w:p>
    <w:p>
      <w:pPr>
        <w:ind w:left="268" w:hanging="268"/>
        <w:spacing w:after="0"/>
        <w:tabs>
          <w:tab w:leader="none" w:pos="268" w:val="left"/>
        </w:tabs>
        <w:numPr>
          <w:ilvl w:val="0"/>
          <w:numId w:val="93"/>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67"/>
          </w:cols>
          <w:pgMar w:left="292" w:top="155" w:right="1440" w:bottom="1440" w:gutter="0" w:footer="0" w:header="0"/>
        </w:sectPr>
      </w:pPr>
    </w:p>
    <w:bookmarkStart w:id="49" w:name="page50"/>
    <w:bookmarkEnd w:id="49"/>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INFORMATION ABOUT OUR EXECUTIVE OFFICERS</w:t>
      </w:r>
    </w:p>
    <w:p>
      <w:pPr>
        <w:spacing w:after="0" w:line="262"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executive officers of Honeywell, listed as follows, are elected annually by the Board of Directors. There are no family relationships among them.</w:t>
      </w:r>
    </w:p>
    <w:p>
      <w:pPr>
        <w:spacing w:after="0" w:line="84"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920" w:type="dxa"/>
            <w:vAlign w:val="bottom"/>
          </w:tcPr>
          <w:p>
            <w:pPr>
              <w:spacing w:after="0"/>
              <w:rPr>
                <w:sz w:val="20"/>
                <w:szCs w:val="20"/>
                <w:color w:val="auto"/>
              </w:rPr>
            </w:pPr>
            <w:r>
              <w:rPr>
                <w:rFonts w:ascii="Arial" w:cs="Arial" w:eastAsia="Arial" w:hAnsi="Arial"/>
                <w:sz w:val="10"/>
                <w:szCs w:val="10"/>
                <w:b w:val="1"/>
                <w:bCs w:val="1"/>
                <w:color w:val="auto"/>
              </w:rPr>
              <w:t>Name, Age, Year First</w:t>
            </w:r>
          </w:p>
        </w:tc>
        <w:tc>
          <w:tcPr>
            <w:tcW w:w="8380" w:type="dxa"/>
            <w:vAlign w:val="bottom"/>
            <w:vMerge w:val="restart"/>
          </w:tcPr>
          <w:p>
            <w:pPr>
              <w:ind w:left="460"/>
              <w:spacing w:after="0"/>
              <w:rPr>
                <w:sz w:val="20"/>
                <w:szCs w:val="20"/>
                <w:color w:val="auto"/>
              </w:rPr>
            </w:pPr>
            <w:r>
              <w:rPr>
                <w:rFonts w:ascii="Arial" w:cs="Arial" w:eastAsia="Arial" w:hAnsi="Arial"/>
                <w:sz w:val="10"/>
                <w:szCs w:val="10"/>
                <w:b w:val="1"/>
                <w:bCs w:val="1"/>
                <w:color w:val="auto"/>
              </w:rPr>
              <w:t>Business Experience</w:t>
            </w:r>
          </w:p>
        </w:tc>
        <w:tc>
          <w:tcPr>
            <w:tcW w:w="0" w:type="dxa"/>
            <w:vAlign w:val="bottom"/>
          </w:tcPr>
          <w:p>
            <w:pPr>
              <w:spacing w:after="0"/>
              <w:rPr>
                <w:sz w:val="1"/>
                <w:szCs w:val="1"/>
                <w:color w:val="auto"/>
              </w:rPr>
            </w:pPr>
          </w:p>
        </w:tc>
      </w:tr>
      <w:tr>
        <w:trPr>
          <w:trHeight w:val="124"/>
        </w:trPr>
        <w:tc>
          <w:tcPr>
            <w:tcW w:w="292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Elected an Executive Officer</w:t>
            </w:r>
          </w:p>
        </w:tc>
        <w:tc>
          <w:tcPr>
            <w:tcW w:w="8380" w:type="dxa"/>
            <w:vAlign w:val="bottom"/>
            <w:tcBorders>
              <w:bottom w:val="single" w:sz="8" w:color="D7282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920" w:type="dxa"/>
            <w:vAlign w:val="bottom"/>
          </w:tcPr>
          <w:p>
            <w:pPr>
              <w:ind w:left="1420"/>
              <w:spacing w:after="0" w:line="97" w:lineRule="exact"/>
              <w:rPr>
                <w:sz w:val="20"/>
                <w:szCs w:val="20"/>
                <w:color w:val="auto"/>
              </w:rPr>
            </w:pPr>
            <w:r>
              <w:rPr>
                <w:rFonts w:ascii="Arial" w:cs="Arial" w:eastAsia="Arial" w:hAnsi="Arial"/>
                <w:sz w:val="10"/>
                <w:szCs w:val="10"/>
                <w:b w:val="1"/>
                <w:bCs w:val="1"/>
                <w:color w:val="auto"/>
              </w:rPr>
              <w:t xml:space="preserve">Lucian Boldea, </w:t>
            </w:r>
            <w:r>
              <w:rPr>
                <w:rFonts w:ascii="Arial" w:cs="Arial" w:eastAsia="Arial" w:hAnsi="Arial"/>
                <w:sz w:val="10"/>
                <w:szCs w:val="10"/>
                <w:color w:val="auto"/>
              </w:rPr>
              <w:t>52</w:t>
            </w:r>
          </w:p>
        </w:tc>
        <w:tc>
          <w:tcPr>
            <w:tcW w:w="8380" w:type="dxa"/>
            <w:vAlign w:val="bottom"/>
          </w:tcPr>
          <w:p>
            <w:pPr>
              <w:ind w:left="460"/>
              <w:spacing w:after="0" w:line="97" w:lineRule="exact"/>
              <w:rPr>
                <w:sz w:val="20"/>
                <w:szCs w:val="20"/>
                <w:color w:val="auto"/>
              </w:rPr>
            </w:pPr>
            <w:r>
              <w:rPr>
                <w:rFonts w:ascii="Arial" w:cs="Arial" w:eastAsia="Arial" w:hAnsi="Arial"/>
                <w:sz w:val="10"/>
                <w:szCs w:val="10"/>
                <w:color w:val="auto"/>
                <w:w w:val="97"/>
              </w:rPr>
              <w:t>President and Chief Executive Officer, Industrial Automation since January 2024. President and Chief Executive Officer, Performance Materials and Technologies from October 2022 to</w:t>
            </w:r>
          </w:p>
        </w:tc>
        <w:tc>
          <w:tcPr>
            <w:tcW w:w="0" w:type="dxa"/>
            <w:vAlign w:val="bottom"/>
          </w:tcPr>
          <w:p>
            <w:pPr>
              <w:spacing w:after="0"/>
              <w:rPr>
                <w:sz w:val="1"/>
                <w:szCs w:val="1"/>
                <w:color w:val="auto"/>
              </w:rPr>
            </w:pPr>
          </w:p>
        </w:tc>
      </w:tr>
      <w:tr>
        <w:trPr>
          <w:trHeight w:val="139"/>
        </w:trPr>
        <w:tc>
          <w:tcPr>
            <w:tcW w:w="2920" w:type="dxa"/>
            <w:vAlign w:val="bottom"/>
          </w:tcPr>
          <w:p>
            <w:pPr>
              <w:ind w:left="1420"/>
              <w:spacing w:after="0"/>
              <w:rPr>
                <w:sz w:val="20"/>
                <w:szCs w:val="20"/>
                <w:color w:val="auto"/>
              </w:rPr>
            </w:pPr>
            <w:r>
              <w:rPr>
                <w:rFonts w:ascii="Arial" w:cs="Arial" w:eastAsia="Arial" w:hAnsi="Arial"/>
                <w:sz w:val="10"/>
                <w:szCs w:val="10"/>
                <w:color w:val="auto"/>
              </w:rPr>
              <w:t>2022</w:t>
            </w:r>
          </w:p>
        </w:tc>
        <w:tc>
          <w:tcPr>
            <w:tcW w:w="8380" w:type="dxa"/>
            <w:vAlign w:val="bottom"/>
          </w:tcPr>
          <w:p>
            <w:pPr>
              <w:ind w:left="460"/>
              <w:spacing w:after="0"/>
              <w:rPr>
                <w:sz w:val="20"/>
                <w:szCs w:val="20"/>
                <w:color w:val="auto"/>
              </w:rPr>
            </w:pPr>
            <w:r>
              <w:rPr>
                <w:rFonts w:ascii="Arial" w:cs="Arial" w:eastAsia="Arial" w:hAnsi="Arial"/>
                <w:sz w:val="10"/>
                <w:szCs w:val="10"/>
                <w:color w:val="auto"/>
              </w:rPr>
              <w:t>December 2023. Mr. Boldea was previously employed at Eastman Chemical Company, from 1997 to 2022, where he held a variety of leadership roles during his tenure, including</w:t>
            </w:r>
          </w:p>
        </w:tc>
        <w:tc>
          <w:tcPr>
            <w:tcW w:w="0" w:type="dxa"/>
            <w:vAlign w:val="bottom"/>
          </w:tcPr>
          <w:p>
            <w:pPr>
              <w:spacing w:after="0"/>
              <w:rPr>
                <w:sz w:val="1"/>
                <w:szCs w:val="1"/>
                <w:color w:val="auto"/>
              </w:rPr>
            </w:pPr>
          </w:p>
        </w:tc>
      </w:tr>
      <w:tr>
        <w:trPr>
          <w:trHeight w:val="125"/>
        </w:trPr>
        <w:tc>
          <w:tcPr>
            <w:tcW w:w="2920" w:type="dxa"/>
            <w:vAlign w:val="bottom"/>
          </w:tcPr>
          <w:p>
            <w:pPr>
              <w:spacing w:after="0"/>
              <w:rPr>
                <w:sz w:val="10"/>
                <w:szCs w:val="10"/>
                <w:color w:val="auto"/>
              </w:rPr>
            </w:pPr>
          </w:p>
        </w:tc>
        <w:tc>
          <w:tcPr>
            <w:tcW w:w="8380" w:type="dxa"/>
            <w:vAlign w:val="bottom"/>
          </w:tcPr>
          <w:p>
            <w:pPr>
              <w:ind w:left="460"/>
              <w:spacing w:after="0"/>
              <w:rPr>
                <w:sz w:val="20"/>
                <w:szCs w:val="20"/>
                <w:color w:val="auto"/>
              </w:rPr>
            </w:pPr>
            <w:r>
              <w:rPr>
                <w:rFonts w:ascii="Arial" w:cs="Arial" w:eastAsia="Arial" w:hAnsi="Arial"/>
                <w:sz w:val="10"/>
                <w:szCs w:val="10"/>
                <w:color w:val="auto"/>
              </w:rPr>
              <w:t>Executive Vice President from January 2019 to September 2022, where he led global strategy, business operations, and financial performance.</w:t>
            </w:r>
          </w:p>
        </w:tc>
        <w:tc>
          <w:tcPr>
            <w:tcW w:w="0" w:type="dxa"/>
            <w:vAlign w:val="bottom"/>
          </w:tcPr>
          <w:p>
            <w:pPr>
              <w:spacing w:after="0"/>
              <w:rPr>
                <w:sz w:val="1"/>
                <w:szCs w:val="1"/>
                <w:color w:val="auto"/>
              </w:rPr>
            </w:pPr>
          </w:p>
        </w:tc>
      </w:tr>
      <w:tr>
        <w:trPr>
          <w:trHeight w:val="186"/>
        </w:trPr>
        <w:tc>
          <w:tcPr>
            <w:tcW w:w="2920" w:type="dxa"/>
            <w:vAlign w:val="bottom"/>
            <w:tcBorders>
              <w:bottom w:val="single" w:sz="8" w:color="61656A"/>
            </w:tcBorders>
          </w:tcPr>
          <w:p>
            <w:pPr>
              <w:spacing w:after="0"/>
              <w:rPr>
                <w:sz w:val="16"/>
                <w:szCs w:val="16"/>
                <w:color w:val="auto"/>
              </w:rPr>
            </w:pPr>
          </w:p>
        </w:tc>
        <w:tc>
          <w:tcPr>
            <w:tcW w:w="838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920" w:type="dxa"/>
            <w:vAlign w:val="bottom"/>
          </w:tcPr>
          <w:p>
            <w:pPr>
              <w:ind w:left="1420"/>
              <w:spacing w:after="0" w:line="97" w:lineRule="exact"/>
              <w:rPr>
                <w:sz w:val="20"/>
                <w:szCs w:val="20"/>
                <w:color w:val="auto"/>
              </w:rPr>
            </w:pPr>
            <w:r>
              <w:rPr>
                <w:rFonts w:ascii="Arial" w:cs="Arial" w:eastAsia="Arial" w:hAnsi="Arial"/>
                <w:sz w:val="10"/>
                <w:szCs w:val="10"/>
                <w:b w:val="1"/>
                <w:bCs w:val="1"/>
                <w:color w:val="auto"/>
              </w:rPr>
              <w:t>Jim Currier</w:t>
            </w:r>
            <w:r>
              <w:rPr>
                <w:rFonts w:ascii="Arial" w:cs="Arial" w:eastAsia="Arial" w:hAnsi="Arial"/>
                <w:sz w:val="10"/>
                <w:szCs w:val="10"/>
                <w:color w:val="auto"/>
              </w:rPr>
              <w:t>, 57</w:t>
            </w:r>
          </w:p>
        </w:tc>
        <w:tc>
          <w:tcPr>
            <w:tcW w:w="8380" w:type="dxa"/>
            <w:vAlign w:val="bottom"/>
          </w:tcPr>
          <w:p>
            <w:pPr>
              <w:ind w:left="460"/>
              <w:spacing w:after="0" w:line="97" w:lineRule="exact"/>
              <w:rPr>
                <w:sz w:val="20"/>
                <w:szCs w:val="20"/>
                <w:color w:val="auto"/>
              </w:rPr>
            </w:pPr>
            <w:r>
              <w:rPr>
                <w:rFonts w:ascii="Arial" w:cs="Arial" w:eastAsia="Arial" w:hAnsi="Arial"/>
                <w:sz w:val="10"/>
                <w:szCs w:val="10"/>
                <w:color w:val="auto"/>
                <w:w w:val="97"/>
              </w:rPr>
              <w:t>President and Chief Executive Officer, Aerospace Technologies since January 2024. President and Chief Executive Officer, Aerospace from August 2023 to December 2023. President,</w:t>
            </w:r>
          </w:p>
        </w:tc>
        <w:tc>
          <w:tcPr>
            <w:tcW w:w="0" w:type="dxa"/>
            <w:vAlign w:val="bottom"/>
          </w:tcPr>
          <w:p>
            <w:pPr>
              <w:spacing w:after="0"/>
              <w:rPr>
                <w:sz w:val="1"/>
                <w:szCs w:val="1"/>
                <w:color w:val="auto"/>
              </w:rPr>
            </w:pPr>
          </w:p>
        </w:tc>
      </w:tr>
      <w:tr>
        <w:trPr>
          <w:trHeight w:val="139"/>
        </w:trPr>
        <w:tc>
          <w:tcPr>
            <w:tcW w:w="2920" w:type="dxa"/>
            <w:vAlign w:val="bottom"/>
          </w:tcPr>
          <w:p>
            <w:pPr>
              <w:ind w:left="1420"/>
              <w:spacing w:after="0"/>
              <w:rPr>
                <w:sz w:val="20"/>
                <w:szCs w:val="20"/>
                <w:color w:val="auto"/>
              </w:rPr>
            </w:pPr>
            <w:r>
              <w:rPr>
                <w:rFonts w:ascii="Arial" w:cs="Arial" w:eastAsia="Arial" w:hAnsi="Arial"/>
                <w:sz w:val="10"/>
                <w:szCs w:val="10"/>
                <w:color w:val="auto"/>
              </w:rPr>
              <w:t>2023</w:t>
            </w:r>
          </w:p>
        </w:tc>
        <w:tc>
          <w:tcPr>
            <w:tcW w:w="8380" w:type="dxa"/>
            <w:vAlign w:val="bottom"/>
          </w:tcPr>
          <w:p>
            <w:pPr>
              <w:ind w:left="460"/>
              <w:spacing w:after="0"/>
              <w:rPr>
                <w:sz w:val="20"/>
                <w:szCs w:val="20"/>
                <w:color w:val="auto"/>
              </w:rPr>
            </w:pPr>
            <w:r>
              <w:rPr>
                <w:rFonts w:ascii="Arial" w:cs="Arial" w:eastAsia="Arial" w:hAnsi="Arial"/>
                <w:sz w:val="10"/>
                <w:szCs w:val="10"/>
                <w:color w:val="auto"/>
                <w:w w:val="97"/>
              </w:rPr>
              <w:t>Electronic Solutions from June 2021 to August 2023. President, EMAI Aftermarket organization from October 2019 to June 2021. Vice President of Airlines, North America from October</w:t>
            </w:r>
          </w:p>
        </w:tc>
        <w:tc>
          <w:tcPr>
            <w:tcW w:w="0" w:type="dxa"/>
            <w:vAlign w:val="bottom"/>
          </w:tcPr>
          <w:p>
            <w:pPr>
              <w:spacing w:after="0"/>
              <w:rPr>
                <w:sz w:val="1"/>
                <w:szCs w:val="1"/>
                <w:color w:val="auto"/>
              </w:rPr>
            </w:pPr>
          </w:p>
        </w:tc>
      </w:tr>
      <w:tr>
        <w:trPr>
          <w:trHeight w:val="125"/>
        </w:trPr>
        <w:tc>
          <w:tcPr>
            <w:tcW w:w="2920" w:type="dxa"/>
            <w:vAlign w:val="bottom"/>
          </w:tcPr>
          <w:p>
            <w:pPr>
              <w:spacing w:after="0"/>
              <w:rPr>
                <w:sz w:val="10"/>
                <w:szCs w:val="10"/>
                <w:color w:val="auto"/>
              </w:rPr>
            </w:pPr>
          </w:p>
        </w:tc>
        <w:tc>
          <w:tcPr>
            <w:tcW w:w="8380" w:type="dxa"/>
            <w:vAlign w:val="bottom"/>
          </w:tcPr>
          <w:p>
            <w:pPr>
              <w:ind w:left="460"/>
              <w:spacing w:after="0"/>
              <w:rPr>
                <w:sz w:val="20"/>
                <w:szCs w:val="20"/>
                <w:color w:val="auto"/>
              </w:rPr>
            </w:pPr>
            <w:r>
              <w:rPr>
                <w:rFonts w:ascii="Arial" w:cs="Arial" w:eastAsia="Arial" w:hAnsi="Arial"/>
                <w:sz w:val="10"/>
                <w:szCs w:val="10"/>
                <w:color w:val="auto"/>
              </w:rPr>
              <w:t>2018 to October 2019.</w:t>
            </w:r>
          </w:p>
        </w:tc>
        <w:tc>
          <w:tcPr>
            <w:tcW w:w="0" w:type="dxa"/>
            <w:vAlign w:val="bottom"/>
          </w:tcPr>
          <w:p>
            <w:pPr>
              <w:spacing w:after="0"/>
              <w:rPr>
                <w:sz w:val="1"/>
                <w:szCs w:val="1"/>
                <w:color w:val="auto"/>
              </w:rPr>
            </w:pPr>
          </w:p>
        </w:tc>
      </w:tr>
      <w:tr>
        <w:trPr>
          <w:trHeight w:val="186"/>
        </w:trPr>
        <w:tc>
          <w:tcPr>
            <w:tcW w:w="2920" w:type="dxa"/>
            <w:vAlign w:val="bottom"/>
            <w:tcBorders>
              <w:bottom w:val="single" w:sz="8" w:color="61656A"/>
            </w:tcBorders>
          </w:tcPr>
          <w:p>
            <w:pPr>
              <w:spacing w:after="0"/>
              <w:rPr>
                <w:sz w:val="16"/>
                <w:szCs w:val="16"/>
                <w:color w:val="auto"/>
              </w:rPr>
            </w:pPr>
          </w:p>
        </w:tc>
        <w:tc>
          <w:tcPr>
            <w:tcW w:w="838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920" w:type="dxa"/>
            <w:vAlign w:val="bottom"/>
          </w:tcPr>
          <w:p>
            <w:pPr>
              <w:ind w:left="1420"/>
              <w:spacing w:after="0" w:line="97" w:lineRule="exact"/>
              <w:rPr>
                <w:sz w:val="20"/>
                <w:szCs w:val="20"/>
                <w:color w:val="auto"/>
              </w:rPr>
            </w:pPr>
            <w:r>
              <w:rPr>
                <w:rFonts w:ascii="Arial" w:cs="Arial" w:eastAsia="Arial" w:hAnsi="Arial"/>
                <w:sz w:val="10"/>
                <w:szCs w:val="10"/>
                <w:b w:val="1"/>
                <w:bCs w:val="1"/>
                <w:color w:val="auto"/>
              </w:rPr>
              <w:t>Kevin Dehoff</w:t>
            </w:r>
            <w:r>
              <w:rPr>
                <w:rFonts w:ascii="Arial" w:cs="Arial" w:eastAsia="Arial" w:hAnsi="Arial"/>
                <w:sz w:val="10"/>
                <w:szCs w:val="10"/>
                <w:color w:val="auto"/>
              </w:rPr>
              <w:t>, 61</w:t>
            </w:r>
          </w:p>
        </w:tc>
        <w:tc>
          <w:tcPr>
            <w:tcW w:w="8380" w:type="dxa"/>
            <w:vAlign w:val="bottom"/>
          </w:tcPr>
          <w:p>
            <w:pPr>
              <w:ind w:left="460"/>
              <w:spacing w:after="0" w:line="97" w:lineRule="exact"/>
              <w:rPr>
                <w:sz w:val="20"/>
                <w:szCs w:val="20"/>
                <w:color w:val="auto"/>
              </w:rPr>
            </w:pPr>
            <w:r>
              <w:rPr>
                <w:rFonts w:ascii="Arial" w:cs="Arial" w:eastAsia="Arial" w:hAnsi="Arial"/>
                <w:sz w:val="10"/>
                <w:szCs w:val="10"/>
                <w:color w:val="auto"/>
                <w:w w:val="97"/>
              </w:rPr>
              <w:t>President and Chief Executive Officer, Connected Enterprise since May 2022. President, Productivity Solutions and Services from November 2019 to April 2022. From 2012 to October</w:t>
            </w:r>
          </w:p>
        </w:tc>
        <w:tc>
          <w:tcPr>
            <w:tcW w:w="0" w:type="dxa"/>
            <w:vAlign w:val="bottom"/>
          </w:tcPr>
          <w:p>
            <w:pPr>
              <w:spacing w:after="0"/>
              <w:rPr>
                <w:sz w:val="1"/>
                <w:szCs w:val="1"/>
                <w:color w:val="auto"/>
              </w:rPr>
            </w:pPr>
          </w:p>
        </w:tc>
      </w:tr>
      <w:tr>
        <w:trPr>
          <w:trHeight w:val="139"/>
        </w:trPr>
        <w:tc>
          <w:tcPr>
            <w:tcW w:w="2920" w:type="dxa"/>
            <w:vAlign w:val="bottom"/>
          </w:tcPr>
          <w:p>
            <w:pPr>
              <w:ind w:left="1420"/>
              <w:spacing w:after="0"/>
              <w:rPr>
                <w:sz w:val="20"/>
                <w:szCs w:val="20"/>
                <w:color w:val="auto"/>
              </w:rPr>
            </w:pPr>
            <w:r>
              <w:rPr>
                <w:rFonts w:ascii="Arial" w:cs="Arial" w:eastAsia="Arial" w:hAnsi="Arial"/>
                <w:sz w:val="10"/>
                <w:szCs w:val="10"/>
                <w:color w:val="auto"/>
              </w:rPr>
              <w:t>2022</w:t>
            </w:r>
          </w:p>
        </w:tc>
        <w:tc>
          <w:tcPr>
            <w:tcW w:w="8380" w:type="dxa"/>
            <w:vAlign w:val="bottom"/>
          </w:tcPr>
          <w:p>
            <w:pPr>
              <w:ind w:left="460"/>
              <w:spacing w:after="0"/>
              <w:rPr>
                <w:sz w:val="20"/>
                <w:szCs w:val="20"/>
                <w:color w:val="auto"/>
              </w:rPr>
            </w:pPr>
            <w:r>
              <w:rPr>
                <w:rFonts w:ascii="Arial" w:cs="Arial" w:eastAsia="Arial" w:hAnsi="Arial"/>
                <w:sz w:val="10"/>
                <w:szCs w:val="10"/>
                <w:color w:val="auto"/>
                <w:w w:val="96"/>
              </w:rPr>
              <w:t>2019, Mr. Dehoff served as Senior Partner and Practice Leader in McKinsey &amp; Company where he supported strategic business transformations and led a wide range of performance and</w:t>
            </w:r>
          </w:p>
        </w:tc>
        <w:tc>
          <w:tcPr>
            <w:tcW w:w="0" w:type="dxa"/>
            <w:vAlign w:val="bottom"/>
          </w:tcPr>
          <w:p>
            <w:pPr>
              <w:spacing w:after="0"/>
              <w:rPr>
                <w:sz w:val="1"/>
                <w:szCs w:val="1"/>
                <w:color w:val="auto"/>
              </w:rPr>
            </w:pPr>
          </w:p>
        </w:tc>
      </w:tr>
      <w:tr>
        <w:trPr>
          <w:trHeight w:val="125"/>
        </w:trPr>
        <w:tc>
          <w:tcPr>
            <w:tcW w:w="2920" w:type="dxa"/>
            <w:vAlign w:val="bottom"/>
          </w:tcPr>
          <w:p>
            <w:pPr>
              <w:spacing w:after="0"/>
              <w:rPr>
                <w:sz w:val="10"/>
                <w:szCs w:val="10"/>
                <w:color w:val="auto"/>
              </w:rPr>
            </w:pPr>
          </w:p>
        </w:tc>
        <w:tc>
          <w:tcPr>
            <w:tcW w:w="8380" w:type="dxa"/>
            <w:vAlign w:val="bottom"/>
          </w:tcPr>
          <w:p>
            <w:pPr>
              <w:ind w:left="460"/>
              <w:spacing w:after="0"/>
              <w:rPr>
                <w:sz w:val="20"/>
                <w:szCs w:val="20"/>
                <w:color w:val="auto"/>
              </w:rPr>
            </w:pPr>
            <w:r>
              <w:rPr>
                <w:rFonts w:ascii="Arial" w:cs="Arial" w:eastAsia="Arial" w:hAnsi="Arial"/>
                <w:sz w:val="10"/>
                <w:szCs w:val="10"/>
                <w:color w:val="auto"/>
              </w:rPr>
              <w:t>operating excellence initiatives.</w:t>
            </w:r>
          </w:p>
        </w:tc>
        <w:tc>
          <w:tcPr>
            <w:tcW w:w="0" w:type="dxa"/>
            <w:vAlign w:val="bottom"/>
          </w:tcPr>
          <w:p>
            <w:pPr>
              <w:spacing w:after="0"/>
              <w:rPr>
                <w:sz w:val="1"/>
                <w:szCs w:val="1"/>
                <w:color w:val="auto"/>
              </w:rPr>
            </w:pPr>
          </w:p>
        </w:tc>
      </w:tr>
      <w:tr>
        <w:trPr>
          <w:trHeight w:val="186"/>
        </w:trPr>
        <w:tc>
          <w:tcPr>
            <w:tcW w:w="2920" w:type="dxa"/>
            <w:vAlign w:val="bottom"/>
            <w:tcBorders>
              <w:bottom w:val="single" w:sz="8" w:color="61656A"/>
            </w:tcBorders>
          </w:tcPr>
          <w:p>
            <w:pPr>
              <w:spacing w:after="0"/>
              <w:rPr>
                <w:sz w:val="16"/>
                <w:szCs w:val="16"/>
                <w:color w:val="auto"/>
              </w:rPr>
            </w:pPr>
          </w:p>
        </w:tc>
        <w:tc>
          <w:tcPr>
            <w:tcW w:w="838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920" w:type="dxa"/>
            <w:vAlign w:val="bottom"/>
          </w:tcPr>
          <w:p>
            <w:pPr>
              <w:ind w:left="1420"/>
              <w:spacing w:after="0" w:line="97" w:lineRule="exact"/>
              <w:rPr>
                <w:sz w:val="20"/>
                <w:szCs w:val="20"/>
                <w:color w:val="auto"/>
              </w:rPr>
            </w:pPr>
            <w:r>
              <w:rPr>
                <w:rFonts w:ascii="Arial" w:cs="Arial" w:eastAsia="Arial" w:hAnsi="Arial"/>
                <w:sz w:val="10"/>
                <w:szCs w:val="10"/>
                <w:b w:val="1"/>
                <w:bCs w:val="1"/>
                <w:color w:val="auto"/>
              </w:rPr>
              <w:t>Billal M. Hammoud</w:t>
            </w:r>
            <w:r>
              <w:rPr>
                <w:rFonts w:ascii="Arial" w:cs="Arial" w:eastAsia="Arial" w:hAnsi="Arial"/>
                <w:sz w:val="10"/>
                <w:szCs w:val="10"/>
                <w:color w:val="auto"/>
              </w:rPr>
              <w:t>, 51</w:t>
            </w:r>
          </w:p>
        </w:tc>
        <w:tc>
          <w:tcPr>
            <w:tcW w:w="8380" w:type="dxa"/>
            <w:vAlign w:val="bottom"/>
          </w:tcPr>
          <w:p>
            <w:pPr>
              <w:ind w:left="460"/>
              <w:spacing w:after="0" w:line="97" w:lineRule="exact"/>
              <w:rPr>
                <w:sz w:val="20"/>
                <w:szCs w:val="20"/>
                <w:color w:val="auto"/>
              </w:rPr>
            </w:pPr>
            <w:r>
              <w:rPr>
                <w:rFonts w:ascii="Arial" w:cs="Arial" w:eastAsia="Arial" w:hAnsi="Arial"/>
                <w:sz w:val="10"/>
                <w:szCs w:val="10"/>
                <w:color w:val="auto"/>
                <w:w w:val="98"/>
              </w:rPr>
              <w:t>President and Chief Executive Officer, Building Automation since January 2024. President and Chief Executive Officer, Honeywell Building Technologies from April 2023 to December</w:t>
            </w:r>
          </w:p>
        </w:tc>
        <w:tc>
          <w:tcPr>
            <w:tcW w:w="0" w:type="dxa"/>
            <w:vAlign w:val="bottom"/>
          </w:tcPr>
          <w:p>
            <w:pPr>
              <w:spacing w:after="0"/>
              <w:rPr>
                <w:sz w:val="1"/>
                <w:szCs w:val="1"/>
                <w:color w:val="auto"/>
              </w:rPr>
            </w:pPr>
          </w:p>
        </w:tc>
      </w:tr>
      <w:tr>
        <w:trPr>
          <w:trHeight w:val="139"/>
        </w:trPr>
        <w:tc>
          <w:tcPr>
            <w:tcW w:w="2920" w:type="dxa"/>
            <w:vAlign w:val="bottom"/>
          </w:tcPr>
          <w:p>
            <w:pPr>
              <w:ind w:left="1420"/>
              <w:spacing w:after="0"/>
              <w:rPr>
                <w:sz w:val="20"/>
                <w:szCs w:val="20"/>
                <w:color w:val="auto"/>
              </w:rPr>
            </w:pPr>
            <w:r>
              <w:rPr>
                <w:rFonts w:ascii="Arial" w:cs="Arial" w:eastAsia="Arial" w:hAnsi="Arial"/>
                <w:sz w:val="10"/>
                <w:szCs w:val="10"/>
                <w:color w:val="auto"/>
              </w:rPr>
              <w:t>2023</w:t>
            </w:r>
          </w:p>
        </w:tc>
        <w:tc>
          <w:tcPr>
            <w:tcW w:w="8380" w:type="dxa"/>
            <w:vAlign w:val="bottom"/>
          </w:tcPr>
          <w:p>
            <w:pPr>
              <w:ind w:left="460"/>
              <w:spacing w:after="0"/>
              <w:rPr>
                <w:sz w:val="20"/>
                <w:szCs w:val="20"/>
                <w:color w:val="auto"/>
              </w:rPr>
            </w:pPr>
            <w:r>
              <w:rPr>
                <w:rFonts w:ascii="Arial" w:cs="Arial" w:eastAsia="Arial" w:hAnsi="Arial"/>
                <w:sz w:val="10"/>
                <w:szCs w:val="10"/>
                <w:color w:val="auto"/>
              </w:rPr>
              <w:t>2023. President of Smart Energy and Thermal Solutions in Performance Materials and Technologies from November 2021 to March 2023. From April 2017 to November 2021, Mr.</w:t>
            </w:r>
          </w:p>
        </w:tc>
        <w:tc>
          <w:tcPr>
            <w:tcW w:w="0" w:type="dxa"/>
            <w:vAlign w:val="bottom"/>
          </w:tcPr>
          <w:p>
            <w:pPr>
              <w:spacing w:after="0"/>
              <w:rPr>
                <w:sz w:val="1"/>
                <w:szCs w:val="1"/>
                <w:color w:val="auto"/>
              </w:rPr>
            </w:pPr>
          </w:p>
        </w:tc>
      </w:tr>
      <w:tr>
        <w:trPr>
          <w:trHeight w:val="125"/>
        </w:trPr>
        <w:tc>
          <w:tcPr>
            <w:tcW w:w="2920" w:type="dxa"/>
            <w:vAlign w:val="bottom"/>
          </w:tcPr>
          <w:p>
            <w:pPr>
              <w:spacing w:after="0"/>
              <w:rPr>
                <w:sz w:val="10"/>
                <w:szCs w:val="10"/>
                <w:color w:val="auto"/>
              </w:rPr>
            </w:pPr>
          </w:p>
        </w:tc>
        <w:tc>
          <w:tcPr>
            <w:tcW w:w="8380" w:type="dxa"/>
            <w:vAlign w:val="bottom"/>
          </w:tcPr>
          <w:p>
            <w:pPr>
              <w:ind w:left="460"/>
              <w:spacing w:after="0"/>
              <w:rPr>
                <w:sz w:val="20"/>
                <w:szCs w:val="20"/>
                <w:color w:val="auto"/>
              </w:rPr>
            </w:pPr>
            <w:r>
              <w:rPr>
                <w:rFonts w:ascii="Arial" w:cs="Arial" w:eastAsia="Arial" w:hAnsi="Arial"/>
                <w:sz w:val="10"/>
                <w:szCs w:val="10"/>
                <w:color w:val="auto"/>
              </w:rPr>
              <w:t>Hammoud served as President of ESAB Americas and Global Fabrication Solutions at Colfax where he led strategy, business operations, and financial performance.</w:t>
            </w:r>
          </w:p>
        </w:tc>
        <w:tc>
          <w:tcPr>
            <w:tcW w:w="0" w:type="dxa"/>
            <w:vAlign w:val="bottom"/>
          </w:tcPr>
          <w:p>
            <w:pPr>
              <w:spacing w:after="0"/>
              <w:rPr>
                <w:sz w:val="1"/>
                <w:szCs w:val="1"/>
                <w:color w:val="auto"/>
              </w:rPr>
            </w:pPr>
          </w:p>
        </w:tc>
      </w:tr>
      <w:tr>
        <w:trPr>
          <w:trHeight w:val="186"/>
        </w:trPr>
        <w:tc>
          <w:tcPr>
            <w:tcW w:w="2920" w:type="dxa"/>
            <w:vAlign w:val="bottom"/>
            <w:tcBorders>
              <w:bottom w:val="single" w:sz="8" w:color="61656A"/>
            </w:tcBorders>
          </w:tcPr>
          <w:p>
            <w:pPr>
              <w:spacing w:after="0"/>
              <w:rPr>
                <w:sz w:val="16"/>
                <w:szCs w:val="16"/>
                <w:color w:val="auto"/>
              </w:rPr>
            </w:pPr>
          </w:p>
        </w:tc>
        <w:tc>
          <w:tcPr>
            <w:tcW w:w="838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920" w:type="dxa"/>
            <w:vAlign w:val="bottom"/>
          </w:tcPr>
          <w:p>
            <w:pPr>
              <w:ind w:left="1420"/>
              <w:spacing w:after="0" w:line="97" w:lineRule="exact"/>
              <w:rPr>
                <w:sz w:val="20"/>
                <w:szCs w:val="20"/>
                <w:color w:val="auto"/>
              </w:rPr>
            </w:pPr>
            <w:r>
              <w:rPr>
                <w:rFonts w:ascii="Arial" w:cs="Arial" w:eastAsia="Arial" w:hAnsi="Arial"/>
                <w:sz w:val="10"/>
                <w:szCs w:val="10"/>
                <w:b w:val="1"/>
                <w:bCs w:val="1"/>
                <w:color w:val="auto"/>
              </w:rPr>
              <w:t>Vimal Kapur</w:t>
            </w:r>
            <w:r>
              <w:rPr>
                <w:rFonts w:ascii="Arial" w:cs="Arial" w:eastAsia="Arial" w:hAnsi="Arial"/>
                <w:sz w:val="10"/>
                <w:szCs w:val="10"/>
                <w:color w:val="auto"/>
              </w:rPr>
              <w:t>, 58</w:t>
            </w:r>
          </w:p>
        </w:tc>
        <w:tc>
          <w:tcPr>
            <w:tcW w:w="8380" w:type="dxa"/>
            <w:vAlign w:val="bottom"/>
          </w:tcPr>
          <w:p>
            <w:pPr>
              <w:ind w:left="460"/>
              <w:spacing w:after="0" w:line="97" w:lineRule="exact"/>
              <w:rPr>
                <w:sz w:val="20"/>
                <w:szCs w:val="20"/>
                <w:color w:val="auto"/>
              </w:rPr>
            </w:pPr>
            <w:r>
              <w:rPr>
                <w:rFonts w:ascii="Arial" w:cs="Arial" w:eastAsia="Arial" w:hAnsi="Arial"/>
                <w:sz w:val="10"/>
                <w:szCs w:val="10"/>
                <w:color w:val="auto"/>
              </w:rPr>
              <w:t>Chief Executive Officer since June 2023. President and Chief Operating Officer from July 2022 to May 2023. President and Chief Executive Officer, Performance Materials and</w:t>
            </w:r>
          </w:p>
        </w:tc>
        <w:tc>
          <w:tcPr>
            <w:tcW w:w="0" w:type="dxa"/>
            <w:vAlign w:val="bottom"/>
          </w:tcPr>
          <w:p>
            <w:pPr>
              <w:spacing w:after="0"/>
              <w:rPr>
                <w:sz w:val="1"/>
                <w:szCs w:val="1"/>
                <w:color w:val="auto"/>
              </w:rPr>
            </w:pPr>
          </w:p>
        </w:tc>
      </w:tr>
      <w:tr>
        <w:trPr>
          <w:trHeight w:val="139"/>
        </w:trPr>
        <w:tc>
          <w:tcPr>
            <w:tcW w:w="2920" w:type="dxa"/>
            <w:vAlign w:val="bottom"/>
          </w:tcPr>
          <w:p>
            <w:pPr>
              <w:ind w:left="1420"/>
              <w:spacing w:after="0"/>
              <w:rPr>
                <w:sz w:val="20"/>
                <w:szCs w:val="20"/>
                <w:color w:val="auto"/>
              </w:rPr>
            </w:pPr>
            <w:r>
              <w:rPr>
                <w:rFonts w:ascii="Arial" w:cs="Arial" w:eastAsia="Arial" w:hAnsi="Arial"/>
                <w:sz w:val="10"/>
                <w:szCs w:val="10"/>
                <w:color w:val="auto"/>
              </w:rPr>
              <w:t>2018</w:t>
            </w:r>
            <w:r>
              <w:rPr>
                <w:rFonts w:ascii="Arial" w:cs="Arial" w:eastAsia="Arial" w:hAnsi="Arial"/>
                <w:sz w:val="12"/>
                <w:szCs w:val="12"/>
                <w:color w:val="auto"/>
                <w:vertAlign w:val="superscript"/>
              </w:rPr>
              <w:t>(a)</w:t>
            </w:r>
          </w:p>
        </w:tc>
        <w:tc>
          <w:tcPr>
            <w:tcW w:w="8380" w:type="dxa"/>
            <w:vAlign w:val="bottom"/>
          </w:tcPr>
          <w:p>
            <w:pPr>
              <w:ind w:left="460"/>
              <w:spacing w:after="0"/>
              <w:rPr>
                <w:sz w:val="20"/>
                <w:szCs w:val="20"/>
                <w:color w:val="auto"/>
              </w:rPr>
            </w:pPr>
            <w:r>
              <w:rPr>
                <w:rFonts w:ascii="Arial" w:cs="Arial" w:eastAsia="Arial" w:hAnsi="Arial"/>
                <w:sz w:val="10"/>
                <w:szCs w:val="10"/>
                <w:color w:val="auto"/>
                <w:w w:val="98"/>
              </w:rPr>
              <w:t>Technologies from July 2021 to October 2022. President and Chief Executive Officer, Honeywell Building Technologies from June 2018 to June 2021. President of Honeywell Process</w:t>
            </w:r>
          </w:p>
        </w:tc>
        <w:tc>
          <w:tcPr>
            <w:tcW w:w="0" w:type="dxa"/>
            <w:vAlign w:val="bottom"/>
          </w:tcPr>
          <w:p>
            <w:pPr>
              <w:spacing w:after="0"/>
              <w:rPr>
                <w:sz w:val="1"/>
                <w:szCs w:val="1"/>
                <w:color w:val="auto"/>
              </w:rPr>
            </w:pPr>
          </w:p>
        </w:tc>
      </w:tr>
      <w:tr>
        <w:trPr>
          <w:trHeight w:val="125"/>
        </w:trPr>
        <w:tc>
          <w:tcPr>
            <w:tcW w:w="2920" w:type="dxa"/>
            <w:vAlign w:val="bottom"/>
          </w:tcPr>
          <w:p>
            <w:pPr>
              <w:spacing w:after="0"/>
              <w:rPr>
                <w:sz w:val="10"/>
                <w:szCs w:val="10"/>
                <w:color w:val="auto"/>
              </w:rPr>
            </w:pPr>
          </w:p>
        </w:tc>
        <w:tc>
          <w:tcPr>
            <w:tcW w:w="8380" w:type="dxa"/>
            <w:vAlign w:val="bottom"/>
          </w:tcPr>
          <w:p>
            <w:pPr>
              <w:ind w:left="460"/>
              <w:spacing w:after="0"/>
              <w:rPr>
                <w:sz w:val="20"/>
                <w:szCs w:val="20"/>
                <w:color w:val="auto"/>
              </w:rPr>
            </w:pPr>
            <w:r>
              <w:rPr>
                <w:rFonts w:ascii="Arial" w:cs="Arial" w:eastAsia="Arial" w:hAnsi="Arial"/>
                <w:sz w:val="10"/>
                <w:szCs w:val="10"/>
                <w:color w:val="auto"/>
              </w:rPr>
              <w:t>Solutions from 2014 to May 2018.</w:t>
            </w:r>
          </w:p>
        </w:tc>
        <w:tc>
          <w:tcPr>
            <w:tcW w:w="0" w:type="dxa"/>
            <w:vAlign w:val="bottom"/>
          </w:tcPr>
          <w:p>
            <w:pPr>
              <w:spacing w:after="0"/>
              <w:rPr>
                <w:sz w:val="1"/>
                <w:szCs w:val="1"/>
                <w:color w:val="auto"/>
              </w:rPr>
            </w:pPr>
          </w:p>
        </w:tc>
      </w:tr>
      <w:tr>
        <w:trPr>
          <w:trHeight w:val="330"/>
        </w:trPr>
        <w:tc>
          <w:tcPr>
            <w:tcW w:w="2920" w:type="dxa"/>
            <w:vAlign w:val="bottom"/>
            <w:tcBorders>
              <w:bottom w:val="single" w:sz="8" w:color="61656A"/>
            </w:tcBorders>
          </w:tcPr>
          <w:p>
            <w:pPr>
              <w:spacing w:after="0"/>
              <w:rPr>
                <w:sz w:val="24"/>
                <w:szCs w:val="24"/>
                <w:color w:val="auto"/>
              </w:rPr>
            </w:pPr>
          </w:p>
        </w:tc>
        <w:tc>
          <w:tcPr>
            <w:tcW w:w="8380" w:type="dxa"/>
            <w:vAlign w:val="bottom"/>
            <w:tcBorders>
              <w:bottom w:val="single" w:sz="8" w:color="61656A"/>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920" w:type="dxa"/>
            <w:vAlign w:val="bottom"/>
          </w:tcPr>
          <w:p>
            <w:pPr>
              <w:ind w:left="1420"/>
              <w:spacing w:after="0" w:line="97" w:lineRule="exact"/>
              <w:rPr>
                <w:sz w:val="20"/>
                <w:szCs w:val="20"/>
                <w:color w:val="auto"/>
              </w:rPr>
            </w:pPr>
            <w:r>
              <w:rPr>
                <w:rFonts w:ascii="Arial" w:cs="Arial" w:eastAsia="Arial" w:hAnsi="Arial"/>
                <w:sz w:val="10"/>
                <w:szCs w:val="10"/>
                <w:b w:val="1"/>
                <w:bCs w:val="1"/>
                <w:color w:val="auto"/>
              </w:rPr>
              <w:t>Gregory P. Lewis</w:t>
            </w:r>
            <w:r>
              <w:rPr>
                <w:rFonts w:ascii="Arial" w:cs="Arial" w:eastAsia="Arial" w:hAnsi="Arial"/>
                <w:sz w:val="10"/>
                <w:szCs w:val="10"/>
                <w:color w:val="auto"/>
              </w:rPr>
              <w:t>, 56</w:t>
            </w:r>
          </w:p>
        </w:tc>
        <w:tc>
          <w:tcPr>
            <w:tcW w:w="8380" w:type="dxa"/>
            <w:vAlign w:val="bottom"/>
          </w:tcPr>
          <w:p>
            <w:pPr>
              <w:ind w:left="460"/>
              <w:spacing w:after="0" w:line="97" w:lineRule="exact"/>
              <w:rPr>
                <w:sz w:val="20"/>
                <w:szCs w:val="20"/>
                <w:color w:val="auto"/>
              </w:rPr>
            </w:pPr>
            <w:r>
              <w:rPr>
                <w:rFonts w:ascii="Arial" w:cs="Arial" w:eastAsia="Arial" w:hAnsi="Arial"/>
                <w:sz w:val="10"/>
                <w:szCs w:val="10"/>
                <w:color w:val="auto"/>
                <w:w w:val="97"/>
              </w:rPr>
              <w:t>Senior Vice President and Chief Financial Officer since August 2018. Vice President of Enterprise Information Management from October 2016 to April 2018, prior to being named Vice</w:t>
            </w:r>
          </w:p>
        </w:tc>
        <w:tc>
          <w:tcPr>
            <w:tcW w:w="0" w:type="dxa"/>
            <w:vAlign w:val="bottom"/>
          </w:tcPr>
          <w:p>
            <w:pPr>
              <w:spacing w:after="0"/>
              <w:rPr>
                <w:sz w:val="1"/>
                <w:szCs w:val="1"/>
                <w:color w:val="auto"/>
              </w:rPr>
            </w:pPr>
          </w:p>
        </w:tc>
      </w:tr>
      <w:tr>
        <w:trPr>
          <w:trHeight w:val="147"/>
        </w:trPr>
        <w:tc>
          <w:tcPr>
            <w:tcW w:w="2920" w:type="dxa"/>
            <w:vAlign w:val="bottom"/>
          </w:tcPr>
          <w:p>
            <w:pPr>
              <w:ind w:left="1420"/>
              <w:spacing w:after="0"/>
              <w:rPr>
                <w:sz w:val="20"/>
                <w:szCs w:val="20"/>
                <w:color w:val="auto"/>
              </w:rPr>
            </w:pPr>
            <w:r>
              <w:rPr>
                <w:rFonts w:ascii="Arial" w:cs="Arial" w:eastAsia="Arial" w:hAnsi="Arial"/>
                <w:sz w:val="10"/>
                <w:szCs w:val="10"/>
                <w:color w:val="auto"/>
              </w:rPr>
              <w:t>2018</w:t>
            </w:r>
          </w:p>
        </w:tc>
        <w:tc>
          <w:tcPr>
            <w:tcW w:w="8380" w:type="dxa"/>
            <w:vAlign w:val="bottom"/>
          </w:tcPr>
          <w:p>
            <w:pPr>
              <w:ind w:left="460"/>
              <w:spacing w:after="0"/>
              <w:rPr>
                <w:sz w:val="20"/>
                <w:szCs w:val="20"/>
                <w:color w:val="auto"/>
              </w:rPr>
            </w:pPr>
            <w:r>
              <w:rPr>
                <w:rFonts w:ascii="Arial" w:cs="Arial" w:eastAsia="Arial" w:hAnsi="Arial"/>
                <w:sz w:val="10"/>
                <w:szCs w:val="10"/>
                <w:color w:val="auto"/>
              </w:rPr>
              <w:t>President, Corporate Finance in May 2018. Chief Financial Officer of Automation and Control Solutions from April 2013 to September 2016.</w:t>
            </w:r>
          </w:p>
        </w:tc>
        <w:tc>
          <w:tcPr>
            <w:tcW w:w="0" w:type="dxa"/>
            <w:vAlign w:val="bottom"/>
          </w:tcPr>
          <w:p>
            <w:pPr>
              <w:spacing w:after="0"/>
              <w:rPr>
                <w:sz w:val="1"/>
                <w:szCs w:val="1"/>
                <w:color w:val="auto"/>
              </w:rPr>
            </w:pPr>
          </w:p>
        </w:tc>
      </w:tr>
      <w:tr>
        <w:trPr>
          <w:trHeight w:val="438"/>
        </w:trPr>
        <w:tc>
          <w:tcPr>
            <w:tcW w:w="2920" w:type="dxa"/>
            <w:vAlign w:val="bottom"/>
            <w:tcBorders>
              <w:bottom w:val="single" w:sz="8" w:color="61656A"/>
            </w:tcBorders>
          </w:tcPr>
          <w:p>
            <w:pPr>
              <w:spacing w:after="0"/>
              <w:rPr>
                <w:sz w:val="24"/>
                <w:szCs w:val="24"/>
                <w:color w:val="auto"/>
              </w:rPr>
            </w:pPr>
          </w:p>
        </w:tc>
        <w:tc>
          <w:tcPr>
            <w:tcW w:w="8380" w:type="dxa"/>
            <w:vAlign w:val="bottom"/>
            <w:tcBorders>
              <w:bottom w:val="single" w:sz="8" w:color="61656A"/>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920" w:type="dxa"/>
            <w:vAlign w:val="bottom"/>
          </w:tcPr>
          <w:p>
            <w:pPr>
              <w:ind w:left="1420"/>
              <w:spacing w:after="0" w:line="97" w:lineRule="exact"/>
              <w:rPr>
                <w:sz w:val="20"/>
                <w:szCs w:val="20"/>
                <w:color w:val="auto"/>
              </w:rPr>
            </w:pPr>
            <w:r>
              <w:rPr>
                <w:rFonts w:ascii="Arial" w:cs="Arial" w:eastAsia="Arial" w:hAnsi="Arial"/>
                <w:sz w:val="10"/>
                <w:szCs w:val="10"/>
                <w:b w:val="1"/>
                <w:bCs w:val="1"/>
                <w:color w:val="auto"/>
              </w:rPr>
              <w:t>Anne T. Madden</w:t>
            </w:r>
            <w:r>
              <w:rPr>
                <w:rFonts w:ascii="Arial" w:cs="Arial" w:eastAsia="Arial" w:hAnsi="Arial"/>
                <w:sz w:val="10"/>
                <w:szCs w:val="10"/>
                <w:color w:val="auto"/>
              </w:rPr>
              <w:t>, 59</w:t>
            </w:r>
          </w:p>
        </w:tc>
        <w:tc>
          <w:tcPr>
            <w:tcW w:w="8380" w:type="dxa"/>
            <w:vAlign w:val="bottom"/>
          </w:tcPr>
          <w:p>
            <w:pPr>
              <w:ind w:left="460"/>
              <w:spacing w:after="0" w:line="97" w:lineRule="exact"/>
              <w:rPr>
                <w:sz w:val="20"/>
                <w:szCs w:val="20"/>
                <w:color w:val="auto"/>
              </w:rPr>
            </w:pPr>
            <w:r>
              <w:rPr>
                <w:rFonts w:ascii="Arial" w:cs="Arial" w:eastAsia="Arial" w:hAnsi="Arial"/>
                <w:sz w:val="10"/>
                <w:szCs w:val="10"/>
                <w:color w:val="auto"/>
                <w:w w:val="98"/>
              </w:rPr>
              <w:t>Senior Vice President and General Counsel since October 2017. Corporate Secretary from February 2018 to September 2019. Vice President of Corporate Development and Global</w:t>
            </w:r>
          </w:p>
        </w:tc>
        <w:tc>
          <w:tcPr>
            <w:tcW w:w="0" w:type="dxa"/>
            <w:vAlign w:val="bottom"/>
          </w:tcPr>
          <w:p>
            <w:pPr>
              <w:spacing w:after="0"/>
              <w:rPr>
                <w:sz w:val="1"/>
                <w:szCs w:val="1"/>
                <w:color w:val="auto"/>
              </w:rPr>
            </w:pPr>
          </w:p>
        </w:tc>
      </w:tr>
      <w:tr>
        <w:trPr>
          <w:trHeight w:val="147"/>
        </w:trPr>
        <w:tc>
          <w:tcPr>
            <w:tcW w:w="2920" w:type="dxa"/>
            <w:vAlign w:val="bottom"/>
          </w:tcPr>
          <w:p>
            <w:pPr>
              <w:ind w:left="1420"/>
              <w:spacing w:after="0"/>
              <w:rPr>
                <w:sz w:val="20"/>
                <w:szCs w:val="20"/>
                <w:color w:val="auto"/>
              </w:rPr>
            </w:pPr>
            <w:r>
              <w:rPr>
                <w:rFonts w:ascii="Arial" w:cs="Arial" w:eastAsia="Arial" w:hAnsi="Arial"/>
                <w:sz w:val="10"/>
                <w:szCs w:val="10"/>
                <w:color w:val="auto"/>
              </w:rPr>
              <w:t>2017</w:t>
            </w:r>
          </w:p>
        </w:tc>
        <w:tc>
          <w:tcPr>
            <w:tcW w:w="8380" w:type="dxa"/>
            <w:vAlign w:val="bottom"/>
          </w:tcPr>
          <w:p>
            <w:pPr>
              <w:ind w:left="460"/>
              <w:spacing w:after="0"/>
              <w:rPr>
                <w:sz w:val="20"/>
                <w:szCs w:val="20"/>
                <w:color w:val="auto"/>
              </w:rPr>
            </w:pPr>
            <w:r>
              <w:rPr>
                <w:rFonts w:ascii="Arial" w:cs="Arial" w:eastAsia="Arial" w:hAnsi="Arial"/>
                <w:sz w:val="10"/>
                <w:szCs w:val="10"/>
                <w:color w:val="auto"/>
              </w:rPr>
              <w:t>Head of M&amp;A from January 2002 to October 2017.</w:t>
            </w:r>
          </w:p>
        </w:tc>
        <w:tc>
          <w:tcPr>
            <w:tcW w:w="0" w:type="dxa"/>
            <w:vAlign w:val="bottom"/>
          </w:tcPr>
          <w:p>
            <w:pPr>
              <w:spacing w:after="0"/>
              <w:rPr>
                <w:sz w:val="1"/>
                <w:szCs w:val="1"/>
                <w:color w:val="auto"/>
              </w:rPr>
            </w:pPr>
          </w:p>
        </w:tc>
      </w:tr>
      <w:tr>
        <w:trPr>
          <w:trHeight w:val="447"/>
        </w:trPr>
        <w:tc>
          <w:tcPr>
            <w:tcW w:w="2920" w:type="dxa"/>
            <w:vAlign w:val="bottom"/>
            <w:tcBorders>
              <w:bottom w:val="single" w:sz="8" w:color="61656A"/>
            </w:tcBorders>
          </w:tcPr>
          <w:p>
            <w:pPr>
              <w:spacing w:after="0"/>
              <w:rPr>
                <w:sz w:val="24"/>
                <w:szCs w:val="24"/>
                <w:color w:val="auto"/>
              </w:rPr>
            </w:pPr>
          </w:p>
        </w:tc>
        <w:tc>
          <w:tcPr>
            <w:tcW w:w="8380" w:type="dxa"/>
            <w:vAlign w:val="bottom"/>
            <w:tcBorders>
              <w:bottom w:val="single" w:sz="8" w:color="61656A"/>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920" w:type="dxa"/>
            <w:vAlign w:val="bottom"/>
          </w:tcPr>
          <w:p>
            <w:pPr>
              <w:ind w:left="1420"/>
              <w:spacing w:after="0" w:line="97" w:lineRule="exact"/>
              <w:rPr>
                <w:sz w:val="20"/>
                <w:szCs w:val="20"/>
                <w:color w:val="auto"/>
              </w:rPr>
            </w:pPr>
            <w:r>
              <w:rPr>
                <w:rFonts w:ascii="Arial" w:cs="Arial" w:eastAsia="Arial" w:hAnsi="Arial"/>
                <w:sz w:val="10"/>
                <w:szCs w:val="10"/>
                <w:b w:val="1"/>
                <w:bCs w:val="1"/>
                <w:color w:val="auto"/>
              </w:rPr>
              <w:t>Karen Mattimore</w:t>
            </w:r>
            <w:r>
              <w:rPr>
                <w:rFonts w:ascii="Arial" w:cs="Arial" w:eastAsia="Arial" w:hAnsi="Arial"/>
                <w:sz w:val="10"/>
                <w:szCs w:val="10"/>
                <w:color w:val="auto"/>
              </w:rPr>
              <w:t>, 57</w:t>
            </w:r>
          </w:p>
        </w:tc>
        <w:tc>
          <w:tcPr>
            <w:tcW w:w="8380" w:type="dxa"/>
            <w:vAlign w:val="bottom"/>
          </w:tcPr>
          <w:p>
            <w:pPr>
              <w:ind w:left="460"/>
              <w:spacing w:after="0" w:line="97" w:lineRule="exact"/>
              <w:rPr>
                <w:sz w:val="20"/>
                <w:szCs w:val="20"/>
                <w:color w:val="auto"/>
              </w:rPr>
            </w:pPr>
            <w:r>
              <w:rPr>
                <w:rFonts w:ascii="Arial" w:cs="Arial" w:eastAsia="Arial" w:hAnsi="Arial"/>
                <w:sz w:val="10"/>
                <w:szCs w:val="10"/>
                <w:color w:val="auto"/>
                <w:w w:val="96"/>
              </w:rPr>
              <w:t>Senior Vice President and Chief Human Resources Officer since June 2020. Vice President, Human Resources and Communications, Aerospace from February 2018 to June 2020. Vice</w:t>
            </w:r>
          </w:p>
        </w:tc>
        <w:tc>
          <w:tcPr>
            <w:tcW w:w="0" w:type="dxa"/>
            <w:vAlign w:val="bottom"/>
          </w:tcPr>
          <w:p>
            <w:pPr>
              <w:spacing w:after="0"/>
              <w:rPr>
                <w:sz w:val="1"/>
                <w:szCs w:val="1"/>
                <w:color w:val="auto"/>
              </w:rPr>
            </w:pPr>
          </w:p>
        </w:tc>
      </w:tr>
      <w:tr>
        <w:trPr>
          <w:trHeight w:val="147"/>
        </w:trPr>
        <w:tc>
          <w:tcPr>
            <w:tcW w:w="2920" w:type="dxa"/>
            <w:vAlign w:val="bottom"/>
          </w:tcPr>
          <w:p>
            <w:pPr>
              <w:ind w:left="1420"/>
              <w:spacing w:after="0"/>
              <w:rPr>
                <w:sz w:val="20"/>
                <w:szCs w:val="20"/>
                <w:color w:val="auto"/>
              </w:rPr>
            </w:pPr>
            <w:r>
              <w:rPr>
                <w:rFonts w:ascii="Arial" w:cs="Arial" w:eastAsia="Arial" w:hAnsi="Arial"/>
                <w:sz w:val="10"/>
                <w:szCs w:val="10"/>
                <w:color w:val="auto"/>
              </w:rPr>
              <w:t>2020</w:t>
            </w:r>
          </w:p>
        </w:tc>
        <w:tc>
          <w:tcPr>
            <w:tcW w:w="8380" w:type="dxa"/>
            <w:vAlign w:val="bottom"/>
          </w:tcPr>
          <w:p>
            <w:pPr>
              <w:ind w:left="460"/>
              <w:spacing w:after="0"/>
              <w:rPr>
                <w:sz w:val="20"/>
                <w:szCs w:val="20"/>
                <w:color w:val="auto"/>
              </w:rPr>
            </w:pPr>
            <w:r>
              <w:rPr>
                <w:rFonts w:ascii="Arial" w:cs="Arial" w:eastAsia="Arial" w:hAnsi="Arial"/>
                <w:sz w:val="10"/>
                <w:szCs w:val="10"/>
                <w:color w:val="auto"/>
              </w:rPr>
              <w:t>President, Human Resources Services from April 2015 to February 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-2950210</wp:posOffset>
            </wp:positionV>
            <wp:extent cx="7178040" cy="35547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78040" cy="35547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1428"/>
        <w:spacing w:after="0"/>
        <w:rPr>
          <w:sz w:val="20"/>
          <w:szCs w:val="20"/>
          <w:color w:val="auto"/>
        </w:rPr>
      </w:pPr>
      <w:r>
        <w:rPr>
          <w:rFonts w:ascii="Arial" w:cs="Arial" w:eastAsia="Arial" w:hAnsi="Arial"/>
          <w:sz w:val="8"/>
          <w:szCs w:val="8"/>
          <w:b w:val="1"/>
          <w:bCs w:val="1"/>
          <w:color w:val="auto"/>
        </w:rPr>
        <w:t>Ken West</w:t>
      </w:r>
      <w:r>
        <w:rPr>
          <w:rFonts w:ascii="Arial" w:cs="Arial" w:eastAsia="Arial" w:hAnsi="Arial"/>
          <w:sz w:val="8"/>
          <w:szCs w:val="8"/>
          <w:color w:val="auto"/>
        </w:rPr>
        <w:t>, 49</w:t>
      </w:r>
    </w:p>
    <w:p>
      <w:pPr>
        <w:spacing w:after="0" w:line="17" w:lineRule="exact"/>
        <w:rPr>
          <w:sz w:val="20"/>
          <w:szCs w:val="20"/>
          <w:color w:val="auto"/>
        </w:rPr>
      </w:pPr>
    </w:p>
    <w:p>
      <w:pPr>
        <w:ind w:left="1428"/>
        <w:spacing w:after="0"/>
        <w:rPr>
          <w:sz w:val="20"/>
          <w:szCs w:val="20"/>
          <w:color w:val="auto"/>
        </w:rPr>
      </w:pPr>
      <w:r>
        <w:rPr>
          <w:rFonts w:ascii="Arial" w:cs="Arial" w:eastAsia="Arial" w:hAnsi="Arial"/>
          <w:sz w:val="10"/>
          <w:szCs w:val="10"/>
          <w:color w:val="auto"/>
        </w:rPr>
        <w:t>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jc w:val="both"/>
        <w:ind w:right="20"/>
        <w:spacing w:after="0" w:line="325" w:lineRule="auto"/>
        <w:rPr>
          <w:sz w:val="20"/>
          <w:szCs w:val="20"/>
          <w:color w:val="auto"/>
        </w:rPr>
      </w:pPr>
      <w:r>
        <w:rPr>
          <w:rFonts w:ascii="Arial" w:cs="Arial" w:eastAsia="Arial" w:hAnsi="Arial"/>
          <w:sz w:val="8"/>
          <w:szCs w:val="8"/>
          <w:color w:val="auto"/>
        </w:rPr>
        <w:t>President and Chief Executive Officer, Energy and Sustainability Solutions since January 2024. Mr. West previously held roles within Performance Materials and Technologies, including President and Chief Executive Officer, Honeywell UOP from July 2023 to December 2023, President and Chief Executive Officer, Advanced Materials from January 2022 to July 2023, Vice President and General Manager of the Fluorine Products business from April 2021 to January 2022, Vice President and General Manager of the Life Sciences, Protective, and Industrial Products business from June 2020 to April 2021, and Vice President and General Manager of the Packaging and Composites business from October 2018 to June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-2150745</wp:posOffset>
            </wp:positionH>
            <wp:positionV relativeFrom="paragraph">
              <wp:posOffset>29845</wp:posOffset>
            </wp:positionV>
            <wp:extent cx="717804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2668" w:space="720"/>
            <w:col w:w="7920"/>
          </w:cols>
          <w:pgMar w:left="292" w:top="155" w:right="299" w:bottom="1440" w:gutter="0" w:footer="0" w:header="0"/>
          <w:type w:val="continuous"/>
        </w:sectPr>
      </w:pPr>
    </w:p>
    <w:p>
      <w:pPr>
        <w:ind w:left="108" w:hanging="108"/>
        <w:spacing w:after="0"/>
        <w:tabs>
          <w:tab w:leader="none" w:pos="108" w:val="left"/>
        </w:tabs>
        <w:numPr>
          <w:ilvl w:val="0"/>
          <w:numId w:val="94"/>
        </w:numPr>
        <w:rPr>
          <w:rFonts w:ascii="Arial" w:cs="Arial" w:eastAsia="Arial" w:hAnsi="Arial"/>
          <w:sz w:val="11"/>
          <w:szCs w:val="11"/>
          <w:color w:val="auto"/>
          <w:vertAlign w:val="superscript"/>
        </w:rPr>
      </w:pPr>
      <w:r>
        <w:rPr>
          <w:rFonts w:ascii="Arial" w:cs="Arial" w:eastAsia="Arial" w:hAnsi="Arial"/>
          <w:sz w:val="8"/>
          <w:szCs w:val="8"/>
          <w:color w:val="auto"/>
        </w:rPr>
        <w:t>Also a Director.</w:t>
      </w:r>
    </w:p>
    <w:p>
      <w:pPr>
        <w:spacing w:after="0" w:line="301" w:lineRule="exact"/>
        <w:rPr>
          <w:sz w:val="20"/>
          <w:szCs w:val="20"/>
          <w:color w:val="auto"/>
        </w:rPr>
      </w:pPr>
    </w:p>
    <w:p>
      <w:pPr>
        <w:ind w:left="268" w:hanging="268"/>
        <w:spacing w:after="0"/>
        <w:tabs>
          <w:tab w:leader="none" w:pos="268" w:val="left"/>
        </w:tabs>
        <w:numPr>
          <w:ilvl w:val="0"/>
          <w:numId w:val="95"/>
        </w:numPr>
        <w:rPr>
          <w:rFonts w:ascii="Arial" w:cs="Arial" w:eastAsia="Arial" w:hAnsi="Arial"/>
          <w:sz w:val="11"/>
          <w:szCs w:val="11"/>
          <w:b w:val="1"/>
          <w:bCs w:val="1"/>
          <w:color w:val="D7282F"/>
        </w:rPr>
      </w:pPr>
      <w:r>
        <w:rPr>
          <w:rFonts w:ascii="Arial" w:cs="Arial" w:eastAsia="Arial" w:hAnsi="Arial"/>
          <w:sz w:val="9"/>
          <w:szCs w:val="9"/>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type w:val="continuous"/>
        </w:sectPr>
      </w:pPr>
    </w:p>
    <w:bookmarkStart w:id="50" w:name="page51"/>
    <w:bookmarkEnd w:id="50"/>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UNRESOLVED STAFF COMMENTS</w:t>
      </w:r>
    </w:p>
    <w:p>
      <w:pPr>
        <w:spacing w:after="0" w:line="262" w:lineRule="exact"/>
        <w:rPr>
          <w:sz w:val="20"/>
          <w:szCs w:val="20"/>
          <w:color w:val="auto"/>
        </w:rPr>
      </w:pPr>
    </w:p>
    <w:p>
      <w:pPr>
        <w:ind w:left="8"/>
        <w:spacing w:after="0"/>
        <w:rPr>
          <w:sz w:val="20"/>
          <w:szCs w:val="20"/>
          <w:color w:val="auto"/>
        </w:rPr>
      </w:pPr>
      <w:r>
        <w:rPr>
          <w:rFonts w:ascii="Arial" w:cs="Arial" w:eastAsia="Arial" w:hAnsi="Arial"/>
          <w:sz w:val="11"/>
          <w:szCs w:val="11"/>
          <w:color w:val="auto"/>
        </w:rPr>
        <w:t>None.</w:t>
      </w:r>
    </w:p>
    <w:p>
      <w:pPr>
        <w:spacing w:after="0" w:line="298"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CYBERSECURITY</w:t>
      </w:r>
    </w:p>
    <w:p>
      <w:pPr>
        <w:spacing w:after="0" w:line="262" w:lineRule="exact"/>
        <w:rPr>
          <w:sz w:val="20"/>
          <w:szCs w:val="20"/>
          <w:color w:val="auto"/>
        </w:rPr>
      </w:pPr>
    </w:p>
    <w:p>
      <w:pPr>
        <w:jc w:val="both"/>
        <w:ind w:left="8"/>
        <w:spacing w:after="0" w:line="287" w:lineRule="auto"/>
        <w:rPr>
          <w:sz w:val="20"/>
          <w:szCs w:val="20"/>
          <w:color w:val="auto"/>
        </w:rPr>
      </w:pPr>
      <w:r>
        <w:rPr>
          <w:rFonts w:ascii="Arial" w:cs="Arial" w:eastAsia="Arial" w:hAnsi="Arial"/>
          <w:sz w:val="11"/>
          <w:szCs w:val="11"/>
          <w:color w:val="auto"/>
        </w:rPr>
        <w:t>Honeywell has a cybersecurity risk management program that is designed to assess, identify, manage, and govern material risks from cybersecurity threats. Our cybersecurity risk management program is a key component of our overall risk management program. Honeywell maintains cybersecurity policies and procedures in accordance with industry standard control frameworks and applicable regulations, laws, and standards. Honeywell maintains oversight of its cybersecurity risk management program via a corporate structure that includes a Cybersecurity Disclosure Committee, a Security Governance Council, the Audit Committee, and the Board.</w:t>
      </w:r>
    </w:p>
    <w:p>
      <w:pPr>
        <w:spacing w:after="0" w:line="32" w:lineRule="exact"/>
        <w:rPr>
          <w:sz w:val="20"/>
          <w:szCs w:val="20"/>
          <w:color w:val="auto"/>
        </w:rPr>
      </w:pPr>
    </w:p>
    <w:p>
      <w:pPr>
        <w:jc w:val="both"/>
        <w:ind w:left="8"/>
        <w:spacing w:after="0" w:line="276" w:lineRule="auto"/>
        <w:rPr>
          <w:sz w:val="20"/>
          <w:szCs w:val="20"/>
          <w:color w:val="auto"/>
        </w:rPr>
      </w:pPr>
      <w:r>
        <w:rPr>
          <w:rFonts w:ascii="Arial" w:cs="Arial" w:eastAsia="Arial" w:hAnsi="Arial"/>
          <w:sz w:val="10"/>
          <w:szCs w:val="10"/>
          <w:color w:val="auto"/>
        </w:rPr>
        <w:t>Honeywell’s Board is responsible for cybersecurity risk oversight and has delegated such oversight to the Audit Committee. The Audit Committee, a committee comprised of independent Board members, four of whom have notable experience related to the oversight of cybersecurity issues, is responsible for oversight of Honeywell’s information technology and cybersecurity risks and regularly reports to the Board on information technology and cybersecurity matters. The Audit Committee oversees risk related to the protection of customer and employee data, trade secrets, and other proprietary information, the security of data on the cloud, persistent threats, and cybersecurity risks associated with the Company’s own products and facilities. As part of its cybersecurity oversight responsibilities, the Audit Committee receives regular updates from our Security Governance Council, which meets quarterly or as needed and is led by our Chief Security Officer and includes members of senior executive leadership. In addition, our Chief Security Officer provides updates directly to the Audit Committee at least twice a year or as needed. These updates cover topics related to information security, privacy, cyber risks and risk management processes, including the status of significant cybersecurity incidents, the emerging threat landscape, and the status of projects to strengthen the Company’s information security posture. In addition, the Security Governance Council maintains a security program designed to monitor and track key security performance indicators, which is periodically presented to senior leadership and the Audit Committee for review and oversight. As noted above, assessing, identifying, and managing cybersecurity risks are integrated into our overall enterprise risk management program. Cybersecurity-related risks are assessed and evaluated on a quarterly basis or as needed; the identified cybersecurity-related risks are assessed and evaluated to determine whether any such risks have the potential to materially impact our business operations, revenue, and expenditures and to understand the degree of such risks relative to other risks faced by Honeywell. Our Chief Security Officer has served in various roles in information technology and information security for over 30 years, including security-related roles in technology deployments, product development, product security, supply chain, and operations. He holds a Bachelor of Science in computer science from the Georgia Institute of Technology.</w:t>
      </w:r>
    </w:p>
    <w:p>
      <w:pPr>
        <w:spacing w:after="0" w:line="172"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In addition, Honeywell’s Cybersecurity Disclosure Committee receives updates at least quarterly or as needed from Honeywell’s global security organization regarding cybersecurity incidents. The Cybersecurity Disclosure Committee includes Honeywell’s Chief Information Security Officer, Chief Security Officer, and senior representatives from finance, controllership, internal audit, investor relations, tax, and legal. Our governance, risk and compliance team, which is part of Honeywell’s enterprise security team, works in partnership with the Company’s internal audit team to review cybersecurity and information technology-related internal controls as part of our overall internal controls process. The Cybersecurity Disclosure Committee informs the Security Governance Council and the Audit Committee of any cybersecurity incidents (if any) that have the potential to materially adversely impact the Company or our information systems.</w:t>
      </w:r>
    </w:p>
    <w:p>
      <w:pPr>
        <w:spacing w:after="0" w:line="51"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Our Chief Information Security Officer, who reports to our Chief Security Officer, oversees the global enterprise security team responsible for leading enterprise-wide information security strategy, architecture, and processes. The enterprise information security team reporting to our Chief Information Security Officer is responsible for infrastructure defense and security controls, performing vulnerability assessments, security incident management, and defining the parameters and standards of our information security risk management program. Honeywell has a comprehensive cybersecurity and information security risk management program that includes risk assessment and mitigation through a threat intelligence-driven approach, application controls, and security monitoring. The risk management program leverages International Organization for Standardizations (ISO) 22301 standards for business continuity and the National Institute of Standards and Technology (NIST) Cyber Security Framework (NIST 800-171) for measuring overall readiness to respond to cyber threats. Our Chief Information Security Officer has more than 20 years of experience in information technology and information security, particularly in the engineering and technology industries. Our information security organization has more than 300 members, with expertise in: (i) application security, (ii) governance and compliance, (iii) program and vulnerability management, (iv) security engineering, (v) identity and access management, (vi) security operations security assurance, (vii) threat intelligence and security architecture, and (viii) incident response.</w:t>
      </w:r>
    </w:p>
    <w:p>
      <w:pPr>
        <w:spacing w:after="0" w:line="53"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From time to time, in addition to performing periodic, internal security reviews/audits, Honeywell engages a third-party to assess the adequacy of our risk management program, with the last such engagement occurring during the first quarter of 2022.</w:t>
      </w:r>
    </w:p>
    <w:p>
      <w:pPr>
        <w:spacing w:after="0" w:line="257" w:lineRule="exact"/>
        <w:rPr>
          <w:sz w:val="20"/>
          <w:szCs w:val="20"/>
          <w:color w:val="auto"/>
        </w:rPr>
      </w:pPr>
    </w:p>
    <w:p>
      <w:pPr>
        <w:ind w:left="268" w:hanging="268"/>
        <w:spacing w:after="0"/>
        <w:tabs>
          <w:tab w:leader="none" w:pos="268" w:val="left"/>
        </w:tabs>
        <w:numPr>
          <w:ilvl w:val="0"/>
          <w:numId w:val="96"/>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51" w:name="page52"/>
    <w:bookmarkEnd w:id="51"/>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Honeywell relies on third-party service providers for certain critical or key infrastructure, solutions, and services across our operations. Honeywell has a third-party risk management program that assesses risks from vendors and suppliers that provide, amongst other things, key information and supply chain services to Honeywell. In addition, the Company maintains business continuity and disaster recovery plans as well as a cybersecurity insurance policy.</w:t>
      </w:r>
    </w:p>
    <w:p>
      <w:pPr>
        <w:spacing w:after="0" w:line="51"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Honeywell has established cybersecurity and information security awareness training programs for employees. Formal training on topics relating to the Company’s cybersecurity, data privacy and information security policies and procedures is mandatory for all employees with access to the Company’s network. Training is administered and tracked through online learning modules. Additionally, Honeywell periodically engages in cyber crisis response table-top simulations to assess Honeywell’s ability to adapt to security-related threats. Improper or illegitimate use of the Company’s information system resources or violation of the Company’s information security policies and procedures may result in disciplinary action.</w:t>
      </w:r>
    </w:p>
    <w:p>
      <w:pPr>
        <w:spacing w:after="0" w:line="41" w:lineRule="exact"/>
        <w:rPr>
          <w:sz w:val="20"/>
          <w:szCs w:val="20"/>
          <w:color w:val="auto"/>
        </w:rPr>
      </w:pPr>
    </w:p>
    <w:p>
      <w:pPr>
        <w:jc w:val="both"/>
        <w:ind w:left="8"/>
        <w:spacing w:after="0" w:line="279" w:lineRule="auto"/>
        <w:rPr>
          <w:sz w:val="20"/>
          <w:szCs w:val="20"/>
          <w:color w:val="auto"/>
        </w:rPr>
      </w:pPr>
      <w:r>
        <w:rPr>
          <w:rFonts w:ascii="Arial" w:cs="Arial" w:eastAsia="Arial" w:hAnsi="Arial"/>
          <w:sz w:val="10"/>
          <w:szCs w:val="10"/>
          <w:color w:val="auto"/>
        </w:rPr>
        <w:t>To date, no risks from cybersecurity threats, including as a result of any previous cybersecurity incidents, have materially affected or are reasonably likely to materially affect our business, our business strategy, our results of operations or financial condition. For further information, see “Our business, reputation, and financial performance may be materially impacted by cybersecurity attacks on our information technology infrastructure and products” in Item 1A, Risk Factors</w:t>
      </w:r>
    </w:p>
    <w:p>
      <w:pPr>
        <w:ind w:left="8"/>
        <w:spacing w:after="0"/>
        <w:rPr>
          <w:sz w:val="20"/>
          <w:szCs w:val="20"/>
          <w:color w:val="auto"/>
        </w:rPr>
      </w:pPr>
      <w:r>
        <w:rPr>
          <w:rFonts w:ascii="Arial" w:cs="Arial" w:eastAsia="Arial" w:hAnsi="Arial"/>
          <w:sz w:val="11"/>
          <w:szCs w:val="11"/>
          <w:color w:val="auto"/>
        </w:rPr>
        <w:t>of this Annual Report. In the event an attack or other intrusion were to be successful, we have a response team of internal and external resources engaged and prepared to respond</w:t>
      </w:r>
      <w:r>
        <w:rPr>
          <w:rFonts w:ascii="Times New Roman" w:cs="Times New Roman" w:eastAsia="Times New Roman" w:hAnsi="Times New Roman"/>
          <w:sz w:val="13"/>
          <w:szCs w:val="13"/>
          <w:color w:val="auto"/>
        </w:rPr>
        <w:t>.</w:t>
      </w:r>
    </w:p>
    <w:p>
      <w:pPr>
        <w:spacing w:after="0" w:line="223"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PROPERTIES</w:t>
      </w:r>
    </w:p>
    <w:p>
      <w:pPr>
        <w:spacing w:after="0" w:line="262"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We have approximately 715 locations, of which 194 are manufacturing sites. Our properties and equipment are in good operating condition and are adequate for our present needs. We do not anticipate difficulty in renewing existing leases as they expire or in finding alternative facilities.</w:t>
      </w:r>
    </w:p>
    <w:p>
      <w:pPr>
        <w:spacing w:after="0" w:line="196"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LEGAL PROCEEDINGS</w:t>
      </w:r>
    </w:p>
    <w:p>
      <w:pPr>
        <w:spacing w:after="0" w:line="253" w:lineRule="exact"/>
        <w:rPr>
          <w:sz w:val="20"/>
          <w:szCs w:val="20"/>
          <w:color w:val="auto"/>
        </w:rPr>
      </w:pPr>
    </w:p>
    <w:p>
      <w:pPr>
        <w:ind w:left="8"/>
        <w:spacing w:after="0" w:line="296" w:lineRule="auto"/>
        <w:rPr>
          <w:sz w:val="20"/>
          <w:szCs w:val="20"/>
          <w:color w:val="auto"/>
        </w:rPr>
      </w:pPr>
      <w:r>
        <w:rPr>
          <w:rFonts w:ascii="Arial" w:cs="Arial" w:eastAsia="Arial" w:hAnsi="Arial"/>
          <w:sz w:val="11"/>
          <w:szCs w:val="11"/>
          <w:color w:val="auto"/>
        </w:rPr>
        <w:t xml:space="preserve">We are subject to a number of lawsuits, investigations, and claims (some of which involve substantial amounts) arising out of the conduct of our business. See a discussion of environmental, asbestos, and other litigation matters in </w:t>
      </w:r>
      <w:r>
        <w:rPr>
          <w:rFonts w:ascii="Arial" w:cs="Arial" w:eastAsia="Arial" w:hAnsi="Arial"/>
          <w:sz w:val="11"/>
          <w:szCs w:val="11"/>
          <w:b w:val="1"/>
          <w:bCs w:val="1"/>
          <w:color w:val="auto"/>
        </w:rPr>
        <w:t>Note</w:t>
      </w:r>
      <w:r>
        <w:rPr>
          <w:rFonts w:ascii="Arial" w:cs="Arial" w:eastAsia="Arial" w:hAnsi="Arial"/>
          <w:sz w:val="11"/>
          <w:szCs w:val="11"/>
          <w:color w:val="auto"/>
        </w:rPr>
        <w:t xml:space="preserve"> </w:t>
      </w:r>
      <w:r>
        <w:rPr>
          <w:rFonts w:ascii="Arial" w:cs="Arial" w:eastAsia="Arial" w:hAnsi="Arial"/>
          <w:sz w:val="11"/>
          <w:szCs w:val="11"/>
          <w:b w:val="1"/>
          <w:bCs w:val="1"/>
          <w:color w:val="auto"/>
        </w:rPr>
        <w:t>19 Commitments and Contingencies of Notes to Consolidated Financial Statements</w:t>
      </w:r>
      <w:r>
        <w:rPr>
          <w:rFonts w:ascii="Arial" w:cs="Arial" w:eastAsia="Arial" w:hAnsi="Arial"/>
          <w:sz w:val="11"/>
          <w:szCs w:val="11"/>
          <w:color w:val="auto"/>
        </w:rPr>
        <w:t>.</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There were no matters requiring disclosure pursuant to the requirement to disclose certain environmental matters involving potential monetary sanctions in excess of $300,000.</w:t>
      </w:r>
    </w:p>
    <w:p>
      <w:pPr>
        <w:spacing w:after="0" w:line="235"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MINE SAFETY DISCLOSURES</w:t>
      </w:r>
    </w:p>
    <w:p>
      <w:pPr>
        <w:spacing w:after="0" w:line="262"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One of our wholly-owned subsidiaries has a placer claim for and operates a chabazite ore surface mine in Arizona. Information concerning mine safety and other regulatory matters associated with this mine is required by Section 1503(a) of the Dodd-Frank Wall Street Reform and Consumer Protection Act and Item 104 of Regulation S-K and is included in Exhibit 95 to this Form 10-K.</w:t>
      </w:r>
    </w:p>
    <w:p>
      <w:pPr>
        <w:spacing w:after="0" w:line="200" w:lineRule="exact"/>
        <w:rPr>
          <w:sz w:val="20"/>
          <w:szCs w:val="20"/>
          <w:color w:val="auto"/>
        </w:rPr>
      </w:pPr>
    </w:p>
    <w:p>
      <w:pPr>
        <w:spacing w:after="0" w:line="372" w:lineRule="exact"/>
        <w:rPr>
          <w:sz w:val="20"/>
          <w:szCs w:val="20"/>
          <w:color w:val="auto"/>
        </w:rPr>
      </w:pPr>
    </w:p>
    <w:p>
      <w:pPr>
        <w:ind w:left="268" w:hanging="268"/>
        <w:spacing w:after="0"/>
        <w:tabs>
          <w:tab w:leader="none" w:pos="268" w:val="left"/>
        </w:tabs>
        <w:numPr>
          <w:ilvl w:val="0"/>
          <w:numId w:val="97"/>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52" w:name="page53"/>
    <w:bookmarkEnd w:id="52"/>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8" w:right="780"/>
        <w:spacing w:after="0" w:line="296" w:lineRule="auto"/>
        <w:rPr>
          <w:sz w:val="20"/>
          <w:szCs w:val="20"/>
          <w:color w:val="auto"/>
        </w:rPr>
      </w:pPr>
      <w:r>
        <w:rPr>
          <w:rFonts w:ascii="Arial" w:cs="Arial" w:eastAsia="Arial" w:hAnsi="Arial"/>
          <w:sz w:val="24"/>
          <w:szCs w:val="24"/>
          <w:b w:val="1"/>
          <w:bCs w:val="1"/>
          <w:color w:val="auto"/>
        </w:rPr>
        <w:t>MARKET FOR REGISTRANT'S COMMON EQUITY, RELATED STOCKHOLDER MATTERS AND ISSUER PURCHASES OF EQUITY SECURITIES</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0"/>
          <w:szCs w:val="10"/>
          <w:color w:val="auto"/>
        </w:rPr>
        <w:t>Our common stock is listed on The Nasdaq Stock Market LLC (Nasdaq) under the ticker symbol “HON.” We increased our quarterly dividend rate by 5% to $1.08 per share of common stock effective with the fourth quarter 2023 dividend.</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1"/>
          <w:szCs w:val="11"/>
          <w:color w:val="auto"/>
        </w:rPr>
        <w:t>We intend to continue to pay quarterly dividends in 2024.</w:t>
      </w:r>
    </w:p>
    <w:p>
      <w:pPr>
        <w:spacing w:after="0" w:line="62"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number of record holders of our common stock at December 31, 2023, was 35,911.</w:t>
      </w:r>
    </w:p>
    <w:p>
      <w:pPr>
        <w:spacing w:after="0" w:line="81"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Information regarding securities authorized for issuance under equity compensation plans is included in the section titled Security Ownership of Certain Beneficial Owners and Management and Related Stockholder Matters under the caption “Equity Compensation Plans.”</w:t>
      </w:r>
    </w:p>
    <w:p>
      <w:pPr>
        <w:spacing w:after="0" w:line="51"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On April 24, 2023, the Board of Directors authorized the repurchase of up to $10 billion of Honeywell common stock, including approximately $2.1 billion of remaining availability under the previously announced $10 billion share repurchase authorization. The repurchase authorization does not have an expiration date and may be amended or terminated by the Board of Directors at any time without prior notice.</w:t>
      </w:r>
    </w:p>
    <w:p>
      <w:pPr>
        <w:spacing w:after="0" w:line="42" w:lineRule="exact"/>
        <w:rPr>
          <w:sz w:val="20"/>
          <w:szCs w:val="20"/>
          <w:color w:val="auto"/>
        </w:rPr>
      </w:pPr>
    </w:p>
    <w:p>
      <w:pPr>
        <w:jc w:val="both"/>
        <w:ind w:left="8"/>
        <w:spacing w:after="0" w:line="260" w:lineRule="auto"/>
        <w:rPr>
          <w:sz w:val="20"/>
          <w:szCs w:val="20"/>
          <w:color w:val="auto"/>
        </w:rPr>
      </w:pPr>
      <w:r>
        <w:rPr>
          <w:rFonts w:ascii="Arial" w:cs="Arial" w:eastAsia="Arial" w:hAnsi="Arial"/>
          <w:sz w:val="11"/>
          <w:szCs w:val="11"/>
          <w:color w:val="auto"/>
        </w:rPr>
        <w:t>Repurchases may be made through a variety of methods, which could include open market purchases, accelerated share repurchase transactions, negotiated block transactions, 10b5-1 plans, other transactions that may be structured through investment banking institutions or privately negotiated, or a combination of the foregoing. Honeywell presently expects to repurchase outstanding shares from time to time (i) to offset the dilutive impact of employee stock-based compensation plans, including option exercises, restricted unit vesting, and matching contributions under our savings plans, and (ii) to reduce share count via share repurchases as and when attractive opportunities arise. The amount and timing of future repurchases may vary depending on market conditions and the level of operating, financing, and other investing activities.</w:t>
      </w:r>
    </w:p>
    <w:p>
      <w:pPr>
        <w:spacing w:after="0" w:line="46"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During the quarter ended December 31, 2023, Honeywell purchased 7,929,193 shares of its common stock, par value $1 per share. As of December 31, 2023, $7.1 billion remained available under the share repurchase authorization for additional share repurchases. The following table summarizes our purchases of Honeywell's common stock for the quarter ended December 31, 2023:</w:t>
      </w:r>
    </w:p>
    <w:p>
      <w:pPr>
        <w:spacing w:after="0" w:line="79" w:lineRule="exact"/>
        <w:rPr>
          <w:sz w:val="20"/>
          <w:szCs w:val="20"/>
          <w:color w:val="auto"/>
        </w:rPr>
      </w:pPr>
    </w:p>
    <w:p>
      <w:pPr>
        <w:jc w:val="center"/>
        <w:ind w:right="-7"/>
        <w:spacing w:after="0"/>
        <w:rPr>
          <w:sz w:val="20"/>
          <w:szCs w:val="20"/>
          <w:color w:val="auto"/>
        </w:rPr>
      </w:pPr>
      <w:r>
        <w:rPr>
          <w:rFonts w:ascii="Arial" w:cs="Arial" w:eastAsia="Arial" w:hAnsi="Arial"/>
          <w:sz w:val="10"/>
          <w:szCs w:val="10"/>
          <w:b w:val="1"/>
          <w:bCs w:val="1"/>
          <w:color w:val="auto"/>
        </w:rPr>
        <w:t>Issuer Purchases of Equity Securities</w:t>
      </w:r>
    </w:p>
    <w:p>
      <w:pPr>
        <w:spacing w:after="0" w:line="16"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360" w:type="dxa"/>
            <w:vAlign w:val="bottom"/>
            <w:tcBorders>
              <w:top w:val="single" w:sz="8" w:color="D7282F"/>
            </w:tcBorders>
          </w:tcPr>
          <w:p>
            <w:pPr>
              <w:spacing w:after="0"/>
              <w:rPr>
                <w:sz w:val="7"/>
                <w:szCs w:val="7"/>
                <w:color w:val="auto"/>
              </w:rPr>
            </w:pPr>
          </w:p>
        </w:tc>
        <w:tc>
          <w:tcPr>
            <w:tcW w:w="3240" w:type="dxa"/>
            <w:vAlign w:val="bottom"/>
            <w:tcBorders>
              <w:top w:val="single" w:sz="8" w:color="D7282F"/>
            </w:tcBorders>
          </w:tcPr>
          <w:p>
            <w:pPr>
              <w:spacing w:after="0"/>
              <w:rPr>
                <w:sz w:val="7"/>
                <w:szCs w:val="7"/>
                <w:color w:val="auto"/>
              </w:rPr>
            </w:pPr>
          </w:p>
        </w:tc>
        <w:tc>
          <w:tcPr>
            <w:tcW w:w="300" w:type="dxa"/>
            <w:vAlign w:val="bottom"/>
            <w:tcBorders>
              <w:top w:val="single" w:sz="8" w:color="D7282F"/>
            </w:tcBorders>
          </w:tcPr>
          <w:p>
            <w:pPr>
              <w:spacing w:after="0"/>
              <w:rPr>
                <w:sz w:val="7"/>
                <w:szCs w:val="7"/>
                <w:color w:val="auto"/>
              </w:rPr>
            </w:pPr>
          </w:p>
        </w:tc>
        <w:tc>
          <w:tcPr>
            <w:tcW w:w="1100" w:type="dxa"/>
            <w:vAlign w:val="bottom"/>
            <w:tcBorders>
              <w:top w:val="single" w:sz="8" w:color="D7282F"/>
            </w:tcBorders>
          </w:tcPr>
          <w:p>
            <w:pPr>
              <w:spacing w:after="0"/>
              <w:rPr>
                <w:sz w:val="7"/>
                <w:szCs w:val="7"/>
                <w:color w:val="auto"/>
              </w:rPr>
            </w:pPr>
          </w:p>
        </w:tc>
        <w:tc>
          <w:tcPr>
            <w:tcW w:w="1420" w:type="dxa"/>
            <w:vAlign w:val="bottom"/>
            <w:tcBorders>
              <w:top w:val="single" w:sz="8" w:color="D7282F"/>
            </w:tcBorders>
          </w:tcPr>
          <w:p>
            <w:pPr>
              <w:jc w:val="center"/>
              <w:ind w:right="72"/>
              <w:spacing w:after="0" w:line="90" w:lineRule="exact"/>
              <w:rPr>
                <w:sz w:val="20"/>
                <w:szCs w:val="20"/>
                <w:color w:val="auto"/>
              </w:rPr>
            </w:pPr>
            <w:r>
              <w:rPr>
                <w:rFonts w:ascii="Arial" w:cs="Arial" w:eastAsia="Arial" w:hAnsi="Arial"/>
                <w:sz w:val="10"/>
                <w:szCs w:val="10"/>
                <w:b w:val="1"/>
                <w:bCs w:val="1"/>
                <w:color w:val="auto"/>
                <w:w w:val="96"/>
              </w:rPr>
              <w:t>Total Number</w:t>
            </w:r>
          </w:p>
        </w:tc>
        <w:tc>
          <w:tcPr>
            <w:tcW w:w="340" w:type="dxa"/>
            <w:vAlign w:val="bottom"/>
            <w:tcBorders>
              <w:top w:val="single" w:sz="8" w:color="D7282F"/>
            </w:tcBorders>
          </w:tcPr>
          <w:p>
            <w:pPr>
              <w:spacing w:after="0"/>
              <w:rPr>
                <w:sz w:val="7"/>
                <w:szCs w:val="7"/>
                <w:color w:val="auto"/>
              </w:rPr>
            </w:pPr>
          </w:p>
        </w:tc>
        <w:tc>
          <w:tcPr>
            <w:tcW w:w="1540" w:type="dxa"/>
            <w:vAlign w:val="bottom"/>
            <w:tcBorders>
              <w:top w:val="single" w:sz="8" w:color="D7282F"/>
            </w:tcBorders>
            <w:vMerge w:val="restart"/>
          </w:tcPr>
          <w:p>
            <w:pPr>
              <w:jc w:val="center"/>
              <w:ind w:right="172"/>
              <w:spacing w:after="0"/>
              <w:rPr>
                <w:sz w:val="20"/>
                <w:szCs w:val="20"/>
                <w:color w:val="auto"/>
              </w:rPr>
            </w:pPr>
            <w:r>
              <w:rPr>
                <w:rFonts w:ascii="Arial" w:cs="Arial" w:eastAsia="Arial" w:hAnsi="Arial"/>
                <w:sz w:val="10"/>
                <w:szCs w:val="10"/>
                <w:b w:val="1"/>
                <w:bCs w:val="1"/>
                <w:color w:val="auto"/>
                <w:w w:val="95"/>
              </w:rPr>
              <w:t>Approximate Dollar</w:t>
            </w:r>
          </w:p>
        </w:tc>
        <w:tc>
          <w:tcPr>
            <w:tcW w:w="0" w:type="dxa"/>
            <w:vAlign w:val="bottom"/>
          </w:tcPr>
          <w:p>
            <w:pPr>
              <w:spacing w:after="0"/>
              <w:rPr>
                <w:sz w:val="1"/>
                <w:szCs w:val="1"/>
                <w:color w:val="auto"/>
              </w:rPr>
            </w:pPr>
          </w:p>
        </w:tc>
      </w:tr>
      <w:tr>
        <w:trPr>
          <w:trHeight w:val="99"/>
        </w:trPr>
        <w:tc>
          <w:tcPr>
            <w:tcW w:w="33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20" w:type="dxa"/>
            <w:vAlign w:val="bottom"/>
          </w:tcPr>
          <w:p>
            <w:pPr>
              <w:jc w:val="center"/>
              <w:ind w:right="92"/>
              <w:spacing w:after="0" w:line="99" w:lineRule="exact"/>
              <w:rPr>
                <w:sz w:val="20"/>
                <w:szCs w:val="20"/>
                <w:color w:val="auto"/>
              </w:rPr>
            </w:pPr>
            <w:r>
              <w:rPr>
                <w:rFonts w:ascii="Arial" w:cs="Arial" w:eastAsia="Arial" w:hAnsi="Arial"/>
                <w:sz w:val="10"/>
                <w:szCs w:val="10"/>
                <w:b w:val="1"/>
                <w:bCs w:val="1"/>
                <w:color w:val="auto"/>
                <w:w w:val="96"/>
              </w:rPr>
              <w:t>of Shares</w:t>
            </w:r>
          </w:p>
        </w:tc>
        <w:tc>
          <w:tcPr>
            <w:tcW w:w="34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3360" w:type="dxa"/>
            <w:vAlign w:val="bottom"/>
          </w:tcPr>
          <w:p>
            <w:pPr>
              <w:spacing w:after="0"/>
              <w:rPr>
                <w:sz w:val="8"/>
                <w:szCs w:val="8"/>
                <w:color w:val="auto"/>
              </w:rPr>
            </w:pPr>
          </w:p>
        </w:tc>
        <w:tc>
          <w:tcPr>
            <w:tcW w:w="3240" w:type="dxa"/>
            <w:vAlign w:val="bottom"/>
            <w:vMerge w:val="restart"/>
          </w:tcPr>
          <w:p>
            <w:pPr>
              <w:jc w:val="center"/>
              <w:ind w:left="1992"/>
              <w:spacing w:after="0"/>
              <w:rPr>
                <w:sz w:val="20"/>
                <w:szCs w:val="20"/>
                <w:color w:val="auto"/>
              </w:rPr>
            </w:pPr>
            <w:r>
              <w:rPr>
                <w:rFonts w:ascii="Arial" w:cs="Arial" w:eastAsia="Arial" w:hAnsi="Arial"/>
                <w:sz w:val="10"/>
                <w:szCs w:val="10"/>
                <w:b w:val="1"/>
                <w:bCs w:val="1"/>
                <w:color w:val="auto"/>
              </w:rPr>
              <w:t>Total</w:t>
            </w: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20" w:type="dxa"/>
            <w:vAlign w:val="bottom"/>
          </w:tcPr>
          <w:p>
            <w:pPr>
              <w:jc w:val="center"/>
              <w:ind w:right="72"/>
              <w:spacing w:after="0" w:line="92" w:lineRule="exact"/>
              <w:rPr>
                <w:sz w:val="20"/>
                <w:szCs w:val="20"/>
                <w:color w:val="auto"/>
              </w:rPr>
            </w:pPr>
            <w:r>
              <w:rPr>
                <w:rFonts w:ascii="Arial" w:cs="Arial" w:eastAsia="Arial" w:hAnsi="Arial"/>
                <w:sz w:val="10"/>
                <w:szCs w:val="10"/>
                <w:b w:val="1"/>
                <w:bCs w:val="1"/>
                <w:color w:val="auto"/>
                <w:w w:val="95"/>
              </w:rPr>
              <w:t>Purchased as</w:t>
            </w:r>
          </w:p>
        </w:tc>
        <w:tc>
          <w:tcPr>
            <w:tcW w:w="340" w:type="dxa"/>
            <w:vAlign w:val="bottom"/>
          </w:tcPr>
          <w:p>
            <w:pPr>
              <w:spacing w:after="0"/>
              <w:rPr>
                <w:sz w:val="8"/>
                <w:szCs w:val="8"/>
                <w:color w:val="auto"/>
              </w:rPr>
            </w:pPr>
          </w:p>
        </w:tc>
        <w:tc>
          <w:tcPr>
            <w:tcW w:w="1540" w:type="dxa"/>
            <w:vAlign w:val="bottom"/>
          </w:tcPr>
          <w:p>
            <w:pPr>
              <w:jc w:val="center"/>
              <w:ind w:right="172"/>
              <w:spacing w:after="0" w:line="92" w:lineRule="exact"/>
              <w:rPr>
                <w:sz w:val="20"/>
                <w:szCs w:val="20"/>
                <w:color w:val="auto"/>
              </w:rPr>
            </w:pPr>
            <w:r>
              <w:rPr>
                <w:rFonts w:ascii="Arial" w:cs="Arial" w:eastAsia="Arial" w:hAnsi="Arial"/>
                <w:sz w:val="10"/>
                <w:szCs w:val="10"/>
                <w:b w:val="1"/>
                <w:bCs w:val="1"/>
                <w:color w:val="auto"/>
                <w:w w:val="95"/>
              </w:rPr>
              <w:t>Value of Shares that</w:t>
            </w:r>
          </w:p>
        </w:tc>
        <w:tc>
          <w:tcPr>
            <w:tcW w:w="0" w:type="dxa"/>
            <w:vAlign w:val="bottom"/>
          </w:tcPr>
          <w:p>
            <w:pPr>
              <w:spacing w:after="0"/>
              <w:rPr>
                <w:sz w:val="1"/>
                <w:szCs w:val="1"/>
                <w:color w:val="auto"/>
              </w:rPr>
            </w:pPr>
          </w:p>
        </w:tc>
      </w:tr>
      <w:tr>
        <w:trPr>
          <w:trHeight w:val="97"/>
        </w:trPr>
        <w:tc>
          <w:tcPr>
            <w:tcW w:w="3360" w:type="dxa"/>
            <w:vAlign w:val="bottom"/>
          </w:tcPr>
          <w:p>
            <w:pPr>
              <w:spacing w:after="0"/>
              <w:rPr>
                <w:sz w:val="8"/>
                <w:szCs w:val="8"/>
                <w:color w:val="auto"/>
              </w:rPr>
            </w:pPr>
          </w:p>
        </w:tc>
        <w:tc>
          <w:tcPr>
            <w:tcW w:w="324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vMerge w:val="restart"/>
          </w:tcPr>
          <w:p>
            <w:pPr>
              <w:jc w:val="center"/>
              <w:ind w:right="392"/>
              <w:spacing w:after="0"/>
              <w:rPr>
                <w:sz w:val="20"/>
                <w:szCs w:val="20"/>
                <w:color w:val="auto"/>
              </w:rPr>
            </w:pPr>
            <w:r>
              <w:rPr>
                <w:rFonts w:ascii="Arial" w:cs="Arial" w:eastAsia="Arial" w:hAnsi="Arial"/>
                <w:sz w:val="10"/>
                <w:szCs w:val="10"/>
                <w:b w:val="1"/>
                <w:bCs w:val="1"/>
                <w:color w:val="auto"/>
                <w:w w:val="96"/>
              </w:rPr>
              <w:t>Average</w:t>
            </w:r>
          </w:p>
        </w:tc>
        <w:tc>
          <w:tcPr>
            <w:tcW w:w="1420" w:type="dxa"/>
            <w:vAlign w:val="bottom"/>
          </w:tcPr>
          <w:p>
            <w:pPr>
              <w:jc w:val="center"/>
              <w:ind w:right="72"/>
              <w:spacing w:after="0" w:line="97" w:lineRule="exact"/>
              <w:rPr>
                <w:sz w:val="20"/>
                <w:szCs w:val="20"/>
                <w:color w:val="auto"/>
              </w:rPr>
            </w:pPr>
            <w:r>
              <w:rPr>
                <w:rFonts w:ascii="Arial" w:cs="Arial" w:eastAsia="Arial" w:hAnsi="Arial"/>
                <w:sz w:val="10"/>
                <w:szCs w:val="10"/>
                <w:b w:val="1"/>
                <w:bCs w:val="1"/>
                <w:color w:val="auto"/>
                <w:w w:val="96"/>
              </w:rPr>
              <w:t>Part of Publicly</w:t>
            </w:r>
          </w:p>
        </w:tc>
        <w:tc>
          <w:tcPr>
            <w:tcW w:w="340" w:type="dxa"/>
            <w:vAlign w:val="bottom"/>
          </w:tcPr>
          <w:p>
            <w:pPr>
              <w:spacing w:after="0"/>
              <w:rPr>
                <w:sz w:val="8"/>
                <w:szCs w:val="8"/>
                <w:color w:val="auto"/>
              </w:rPr>
            </w:pPr>
          </w:p>
        </w:tc>
        <w:tc>
          <w:tcPr>
            <w:tcW w:w="1540" w:type="dxa"/>
            <w:vAlign w:val="bottom"/>
          </w:tcPr>
          <w:p>
            <w:pPr>
              <w:jc w:val="center"/>
              <w:ind w:right="172"/>
              <w:spacing w:after="0" w:line="97" w:lineRule="exact"/>
              <w:rPr>
                <w:sz w:val="20"/>
                <w:szCs w:val="20"/>
                <w:color w:val="auto"/>
              </w:rPr>
            </w:pPr>
            <w:r>
              <w:rPr>
                <w:rFonts w:ascii="Arial" w:cs="Arial" w:eastAsia="Arial" w:hAnsi="Arial"/>
                <w:sz w:val="10"/>
                <w:szCs w:val="10"/>
                <w:b w:val="1"/>
                <w:bCs w:val="1"/>
                <w:color w:val="auto"/>
                <w:w w:val="94"/>
              </w:rPr>
              <w:t>May Yet be Purchased</w:t>
            </w:r>
          </w:p>
        </w:tc>
        <w:tc>
          <w:tcPr>
            <w:tcW w:w="0" w:type="dxa"/>
            <w:vAlign w:val="bottom"/>
          </w:tcPr>
          <w:p>
            <w:pPr>
              <w:spacing w:after="0"/>
              <w:rPr>
                <w:sz w:val="1"/>
                <w:szCs w:val="1"/>
                <w:color w:val="auto"/>
              </w:rPr>
            </w:pPr>
          </w:p>
        </w:tc>
      </w:tr>
      <w:tr>
        <w:trPr>
          <w:trHeight w:val="99"/>
        </w:trPr>
        <w:tc>
          <w:tcPr>
            <w:tcW w:w="3360" w:type="dxa"/>
            <w:vAlign w:val="bottom"/>
          </w:tcPr>
          <w:p>
            <w:pPr>
              <w:spacing w:after="0"/>
              <w:rPr>
                <w:sz w:val="8"/>
                <w:szCs w:val="8"/>
                <w:color w:val="auto"/>
              </w:rPr>
            </w:pPr>
          </w:p>
        </w:tc>
        <w:tc>
          <w:tcPr>
            <w:tcW w:w="3240" w:type="dxa"/>
            <w:vAlign w:val="bottom"/>
          </w:tcPr>
          <w:p>
            <w:pPr>
              <w:jc w:val="center"/>
              <w:ind w:left="1992"/>
              <w:spacing w:after="0" w:line="99" w:lineRule="exact"/>
              <w:rPr>
                <w:sz w:val="20"/>
                <w:szCs w:val="20"/>
                <w:color w:val="auto"/>
              </w:rPr>
            </w:pPr>
            <w:r>
              <w:rPr>
                <w:rFonts w:ascii="Arial" w:cs="Arial" w:eastAsia="Arial" w:hAnsi="Arial"/>
                <w:sz w:val="10"/>
                <w:szCs w:val="10"/>
                <w:b w:val="1"/>
                <w:bCs w:val="1"/>
                <w:color w:val="auto"/>
                <w:w w:val="95"/>
              </w:rPr>
              <w:t>Number of</w:t>
            </w:r>
          </w:p>
        </w:tc>
        <w:tc>
          <w:tcPr>
            <w:tcW w:w="30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420" w:type="dxa"/>
            <w:vAlign w:val="bottom"/>
          </w:tcPr>
          <w:p>
            <w:pPr>
              <w:jc w:val="center"/>
              <w:ind w:right="92"/>
              <w:spacing w:after="0" w:line="99" w:lineRule="exact"/>
              <w:rPr>
                <w:sz w:val="20"/>
                <w:szCs w:val="20"/>
                <w:color w:val="auto"/>
              </w:rPr>
            </w:pPr>
            <w:r>
              <w:rPr>
                <w:rFonts w:ascii="Arial" w:cs="Arial" w:eastAsia="Arial" w:hAnsi="Arial"/>
                <w:sz w:val="10"/>
                <w:szCs w:val="10"/>
                <w:b w:val="1"/>
                <w:bCs w:val="1"/>
                <w:color w:val="auto"/>
                <w:w w:val="94"/>
              </w:rPr>
              <w:t>Announced</w:t>
            </w:r>
          </w:p>
        </w:tc>
        <w:tc>
          <w:tcPr>
            <w:tcW w:w="340" w:type="dxa"/>
            <w:vAlign w:val="bottom"/>
          </w:tcPr>
          <w:p>
            <w:pPr>
              <w:spacing w:after="0"/>
              <w:rPr>
                <w:sz w:val="8"/>
                <w:szCs w:val="8"/>
                <w:color w:val="auto"/>
              </w:rPr>
            </w:pPr>
          </w:p>
        </w:tc>
        <w:tc>
          <w:tcPr>
            <w:tcW w:w="1540" w:type="dxa"/>
            <w:vAlign w:val="bottom"/>
          </w:tcPr>
          <w:p>
            <w:pPr>
              <w:jc w:val="center"/>
              <w:ind w:right="172"/>
              <w:spacing w:after="0" w:line="99" w:lineRule="exact"/>
              <w:rPr>
                <w:sz w:val="20"/>
                <w:szCs w:val="20"/>
                <w:color w:val="auto"/>
              </w:rPr>
            </w:pPr>
            <w:r>
              <w:rPr>
                <w:rFonts w:ascii="Arial" w:cs="Arial" w:eastAsia="Arial" w:hAnsi="Arial"/>
                <w:sz w:val="10"/>
                <w:szCs w:val="10"/>
                <w:b w:val="1"/>
                <w:bCs w:val="1"/>
                <w:color w:val="auto"/>
                <w:w w:val="94"/>
              </w:rPr>
              <w:t>Under the Plans or</w:t>
            </w:r>
          </w:p>
        </w:tc>
        <w:tc>
          <w:tcPr>
            <w:tcW w:w="0" w:type="dxa"/>
            <w:vAlign w:val="bottom"/>
          </w:tcPr>
          <w:p>
            <w:pPr>
              <w:spacing w:after="0"/>
              <w:rPr>
                <w:sz w:val="1"/>
                <w:szCs w:val="1"/>
                <w:color w:val="auto"/>
              </w:rPr>
            </w:pPr>
          </w:p>
        </w:tc>
      </w:tr>
      <w:tr>
        <w:trPr>
          <w:trHeight w:val="92"/>
        </w:trPr>
        <w:tc>
          <w:tcPr>
            <w:tcW w:w="3360" w:type="dxa"/>
            <w:vAlign w:val="bottom"/>
            <w:vMerge w:val="restart"/>
          </w:tcPr>
          <w:p>
            <w:pPr>
              <w:spacing w:after="0"/>
              <w:rPr>
                <w:sz w:val="20"/>
                <w:szCs w:val="20"/>
                <w:color w:val="auto"/>
              </w:rPr>
            </w:pPr>
            <w:r>
              <w:rPr>
                <w:rFonts w:ascii="Arial" w:cs="Arial" w:eastAsia="Arial" w:hAnsi="Arial"/>
                <w:sz w:val="10"/>
                <w:szCs w:val="10"/>
                <w:b w:val="1"/>
                <w:bCs w:val="1"/>
                <w:color w:val="auto"/>
              </w:rPr>
              <w:t>Period</w:t>
            </w:r>
          </w:p>
        </w:tc>
        <w:tc>
          <w:tcPr>
            <w:tcW w:w="3240" w:type="dxa"/>
            <w:vAlign w:val="bottom"/>
          </w:tcPr>
          <w:p>
            <w:pPr>
              <w:jc w:val="center"/>
              <w:ind w:left="1992"/>
              <w:spacing w:after="0" w:line="92" w:lineRule="exact"/>
              <w:rPr>
                <w:sz w:val="20"/>
                <w:szCs w:val="20"/>
                <w:color w:val="auto"/>
              </w:rPr>
            </w:pPr>
            <w:r>
              <w:rPr>
                <w:rFonts w:ascii="Arial" w:cs="Arial" w:eastAsia="Arial" w:hAnsi="Arial"/>
                <w:sz w:val="10"/>
                <w:szCs w:val="10"/>
                <w:b w:val="1"/>
                <w:bCs w:val="1"/>
                <w:color w:val="auto"/>
                <w:w w:val="95"/>
              </w:rPr>
              <w:t>Shares</w:t>
            </w:r>
          </w:p>
        </w:tc>
        <w:tc>
          <w:tcPr>
            <w:tcW w:w="300" w:type="dxa"/>
            <w:vAlign w:val="bottom"/>
          </w:tcPr>
          <w:p>
            <w:pPr>
              <w:spacing w:after="0"/>
              <w:rPr>
                <w:sz w:val="8"/>
                <w:szCs w:val="8"/>
                <w:color w:val="auto"/>
              </w:rPr>
            </w:pPr>
          </w:p>
        </w:tc>
        <w:tc>
          <w:tcPr>
            <w:tcW w:w="1100" w:type="dxa"/>
            <w:vAlign w:val="bottom"/>
          </w:tcPr>
          <w:p>
            <w:pPr>
              <w:jc w:val="center"/>
              <w:ind w:right="392"/>
              <w:spacing w:after="0" w:line="92" w:lineRule="exact"/>
              <w:rPr>
                <w:sz w:val="20"/>
                <w:szCs w:val="20"/>
                <w:color w:val="auto"/>
              </w:rPr>
            </w:pPr>
            <w:r>
              <w:rPr>
                <w:rFonts w:ascii="Arial" w:cs="Arial" w:eastAsia="Arial" w:hAnsi="Arial"/>
                <w:sz w:val="10"/>
                <w:szCs w:val="10"/>
                <w:b w:val="1"/>
                <w:bCs w:val="1"/>
                <w:color w:val="auto"/>
                <w:w w:val="95"/>
              </w:rPr>
              <w:t>Price Paid</w:t>
            </w:r>
          </w:p>
        </w:tc>
        <w:tc>
          <w:tcPr>
            <w:tcW w:w="1420" w:type="dxa"/>
            <w:vAlign w:val="bottom"/>
          </w:tcPr>
          <w:p>
            <w:pPr>
              <w:jc w:val="center"/>
              <w:ind w:right="72"/>
              <w:spacing w:after="0" w:line="92" w:lineRule="exact"/>
              <w:rPr>
                <w:sz w:val="20"/>
                <w:szCs w:val="20"/>
                <w:color w:val="auto"/>
              </w:rPr>
            </w:pPr>
            <w:r>
              <w:rPr>
                <w:rFonts w:ascii="Arial" w:cs="Arial" w:eastAsia="Arial" w:hAnsi="Arial"/>
                <w:sz w:val="10"/>
                <w:szCs w:val="10"/>
                <w:b w:val="1"/>
                <w:bCs w:val="1"/>
                <w:color w:val="auto"/>
                <w:w w:val="97"/>
              </w:rPr>
              <w:t>Plans</w:t>
            </w:r>
          </w:p>
        </w:tc>
        <w:tc>
          <w:tcPr>
            <w:tcW w:w="340" w:type="dxa"/>
            <w:vAlign w:val="bottom"/>
          </w:tcPr>
          <w:p>
            <w:pPr>
              <w:spacing w:after="0"/>
              <w:rPr>
                <w:sz w:val="8"/>
                <w:szCs w:val="8"/>
                <w:color w:val="auto"/>
              </w:rPr>
            </w:pPr>
          </w:p>
        </w:tc>
        <w:tc>
          <w:tcPr>
            <w:tcW w:w="1540" w:type="dxa"/>
            <w:vAlign w:val="bottom"/>
          </w:tcPr>
          <w:p>
            <w:pPr>
              <w:jc w:val="center"/>
              <w:ind w:right="172"/>
              <w:spacing w:after="0" w:line="92" w:lineRule="exact"/>
              <w:rPr>
                <w:sz w:val="20"/>
                <w:szCs w:val="20"/>
                <w:color w:val="auto"/>
              </w:rPr>
            </w:pPr>
            <w:r>
              <w:rPr>
                <w:rFonts w:ascii="Arial" w:cs="Arial" w:eastAsia="Arial" w:hAnsi="Arial"/>
                <w:sz w:val="10"/>
                <w:szCs w:val="10"/>
                <w:b w:val="1"/>
                <w:bCs w:val="1"/>
                <w:color w:val="auto"/>
                <w:w w:val="94"/>
              </w:rPr>
              <w:t>Programs</w:t>
            </w:r>
          </w:p>
        </w:tc>
        <w:tc>
          <w:tcPr>
            <w:tcW w:w="0" w:type="dxa"/>
            <w:vAlign w:val="bottom"/>
          </w:tcPr>
          <w:p>
            <w:pPr>
              <w:spacing w:after="0"/>
              <w:rPr>
                <w:sz w:val="1"/>
                <w:szCs w:val="1"/>
                <w:color w:val="auto"/>
              </w:rPr>
            </w:pPr>
          </w:p>
        </w:tc>
      </w:tr>
      <w:tr>
        <w:trPr>
          <w:trHeight w:val="132"/>
        </w:trPr>
        <w:tc>
          <w:tcPr>
            <w:tcW w:w="3360" w:type="dxa"/>
            <w:vAlign w:val="bottom"/>
            <w:tcBorders>
              <w:bottom w:val="single" w:sz="8" w:color="D7282F"/>
            </w:tcBorders>
            <w:vMerge w:val="continue"/>
          </w:tcPr>
          <w:p>
            <w:pPr>
              <w:spacing w:after="0"/>
              <w:rPr>
                <w:sz w:val="11"/>
                <w:szCs w:val="11"/>
                <w:color w:val="auto"/>
              </w:rPr>
            </w:pPr>
          </w:p>
        </w:tc>
        <w:tc>
          <w:tcPr>
            <w:tcW w:w="3240" w:type="dxa"/>
            <w:vAlign w:val="bottom"/>
            <w:tcBorders>
              <w:bottom w:val="single" w:sz="8" w:color="D7282F"/>
            </w:tcBorders>
          </w:tcPr>
          <w:p>
            <w:pPr>
              <w:jc w:val="center"/>
              <w:ind w:left="1992"/>
              <w:spacing w:after="0"/>
              <w:rPr>
                <w:sz w:val="20"/>
                <w:szCs w:val="20"/>
                <w:color w:val="auto"/>
              </w:rPr>
            </w:pPr>
            <w:r>
              <w:rPr>
                <w:rFonts w:ascii="Arial" w:cs="Arial" w:eastAsia="Arial" w:hAnsi="Arial"/>
                <w:sz w:val="10"/>
                <w:szCs w:val="10"/>
                <w:b w:val="1"/>
                <w:bCs w:val="1"/>
                <w:color w:val="auto"/>
                <w:w w:val="93"/>
              </w:rPr>
              <w:t>Purchased</w:t>
            </w:r>
          </w:p>
        </w:tc>
        <w:tc>
          <w:tcPr>
            <w:tcW w:w="300" w:type="dxa"/>
            <w:vAlign w:val="bottom"/>
            <w:tcBorders>
              <w:bottom w:val="single" w:sz="8" w:color="D7282F"/>
            </w:tcBorders>
          </w:tcPr>
          <w:p>
            <w:pPr>
              <w:spacing w:after="0"/>
              <w:rPr>
                <w:sz w:val="11"/>
                <w:szCs w:val="11"/>
                <w:color w:val="auto"/>
              </w:rPr>
            </w:pPr>
          </w:p>
        </w:tc>
        <w:tc>
          <w:tcPr>
            <w:tcW w:w="1100" w:type="dxa"/>
            <w:vAlign w:val="bottom"/>
            <w:tcBorders>
              <w:bottom w:val="single" w:sz="8" w:color="D7282F"/>
            </w:tcBorders>
          </w:tcPr>
          <w:p>
            <w:pPr>
              <w:jc w:val="center"/>
              <w:ind w:right="372"/>
              <w:spacing w:after="0"/>
              <w:rPr>
                <w:sz w:val="20"/>
                <w:szCs w:val="20"/>
                <w:color w:val="auto"/>
              </w:rPr>
            </w:pPr>
            <w:r>
              <w:rPr>
                <w:rFonts w:ascii="Arial" w:cs="Arial" w:eastAsia="Arial" w:hAnsi="Arial"/>
                <w:sz w:val="10"/>
                <w:szCs w:val="10"/>
                <w:b w:val="1"/>
                <w:bCs w:val="1"/>
                <w:color w:val="auto"/>
                <w:w w:val="95"/>
              </w:rPr>
              <w:t>per Share</w:t>
            </w:r>
          </w:p>
        </w:tc>
        <w:tc>
          <w:tcPr>
            <w:tcW w:w="1420" w:type="dxa"/>
            <w:vAlign w:val="bottom"/>
            <w:tcBorders>
              <w:bottom w:val="single" w:sz="8" w:color="D7282F"/>
            </w:tcBorders>
          </w:tcPr>
          <w:p>
            <w:pPr>
              <w:jc w:val="center"/>
              <w:ind w:right="72"/>
              <w:spacing w:after="0"/>
              <w:rPr>
                <w:sz w:val="20"/>
                <w:szCs w:val="20"/>
                <w:color w:val="auto"/>
              </w:rPr>
            </w:pPr>
            <w:r>
              <w:rPr>
                <w:rFonts w:ascii="Arial" w:cs="Arial" w:eastAsia="Arial" w:hAnsi="Arial"/>
                <w:sz w:val="10"/>
                <w:szCs w:val="10"/>
                <w:b w:val="1"/>
                <w:bCs w:val="1"/>
                <w:color w:val="auto"/>
                <w:w w:val="97"/>
              </w:rPr>
              <w:t>or Programs</w:t>
            </w:r>
          </w:p>
        </w:tc>
        <w:tc>
          <w:tcPr>
            <w:tcW w:w="340" w:type="dxa"/>
            <w:vAlign w:val="bottom"/>
            <w:tcBorders>
              <w:bottom w:val="single" w:sz="8" w:color="D7282F"/>
            </w:tcBorders>
          </w:tcPr>
          <w:p>
            <w:pPr>
              <w:spacing w:after="0"/>
              <w:rPr>
                <w:sz w:val="11"/>
                <w:szCs w:val="11"/>
                <w:color w:val="auto"/>
              </w:rPr>
            </w:pPr>
          </w:p>
        </w:tc>
        <w:tc>
          <w:tcPr>
            <w:tcW w:w="1540" w:type="dxa"/>
            <w:vAlign w:val="bottom"/>
            <w:tcBorders>
              <w:bottom w:val="single" w:sz="8" w:color="D7282F"/>
            </w:tcBorders>
          </w:tcPr>
          <w:p>
            <w:pPr>
              <w:jc w:val="center"/>
              <w:ind w:right="172"/>
              <w:spacing w:after="0"/>
              <w:rPr>
                <w:sz w:val="20"/>
                <w:szCs w:val="20"/>
                <w:color w:val="auto"/>
              </w:rPr>
            </w:pPr>
            <w:r>
              <w:rPr>
                <w:rFonts w:ascii="Arial" w:cs="Arial" w:eastAsia="Arial" w:hAnsi="Arial"/>
                <w:sz w:val="10"/>
                <w:szCs w:val="10"/>
                <w:b w:val="1"/>
                <w:bCs w:val="1"/>
                <w:color w:val="auto"/>
                <w:w w:val="94"/>
              </w:rPr>
              <w:t>(Dollars in millions)</w:t>
            </w:r>
          </w:p>
        </w:tc>
        <w:tc>
          <w:tcPr>
            <w:tcW w:w="0" w:type="dxa"/>
            <w:vAlign w:val="bottom"/>
          </w:tcPr>
          <w:p>
            <w:pPr>
              <w:spacing w:after="0"/>
              <w:rPr>
                <w:sz w:val="1"/>
                <w:szCs w:val="1"/>
                <w:color w:val="auto"/>
              </w:rPr>
            </w:pPr>
          </w:p>
        </w:tc>
      </w:tr>
      <w:tr>
        <w:trPr>
          <w:trHeight w:val="122"/>
        </w:trPr>
        <w:tc>
          <w:tcPr>
            <w:tcW w:w="33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October 1 - 31, 2023</w:t>
            </w:r>
          </w:p>
        </w:tc>
        <w:tc>
          <w:tcPr>
            <w:tcW w:w="32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1,088,242</w:t>
            </w:r>
          </w:p>
        </w:tc>
        <w:tc>
          <w:tcPr>
            <w:tcW w:w="3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888B8D"/>
            </w:tcBorders>
          </w:tcPr>
          <w:p>
            <w:pPr>
              <w:jc w:val="right"/>
              <w:ind w:right="252"/>
              <w:spacing w:after="0"/>
              <w:rPr>
                <w:sz w:val="20"/>
                <w:szCs w:val="20"/>
                <w:color w:val="auto"/>
              </w:rPr>
            </w:pPr>
            <w:r>
              <w:rPr>
                <w:rFonts w:ascii="Arial" w:cs="Arial" w:eastAsia="Arial" w:hAnsi="Arial"/>
                <w:sz w:val="10"/>
                <w:szCs w:val="10"/>
                <w:color w:val="auto"/>
              </w:rPr>
              <w:t>183.76</w:t>
            </w:r>
          </w:p>
        </w:tc>
        <w:tc>
          <w:tcPr>
            <w:tcW w:w="14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1,088,242</w:t>
            </w:r>
          </w:p>
        </w:tc>
        <w:tc>
          <w:tcPr>
            <w:tcW w:w="3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15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8,432</w:t>
            </w:r>
          </w:p>
        </w:tc>
        <w:tc>
          <w:tcPr>
            <w:tcW w:w="0" w:type="dxa"/>
            <w:vAlign w:val="bottom"/>
          </w:tcPr>
          <w:p>
            <w:pPr>
              <w:spacing w:after="0"/>
              <w:rPr>
                <w:sz w:val="1"/>
                <w:szCs w:val="1"/>
                <w:color w:val="auto"/>
              </w:rPr>
            </w:pPr>
          </w:p>
        </w:tc>
      </w:tr>
      <w:tr>
        <w:trPr>
          <w:trHeight w:val="124"/>
        </w:trPr>
        <w:tc>
          <w:tcPr>
            <w:tcW w:w="33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November 1 - 30, 2023</w:t>
            </w:r>
          </w:p>
        </w:tc>
        <w:tc>
          <w:tcPr>
            <w:tcW w:w="32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2,996,513</w:t>
            </w:r>
          </w:p>
        </w:tc>
        <w:tc>
          <w:tcPr>
            <w:tcW w:w="3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888B8D"/>
            </w:tcBorders>
          </w:tcPr>
          <w:p>
            <w:pPr>
              <w:jc w:val="right"/>
              <w:ind w:right="252"/>
              <w:spacing w:after="0"/>
              <w:rPr>
                <w:sz w:val="20"/>
                <w:szCs w:val="20"/>
                <w:color w:val="auto"/>
              </w:rPr>
            </w:pPr>
            <w:r>
              <w:rPr>
                <w:rFonts w:ascii="Arial" w:cs="Arial" w:eastAsia="Arial" w:hAnsi="Arial"/>
                <w:sz w:val="10"/>
                <w:szCs w:val="10"/>
                <w:color w:val="auto"/>
              </w:rPr>
              <w:t>186.83</w:t>
            </w:r>
          </w:p>
        </w:tc>
        <w:tc>
          <w:tcPr>
            <w:tcW w:w="14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2,996,513</w:t>
            </w:r>
          </w:p>
        </w:tc>
        <w:tc>
          <w:tcPr>
            <w:tcW w:w="3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15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7,872</w:t>
            </w:r>
          </w:p>
        </w:tc>
        <w:tc>
          <w:tcPr>
            <w:tcW w:w="0" w:type="dxa"/>
            <w:vAlign w:val="bottom"/>
          </w:tcPr>
          <w:p>
            <w:pPr>
              <w:spacing w:after="0"/>
              <w:rPr>
                <w:sz w:val="1"/>
                <w:szCs w:val="1"/>
                <w:color w:val="auto"/>
              </w:rPr>
            </w:pPr>
          </w:p>
        </w:tc>
      </w:tr>
      <w:tr>
        <w:trPr>
          <w:trHeight w:val="124"/>
        </w:trPr>
        <w:tc>
          <w:tcPr>
            <w:tcW w:w="33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December 1 - 31, 2023</w:t>
            </w:r>
          </w:p>
        </w:tc>
        <w:tc>
          <w:tcPr>
            <w:tcW w:w="32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3,844,438</w:t>
            </w:r>
          </w:p>
        </w:tc>
        <w:tc>
          <w:tcPr>
            <w:tcW w:w="3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D7282F"/>
            </w:tcBorders>
          </w:tcPr>
          <w:p>
            <w:pPr>
              <w:jc w:val="right"/>
              <w:ind w:right="252"/>
              <w:spacing w:after="0"/>
              <w:rPr>
                <w:sz w:val="20"/>
                <w:szCs w:val="20"/>
                <w:color w:val="auto"/>
              </w:rPr>
            </w:pPr>
            <w:r>
              <w:rPr>
                <w:rFonts w:ascii="Arial" w:cs="Arial" w:eastAsia="Arial" w:hAnsi="Arial"/>
                <w:sz w:val="10"/>
                <w:szCs w:val="10"/>
                <w:color w:val="auto"/>
              </w:rPr>
              <w:t>199.75</w:t>
            </w:r>
          </w:p>
        </w:tc>
        <w:tc>
          <w:tcPr>
            <w:tcW w:w="1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3,844,438</w:t>
            </w:r>
          </w:p>
        </w:tc>
        <w:tc>
          <w:tcPr>
            <w:tcW w:w="3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15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7,104</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268" w:hanging="268"/>
        <w:spacing w:after="0"/>
        <w:tabs>
          <w:tab w:leader="none" w:pos="268" w:val="left"/>
        </w:tabs>
        <w:numPr>
          <w:ilvl w:val="0"/>
          <w:numId w:val="98"/>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53" w:name="page54"/>
    <w:bookmarkEnd w:id="53"/>
    <w:p>
      <w:pPr>
        <w:spacing w:after="0"/>
        <w:tabs>
          <w:tab w:leader="none" w:pos="570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MARKET FOR REGISTRANT'S COMMON EQUITY, RELATED STOCKHOLDER MATTERS AND ISSUER PURCHASES OF EQUITY SECURITIES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color w:val="D7282F"/>
        </w:rPr>
        <w:t>PERFORMANCE GRAPH</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1"/>
          <w:szCs w:val="11"/>
          <w:color w:val="auto"/>
        </w:rPr>
        <w:t>The following graph compares the five-year cumulative total return on our common stock to the total returns on the Standard &amp; Poor's (S&amp;P) 500 Stock Index, composite of S&amp;P’s Industrial Conglomerates and Aerospace and Defense indices, on a 55%/45% weighted basis (the Composite Index) and Nasdaq Industrial Select Sector (XLI Index). The weighting of the components of the Composite Index are based on our segments’ relative contribution to total segment profit. The selection of the Industrial Conglomerates component of the Composite Index reflects the diverse and distinct range of non-aerospace businesses conducted by Honeywell. The annual changes for the five-year period shown in the graph are based on the assumption that $100 was invested in Honeywell stock and each index on December 31, 2018, and that all dividends were reinvested.</w:t>
      </w:r>
    </w:p>
    <w:p>
      <w:pPr>
        <w:spacing w:after="0" w:line="5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Comparison of Cumulative Five-Year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2012315</wp:posOffset>
            </wp:positionH>
            <wp:positionV relativeFrom="paragraph">
              <wp:posOffset>56515</wp:posOffset>
            </wp:positionV>
            <wp:extent cx="3143250" cy="14287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3143250" cy="142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3980" w:type="dxa"/>
            <w:vAlign w:val="bottom"/>
            <w:tcBorders>
              <w:bottom w:val="single" w:sz="8" w:color="D7282F"/>
            </w:tcBorders>
          </w:tcPr>
          <w:p>
            <w:pPr>
              <w:ind w:left="3400"/>
              <w:spacing w:after="0"/>
              <w:rPr>
                <w:sz w:val="20"/>
                <w:szCs w:val="20"/>
                <w:color w:val="auto"/>
              </w:rPr>
            </w:pPr>
            <w:r>
              <w:rPr>
                <w:rFonts w:ascii="Arial" w:cs="Arial" w:eastAsia="Arial" w:hAnsi="Arial"/>
                <w:sz w:val="10"/>
                <w:szCs w:val="10"/>
                <w:b w:val="1"/>
                <w:bCs w:val="1"/>
                <w:color w:val="auto"/>
              </w:rPr>
              <w:t>Dec. 2018</w:t>
            </w:r>
          </w:p>
        </w:tc>
        <w:tc>
          <w:tcPr>
            <w:tcW w:w="132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Dec. 2019</w:t>
            </w:r>
          </w:p>
        </w:tc>
        <w:tc>
          <w:tcPr>
            <w:tcW w:w="140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Dec. 2020</w:t>
            </w:r>
          </w:p>
        </w:tc>
        <w:tc>
          <w:tcPr>
            <w:tcW w:w="13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Dec. 2021</w:t>
            </w:r>
          </w:p>
        </w:tc>
        <w:tc>
          <w:tcPr>
            <w:tcW w:w="14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Dec. 2022</w:t>
            </w:r>
          </w:p>
        </w:tc>
        <w:tc>
          <w:tcPr>
            <w:tcW w:w="640" w:type="dxa"/>
            <w:vAlign w:val="bottom"/>
            <w:tcBorders>
              <w:bottom w:val="single" w:sz="8" w:color="D7282F"/>
            </w:tcBorders>
          </w:tcPr>
          <w:p>
            <w:pPr>
              <w:spacing w:after="0"/>
              <w:rPr>
                <w:sz w:val="11"/>
                <w:szCs w:val="11"/>
                <w:color w:val="auto"/>
              </w:rPr>
            </w:pPr>
          </w:p>
        </w:tc>
        <w:tc>
          <w:tcPr>
            <w:tcW w:w="1180" w:type="dxa"/>
            <w:vAlign w:val="bottom"/>
            <w:tcBorders>
              <w:bottom w:val="single" w:sz="8" w:color="D7282F"/>
            </w:tcBorders>
          </w:tcPr>
          <w:p>
            <w:pPr>
              <w:jc w:val="right"/>
              <w:ind w:right="432"/>
              <w:spacing w:after="0"/>
              <w:rPr>
                <w:sz w:val="20"/>
                <w:szCs w:val="20"/>
                <w:color w:val="auto"/>
              </w:rPr>
            </w:pPr>
            <w:r>
              <w:rPr>
                <w:rFonts w:ascii="Arial" w:cs="Arial" w:eastAsia="Arial" w:hAnsi="Arial"/>
                <w:sz w:val="10"/>
                <w:szCs w:val="10"/>
                <w:b w:val="1"/>
                <w:bCs w:val="1"/>
                <w:color w:val="auto"/>
              </w:rPr>
              <w:t>Dec. 2023</w:t>
            </w:r>
          </w:p>
        </w:tc>
      </w:tr>
      <w:tr>
        <w:trPr>
          <w:trHeight w:val="122"/>
        </w:trPr>
        <w:tc>
          <w:tcPr>
            <w:tcW w:w="3980" w:type="dxa"/>
            <w:vAlign w:val="bottom"/>
            <w:tcBorders>
              <w:bottom w:val="single" w:sz="8" w:color="888B8D"/>
            </w:tcBorders>
          </w:tcPr>
          <w:p>
            <w:pPr>
              <w:ind w:left="680"/>
              <w:spacing w:after="0"/>
              <w:rPr>
                <w:sz w:val="20"/>
                <w:szCs w:val="20"/>
                <w:color w:val="auto"/>
              </w:rPr>
            </w:pPr>
            <w:r>
              <w:rPr>
                <w:rFonts w:ascii="Arial" w:cs="Arial" w:eastAsia="Arial" w:hAnsi="Arial"/>
                <w:sz w:val="10"/>
                <w:szCs w:val="10"/>
                <w:color w:val="auto"/>
              </w:rPr>
              <w:t>Honeywell</w:t>
            </w:r>
          </w:p>
        </w:tc>
        <w:tc>
          <w:tcPr>
            <w:tcW w:w="1320" w:type="dxa"/>
            <w:vAlign w:val="bottom"/>
            <w:tcBorders>
              <w:bottom w:val="single" w:sz="8" w:color="888B8D"/>
            </w:tcBorders>
          </w:tcPr>
          <w:p>
            <w:pPr>
              <w:jc w:val="right"/>
              <w:ind w:right="992"/>
              <w:spacing w:after="0"/>
              <w:rPr>
                <w:sz w:val="20"/>
                <w:szCs w:val="20"/>
                <w:color w:val="auto"/>
              </w:rPr>
            </w:pPr>
            <w:r>
              <w:rPr>
                <w:rFonts w:ascii="Arial" w:cs="Arial" w:eastAsia="Arial" w:hAnsi="Arial"/>
                <w:sz w:val="10"/>
                <w:szCs w:val="10"/>
                <w:color w:val="auto"/>
              </w:rPr>
              <w:t>100</w:t>
            </w:r>
          </w:p>
        </w:tc>
        <w:tc>
          <w:tcPr>
            <w:tcW w:w="1400" w:type="dxa"/>
            <w:vAlign w:val="bottom"/>
            <w:tcBorders>
              <w:bottom w:val="single" w:sz="8" w:color="888B8D"/>
            </w:tcBorders>
          </w:tcPr>
          <w:p>
            <w:pPr>
              <w:jc w:val="right"/>
              <w:ind w:right="992"/>
              <w:spacing w:after="0"/>
              <w:rPr>
                <w:sz w:val="20"/>
                <w:szCs w:val="20"/>
                <w:color w:val="auto"/>
              </w:rPr>
            </w:pPr>
            <w:r>
              <w:rPr>
                <w:rFonts w:ascii="Arial" w:cs="Arial" w:eastAsia="Arial" w:hAnsi="Arial"/>
                <w:sz w:val="10"/>
                <w:szCs w:val="10"/>
                <w:color w:val="auto"/>
              </w:rPr>
              <w:t>136.70</w:t>
            </w:r>
          </w:p>
        </w:tc>
        <w:tc>
          <w:tcPr>
            <w:tcW w:w="1380" w:type="dxa"/>
            <w:vAlign w:val="bottom"/>
            <w:tcBorders>
              <w:bottom w:val="single" w:sz="8" w:color="888B8D"/>
            </w:tcBorders>
          </w:tcPr>
          <w:p>
            <w:pPr>
              <w:jc w:val="right"/>
              <w:ind w:right="972"/>
              <w:spacing w:after="0"/>
              <w:rPr>
                <w:sz w:val="20"/>
                <w:szCs w:val="20"/>
                <w:color w:val="auto"/>
              </w:rPr>
            </w:pPr>
            <w:r>
              <w:rPr>
                <w:rFonts w:ascii="Arial" w:cs="Arial" w:eastAsia="Arial" w:hAnsi="Arial"/>
                <w:sz w:val="10"/>
                <w:szCs w:val="10"/>
                <w:color w:val="auto"/>
              </w:rPr>
              <w:t>168.10</w:t>
            </w:r>
          </w:p>
        </w:tc>
        <w:tc>
          <w:tcPr>
            <w:tcW w:w="1400" w:type="dxa"/>
            <w:vAlign w:val="bottom"/>
            <w:tcBorders>
              <w:bottom w:val="single" w:sz="8" w:color="888B8D"/>
            </w:tcBorders>
          </w:tcPr>
          <w:p>
            <w:pPr>
              <w:jc w:val="right"/>
              <w:ind w:right="972"/>
              <w:spacing w:after="0"/>
              <w:rPr>
                <w:sz w:val="20"/>
                <w:szCs w:val="20"/>
                <w:color w:val="auto"/>
              </w:rPr>
            </w:pPr>
            <w:r>
              <w:rPr>
                <w:rFonts w:ascii="Arial" w:cs="Arial" w:eastAsia="Arial" w:hAnsi="Arial"/>
                <w:sz w:val="10"/>
                <w:szCs w:val="10"/>
                <w:color w:val="auto"/>
              </w:rPr>
              <w:t>167.60</w:t>
            </w:r>
          </w:p>
        </w:tc>
        <w:tc>
          <w:tcPr>
            <w:tcW w:w="64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175.82</w:t>
            </w:r>
          </w:p>
        </w:tc>
        <w:tc>
          <w:tcPr>
            <w:tcW w:w="11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175.85</w:t>
            </w:r>
          </w:p>
        </w:tc>
      </w:tr>
      <w:tr>
        <w:trPr>
          <w:trHeight w:val="124"/>
        </w:trPr>
        <w:tc>
          <w:tcPr>
            <w:tcW w:w="3980" w:type="dxa"/>
            <w:vAlign w:val="bottom"/>
            <w:tcBorders>
              <w:bottom w:val="single" w:sz="8" w:color="888B8D"/>
            </w:tcBorders>
          </w:tcPr>
          <w:p>
            <w:pPr>
              <w:ind w:left="680"/>
              <w:spacing w:after="0"/>
              <w:rPr>
                <w:sz w:val="20"/>
                <w:szCs w:val="20"/>
                <w:color w:val="auto"/>
              </w:rPr>
            </w:pPr>
            <w:r>
              <w:rPr>
                <w:rFonts w:ascii="Arial" w:cs="Arial" w:eastAsia="Arial" w:hAnsi="Arial"/>
                <w:sz w:val="10"/>
                <w:szCs w:val="10"/>
                <w:color w:val="auto"/>
              </w:rPr>
              <w:t>S&amp;P 500 Index</w:t>
            </w:r>
          </w:p>
        </w:tc>
        <w:tc>
          <w:tcPr>
            <w:tcW w:w="1320" w:type="dxa"/>
            <w:vAlign w:val="bottom"/>
            <w:tcBorders>
              <w:bottom w:val="single" w:sz="8" w:color="888B8D"/>
            </w:tcBorders>
          </w:tcPr>
          <w:p>
            <w:pPr>
              <w:jc w:val="right"/>
              <w:ind w:right="992"/>
              <w:spacing w:after="0"/>
              <w:rPr>
                <w:sz w:val="20"/>
                <w:szCs w:val="20"/>
                <w:color w:val="auto"/>
              </w:rPr>
            </w:pPr>
            <w:r>
              <w:rPr>
                <w:rFonts w:ascii="Arial" w:cs="Arial" w:eastAsia="Arial" w:hAnsi="Arial"/>
                <w:sz w:val="10"/>
                <w:szCs w:val="10"/>
                <w:color w:val="auto"/>
              </w:rPr>
              <w:t>100</w:t>
            </w:r>
          </w:p>
        </w:tc>
        <w:tc>
          <w:tcPr>
            <w:tcW w:w="1400" w:type="dxa"/>
            <w:vAlign w:val="bottom"/>
            <w:tcBorders>
              <w:bottom w:val="single" w:sz="8" w:color="888B8D"/>
            </w:tcBorders>
          </w:tcPr>
          <w:p>
            <w:pPr>
              <w:jc w:val="right"/>
              <w:ind w:right="992"/>
              <w:spacing w:after="0"/>
              <w:rPr>
                <w:sz w:val="20"/>
                <w:szCs w:val="20"/>
                <w:color w:val="auto"/>
              </w:rPr>
            </w:pPr>
            <w:r>
              <w:rPr>
                <w:rFonts w:ascii="Arial" w:cs="Arial" w:eastAsia="Arial" w:hAnsi="Arial"/>
                <w:sz w:val="10"/>
                <w:szCs w:val="10"/>
                <w:color w:val="auto"/>
              </w:rPr>
              <w:t>131.49</w:t>
            </w:r>
          </w:p>
        </w:tc>
        <w:tc>
          <w:tcPr>
            <w:tcW w:w="1380" w:type="dxa"/>
            <w:vAlign w:val="bottom"/>
            <w:tcBorders>
              <w:bottom w:val="single" w:sz="8" w:color="888B8D"/>
            </w:tcBorders>
          </w:tcPr>
          <w:p>
            <w:pPr>
              <w:jc w:val="right"/>
              <w:ind w:right="972"/>
              <w:spacing w:after="0"/>
              <w:rPr>
                <w:sz w:val="20"/>
                <w:szCs w:val="20"/>
                <w:color w:val="auto"/>
              </w:rPr>
            </w:pPr>
            <w:r>
              <w:rPr>
                <w:rFonts w:ascii="Arial" w:cs="Arial" w:eastAsia="Arial" w:hAnsi="Arial"/>
                <w:sz w:val="10"/>
                <w:szCs w:val="10"/>
                <w:color w:val="auto"/>
              </w:rPr>
              <w:t>155.68</w:t>
            </w:r>
          </w:p>
        </w:tc>
        <w:tc>
          <w:tcPr>
            <w:tcW w:w="1400" w:type="dxa"/>
            <w:vAlign w:val="bottom"/>
            <w:tcBorders>
              <w:bottom w:val="single" w:sz="8" w:color="888B8D"/>
            </w:tcBorders>
          </w:tcPr>
          <w:p>
            <w:pPr>
              <w:jc w:val="right"/>
              <w:ind w:right="972"/>
              <w:spacing w:after="0"/>
              <w:rPr>
                <w:sz w:val="20"/>
                <w:szCs w:val="20"/>
                <w:color w:val="auto"/>
              </w:rPr>
            </w:pPr>
            <w:r>
              <w:rPr>
                <w:rFonts w:ascii="Arial" w:cs="Arial" w:eastAsia="Arial" w:hAnsi="Arial"/>
                <w:sz w:val="10"/>
                <w:szCs w:val="10"/>
                <w:color w:val="auto"/>
              </w:rPr>
              <w:t>200.37</w:t>
            </w:r>
          </w:p>
        </w:tc>
        <w:tc>
          <w:tcPr>
            <w:tcW w:w="64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164.08</w:t>
            </w:r>
          </w:p>
        </w:tc>
        <w:tc>
          <w:tcPr>
            <w:tcW w:w="11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207.21</w:t>
            </w:r>
          </w:p>
        </w:tc>
      </w:tr>
      <w:tr>
        <w:trPr>
          <w:trHeight w:val="124"/>
        </w:trPr>
        <w:tc>
          <w:tcPr>
            <w:tcW w:w="3980" w:type="dxa"/>
            <w:vAlign w:val="bottom"/>
            <w:tcBorders>
              <w:bottom w:val="single" w:sz="8" w:color="888B8D"/>
            </w:tcBorders>
          </w:tcPr>
          <w:p>
            <w:pPr>
              <w:ind w:left="680"/>
              <w:spacing w:after="0"/>
              <w:rPr>
                <w:sz w:val="20"/>
                <w:szCs w:val="20"/>
                <w:color w:val="auto"/>
              </w:rPr>
            </w:pPr>
            <w:r>
              <w:rPr>
                <w:rFonts w:ascii="Arial" w:cs="Arial" w:eastAsia="Arial" w:hAnsi="Arial"/>
                <w:sz w:val="10"/>
                <w:szCs w:val="10"/>
                <w:color w:val="auto"/>
              </w:rPr>
              <w:t>Composite Index</w:t>
            </w:r>
          </w:p>
        </w:tc>
        <w:tc>
          <w:tcPr>
            <w:tcW w:w="1320" w:type="dxa"/>
            <w:vAlign w:val="bottom"/>
            <w:tcBorders>
              <w:bottom w:val="single" w:sz="8" w:color="888B8D"/>
            </w:tcBorders>
          </w:tcPr>
          <w:p>
            <w:pPr>
              <w:jc w:val="right"/>
              <w:ind w:right="992"/>
              <w:spacing w:after="0"/>
              <w:rPr>
                <w:sz w:val="20"/>
                <w:szCs w:val="20"/>
                <w:color w:val="auto"/>
              </w:rPr>
            </w:pPr>
            <w:r>
              <w:rPr>
                <w:rFonts w:ascii="Arial" w:cs="Arial" w:eastAsia="Arial" w:hAnsi="Arial"/>
                <w:sz w:val="10"/>
                <w:szCs w:val="10"/>
                <w:color w:val="auto"/>
              </w:rPr>
              <w:t>100</w:t>
            </w:r>
          </w:p>
        </w:tc>
        <w:tc>
          <w:tcPr>
            <w:tcW w:w="1400" w:type="dxa"/>
            <w:vAlign w:val="bottom"/>
            <w:tcBorders>
              <w:bottom w:val="single" w:sz="8" w:color="888B8D"/>
            </w:tcBorders>
          </w:tcPr>
          <w:p>
            <w:pPr>
              <w:jc w:val="right"/>
              <w:ind w:right="992"/>
              <w:spacing w:after="0"/>
              <w:rPr>
                <w:sz w:val="20"/>
                <w:szCs w:val="20"/>
                <w:color w:val="auto"/>
              </w:rPr>
            </w:pPr>
            <w:r>
              <w:rPr>
                <w:rFonts w:ascii="Arial" w:cs="Arial" w:eastAsia="Arial" w:hAnsi="Arial"/>
                <w:sz w:val="10"/>
                <w:szCs w:val="10"/>
                <w:color w:val="auto"/>
              </w:rPr>
              <w:t>127.46</w:t>
            </w:r>
          </w:p>
        </w:tc>
        <w:tc>
          <w:tcPr>
            <w:tcW w:w="1380" w:type="dxa"/>
            <w:vAlign w:val="bottom"/>
            <w:tcBorders>
              <w:bottom w:val="single" w:sz="8" w:color="888B8D"/>
            </w:tcBorders>
          </w:tcPr>
          <w:p>
            <w:pPr>
              <w:jc w:val="right"/>
              <w:ind w:right="972"/>
              <w:spacing w:after="0"/>
              <w:rPr>
                <w:sz w:val="20"/>
                <w:szCs w:val="20"/>
                <w:color w:val="auto"/>
              </w:rPr>
            </w:pPr>
            <w:r>
              <w:rPr>
                <w:rFonts w:ascii="Arial" w:cs="Arial" w:eastAsia="Arial" w:hAnsi="Arial"/>
                <w:sz w:val="10"/>
                <w:szCs w:val="10"/>
                <w:color w:val="auto"/>
              </w:rPr>
              <w:t>125.45</w:t>
            </w:r>
          </w:p>
        </w:tc>
        <w:tc>
          <w:tcPr>
            <w:tcW w:w="1400" w:type="dxa"/>
            <w:vAlign w:val="bottom"/>
            <w:tcBorders>
              <w:bottom w:val="single" w:sz="8" w:color="888B8D"/>
            </w:tcBorders>
          </w:tcPr>
          <w:p>
            <w:pPr>
              <w:jc w:val="right"/>
              <w:ind w:right="972"/>
              <w:spacing w:after="0"/>
              <w:rPr>
                <w:sz w:val="20"/>
                <w:szCs w:val="20"/>
                <w:color w:val="auto"/>
              </w:rPr>
            </w:pPr>
            <w:r>
              <w:rPr>
                <w:rFonts w:ascii="Arial" w:cs="Arial" w:eastAsia="Arial" w:hAnsi="Arial"/>
                <w:sz w:val="10"/>
                <w:szCs w:val="10"/>
                <w:color w:val="auto"/>
              </w:rPr>
              <w:t>136.51</w:t>
            </w:r>
          </w:p>
        </w:tc>
        <w:tc>
          <w:tcPr>
            <w:tcW w:w="64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140.88</w:t>
            </w:r>
          </w:p>
        </w:tc>
        <w:tc>
          <w:tcPr>
            <w:tcW w:w="11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163.96</w:t>
            </w:r>
          </w:p>
        </w:tc>
      </w:tr>
      <w:tr>
        <w:trPr>
          <w:trHeight w:val="124"/>
        </w:trPr>
        <w:tc>
          <w:tcPr>
            <w:tcW w:w="3980" w:type="dxa"/>
            <w:vAlign w:val="bottom"/>
            <w:tcBorders>
              <w:bottom w:val="single" w:sz="8" w:color="D7282F"/>
            </w:tcBorders>
          </w:tcPr>
          <w:p>
            <w:pPr>
              <w:ind w:left="680"/>
              <w:spacing w:after="0"/>
              <w:rPr>
                <w:sz w:val="20"/>
                <w:szCs w:val="20"/>
                <w:color w:val="auto"/>
              </w:rPr>
            </w:pPr>
            <w:r>
              <w:rPr>
                <w:rFonts w:ascii="Arial" w:cs="Arial" w:eastAsia="Arial" w:hAnsi="Arial"/>
                <w:sz w:val="10"/>
                <w:szCs w:val="10"/>
                <w:color w:val="auto"/>
              </w:rPr>
              <w:t>XLI Index</w:t>
            </w:r>
          </w:p>
        </w:tc>
        <w:tc>
          <w:tcPr>
            <w:tcW w:w="1320" w:type="dxa"/>
            <w:vAlign w:val="bottom"/>
            <w:tcBorders>
              <w:bottom w:val="single" w:sz="8" w:color="D7282F"/>
            </w:tcBorders>
          </w:tcPr>
          <w:p>
            <w:pPr>
              <w:jc w:val="right"/>
              <w:ind w:right="992"/>
              <w:spacing w:after="0"/>
              <w:rPr>
                <w:sz w:val="20"/>
                <w:szCs w:val="20"/>
                <w:color w:val="auto"/>
              </w:rPr>
            </w:pPr>
            <w:r>
              <w:rPr>
                <w:rFonts w:ascii="Arial" w:cs="Arial" w:eastAsia="Arial" w:hAnsi="Arial"/>
                <w:sz w:val="10"/>
                <w:szCs w:val="10"/>
                <w:color w:val="auto"/>
              </w:rPr>
              <w:t>100</w:t>
            </w:r>
          </w:p>
        </w:tc>
        <w:tc>
          <w:tcPr>
            <w:tcW w:w="1400" w:type="dxa"/>
            <w:vAlign w:val="bottom"/>
            <w:tcBorders>
              <w:bottom w:val="single" w:sz="8" w:color="D7282F"/>
            </w:tcBorders>
          </w:tcPr>
          <w:p>
            <w:pPr>
              <w:jc w:val="right"/>
              <w:ind w:right="992"/>
              <w:spacing w:after="0"/>
              <w:rPr>
                <w:sz w:val="20"/>
                <w:szCs w:val="20"/>
                <w:color w:val="auto"/>
              </w:rPr>
            </w:pPr>
            <w:r>
              <w:rPr>
                <w:rFonts w:ascii="Arial" w:cs="Arial" w:eastAsia="Arial" w:hAnsi="Arial"/>
                <w:sz w:val="10"/>
                <w:szCs w:val="10"/>
                <w:color w:val="auto"/>
              </w:rPr>
              <w:t>129.08</w:t>
            </w:r>
          </w:p>
        </w:tc>
        <w:tc>
          <w:tcPr>
            <w:tcW w:w="1380" w:type="dxa"/>
            <w:vAlign w:val="bottom"/>
            <w:tcBorders>
              <w:bottom w:val="single" w:sz="8" w:color="D7282F"/>
            </w:tcBorders>
          </w:tcPr>
          <w:p>
            <w:pPr>
              <w:jc w:val="right"/>
              <w:ind w:right="972"/>
              <w:spacing w:after="0"/>
              <w:rPr>
                <w:sz w:val="20"/>
                <w:szCs w:val="20"/>
                <w:color w:val="auto"/>
              </w:rPr>
            </w:pPr>
            <w:r>
              <w:rPr>
                <w:rFonts w:ascii="Arial" w:cs="Arial" w:eastAsia="Arial" w:hAnsi="Arial"/>
                <w:sz w:val="10"/>
                <w:szCs w:val="10"/>
                <w:color w:val="auto"/>
              </w:rPr>
              <w:t>143.16</w:t>
            </w:r>
          </w:p>
        </w:tc>
        <w:tc>
          <w:tcPr>
            <w:tcW w:w="1400" w:type="dxa"/>
            <w:vAlign w:val="bottom"/>
            <w:tcBorders>
              <w:bottom w:val="single" w:sz="8" w:color="D7282F"/>
            </w:tcBorders>
          </w:tcPr>
          <w:p>
            <w:pPr>
              <w:jc w:val="right"/>
              <w:ind w:right="972"/>
              <w:spacing w:after="0"/>
              <w:rPr>
                <w:sz w:val="20"/>
                <w:szCs w:val="20"/>
                <w:color w:val="auto"/>
              </w:rPr>
            </w:pPr>
            <w:r>
              <w:rPr>
                <w:rFonts w:ascii="Arial" w:cs="Arial" w:eastAsia="Arial" w:hAnsi="Arial"/>
                <w:sz w:val="10"/>
                <w:szCs w:val="10"/>
                <w:color w:val="auto"/>
              </w:rPr>
              <w:t>173.34</w:t>
            </w:r>
          </w:p>
        </w:tc>
        <w:tc>
          <w:tcPr>
            <w:tcW w:w="64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color w:val="auto"/>
              </w:rPr>
              <w:t>163.69</w:t>
            </w:r>
          </w:p>
        </w:tc>
        <w:tc>
          <w:tcPr>
            <w:tcW w:w="11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193.36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-359410</wp:posOffset>
            </wp:positionV>
            <wp:extent cx="102870" cy="285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02870" cy="285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-267970</wp:posOffset>
            </wp:positionV>
            <wp:extent cx="102870" cy="285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02870" cy="285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-176530</wp:posOffset>
            </wp:positionV>
            <wp:extent cx="102870" cy="285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02870" cy="2857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-73660</wp:posOffset>
            </wp:positionV>
            <wp:extent cx="91440" cy="114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91440" cy="11430"/>
                    </a:xfrm>
                    <a:prstGeom prst="rect">
                      <a:avLst/>
                    </a:prstGeom>
                    <a:noFill/>
                  </pic:spPr>
                </pic:pic>
              </a:graphicData>
            </a:graphic>
          </wp:anchor>
        </w:drawing>
      </w:r>
    </w:p>
    <w:p>
      <w:pPr>
        <w:spacing w:after="0" w:line="309"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D7282F"/>
        </w:rPr>
        <w:t>52</w:t>
      </w:r>
      <w:r>
        <w:rPr>
          <w:sz w:val="20"/>
          <w:szCs w:val="20"/>
          <w:color w:val="auto"/>
        </w:rPr>
        <w:tab/>
      </w:r>
      <w:r>
        <w:rPr>
          <w:rFonts w:ascii="Arial" w:cs="Arial" w:eastAsia="Arial" w:hAnsi="Arial"/>
          <w:sz w:val="8"/>
          <w:szCs w:val="8"/>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90805</wp:posOffset>
            </wp:positionV>
            <wp:extent cx="720344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54" w:name="page55"/>
    <w:bookmarkEnd w:id="54"/>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FINANCIAL STATEMENTS</w:t>
      </w:r>
    </w:p>
    <w:p>
      <w:pPr>
        <w:spacing w:after="0" w:line="36"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AND SUPPLEMENTARY DATA</w:t>
      </w:r>
    </w:p>
    <w:p>
      <w:pPr>
        <w:spacing w:after="0" w:line="238" w:lineRule="exact"/>
        <w:rPr>
          <w:sz w:val="20"/>
          <w:szCs w:val="20"/>
          <w:color w:val="auto"/>
        </w:rPr>
      </w:pPr>
    </w:p>
    <w:p>
      <w:pPr>
        <w:jc w:val="right"/>
        <w:ind w:right="3019"/>
        <w:spacing w:after="0"/>
        <w:rPr>
          <w:sz w:val="20"/>
          <w:szCs w:val="20"/>
          <w:color w:val="auto"/>
        </w:rPr>
      </w:pPr>
      <w:r>
        <w:rPr>
          <w:rFonts w:ascii="Arial" w:cs="Arial" w:eastAsia="Arial" w:hAnsi="Arial"/>
          <w:sz w:val="11"/>
          <w:szCs w:val="11"/>
          <w:b w:val="1"/>
          <w:bCs w:val="1"/>
          <w:color w:val="auto"/>
        </w:rPr>
        <w:t>INDEX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62230</wp:posOffset>
            </wp:positionV>
            <wp:extent cx="709231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88"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54 </w:t>
      </w:r>
      <w:r>
        <w:rPr>
          <w:rFonts w:ascii="Arial" w:cs="Arial" w:eastAsia="Arial" w:hAnsi="Arial"/>
          <w:sz w:val="11"/>
          <w:szCs w:val="11"/>
          <w:color w:val="000000"/>
        </w:rPr>
        <w:t>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55 </w:t>
      </w:r>
      <w:r>
        <w:rPr>
          <w:rFonts w:ascii="Arial" w:cs="Arial" w:eastAsia="Arial" w:hAnsi="Arial"/>
          <w:sz w:val="11"/>
          <w:szCs w:val="11"/>
          <w:color w:val="000000"/>
        </w:rPr>
        <w:t>Consolidated Statement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56 </w:t>
      </w:r>
      <w:r>
        <w:rPr>
          <w:rFonts w:ascii="Arial" w:cs="Arial" w:eastAsia="Arial" w:hAnsi="Arial"/>
          <w:sz w:val="11"/>
          <w:szCs w:val="11"/>
          <w:color w:val="000000"/>
        </w:rPr>
        <w:t>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57 </w:t>
      </w:r>
      <w:r>
        <w:rPr>
          <w:rFonts w:ascii="Arial" w:cs="Arial" w:eastAsia="Arial" w:hAnsi="Arial"/>
          <w:sz w:val="11"/>
          <w:szCs w:val="11"/>
          <w:color w:val="000000"/>
        </w:rPr>
        <w:t>Consolidated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58 </w:t>
      </w:r>
      <w:r>
        <w:rPr>
          <w:rFonts w:ascii="Arial" w:cs="Arial" w:eastAsia="Arial" w:hAnsi="Arial"/>
          <w:sz w:val="11"/>
          <w:szCs w:val="11"/>
          <w:color w:val="000000"/>
        </w:rPr>
        <w:t>Consolidated Statement of Shareowners'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59 </w:t>
      </w:r>
      <w:r>
        <w:rPr>
          <w:rFonts w:ascii="Arial" w:cs="Arial" w:eastAsia="Arial" w:hAnsi="Arial"/>
          <w:sz w:val="11"/>
          <w:szCs w:val="11"/>
          <w:color w:val="000000"/>
        </w:rPr>
        <w:t>Note 1.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64 </w:t>
      </w:r>
      <w:r>
        <w:rPr>
          <w:rFonts w:ascii="Arial" w:cs="Arial" w:eastAsia="Arial" w:hAnsi="Arial"/>
          <w:sz w:val="11"/>
          <w:szCs w:val="11"/>
          <w:color w:val="000000"/>
        </w:rPr>
        <w:t>Note 2. Acquisitions and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66 </w:t>
      </w:r>
      <w:r>
        <w:rPr>
          <w:rFonts w:ascii="Arial" w:cs="Arial" w:eastAsia="Arial" w:hAnsi="Arial"/>
          <w:sz w:val="11"/>
          <w:szCs w:val="11"/>
          <w:color w:val="000000"/>
        </w:rPr>
        <w:t>Note 3. Revenue Recognition and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69 </w:t>
      </w:r>
      <w:r>
        <w:rPr>
          <w:rFonts w:ascii="Arial" w:cs="Arial" w:eastAsia="Arial" w:hAnsi="Arial"/>
          <w:sz w:val="11"/>
          <w:szCs w:val="11"/>
          <w:color w:val="000000"/>
        </w:rPr>
        <w:t>Note 4. Repositioning and Other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72 </w:t>
      </w:r>
      <w:r>
        <w:rPr>
          <w:rFonts w:ascii="Arial" w:cs="Arial" w:eastAsia="Arial" w:hAnsi="Arial"/>
          <w:sz w:val="11"/>
          <w:szCs w:val="11"/>
          <w:color w:val="000000"/>
        </w:rPr>
        <w:t>Note 5.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76 </w:t>
      </w:r>
      <w:r>
        <w:rPr>
          <w:rFonts w:ascii="Arial" w:cs="Arial" w:eastAsia="Arial" w:hAnsi="Arial"/>
          <w:sz w:val="11"/>
          <w:szCs w:val="11"/>
          <w:color w:val="000000"/>
        </w:rPr>
        <w:t>Note 6.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76 </w:t>
      </w:r>
      <w:r>
        <w:rPr>
          <w:rFonts w:ascii="Arial" w:cs="Arial" w:eastAsia="Arial" w:hAnsi="Arial"/>
          <w:sz w:val="11"/>
          <w:szCs w:val="11"/>
          <w:color w:val="000000"/>
        </w:rPr>
        <w:t>Note 7. Property, Plant and Equipment—Net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76 </w:t>
      </w:r>
      <w:r>
        <w:rPr>
          <w:rFonts w:ascii="Arial" w:cs="Arial" w:eastAsia="Arial" w:hAnsi="Arial"/>
          <w:sz w:val="11"/>
          <w:szCs w:val="11"/>
          <w:color w:val="000000"/>
        </w:rPr>
        <w:t>Note 8. Goodwill and Other Intangible Assets—Net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78 </w:t>
      </w:r>
      <w:r>
        <w:rPr>
          <w:rFonts w:ascii="Arial" w:cs="Arial" w:eastAsia="Arial" w:hAnsi="Arial"/>
          <w:sz w:val="11"/>
          <w:szCs w:val="11"/>
          <w:color w:val="000000"/>
        </w:rPr>
        <w:t>Note 9. Long-term Debt and Credit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80 </w:t>
      </w:r>
      <w:r>
        <w:rPr>
          <w:rFonts w:ascii="Arial" w:cs="Arial" w:eastAsia="Arial" w:hAnsi="Arial"/>
          <w:sz w:val="11"/>
          <w:szCs w:val="11"/>
          <w:color w:val="000000"/>
        </w:rPr>
        <w:t>Note 10.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82 </w:t>
      </w:r>
      <w:r>
        <w:rPr>
          <w:rFonts w:ascii="Arial" w:cs="Arial" w:eastAsia="Arial" w:hAnsi="Arial"/>
          <w:sz w:val="11"/>
          <w:szCs w:val="11"/>
          <w:color w:val="000000"/>
        </w:rPr>
        <w:t>Note 11. Derivative Instruments and Hedging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85 </w:t>
      </w:r>
      <w:r>
        <w:rPr>
          <w:rFonts w:ascii="Arial" w:cs="Arial" w:eastAsia="Arial" w:hAnsi="Arial"/>
          <w:sz w:val="11"/>
          <w:szCs w:val="11"/>
          <w:color w:val="000000"/>
        </w:rPr>
        <w:t>Note 12.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87 </w:t>
      </w:r>
      <w:r>
        <w:rPr>
          <w:rFonts w:ascii="Arial" w:cs="Arial" w:eastAsia="Arial" w:hAnsi="Arial"/>
          <w:sz w:val="11"/>
          <w:szCs w:val="11"/>
          <w:color w:val="000000"/>
        </w:rPr>
        <w:t>Note 13.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88 </w:t>
      </w:r>
      <w:r>
        <w:rPr>
          <w:rFonts w:ascii="Arial" w:cs="Arial" w:eastAsia="Arial" w:hAnsi="Arial"/>
          <w:sz w:val="11"/>
          <w:szCs w:val="11"/>
          <w:color w:val="000000"/>
        </w:rPr>
        <w:t>Note 14.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88 </w:t>
      </w:r>
      <w:r>
        <w:rPr>
          <w:rFonts w:ascii="Arial" w:cs="Arial" w:eastAsia="Arial" w:hAnsi="Arial"/>
          <w:sz w:val="11"/>
          <w:szCs w:val="11"/>
          <w:color w:val="000000"/>
        </w:rPr>
        <w:t>Note 15. Stock-Based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91 </w:t>
      </w:r>
      <w:r>
        <w:rPr>
          <w:rFonts w:ascii="Arial" w:cs="Arial" w:eastAsia="Arial" w:hAnsi="Arial"/>
          <w:sz w:val="11"/>
          <w:szCs w:val="11"/>
          <w:color w:val="000000"/>
        </w:rPr>
        <w:t>Note 16.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92 </w:t>
      </w:r>
      <w:r>
        <w:rPr>
          <w:rFonts w:ascii="Arial" w:cs="Arial" w:eastAsia="Arial" w:hAnsi="Arial"/>
          <w:sz w:val="11"/>
          <w:szCs w:val="11"/>
          <w:color w:val="000000"/>
        </w:rPr>
        <w:t>Note 17. 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94 </w:t>
      </w:r>
      <w:r>
        <w:rPr>
          <w:rFonts w:ascii="Arial" w:cs="Arial" w:eastAsia="Arial" w:hAnsi="Arial"/>
          <w:sz w:val="11"/>
          <w:szCs w:val="11"/>
          <w:color w:val="000000"/>
        </w:rPr>
        <w:t>Note 18.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95 </w:t>
      </w:r>
      <w:r>
        <w:rPr>
          <w:rFonts w:ascii="Arial" w:cs="Arial" w:eastAsia="Arial" w:hAnsi="Arial"/>
          <w:sz w:val="11"/>
          <w:szCs w:val="11"/>
          <w:color w:val="000000"/>
        </w:rPr>
        <w:t>Note 19.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648"/>
        <w:spacing w:after="0"/>
        <w:rPr>
          <w:sz w:val="20"/>
          <w:szCs w:val="20"/>
          <w:color w:val="auto"/>
        </w:rPr>
      </w:pPr>
      <w:r>
        <w:rPr>
          <w:rFonts w:ascii="Arial" w:cs="Arial" w:eastAsia="Arial" w:hAnsi="Arial"/>
          <w:sz w:val="11"/>
          <w:szCs w:val="11"/>
          <w:b w:val="1"/>
          <w:bCs w:val="1"/>
          <w:color w:val="D7282F"/>
        </w:rPr>
        <w:t xml:space="preserve">101 </w:t>
      </w:r>
      <w:r>
        <w:rPr>
          <w:rFonts w:ascii="Arial" w:cs="Arial" w:eastAsia="Arial" w:hAnsi="Arial"/>
          <w:sz w:val="11"/>
          <w:szCs w:val="11"/>
          <w:color w:val="000000"/>
        </w:rPr>
        <w:t>Note 20. Pension and Other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648"/>
        <w:spacing w:after="0"/>
        <w:rPr>
          <w:sz w:val="20"/>
          <w:szCs w:val="20"/>
          <w:color w:val="auto"/>
        </w:rPr>
      </w:pPr>
      <w:r>
        <w:rPr>
          <w:rFonts w:ascii="Arial" w:cs="Arial" w:eastAsia="Arial" w:hAnsi="Arial"/>
          <w:sz w:val="11"/>
          <w:szCs w:val="11"/>
          <w:b w:val="1"/>
          <w:bCs w:val="1"/>
          <w:color w:val="D7282F"/>
        </w:rPr>
        <w:t xml:space="preserve">111 </w:t>
      </w:r>
      <w:r>
        <w:rPr>
          <w:rFonts w:ascii="Arial" w:cs="Arial" w:eastAsia="Arial" w:hAnsi="Arial"/>
          <w:sz w:val="11"/>
          <w:szCs w:val="11"/>
          <w:color w:val="000000"/>
        </w:rPr>
        <w:t>Note 21.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648"/>
        <w:spacing w:after="0"/>
        <w:rPr>
          <w:sz w:val="20"/>
          <w:szCs w:val="20"/>
          <w:color w:val="auto"/>
        </w:rPr>
      </w:pPr>
      <w:r>
        <w:rPr>
          <w:rFonts w:ascii="Arial" w:cs="Arial" w:eastAsia="Arial" w:hAnsi="Arial"/>
          <w:sz w:val="11"/>
          <w:szCs w:val="11"/>
          <w:b w:val="1"/>
          <w:bCs w:val="1"/>
          <w:color w:val="D7282F"/>
        </w:rPr>
        <w:t xml:space="preserve">111 </w:t>
      </w:r>
      <w:r>
        <w:rPr>
          <w:rFonts w:ascii="Arial" w:cs="Arial" w:eastAsia="Arial" w:hAnsi="Arial"/>
          <w:sz w:val="11"/>
          <w:szCs w:val="11"/>
          <w:color w:val="000000"/>
        </w:rPr>
        <w:t>Note 22. Segment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648"/>
        <w:spacing w:after="0"/>
        <w:rPr>
          <w:sz w:val="20"/>
          <w:szCs w:val="20"/>
          <w:color w:val="auto"/>
        </w:rPr>
      </w:pPr>
      <w:r>
        <w:rPr>
          <w:rFonts w:ascii="Arial" w:cs="Arial" w:eastAsia="Arial" w:hAnsi="Arial"/>
          <w:sz w:val="11"/>
          <w:szCs w:val="11"/>
          <w:b w:val="1"/>
          <w:bCs w:val="1"/>
          <w:color w:val="D7282F"/>
        </w:rPr>
        <w:t xml:space="preserve">114 </w:t>
      </w:r>
      <w:r>
        <w:rPr>
          <w:rFonts w:ascii="Arial" w:cs="Arial" w:eastAsia="Arial" w:hAnsi="Arial"/>
          <w:sz w:val="11"/>
          <w:szCs w:val="11"/>
          <w:color w:val="000000"/>
        </w:rPr>
        <w:t>Note 23. Geographic Areas—Financial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648"/>
        <w:spacing w:after="0"/>
        <w:rPr>
          <w:sz w:val="20"/>
          <w:szCs w:val="20"/>
          <w:color w:val="auto"/>
        </w:rPr>
      </w:pPr>
      <w:r>
        <w:rPr>
          <w:rFonts w:ascii="Arial" w:cs="Arial" w:eastAsia="Arial" w:hAnsi="Arial"/>
          <w:sz w:val="11"/>
          <w:szCs w:val="11"/>
          <w:b w:val="1"/>
          <w:bCs w:val="1"/>
          <w:color w:val="D7282F"/>
        </w:rPr>
        <w:t xml:space="preserve">114 </w:t>
      </w:r>
      <w:r>
        <w:rPr>
          <w:rFonts w:ascii="Arial" w:cs="Arial" w:eastAsia="Arial" w:hAnsi="Arial"/>
          <w:sz w:val="11"/>
          <w:szCs w:val="11"/>
          <w:color w:val="000000"/>
        </w:rPr>
        <w:t>Note 24. 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125095</wp:posOffset>
            </wp:positionV>
            <wp:extent cx="709231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092315" cy="571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187" w:lineRule="exact"/>
        <w:rPr>
          <w:sz w:val="20"/>
          <w:szCs w:val="20"/>
          <w:color w:val="auto"/>
        </w:rPr>
      </w:pPr>
    </w:p>
    <w:p>
      <w:pPr>
        <w:ind w:left="648"/>
        <w:spacing w:after="0"/>
        <w:rPr>
          <w:sz w:val="20"/>
          <w:szCs w:val="20"/>
          <w:color w:val="auto"/>
        </w:rPr>
      </w:pPr>
      <w:r>
        <w:rPr>
          <w:rFonts w:ascii="Arial" w:cs="Arial" w:eastAsia="Arial" w:hAnsi="Arial"/>
          <w:sz w:val="11"/>
          <w:szCs w:val="11"/>
          <w:b w:val="1"/>
          <w:bCs w:val="1"/>
          <w:color w:val="D7282F"/>
        </w:rPr>
        <w:t xml:space="preserve">115 </w:t>
      </w:r>
      <w:r>
        <w:rPr>
          <w:rFonts w:ascii="Arial" w:cs="Arial" w:eastAsia="Arial" w:hAnsi="Arial"/>
          <w:sz w:val="11"/>
          <w:szCs w:val="11"/>
          <w:color w:val="000000"/>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357" w:lineRule="exact"/>
        <w:rPr>
          <w:sz w:val="20"/>
          <w:szCs w:val="20"/>
          <w:color w:val="auto"/>
        </w:rPr>
      </w:pPr>
    </w:p>
    <w:p>
      <w:pPr>
        <w:ind w:left="268" w:hanging="268"/>
        <w:spacing w:after="0"/>
        <w:tabs>
          <w:tab w:leader="none" w:pos="268" w:val="left"/>
        </w:tabs>
        <w:numPr>
          <w:ilvl w:val="0"/>
          <w:numId w:val="99"/>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67"/>
          </w:cols>
          <w:pgMar w:left="292" w:top="155" w:right="1440" w:bottom="1440" w:gutter="0" w:footer="0" w:header="0"/>
        </w:sectPr>
      </w:pPr>
    </w:p>
    <w:bookmarkStart w:id="55" w:name="page56"/>
    <w:bookmarkEnd w:id="55"/>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HONEYWELL INTERNATIONAL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CONSOLIDATED STATEMENT OF OPERATIONS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580" w:type="dxa"/>
            <w:vAlign w:val="bottom"/>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580" w:type="dxa"/>
            <w:vAlign w:val="bottom"/>
            <w:tcBorders>
              <w:bottom w:val="single" w:sz="8" w:color="D7282F"/>
            </w:tcBorders>
          </w:tcPr>
          <w:p>
            <w:pPr>
              <w:spacing w:after="0"/>
              <w:rPr>
                <w:sz w:val="11"/>
                <w:szCs w:val="11"/>
                <w:color w:val="auto"/>
              </w:rPr>
            </w:pPr>
          </w:p>
        </w:tc>
        <w:tc>
          <w:tcPr>
            <w:tcW w:w="1380" w:type="dxa"/>
            <w:vAlign w:val="bottom"/>
            <w:tcBorders>
              <w:bottom w:val="single" w:sz="8" w:color="D7282F"/>
            </w:tcBorders>
            <w:gridSpan w:val="3"/>
          </w:tcPr>
          <w:p>
            <w:pPr>
              <w:jc w:val="center"/>
              <w:ind w:right="92"/>
              <w:spacing w:after="0"/>
              <w:rPr>
                <w:sz w:val="20"/>
                <w:szCs w:val="20"/>
                <w:color w:val="auto"/>
              </w:rPr>
            </w:pPr>
            <w:r>
              <w:rPr>
                <w:rFonts w:ascii="Arial" w:cs="Arial" w:eastAsia="Arial" w:hAnsi="Arial"/>
                <w:sz w:val="10"/>
                <w:szCs w:val="10"/>
                <w:b w:val="1"/>
                <w:bCs w:val="1"/>
                <w:color w:val="auto"/>
                <w:w w:val="96"/>
              </w:rPr>
              <w:t>Years Ended December 31,</w:t>
            </w:r>
          </w:p>
        </w:tc>
        <w:tc>
          <w:tcPr>
            <w:tcW w:w="600" w:type="dxa"/>
            <w:vAlign w:val="bottom"/>
            <w:tcBorders>
              <w:bottom w:val="single" w:sz="8" w:color="D7282F"/>
            </w:tcBorders>
          </w:tcPr>
          <w:p>
            <w:pPr>
              <w:spacing w:after="0"/>
              <w:rPr>
                <w:sz w:val="11"/>
                <w:szCs w:val="11"/>
                <w:color w:val="auto"/>
              </w:rPr>
            </w:pPr>
          </w:p>
        </w:tc>
      </w:tr>
      <w:tr>
        <w:trPr>
          <w:trHeight w:val="151"/>
        </w:trPr>
        <w:tc>
          <w:tcPr>
            <w:tcW w:w="8580" w:type="dxa"/>
            <w:vAlign w:val="bottom"/>
          </w:tcPr>
          <w:p>
            <w:pPr>
              <w:spacing w:after="0"/>
              <w:rPr>
                <w:sz w:val="13"/>
                <w:szCs w:val="13"/>
                <w:color w:val="auto"/>
              </w:rPr>
            </w:pPr>
          </w:p>
        </w:tc>
        <w:tc>
          <w:tcPr>
            <w:tcW w:w="160" w:type="dxa"/>
            <w:vAlign w:val="bottom"/>
            <w:tcBorders>
              <w:bottom w:val="single" w:sz="8" w:color="D7282F"/>
            </w:tcBorders>
          </w:tcPr>
          <w:p>
            <w:pPr>
              <w:spacing w:after="0"/>
              <w:rPr>
                <w:sz w:val="13"/>
                <w:szCs w:val="13"/>
                <w:color w:val="auto"/>
              </w:rPr>
            </w:pPr>
          </w:p>
        </w:tc>
        <w:tc>
          <w:tcPr>
            <w:tcW w:w="58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b w:val="1"/>
                <w:bCs w:val="1"/>
                <w:color w:val="auto"/>
              </w:rPr>
              <w:t>2023</w:t>
            </w:r>
          </w:p>
        </w:tc>
        <w:tc>
          <w:tcPr>
            <w:tcW w:w="400" w:type="dxa"/>
            <w:vAlign w:val="bottom"/>
            <w:tcBorders>
              <w:bottom w:val="single" w:sz="8" w:color="D7282F"/>
            </w:tcBorders>
          </w:tcPr>
          <w:p>
            <w:pPr>
              <w:spacing w:after="0"/>
              <w:rPr>
                <w:sz w:val="13"/>
                <w:szCs w:val="13"/>
                <w:color w:val="auto"/>
              </w:rPr>
            </w:pPr>
          </w:p>
        </w:tc>
        <w:tc>
          <w:tcPr>
            <w:tcW w:w="740" w:type="dxa"/>
            <w:vAlign w:val="bottom"/>
            <w:tcBorders>
              <w:bottom w:val="single" w:sz="8" w:color="D7282F"/>
            </w:tcBorders>
          </w:tcPr>
          <w:p>
            <w:pPr>
              <w:jc w:val="center"/>
              <w:ind w:right="272"/>
              <w:spacing w:after="0"/>
              <w:rPr>
                <w:sz w:val="20"/>
                <w:szCs w:val="20"/>
                <w:color w:val="auto"/>
              </w:rPr>
            </w:pPr>
            <w:r>
              <w:rPr>
                <w:rFonts w:ascii="Arial" w:cs="Arial" w:eastAsia="Arial" w:hAnsi="Arial"/>
                <w:sz w:val="10"/>
                <w:szCs w:val="10"/>
                <w:b w:val="1"/>
                <w:bCs w:val="1"/>
                <w:color w:val="auto"/>
                <w:w w:val="98"/>
              </w:rPr>
              <w:t>2022</w:t>
            </w:r>
          </w:p>
        </w:tc>
        <w:tc>
          <w:tcPr>
            <w:tcW w:w="24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2021</w:t>
            </w:r>
          </w:p>
        </w:tc>
      </w:tr>
      <w:tr>
        <w:trPr>
          <w:trHeight w:val="89"/>
        </w:trPr>
        <w:tc>
          <w:tcPr>
            <w:tcW w:w="8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40" w:type="dxa"/>
            <w:vAlign w:val="bottom"/>
            <w:gridSpan w:val="2"/>
          </w:tcPr>
          <w:p>
            <w:pPr>
              <w:jc w:val="center"/>
              <w:ind w:left="52"/>
              <w:spacing w:after="0" w:line="89" w:lineRule="exact"/>
              <w:rPr>
                <w:sz w:val="20"/>
                <w:szCs w:val="20"/>
                <w:color w:val="auto"/>
              </w:rPr>
            </w:pPr>
            <w:r>
              <w:rPr>
                <w:rFonts w:ascii="Arial" w:cs="Arial" w:eastAsia="Arial" w:hAnsi="Arial"/>
                <w:sz w:val="10"/>
                <w:szCs w:val="10"/>
                <w:b w:val="1"/>
                <w:bCs w:val="1"/>
                <w:color w:val="auto"/>
                <w:w w:val="95"/>
              </w:rPr>
              <w:t>(Dollars in millions,</w:t>
            </w: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r>
      <w:tr>
        <w:trPr>
          <w:trHeight w:val="126"/>
        </w:trPr>
        <w:tc>
          <w:tcPr>
            <w:tcW w:w="858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spacing w:after="0"/>
              <w:rPr>
                <w:sz w:val="10"/>
                <w:szCs w:val="10"/>
                <w:color w:val="auto"/>
              </w:rPr>
            </w:pPr>
          </w:p>
        </w:tc>
        <w:tc>
          <w:tcPr>
            <w:tcW w:w="1380" w:type="dxa"/>
            <w:vAlign w:val="bottom"/>
            <w:tcBorders>
              <w:bottom w:val="single" w:sz="8" w:color="D7282F"/>
            </w:tcBorders>
            <w:gridSpan w:val="3"/>
          </w:tcPr>
          <w:p>
            <w:pPr>
              <w:jc w:val="center"/>
              <w:ind w:right="112"/>
              <w:spacing w:after="0"/>
              <w:rPr>
                <w:sz w:val="20"/>
                <w:szCs w:val="20"/>
                <w:color w:val="auto"/>
              </w:rPr>
            </w:pPr>
            <w:r>
              <w:rPr>
                <w:rFonts w:ascii="Arial" w:cs="Arial" w:eastAsia="Arial" w:hAnsi="Arial"/>
                <w:sz w:val="10"/>
                <w:szCs w:val="10"/>
                <w:b w:val="1"/>
                <w:bCs w:val="1"/>
                <w:color w:val="auto"/>
                <w:w w:val="95"/>
              </w:rPr>
              <w:t>except per share amounts)</w:t>
            </w:r>
          </w:p>
        </w:tc>
        <w:tc>
          <w:tcPr>
            <w:tcW w:w="600" w:type="dxa"/>
            <w:vAlign w:val="bottom"/>
            <w:tcBorders>
              <w:bottom w:val="single" w:sz="8" w:color="D7282F"/>
            </w:tcBorders>
          </w:tcPr>
          <w:p>
            <w:pPr>
              <w:spacing w:after="0"/>
              <w:rPr>
                <w:sz w:val="10"/>
                <w:szCs w:val="10"/>
                <w:color w:val="auto"/>
              </w:rPr>
            </w:pPr>
          </w:p>
        </w:tc>
      </w:tr>
      <w:tr>
        <w:trPr>
          <w:trHeight w:val="121"/>
        </w:trPr>
        <w:tc>
          <w:tcPr>
            <w:tcW w:w="85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Product sales</w:t>
            </w:r>
          </w:p>
        </w:tc>
        <w:tc>
          <w:tcPr>
            <w:tcW w:w="16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25,773</w:t>
            </w:r>
          </w:p>
        </w:tc>
        <w:tc>
          <w:tcPr>
            <w:tcW w:w="40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61656A"/>
            </w:tcBorders>
          </w:tcPr>
          <w:p>
            <w:pPr>
              <w:jc w:val="right"/>
              <w:ind w:right="152"/>
              <w:spacing w:after="0"/>
              <w:rPr>
                <w:sz w:val="20"/>
                <w:szCs w:val="20"/>
                <w:color w:val="auto"/>
              </w:rPr>
            </w:pPr>
            <w:r>
              <w:rPr>
                <w:rFonts w:ascii="Arial" w:cs="Arial" w:eastAsia="Arial" w:hAnsi="Arial"/>
                <w:sz w:val="10"/>
                <w:szCs w:val="10"/>
                <w:color w:val="auto"/>
              </w:rPr>
              <w:t>25,960</w:t>
            </w:r>
          </w:p>
        </w:tc>
        <w:tc>
          <w:tcPr>
            <w:tcW w:w="24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25,643</w:t>
            </w:r>
          </w:p>
        </w:tc>
      </w:tr>
      <w:tr>
        <w:trPr>
          <w:trHeight w:val="124"/>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Service sales</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10,889</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9,506</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8,749</w:t>
            </w:r>
          </w:p>
        </w:tc>
      </w:tr>
      <w:tr>
        <w:trPr>
          <w:trHeight w:val="126"/>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Net sales</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36,662</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35,466</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34,392</w:t>
            </w:r>
          </w:p>
        </w:tc>
      </w:tr>
      <w:tr>
        <w:trPr>
          <w:trHeight w:val="122"/>
        </w:trPr>
        <w:tc>
          <w:tcPr>
            <w:tcW w:w="85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Costs, expenses and other</w:t>
            </w:r>
          </w:p>
        </w:tc>
        <w:tc>
          <w:tcPr>
            <w:tcW w:w="1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spacing w:after="0"/>
              <w:rPr>
                <w:sz w:val="10"/>
                <w:szCs w:val="10"/>
                <w:color w:val="auto"/>
              </w:rPr>
            </w:pPr>
          </w:p>
        </w:tc>
        <w:tc>
          <w:tcPr>
            <w:tcW w:w="400" w:type="dxa"/>
            <w:vAlign w:val="bottom"/>
            <w:tcBorders>
              <w:bottom w:val="single" w:sz="8" w:color="61656A"/>
            </w:tcBorders>
          </w:tcPr>
          <w:p>
            <w:pPr>
              <w:spacing w:after="0"/>
              <w:rPr>
                <w:sz w:val="10"/>
                <w:szCs w:val="10"/>
                <w:color w:val="auto"/>
              </w:rPr>
            </w:pPr>
          </w:p>
        </w:tc>
        <w:tc>
          <w:tcPr>
            <w:tcW w:w="74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spacing w:after="0"/>
              <w:rPr>
                <w:sz w:val="10"/>
                <w:szCs w:val="10"/>
                <w:color w:val="auto"/>
              </w:rPr>
            </w:pPr>
          </w:p>
        </w:tc>
      </w:tr>
      <w:tr>
        <w:trPr>
          <w:trHeight w:val="124"/>
        </w:trPr>
        <w:tc>
          <w:tcPr>
            <w:tcW w:w="858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Cost of products sold</w:t>
            </w:r>
          </w:p>
        </w:tc>
        <w:tc>
          <w:tcPr>
            <w:tcW w:w="1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16,977</w:t>
            </w:r>
          </w:p>
        </w:tc>
        <w:tc>
          <w:tcPr>
            <w:tcW w:w="400" w:type="dxa"/>
            <w:vAlign w:val="bottom"/>
            <w:tcBorders>
              <w:bottom w:val="single" w:sz="8" w:color="61656A"/>
            </w:tcBorders>
          </w:tcPr>
          <w:p>
            <w:pPr>
              <w:spacing w:after="0"/>
              <w:rPr>
                <w:sz w:val="10"/>
                <w:szCs w:val="10"/>
                <w:color w:val="auto"/>
              </w:rPr>
            </w:pPr>
          </w:p>
        </w:tc>
        <w:tc>
          <w:tcPr>
            <w:tcW w:w="740" w:type="dxa"/>
            <w:vAlign w:val="bottom"/>
            <w:tcBorders>
              <w:bottom w:val="single" w:sz="8" w:color="61656A"/>
            </w:tcBorders>
          </w:tcPr>
          <w:p>
            <w:pPr>
              <w:jc w:val="right"/>
              <w:ind w:right="152"/>
              <w:spacing w:after="0"/>
              <w:rPr>
                <w:sz w:val="20"/>
                <w:szCs w:val="20"/>
                <w:color w:val="auto"/>
              </w:rPr>
            </w:pPr>
            <w:r>
              <w:rPr>
                <w:rFonts w:ascii="Arial" w:cs="Arial" w:eastAsia="Arial" w:hAnsi="Arial"/>
                <w:sz w:val="10"/>
                <w:szCs w:val="10"/>
                <w:color w:val="auto"/>
              </w:rPr>
              <w:t>16,955</w:t>
            </w:r>
          </w:p>
        </w:tc>
        <w:tc>
          <w:tcPr>
            <w:tcW w:w="24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17,082</w:t>
            </w:r>
          </w:p>
        </w:tc>
      </w:tr>
      <w:tr>
        <w:trPr>
          <w:trHeight w:val="124"/>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Cost of services sold</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6,018</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5,392</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4,979</w:t>
            </w:r>
          </w:p>
        </w:tc>
      </w:tr>
      <w:tr>
        <w:trPr>
          <w:trHeight w:val="126"/>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Cost of products and services sold</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22,995</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22,347</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22,061</w:t>
            </w:r>
          </w:p>
        </w:tc>
      </w:tr>
      <w:tr>
        <w:trPr>
          <w:trHeight w:val="122"/>
        </w:trPr>
        <w:tc>
          <w:tcPr>
            <w:tcW w:w="858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Research and development expenses</w:t>
            </w:r>
          </w:p>
        </w:tc>
        <w:tc>
          <w:tcPr>
            <w:tcW w:w="1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1,456</w:t>
            </w:r>
          </w:p>
        </w:tc>
        <w:tc>
          <w:tcPr>
            <w:tcW w:w="400" w:type="dxa"/>
            <w:vAlign w:val="bottom"/>
            <w:tcBorders>
              <w:bottom w:val="single" w:sz="8" w:color="61656A"/>
            </w:tcBorders>
          </w:tcPr>
          <w:p>
            <w:pPr>
              <w:spacing w:after="0"/>
              <w:rPr>
                <w:sz w:val="10"/>
                <w:szCs w:val="10"/>
                <w:color w:val="auto"/>
              </w:rPr>
            </w:pPr>
          </w:p>
        </w:tc>
        <w:tc>
          <w:tcPr>
            <w:tcW w:w="740" w:type="dxa"/>
            <w:vAlign w:val="bottom"/>
            <w:tcBorders>
              <w:bottom w:val="single" w:sz="8" w:color="61656A"/>
            </w:tcBorders>
          </w:tcPr>
          <w:p>
            <w:pPr>
              <w:jc w:val="right"/>
              <w:ind w:right="152"/>
              <w:spacing w:after="0"/>
              <w:rPr>
                <w:sz w:val="20"/>
                <w:szCs w:val="20"/>
                <w:color w:val="auto"/>
              </w:rPr>
            </w:pPr>
            <w:r>
              <w:rPr>
                <w:rFonts w:ascii="Arial" w:cs="Arial" w:eastAsia="Arial" w:hAnsi="Arial"/>
                <w:sz w:val="10"/>
                <w:szCs w:val="10"/>
                <w:color w:val="auto"/>
              </w:rPr>
              <w:t>1,478</w:t>
            </w:r>
          </w:p>
        </w:tc>
        <w:tc>
          <w:tcPr>
            <w:tcW w:w="24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1,333</w:t>
            </w:r>
          </w:p>
        </w:tc>
      </w:tr>
      <w:tr>
        <w:trPr>
          <w:trHeight w:val="124"/>
        </w:trPr>
        <w:tc>
          <w:tcPr>
            <w:tcW w:w="858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Selling, general and administrative expenses</w:t>
            </w:r>
          </w:p>
        </w:tc>
        <w:tc>
          <w:tcPr>
            <w:tcW w:w="1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5,127</w:t>
            </w:r>
          </w:p>
        </w:tc>
        <w:tc>
          <w:tcPr>
            <w:tcW w:w="400" w:type="dxa"/>
            <w:vAlign w:val="bottom"/>
            <w:tcBorders>
              <w:bottom w:val="single" w:sz="8" w:color="61656A"/>
            </w:tcBorders>
          </w:tcPr>
          <w:p>
            <w:pPr>
              <w:spacing w:after="0"/>
              <w:rPr>
                <w:sz w:val="10"/>
                <w:szCs w:val="10"/>
                <w:color w:val="auto"/>
              </w:rPr>
            </w:pPr>
          </w:p>
        </w:tc>
        <w:tc>
          <w:tcPr>
            <w:tcW w:w="740" w:type="dxa"/>
            <w:vAlign w:val="bottom"/>
            <w:tcBorders>
              <w:bottom w:val="single" w:sz="8" w:color="61656A"/>
            </w:tcBorders>
          </w:tcPr>
          <w:p>
            <w:pPr>
              <w:jc w:val="right"/>
              <w:ind w:right="152"/>
              <w:spacing w:after="0"/>
              <w:rPr>
                <w:sz w:val="20"/>
                <w:szCs w:val="20"/>
                <w:color w:val="auto"/>
              </w:rPr>
            </w:pPr>
            <w:r>
              <w:rPr>
                <w:rFonts w:ascii="Arial" w:cs="Arial" w:eastAsia="Arial" w:hAnsi="Arial"/>
                <w:sz w:val="10"/>
                <w:szCs w:val="10"/>
                <w:color w:val="auto"/>
              </w:rPr>
              <w:t>5,214</w:t>
            </w:r>
          </w:p>
        </w:tc>
        <w:tc>
          <w:tcPr>
            <w:tcW w:w="24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4,798</w:t>
            </w:r>
          </w:p>
        </w:tc>
      </w:tr>
      <w:tr>
        <w:trPr>
          <w:trHeight w:val="124"/>
        </w:trPr>
        <w:tc>
          <w:tcPr>
            <w:tcW w:w="858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Other (income) expense</w:t>
            </w:r>
          </w:p>
        </w:tc>
        <w:tc>
          <w:tcPr>
            <w:tcW w:w="1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(840)</w:t>
            </w:r>
          </w:p>
        </w:tc>
        <w:tc>
          <w:tcPr>
            <w:tcW w:w="400" w:type="dxa"/>
            <w:vAlign w:val="bottom"/>
            <w:tcBorders>
              <w:bottom w:val="single" w:sz="8" w:color="61656A"/>
            </w:tcBorders>
          </w:tcPr>
          <w:p>
            <w:pPr>
              <w:spacing w:after="0"/>
              <w:rPr>
                <w:sz w:val="10"/>
                <w:szCs w:val="10"/>
                <w:color w:val="auto"/>
              </w:rPr>
            </w:pPr>
          </w:p>
        </w:tc>
        <w:tc>
          <w:tcPr>
            <w:tcW w:w="740" w:type="dxa"/>
            <w:vAlign w:val="bottom"/>
            <w:tcBorders>
              <w:bottom w:val="single" w:sz="8" w:color="61656A"/>
            </w:tcBorders>
          </w:tcPr>
          <w:p>
            <w:pPr>
              <w:jc w:val="right"/>
              <w:ind w:right="132"/>
              <w:spacing w:after="0"/>
              <w:rPr>
                <w:sz w:val="20"/>
                <w:szCs w:val="20"/>
                <w:color w:val="auto"/>
              </w:rPr>
            </w:pPr>
            <w:r>
              <w:rPr>
                <w:rFonts w:ascii="Arial" w:cs="Arial" w:eastAsia="Arial" w:hAnsi="Arial"/>
                <w:sz w:val="10"/>
                <w:szCs w:val="10"/>
                <w:color w:val="auto"/>
              </w:rPr>
              <w:t>(366)</w:t>
            </w:r>
          </w:p>
        </w:tc>
        <w:tc>
          <w:tcPr>
            <w:tcW w:w="24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(1,378)</w:t>
            </w:r>
          </w:p>
        </w:tc>
      </w:tr>
      <w:tr>
        <w:trPr>
          <w:trHeight w:val="124"/>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Interest and other financial charges</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765</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414</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343</w:t>
            </w:r>
          </w:p>
        </w:tc>
      </w:tr>
      <w:tr>
        <w:trPr>
          <w:trHeight w:val="126"/>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Total costs, expenses and other</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29,503</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29,087</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27,157</w:t>
            </w:r>
          </w:p>
        </w:tc>
      </w:tr>
      <w:tr>
        <w:trPr>
          <w:trHeight w:val="124"/>
        </w:trPr>
        <w:tc>
          <w:tcPr>
            <w:tcW w:w="858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Income before taxes</w:t>
            </w:r>
          </w:p>
        </w:tc>
        <w:tc>
          <w:tcPr>
            <w:tcW w:w="1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0"/>
                <w:szCs w:val="10"/>
                <w:b w:val="1"/>
                <w:bCs w:val="1"/>
                <w:color w:val="auto"/>
              </w:rPr>
              <w:t>7,159</w:t>
            </w:r>
          </w:p>
        </w:tc>
        <w:tc>
          <w:tcPr>
            <w:tcW w:w="400" w:type="dxa"/>
            <w:vAlign w:val="bottom"/>
            <w:tcBorders>
              <w:bottom w:val="single" w:sz="8" w:color="61656A"/>
            </w:tcBorders>
          </w:tcPr>
          <w:p>
            <w:pPr>
              <w:spacing w:after="0"/>
              <w:rPr>
                <w:sz w:val="10"/>
                <w:szCs w:val="10"/>
                <w:color w:val="auto"/>
              </w:rPr>
            </w:pPr>
          </w:p>
        </w:tc>
        <w:tc>
          <w:tcPr>
            <w:tcW w:w="740" w:type="dxa"/>
            <w:vAlign w:val="bottom"/>
            <w:tcBorders>
              <w:bottom w:val="single" w:sz="8" w:color="61656A"/>
            </w:tcBorders>
          </w:tcPr>
          <w:p>
            <w:pPr>
              <w:jc w:val="right"/>
              <w:ind w:right="152"/>
              <w:spacing w:after="0"/>
              <w:rPr>
                <w:sz w:val="20"/>
                <w:szCs w:val="20"/>
                <w:color w:val="auto"/>
              </w:rPr>
            </w:pPr>
            <w:r>
              <w:rPr>
                <w:rFonts w:ascii="Arial" w:cs="Arial" w:eastAsia="Arial" w:hAnsi="Arial"/>
                <w:sz w:val="10"/>
                <w:szCs w:val="10"/>
                <w:b w:val="1"/>
                <w:bCs w:val="1"/>
                <w:color w:val="auto"/>
              </w:rPr>
              <w:t>6,379</w:t>
            </w:r>
          </w:p>
        </w:tc>
        <w:tc>
          <w:tcPr>
            <w:tcW w:w="24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b w:val="1"/>
                <w:bCs w:val="1"/>
                <w:color w:val="auto"/>
              </w:rPr>
              <w:t>7,235</w:t>
            </w:r>
          </w:p>
        </w:tc>
      </w:tr>
      <w:tr>
        <w:trPr>
          <w:trHeight w:val="122"/>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Tax expense</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1,487</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1,412</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1,625</w:t>
            </w:r>
          </w:p>
        </w:tc>
      </w:tr>
      <w:tr>
        <w:trPr>
          <w:trHeight w:val="126"/>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Net income</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5,672</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4,967</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5,610</w:t>
            </w:r>
          </w:p>
        </w:tc>
      </w:tr>
      <w:tr>
        <w:trPr>
          <w:trHeight w:val="122"/>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Less: Net income attributable to noncontrolling interest</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14</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1</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68</w:t>
            </w:r>
          </w:p>
        </w:tc>
      </w:tr>
      <w:tr>
        <w:trPr>
          <w:trHeight w:val="126"/>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Net income attributable to Honeywell</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5,658</w:t>
            </w:r>
          </w:p>
        </w:tc>
        <w:tc>
          <w:tcPr>
            <w:tcW w:w="4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4,966</w:t>
            </w:r>
          </w:p>
        </w:tc>
        <w:tc>
          <w:tcPr>
            <w:tcW w:w="2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5,542</w:t>
            </w:r>
          </w:p>
        </w:tc>
      </w:tr>
      <w:tr>
        <w:trPr>
          <w:trHeight w:val="124"/>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Earnings per share of common stock—basic</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8.53</w:t>
            </w:r>
          </w:p>
        </w:tc>
        <w:tc>
          <w:tcPr>
            <w:tcW w:w="4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7.33</w:t>
            </w:r>
          </w:p>
        </w:tc>
        <w:tc>
          <w:tcPr>
            <w:tcW w:w="2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8.01</w:t>
            </w:r>
          </w:p>
        </w:tc>
      </w:tr>
      <w:tr>
        <w:trPr>
          <w:trHeight w:val="124"/>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Earnings per share of common stock—assuming dilution</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8.47</w:t>
            </w:r>
          </w:p>
        </w:tc>
        <w:tc>
          <w:tcPr>
            <w:tcW w:w="4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7.27</w:t>
            </w:r>
          </w:p>
        </w:tc>
        <w:tc>
          <w:tcPr>
            <w:tcW w:w="2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7.91</w:t>
            </w:r>
          </w:p>
        </w:tc>
      </w:tr>
    </w:tbl>
    <w:p>
      <w:pPr>
        <w:spacing w:after="0" w:line="6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Notes to Consolidated Financial Statements are an integral part of this statement.</w:t>
      </w:r>
    </w:p>
    <w:p>
      <w:pPr>
        <w:spacing w:after="0" w:line="302"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D7282F"/>
        </w:rPr>
        <w:t>54</w:t>
      </w:r>
      <w:r>
        <w:rPr>
          <w:sz w:val="20"/>
          <w:szCs w:val="20"/>
          <w:color w:val="auto"/>
        </w:rPr>
        <w:tab/>
      </w:r>
      <w:r>
        <w:rPr>
          <w:rFonts w:ascii="Arial" w:cs="Arial" w:eastAsia="Arial" w:hAnsi="Arial"/>
          <w:sz w:val="8"/>
          <w:szCs w:val="8"/>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90805</wp:posOffset>
            </wp:positionV>
            <wp:extent cx="7203440"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56" w:name="page57"/>
    <w:bookmarkEnd w:id="56"/>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HONEYWELL INTERNATIONAL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CONSOLIDATED STATEMENT OF COMPREHENSIVE INCOME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580" w:type="dxa"/>
            <w:vAlign w:val="bottom"/>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580" w:type="dxa"/>
            <w:vAlign w:val="bottom"/>
            <w:tcBorders>
              <w:bottom w:val="single" w:sz="8" w:color="D7282F"/>
            </w:tcBorders>
          </w:tcPr>
          <w:p>
            <w:pPr>
              <w:spacing w:after="0"/>
              <w:rPr>
                <w:sz w:val="11"/>
                <w:szCs w:val="11"/>
                <w:color w:val="auto"/>
              </w:rPr>
            </w:pPr>
          </w:p>
        </w:tc>
        <w:tc>
          <w:tcPr>
            <w:tcW w:w="1380" w:type="dxa"/>
            <w:vAlign w:val="bottom"/>
            <w:tcBorders>
              <w:bottom w:val="single" w:sz="8" w:color="D7282F"/>
            </w:tcBorders>
            <w:gridSpan w:val="3"/>
          </w:tcPr>
          <w:p>
            <w:pPr>
              <w:jc w:val="center"/>
              <w:ind w:right="92"/>
              <w:spacing w:after="0"/>
              <w:rPr>
                <w:sz w:val="20"/>
                <w:szCs w:val="20"/>
                <w:color w:val="auto"/>
              </w:rPr>
            </w:pPr>
            <w:r>
              <w:rPr>
                <w:rFonts w:ascii="Arial" w:cs="Arial" w:eastAsia="Arial" w:hAnsi="Arial"/>
                <w:sz w:val="10"/>
                <w:szCs w:val="10"/>
                <w:b w:val="1"/>
                <w:bCs w:val="1"/>
                <w:color w:val="auto"/>
                <w:w w:val="96"/>
              </w:rPr>
              <w:t>Years Ended December 31,</w:t>
            </w:r>
          </w:p>
        </w:tc>
        <w:tc>
          <w:tcPr>
            <w:tcW w:w="600" w:type="dxa"/>
            <w:vAlign w:val="bottom"/>
            <w:tcBorders>
              <w:bottom w:val="single" w:sz="8" w:color="D7282F"/>
            </w:tcBorders>
          </w:tcPr>
          <w:p>
            <w:pPr>
              <w:spacing w:after="0"/>
              <w:rPr>
                <w:sz w:val="11"/>
                <w:szCs w:val="11"/>
                <w:color w:val="auto"/>
              </w:rPr>
            </w:pPr>
          </w:p>
        </w:tc>
      </w:tr>
      <w:tr>
        <w:trPr>
          <w:trHeight w:val="151"/>
        </w:trPr>
        <w:tc>
          <w:tcPr>
            <w:tcW w:w="8580" w:type="dxa"/>
            <w:vAlign w:val="bottom"/>
          </w:tcPr>
          <w:p>
            <w:pPr>
              <w:spacing w:after="0"/>
              <w:rPr>
                <w:sz w:val="13"/>
                <w:szCs w:val="13"/>
                <w:color w:val="auto"/>
              </w:rPr>
            </w:pPr>
          </w:p>
        </w:tc>
        <w:tc>
          <w:tcPr>
            <w:tcW w:w="160" w:type="dxa"/>
            <w:vAlign w:val="bottom"/>
            <w:tcBorders>
              <w:bottom w:val="single" w:sz="8" w:color="D7282F"/>
            </w:tcBorders>
          </w:tcPr>
          <w:p>
            <w:pPr>
              <w:spacing w:after="0"/>
              <w:rPr>
                <w:sz w:val="13"/>
                <w:szCs w:val="13"/>
                <w:color w:val="auto"/>
              </w:rPr>
            </w:pPr>
          </w:p>
        </w:tc>
        <w:tc>
          <w:tcPr>
            <w:tcW w:w="58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b w:val="1"/>
                <w:bCs w:val="1"/>
                <w:color w:val="auto"/>
              </w:rPr>
              <w:t>2023</w:t>
            </w:r>
          </w:p>
        </w:tc>
        <w:tc>
          <w:tcPr>
            <w:tcW w:w="400" w:type="dxa"/>
            <w:vAlign w:val="bottom"/>
            <w:tcBorders>
              <w:bottom w:val="single" w:sz="8" w:color="D7282F"/>
            </w:tcBorders>
          </w:tcPr>
          <w:p>
            <w:pPr>
              <w:spacing w:after="0"/>
              <w:rPr>
                <w:sz w:val="13"/>
                <w:szCs w:val="13"/>
                <w:color w:val="auto"/>
              </w:rPr>
            </w:pPr>
          </w:p>
        </w:tc>
        <w:tc>
          <w:tcPr>
            <w:tcW w:w="740" w:type="dxa"/>
            <w:vAlign w:val="bottom"/>
            <w:tcBorders>
              <w:bottom w:val="single" w:sz="8" w:color="D7282F"/>
            </w:tcBorders>
          </w:tcPr>
          <w:p>
            <w:pPr>
              <w:jc w:val="center"/>
              <w:ind w:right="272"/>
              <w:spacing w:after="0"/>
              <w:rPr>
                <w:sz w:val="20"/>
                <w:szCs w:val="20"/>
                <w:color w:val="auto"/>
              </w:rPr>
            </w:pPr>
            <w:r>
              <w:rPr>
                <w:rFonts w:ascii="Arial" w:cs="Arial" w:eastAsia="Arial" w:hAnsi="Arial"/>
                <w:sz w:val="10"/>
                <w:szCs w:val="10"/>
                <w:b w:val="1"/>
                <w:bCs w:val="1"/>
                <w:color w:val="auto"/>
                <w:w w:val="98"/>
              </w:rPr>
              <w:t>2022</w:t>
            </w:r>
          </w:p>
        </w:tc>
        <w:tc>
          <w:tcPr>
            <w:tcW w:w="24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2021</w:t>
            </w:r>
          </w:p>
        </w:tc>
      </w:tr>
      <w:tr>
        <w:trPr>
          <w:trHeight w:val="124"/>
        </w:trPr>
        <w:tc>
          <w:tcPr>
            <w:tcW w:w="858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spacing w:after="0"/>
              <w:rPr>
                <w:sz w:val="10"/>
                <w:szCs w:val="10"/>
                <w:color w:val="auto"/>
              </w:rPr>
            </w:pPr>
          </w:p>
        </w:tc>
        <w:tc>
          <w:tcPr>
            <w:tcW w:w="1140" w:type="dxa"/>
            <w:vAlign w:val="bottom"/>
            <w:tcBorders>
              <w:bottom w:val="single" w:sz="8" w:color="D7282F"/>
            </w:tcBorders>
            <w:gridSpan w:val="2"/>
          </w:tcPr>
          <w:p>
            <w:pPr>
              <w:jc w:val="center"/>
              <w:ind w:left="52"/>
              <w:spacing w:after="0"/>
              <w:rPr>
                <w:sz w:val="20"/>
                <w:szCs w:val="20"/>
                <w:color w:val="auto"/>
              </w:rPr>
            </w:pPr>
            <w:r>
              <w:rPr>
                <w:rFonts w:ascii="Arial" w:cs="Arial" w:eastAsia="Arial" w:hAnsi="Arial"/>
                <w:sz w:val="10"/>
                <w:szCs w:val="10"/>
                <w:b w:val="1"/>
                <w:bCs w:val="1"/>
                <w:color w:val="auto"/>
                <w:w w:val="94"/>
              </w:rPr>
              <w:t>(Dollars in millions)</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spacing w:after="0"/>
              <w:rPr>
                <w:sz w:val="10"/>
                <w:szCs w:val="10"/>
                <w:color w:val="auto"/>
              </w:rPr>
            </w:pPr>
          </w:p>
        </w:tc>
      </w:tr>
      <w:tr>
        <w:trPr>
          <w:trHeight w:val="122"/>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Net income</w:t>
            </w:r>
          </w:p>
        </w:tc>
        <w:tc>
          <w:tcPr>
            <w:tcW w:w="16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5,672</w:t>
            </w:r>
          </w:p>
        </w:tc>
        <w:tc>
          <w:tcPr>
            <w:tcW w:w="40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4,967</w:t>
            </w:r>
          </w:p>
        </w:tc>
        <w:tc>
          <w:tcPr>
            <w:tcW w:w="2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5,610</w:t>
            </w:r>
          </w:p>
        </w:tc>
      </w:tr>
      <w:tr>
        <w:trPr>
          <w:trHeight w:val="124"/>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Other comprehensive income (loss), net of tax</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spacing w:after="0"/>
              <w:rPr>
                <w:sz w:val="10"/>
                <w:szCs w:val="10"/>
                <w:color w:val="auto"/>
              </w:rPr>
            </w:pPr>
          </w:p>
        </w:tc>
      </w:tr>
      <w:tr>
        <w:trPr>
          <w:trHeight w:val="126"/>
        </w:trPr>
        <w:tc>
          <w:tcPr>
            <w:tcW w:w="85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Foreign exchange translation adjustment</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(274)</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(372)</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302</w:t>
            </w:r>
          </w:p>
        </w:tc>
      </w:tr>
      <w:tr>
        <w:trPr>
          <w:trHeight w:val="122"/>
        </w:trPr>
        <w:tc>
          <w:tcPr>
            <w:tcW w:w="858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Actuarial gains (losses) recognized</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(468)</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(452)</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256</w:t>
            </w:r>
          </w:p>
        </w:tc>
      </w:tr>
      <w:tr>
        <w:trPr>
          <w:trHeight w:val="124"/>
        </w:trPr>
        <w:tc>
          <w:tcPr>
            <w:tcW w:w="858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Prior service credit recognized</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7</w:t>
            </w:r>
          </w:p>
        </w:tc>
      </w:tr>
      <w:tr>
        <w:trPr>
          <w:trHeight w:val="124"/>
        </w:trPr>
        <w:tc>
          <w:tcPr>
            <w:tcW w:w="858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Prior service credit recognized during year</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(48)</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(64)</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(87)</w:t>
            </w:r>
          </w:p>
        </w:tc>
      </w:tr>
      <w:tr>
        <w:trPr>
          <w:trHeight w:val="124"/>
        </w:trPr>
        <w:tc>
          <w:tcPr>
            <w:tcW w:w="858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Actuarial losses recognized during year</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118</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454</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5</w:t>
            </w:r>
          </w:p>
        </w:tc>
      </w:tr>
      <w:tr>
        <w:trPr>
          <w:trHeight w:val="124"/>
        </w:trPr>
        <w:tc>
          <w:tcPr>
            <w:tcW w:w="8580" w:type="dxa"/>
            <w:vAlign w:val="bottom"/>
            <w:tcBorders>
              <w:bottom w:val="single" w:sz="8" w:color="D7282F"/>
            </w:tcBorders>
          </w:tcPr>
          <w:p>
            <w:pPr>
              <w:ind w:left="220"/>
              <w:spacing w:after="0"/>
              <w:rPr>
                <w:sz w:val="20"/>
                <w:szCs w:val="20"/>
                <w:color w:val="auto"/>
              </w:rPr>
            </w:pPr>
            <w:r>
              <w:rPr>
                <w:rFonts w:ascii="Arial" w:cs="Arial" w:eastAsia="Arial" w:hAnsi="Arial"/>
                <w:sz w:val="10"/>
                <w:szCs w:val="10"/>
                <w:color w:val="auto"/>
              </w:rPr>
              <w:t>Foreign exchange translation and other</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(9)</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color w:val="auto"/>
              </w:rPr>
              <w:t>(171)</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5</w:t>
            </w:r>
          </w:p>
        </w:tc>
      </w:tr>
      <w:tr>
        <w:trPr>
          <w:trHeight w:val="126"/>
        </w:trPr>
        <w:tc>
          <w:tcPr>
            <w:tcW w:w="85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Pension and other postretirement benefit adjustments</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(407)</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(233)</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186</w:t>
            </w:r>
          </w:p>
        </w:tc>
      </w:tr>
      <w:tr>
        <w:trPr>
          <w:trHeight w:val="124"/>
        </w:trPr>
        <w:tc>
          <w:tcPr>
            <w:tcW w:w="85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Changes in fair value of available for sale investments</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(8)</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w:t>
            </w:r>
          </w:p>
        </w:tc>
      </w:tr>
      <w:tr>
        <w:trPr>
          <w:trHeight w:val="122"/>
        </w:trPr>
        <w:tc>
          <w:tcPr>
            <w:tcW w:w="858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Cash flow hedges recognized in other comprehensive income (loss)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60</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71</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17</w:t>
            </w:r>
          </w:p>
        </w:tc>
      </w:tr>
      <w:tr>
        <w:trPr>
          <w:trHeight w:val="124"/>
        </w:trPr>
        <w:tc>
          <w:tcPr>
            <w:tcW w:w="8580" w:type="dxa"/>
            <w:vAlign w:val="bottom"/>
            <w:tcBorders>
              <w:bottom w:val="single" w:sz="8" w:color="D7282F"/>
            </w:tcBorders>
          </w:tcPr>
          <w:p>
            <w:pPr>
              <w:ind w:left="220"/>
              <w:spacing w:after="0"/>
              <w:rPr>
                <w:sz w:val="20"/>
                <w:szCs w:val="20"/>
                <w:color w:val="auto"/>
              </w:rPr>
            </w:pPr>
            <w:r>
              <w:rPr>
                <w:rFonts w:ascii="Arial" w:cs="Arial" w:eastAsia="Arial" w:hAnsi="Arial"/>
                <w:sz w:val="10"/>
                <w:szCs w:val="10"/>
                <w:color w:val="auto"/>
              </w:rPr>
              <w:t>Less: Reclassification adjustment for gains included in net income</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49</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56</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20</w:t>
            </w:r>
          </w:p>
        </w:tc>
      </w:tr>
      <w:tr>
        <w:trPr>
          <w:trHeight w:val="126"/>
        </w:trPr>
        <w:tc>
          <w:tcPr>
            <w:tcW w:w="85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Changes in fair value of cash flow hedges</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11</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15</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w:t>
            </w:r>
          </w:p>
        </w:tc>
      </w:tr>
      <w:tr>
        <w:trPr>
          <w:trHeight w:val="124"/>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Other comprehensive income (loss), net of tax</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(665)</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(598)</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482</w:t>
            </w:r>
          </w:p>
        </w:tc>
      </w:tr>
      <w:tr>
        <w:trPr>
          <w:trHeight w:val="124"/>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Comprehensive income</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5,007</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4,369</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6,092</w:t>
            </w:r>
          </w:p>
        </w:tc>
      </w:tr>
      <w:tr>
        <w:trPr>
          <w:trHeight w:val="122"/>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Less: Comprehensive income (loss) attributable to the noncontrolling interest</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9</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color w:val="auto"/>
              </w:rPr>
              <w:t>(17)</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64</w:t>
            </w:r>
          </w:p>
        </w:tc>
      </w:tr>
      <w:tr>
        <w:trPr>
          <w:trHeight w:val="126"/>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Comprehensive income attributable to Honeywell</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4,998</w:t>
            </w:r>
          </w:p>
        </w:tc>
        <w:tc>
          <w:tcPr>
            <w:tcW w:w="4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4,386</w:t>
            </w:r>
          </w:p>
        </w:tc>
        <w:tc>
          <w:tcPr>
            <w:tcW w:w="2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6,028</w:t>
            </w: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Notes to Consolidated Financial Statements are an integral part of this statement.</w:t>
      </w:r>
    </w:p>
    <w:p>
      <w:pPr>
        <w:spacing w:after="0" w:line="302"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D7282F"/>
        </w:rPr>
        <w:t>55</w:t>
      </w:r>
      <w:r>
        <w:rPr>
          <w:sz w:val="20"/>
          <w:szCs w:val="20"/>
          <w:color w:val="auto"/>
        </w:rPr>
        <w:tab/>
      </w:r>
      <w:r>
        <w:rPr>
          <w:rFonts w:ascii="Arial" w:cs="Arial" w:eastAsia="Arial" w:hAnsi="Arial"/>
          <w:sz w:val="8"/>
          <w:szCs w:val="8"/>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90805</wp:posOffset>
            </wp:positionV>
            <wp:extent cx="7203440"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57" w:name="page58"/>
    <w:bookmarkEnd w:id="57"/>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388"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0" w:lineRule="exact"/>
        <w:rPr>
          <w:sz w:val="20"/>
          <w:szCs w:val="20"/>
          <w:color w:val="auto"/>
        </w:rPr>
      </w:pPr>
    </w:p>
    <w:p>
      <w:pPr>
        <w:ind w:left="4748"/>
        <w:spacing w:after="0"/>
        <w:rPr>
          <w:sz w:val="20"/>
          <w:szCs w:val="20"/>
          <w:color w:val="auto"/>
        </w:rPr>
      </w:pPr>
      <w:r>
        <w:rPr>
          <w:rFonts w:ascii="Arial" w:cs="Arial" w:eastAsia="Arial" w:hAnsi="Arial"/>
          <w:sz w:val="11"/>
          <w:szCs w:val="11"/>
          <w:b w:val="1"/>
          <w:bCs w:val="1"/>
          <w:color w:val="auto"/>
        </w:rPr>
        <w:t>CONSOLIDATED BALANCE SHEET</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9560" w:type="dxa"/>
            <w:vAlign w:val="bottom"/>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1060" w:type="dxa"/>
            <w:vAlign w:val="bottom"/>
            <w:tcBorders>
              <w:bottom w:val="single" w:sz="8" w:color="D7282F"/>
            </w:tcBorders>
            <w:gridSpan w:val="2"/>
          </w:tcPr>
          <w:p>
            <w:pPr>
              <w:jc w:val="right"/>
              <w:spacing w:after="0"/>
              <w:rPr>
                <w:sz w:val="20"/>
                <w:szCs w:val="20"/>
                <w:color w:val="auto"/>
              </w:rPr>
            </w:pPr>
            <w:r>
              <w:rPr>
                <w:rFonts w:ascii="Arial" w:cs="Arial" w:eastAsia="Arial" w:hAnsi="Arial"/>
                <w:sz w:val="10"/>
                <w:szCs w:val="10"/>
                <w:b w:val="1"/>
                <w:bCs w:val="1"/>
                <w:color w:val="auto"/>
              </w:rPr>
              <w:t>December 31,</w:t>
            </w:r>
          </w:p>
        </w:tc>
        <w:tc>
          <w:tcPr>
            <w:tcW w:w="520" w:type="dxa"/>
            <w:vAlign w:val="bottom"/>
            <w:tcBorders>
              <w:bottom w:val="single" w:sz="8" w:color="D7282F"/>
            </w:tcBorders>
          </w:tcPr>
          <w:p>
            <w:pPr>
              <w:spacing w:after="0"/>
              <w:rPr>
                <w:sz w:val="11"/>
                <w:szCs w:val="11"/>
                <w:color w:val="auto"/>
              </w:rPr>
            </w:pPr>
          </w:p>
        </w:tc>
      </w:tr>
      <w:tr>
        <w:trPr>
          <w:trHeight w:val="151"/>
        </w:trPr>
        <w:tc>
          <w:tcPr>
            <w:tcW w:w="9560" w:type="dxa"/>
            <w:vAlign w:val="bottom"/>
          </w:tcPr>
          <w:p>
            <w:pPr>
              <w:spacing w:after="0"/>
              <w:rPr>
                <w:sz w:val="13"/>
                <w:szCs w:val="13"/>
                <w:color w:val="auto"/>
              </w:rPr>
            </w:pPr>
          </w:p>
        </w:tc>
        <w:tc>
          <w:tcPr>
            <w:tcW w:w="160" w:type="dxa"/>
            <w:vAlign w:val="bottom"/>
            <w:tcBorders>
              <w:bottom w:val="single" w:sz="8" w:color="D7282F"/>
            </w:tcBorders>
          </w:tcPr>
          <w:p>
            <w:pPr>
              <w:spacing w:after="0"/>
              <w:rPr>
                <w:sz w:val="13"/>
                <w:szCs w:val="13"/>
                <w:color w:val="auto"/>
              </w:rPr>
            </w:pPr>
          </w:p>
        </w:tc>
        <w:tc>
          <w:tcPr>
            <w:tcW w:w="70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2023</w:t>
            </w:r>
          </w:p>
        </w:tc>
        <w:tc>
          <w:tcPr>
            <w:tcW w:w="360" w:type="dxa"/>
            <w:vAlign w:val="bottom"/>
            <w:tcBorders>
              <w:bottom w:val="single" w:sz="8" w:color="D7282F"/>
            </w:tcBorders>
          </w:tcPr>
          <w:p>
            <w:pPr>
              <w:spacing w:after="0"/>
              <w:rPr>
                <w:sz w:val="13"/>
                <w:szCs w:val="13"/>
                <w:color w:val="auto"/>
              </w:rPr>
            </w:pPr>
          </w:p>
        </w:tc>
        <w:tc>
          <w:tcPr>
            <w:tcW w:w="52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w w:val="98"/>
              </w:rPr>
              <w:t>2022</w:t>
            </w:r>
          </w:p>
        </w:tc>
      </w:tr>
      <w:tr>
        <w:trPr>
          <w:trHeight w:val="124"/>
        </w:trPr>
        <w:tc>
          <w:tcPr>
            <w:tcW w:w="956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1580" w:type="dxa"/>
            <w:vAlign w:val="bottom"/>
            <w:tcBorders>
              <w:bottom w:val="single" w:sz="8" w:color="D7282F"/>
            </w:tcBorders>
            <w:gridSpan w:val="3"/>
          </w:tcPr>
          <w:p>
            <w:pPr>
              <w:jc w:val="right"/>
              <w:ind w:right="372"/>
              <w:spacing w:after="0"/>
              <w:rPr>
                <w:sz w:val="20"/>
                <w:szCs w:val="20"/>
                <w:color w:val="auto"/>
              </w:rPr>
            </w:pPr>
            <w:r>
              <w:rPr>
                <w:rFonts w:ascii="Arial" w:cs="Arial" w:eastAsia="Arial" w:hAnsi="Arial"/>
                <w:sz w:val="10"/>
                <w:szCs w:val="10"/>
                <w:b w:val="1"/>
                <w:bCs w:val="1"/>
                <w:color w:val="auto"/>
              </w:rPr>
              <w:t>(Dollars in millions)</w:t>
            </w:r>
          </w:p>
        </w:tc>
      </w:tr>
      <w:tr>
        <w:trPr>
          <w:trHeight w:val="124"/>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ASSETS</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spacing w:after="0"/>
              <w:rPr>
                <w:sz w:val="10"/>
                <w:szCs w:val="10"/>
                <w:color w:val="auto"/>
              </w:rPr>
            </w:pPr>
          </w:p>
        </w:tc>
      </w:tr>
      <w:tr>
        <w:trPr>
          <w:trHeight w:val="124"/>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Current assets</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spacing w:after="0"/>
              <w:rPr>
                <w:sz w:val="10"/>
                <w:szCs w:val="10"/>
                <w:color w:val="auto"/>
              </w:rPr>
            </w:pPr>
          </w:p>
        </w:tc>
      </w:tr>
      <w:tr>
        <w:trPr>
          <w:trHeight w:val="122"/>
        </w:trPr>
        <w:tc>
          <w:tcPr>
            <w:tcW w:w="956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Cash and cash equivalents</w:t>
            </w:r>
          </w:p>
        </w:tc>
        <w:tc>
          <w:tcPr>
            <w:tcW w:w="16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7,925</w:t>
            </w:r>
          </w:p>
        </w:tc>
        <w:tc>
          <w:tcPr>
            <w:tcW w:w="360" w:type="dxa"/>
            <w:vAlign w:val="bottom"/>
            <w:tcBorders>
              <w:bottom w:val="single" w:sz="8" w:color="61656A"/>
            </w:tcBorders>
          </w:tcPr>
          <w:p>
            <w:pPr>
              <w:jc w:val="right"/>
              <w:ind w:right="13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9,627</w:t>
            </w:r>
          </w:p>
        </w:tc>
      </w:tr>
      <w:tr>
        <w:trPr>
          <w:trHeight w:val="124"/>
        </w:trPr>
        <w:tc>
          <w:tcPr>
            <w:tcW w:w="956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Short-term investments</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170</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483</w:t>
            </w:r>
          </w:p>
        </w:tc>
      </w:tr>
      <w:tr>
        <w:trPr>
          <w:trHeight w:val="124"/>
        </w:trPr>
        <w:tc>
          <w:tcPr>
            <w:tcW w:w="956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Accounts receivable, less allowances of $323 and $326, respectively</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7,530</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7,440</w:t>
            </w:r>
          </w:p>
        </w:tc>
      </w:tr>
      <w:tr>
        <w:trPr>
          <w:trHeight w:val="124"/>
        </w:trPr>
        <w:tc>
          <w:tcPr>
            <w:tcW w:w="956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Inventories</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6,178</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5,538</w:t>
            </w:r>
          </w:p>
        </w:tc>
      </w:tr>
      <w:tr>
        <w:trPr>
          <w:trHeight w:val="124"/>
        </w:trPr>
        <w:tc>
          <w:tcPr>
            <w:tcW w:w="956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Other current assets</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1,699</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1,894</w:t>
            </w:r>
          </w:p>
        </w:tc>
      </w:tr>
      <w:tr>
        <w:trPr>
          <w:trHeight w:val="126"/>
        </w:trPr>
        <w:tc>
          <w:tcPr>
            <w:tcW w:w="956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current assets</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23,502</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24,982</w:t>
            </w:r>
          </w:p>
        </w:tc>
      </w:tr>
      <w:tr>
        <w:trPr>
          <w:trHeight w:val="122"/>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Investments and long-term receivables</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939</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945</w:t>
            </w:r>
          </w:p>
        </w:tc>
      </w:tr>
      <w:tr>
        <w:trPr>
          <w:trHeight w:val="124"/>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Property, plant and equipment—net</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5,660</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5,471</w:t>
            </w:r>
          </w:p>
        </w:tc>
      </w:tr>
      <w:tr>
        <w:trPr>
          <w:trHeight w:val="124"/>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Goodwill</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18,049</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17,497</w:t>
            </w:r>
          </w:p>
        </w:tc>
      </w:tr>
      <w:tr>
        <w:trPr>
          <w:trHeight w:val="124"/>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Other intangible assets—net</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3,231</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3,222</w:t>
            </w:r>
          </w:p>
        </w:tc>
      </w:tr>
      <w:tr>
        <w:trPr>
          <w:trHeight w:val="124"/>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Insurance recoveries for asbestos-related liabilities</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170</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224</w:t>
            </w:r>
          </w:p>
        </w:tc>
      </w:tr>
      <w:tr>
        <w:trPr>
          <w:trHeight w:val="124"/>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Deferred income taxes</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392</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421</w:t>
            </w:r>
          </w:p>
        </w:tc>
      </w:tr>
      <w:tr>
        <w:trPr>
          <w:trHeight w:val="124"/>
        </w:trPr>
        <w:tc>
          <w:tcPr>
            <w:tcW w:w="95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Other assets</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9,582</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9,513</w:t>
            </w:r>
          </w:p>
        </w:tc>
      </w:tr>
      <w:tr>
        <w:trPr>
          <w:trHeight w:val="126"/>
        </w:trPr>
        <w:tc>
          <w:tcPr>
            <w:tcW w:w="956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Total assets</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61,525</w:t>
            </w:r>
          </w:p>
        </w:tc>
        <w:tc>
          <w:tcPr>
            <w:tcW w:w="36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62,275</w:t>
            </w:r>
          </w:p>
        </w:tc>
      </w:tr>
      <w:tr>
        <w:trPr>
          <w:trHeight w:val="124"/>
        </w:trPr>
        <w:tc>
          <w:tcPr>
            <w:tcW w:w="9560" w:type="dxa"/>
            <w:vAlign w:val="bottom"/>
            <w:tcBorders>
              <w:bottom w:val="single" w:sz="8" w:color="939598"/>
            </w:tcBorders>
          </w:tcPr>
          <w:p>
            <w:pPr>
              <w:spacing w:after="0"/>
              <w:rPr>
                <w:sz w:val="20"/>
                <w:szCs w:val="20"/>
                <w:color w:val="auto"/>
              </w:rPr>
            </w:pPr>
            <w:r>
              <w:rPr>
                <w:rFonts w:ascii="Arial" w:cs="Arial" w:eastAsia="Arial" w:hAnsi="Arial"/>
                <w:sz w:val="10"/>
                <w:szCs w:val="10"/>
                <w:b w:val="1"/>
                <w:bCs w:val="1"/>
                <w:color w:val="auto"/>
              </w:rPr>
              <w:t>LIABILITIES</w:t>
            </w:r>
          </w:p>
        </w:tc>
        <w:tc>
          <w:tcPr>
            <w:tcW w:w="16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spacing w:after="0"/>
              <w:rPr>
                <w:sz w:val="10"/>
                <w:szCs w:val="10"/>
                <w:color w:val="auto"/>
              </w:rPr>
            </w:pPr>
          </w:p>
        </w:tc>
      </w:tr>
      <w:tr>
        <w:trPr>
          <w:trHeight w:val="124"/>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Current liabilities</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spacing w:after="0"/>
              <w:rPr>
                <w:sz w:val="10"/>
                <w:szCs w:val="10"/>
                <w:color w:val="auto"/>
              </w:rPr>
            </w:pPr>
          </w:p>
        </w:tc>
      </w:tr>
      <w:tr>
        <w:trPr>
          <w:trHeight w:val="122"/>
        </w:trPr>
        <w:tc>
          <w:tcPr>
            <w:tcW w:w="956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Accounts payable</w:t>
            </w:r>
          </w:p>
        </w:tc>
        <w:tc>
          <w:tcPr>
            <w:tcW w:w="16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6,849</w:t>
            </w:r>
          </w:p>
        </w:tc>
        <w:tc>
          <w:tcPr>
            <w:tcW w:w="360" w:type="dxa"/>
            <w:vAlign w:val="bottom"/>
            <w:tcBorders>
              <w:bottom w:val="single" w:sz="8" w:color="61656A"/>
            </w:tcBorders>
          </w:tcPr>
          <w:p>
            <w:pPr>
              <w:jc w:val="right"/>
              <w:ind w:right="13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6,329</w:t>
            </w:r>
          </w:p>
        </w:tc>
      </w:tr>
      <w:tr>
        <w:trPr>
          <w:trHeight w:val="124"/>
        </w:trPr>
        <w:tc>
          <w:tcPr>
            <w:tcW w:w="956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Commercial paper and other short-term borrowings</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2,085</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2,717</w:t>
            </w:r>
          </w:p>
        </w:tc>
      </w:tr>
      <w:tr>
        <w:trPr>
          <w:trHeight w:val="124"/>
        </w:trPr>
        <w:tc>
          <w:tcPr>
            <w:tcW w:w="956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Current maturities of long-term debt</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1,796</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1,730</w:t>
            </w:r>
          </w:p>
        </w:tc>
      </w:tr>
      <w:tr>
        <w:trPr>
          <w:trHeight w:val="124"/>
        </w:trPr>
        <w:tc>
          <w:tcPr>
            <w:tcW w:w="956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Accrued liabilities</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7,809</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9,162</w:t>
            </w:r>
          </w:p>
        </w:tc>
      </w:tr>
      <w:tr>
        <w:trPr>
          <w:trHeight w:val="126"/>
        </w:trPr>
        <w:tc>
          <w:tcPr>
            <w:tcW w:w="956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current liabilities</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18,539</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19,938</w:t>
            </w:r>
          </w:p>
        </w:tc>
      </w:tr>
      <w:tr>
        <w:trPr>
          <w:trHeight w:val="122"/>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Long-term debt</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16,562</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15,123</w:t>
            </w:r>
          </w:p>
        </w:tc>
      </w:tr>
      <w:tr>
        <w:trPr>
          <w:trHeight w:val="124"/>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Deferred income taxes</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2,094</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2,093</w:t>
            </w:r>
          </w:p>
        </w:tc>
      </w:tr>
      <w:tr>
        <w:trPr>
          <w:trHeight w:val="124"/>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Postretirement benefit obligations other than pensions</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134</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146</w:t>
            </w:r>
          </w:p>
        </w:tc>
      </w:tr>
      <w:tr>
        <w:trPr>
          <w:trHeight w:val="124"/>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Asbestos-related liabilities</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1,490</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1,180</w:t>
            </w:r>
          </w:p>
        </w:tc>
      </w:tr>
      <w:tr>
        <w:trPr>
          <w:trHeight w:val="124"/>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Other liabilities</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6,265</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6,469</w:t>
            </w:r>
          </w:p>
        </w:tc>
      </w:tr>
      <w:tr>
        <w:trPr>
          <w:trHeight w:val="124"/>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Redeemable noncontrolling interest</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7</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7</w:t>
            </w:r>
          </w:p>
        </w:tc>
      </w:tr>
      <w:tr>
        <w:trPr>
          <w:trHeight w:val="126"/>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SHAREOWNERS’ EQUITY</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spacing w:after="0"/>
              <w:rPr>
                <w:sz w:val="10"/>
                <w:szCs w:val="10"/>
                <w:color w:val="auto"/>
              </w:rPr>
            </w:pPr>
          </w:p>
        </w:tc>
      </w:tr>
      <w:tr>
        <w:trPr>
          <w:trHeight w:val="122"/>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Capital—common stock issued</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958</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958</w:t>
            </w:r>
          </w:p>
        </w:tc>
      </w:tr>
      <w:tr>
        <w:trPr>
          <w:trHeight w:val="124"/>
        </w:trPr>
        <w:tc>
          <w:tcPr>
            <w:tcW w:w="9560" w:type="dxa"/>
            <w:vAlign w:val="bottom"/>
            <w:tcBorders>
              <w:bottom w:val="single" w:sz="8" w:color="61656A"/>
            </w:tcBorders>
          </w:tcPr>
          <w:p>
            <w:pPr>
              <w:ind w:left="300"/>
              <w:spacing w:after="0"/>
              <w:rPr>
                <w:sz w:val="20"/>
                <w:szCs w:val="20"/>
                <w:color w:val="auto"/>
              </w:rPr>
            </w:pPr>
            <w:r>
              <w:rPr>
                <w:rFonts w:ascii="Arial" w:cs="Arial" w:eastAsia="Arial" w:hAnsi="Arial"/>
                <w:sz w:val="10"/>
                <w:szCs w:val="10"/>
                <w:color w:val="auto"/>
              </w:rPr>
              <w:t>—additional paid-in capital</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9,062</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8,564</w:t>
            </w:r>
          </w:p>
        </w:tc>
      </w:tr>
      <w:tr>
        <w:trPr>
          <w:trHeight w:val="124"/>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Common stock held in treasury, at cost</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(38,008)</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(34,443)</w:t>
            </w:r>
          </w:p>
        </w:tc>
      </w:tr>
      <w:tr>
        <w:trPr>
          <w:trHeight w:val="124"/>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Accumulated other comprehensive income (loss)</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(4,135)</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(3,475)</w:t>
            </w:r>
          </w:p>
        </w:tc>
      </w:tr>
      <w:tr>
        <w:trPr>
          <w:trHeight w:val="124"/>
        </w:trPr>
        <w:tc>
          <w:tcPr>
            <w:tcW w:w="95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Retained earnings</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47,979</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45,093</w:t>
            </w:r>
          </w:p>
        </w:tc>
      </w:tr>
      <w:tr>
        <w:trPr>
          <w:trHeight w:val="126"/>
        </w:trPr>
        <w:tc>
          <w:tcPr>
            <w:tcW w:w="956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Honeywell shareowners’ equity</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15,856</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16,697</w:t>
            </w:r>
          </w:p>
        </w:tc>
      </w:tr>
      <w:tr>
        <w:trPr>
          <w:trHeight w:val="122"/>
        </w:trPr>
        <w:tc>
          <w:tcPr>
            <w:tcW w:w="95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Noncontrolling interest</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578</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622</w:t>
            </w:r>
          </w:p>
        </w:tc>
      </w:tr>
      <w:tr>
        <w:trPr>
          <w:trHeight w:val="126"/>
        </w:trPr>
        <w:tc>
          <w:tcPr>
            <w:tcW w:w="956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shareowners’ equity</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16,434</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17,319</w:t>
            </w:r>
          </w:p>
        </w:tc>
      </w:tr>
      <w:tr>
        <w:trPr>
          <w:trHeight w:val="123"/>
        </w:trPr>
        <w:tc>
          <w:tcPr>
            <w:tcW w:w="9560" w:type="dxa"/>
            <w:vAlign w:val="bottom"/>
          </w:tcPr>
          <w:p>
            <w:pPr>
              <w:spacing w:after="0"/>
              <w:rPr>
                <w:sz w:val="20"/>
                <w:szCs w:val="20"/>
                <w:color w:val="auto"/>
              </w:rPr>
            </w:pPr>
            <w:r>
              <w:rPr>
                <w:rFonts w:ascii="Arial" w:cs="Arial" w:eastAsia="Arial" w:hAnsi="Arial"/>
                <w:sz w:val="10"/>
                <w:szCs w:val="10"/>
                <w:b w:val="1"/>
                <w:bCs w:val="1"/>
                <w:color w:val="auto"/>
              </w:rPr>
              <w:t>Total liabilities, redeemable noncontrolling interest and shareowners’ equity</w:t>
            </w:r>
          </w:p>
        </w:tc>
        <w:tc>
          <w:tcPr>
            <w:tcW w:w="160" w:type="dxa"/>
            <w:vAlign w:val="bottom"/>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Pr>
          <w:p>
            <w:pPr>
              <w:jc w:val="right"/>
              <w:ind w:right="92"/>
              <w:spacing w:after="0"/>
              <w:rPr>
                <w:sz w:val="20"/>
                <w:szCs w:val="20"/>
                <w:color w:val="auto"/>
              </w:rPr>
            </w:pPr>
            <w:r>
              <w:rPr>
                <w:rFonts w:ascii="Arial" w:cs="Arial" w:eastAsia="Arial" w:hAnsi="Arial"/>
                <w:sz w:val="10"/>
                <w:szCs w:val="10"/>
                <w:b w:val="1"/>
                <w:bCs w:val="1"/>
                <w:color w:val="auto"/>
              </w:rPr>
              <w:t>61,525</w:t>
            </w:r>
          </w:p>
        </w:tc>
        <w:tc>
          <w:tcPr>
            <w:tcW w:w="360" w:type="dxa"/>
            <w:vAlign w:val="bottom"/>
          </w:tcPr>
          <w:p>
            <w:pPr>
              <w:jc w:val="right"/>
              <w:ind w:right="132"/>
              <w:spacing w:after="0"/>
              <w:rPr>
                <w:sz w:val="20"/>
                <w:szCs w:val="20"/>
                <w:color w:val="auto"/>
              </w:rPr>
            </w:pPr>
            <w:r>
              <w:rPr>
                <w:rFonts w:ascii="Arial" w:cs="Arial" w:eastAsia="Arial" w:hAnsi="Arial"/>
                <w:sz w:val="10"/>
                <w:szCs w:val="10"/>
                <w:b w:val="1"/>
                <w:bCs w:val="1"/>
                <w:color w:val="auto"/>
              </w:rPr>
              <w:t>$</w:t>
            </w:r>
          </w:p>
        </w:tc>
        <w:tc>
          <w:tcPr>
            <w:tcW w:w="520" w:type="dxa"/>
            <w:vAlign w:val="bottom"/>
          </w:tcPr>
          <w:p>
            <w:pPr>
              <w:jc w:val="right"/>
              <w:spacing w:after="0"/>
              <w:rPr>
                <w:sz w:val="20"/>
                <w:szCs w:val="20"/>
                <w:color w:val="auto"/>
              </w:rPr>
            </w:pPr>
            <w:r>
              <w:rPr>
                <w:rFonts w:ascii="Arial" w:cs="Arial" w:eastAsia="Arial" w:hAnsi="Arial"/>
                <w:sz w:val="10"/>
                <w:szCs w:val="10"/>
                <w:b w:val="1"/>
                <w:bCs w:val="1"/>
                <w:color w:val="auto"/>
              </w:rPr>
              <w:t>62,275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17804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jc w:val="center"/>
        <w:ind w:right="-7"/>
        <w:spacing w:after="0"/>
        <w:rPr>
          <w:sz w:val="20"/>
          <w:szCs w:val="20"/>
          <w:color w:val="auto"/>
        </w:rPr>
      </w:pPr>
      <w:r>
        <w:rPr>
          <w:rFonts w:ascii="Arial" w:cs="Arial" w:eastAsia="Arial" w:hAnsi="Arial"/>
          <w:sz w:val="11"/>
          <w:szCs w:val="11"/>
          <w:color w:val="auto"/>
        </w:rPr>
        <w:t>The Notes to Consolidated Financial Statements are an integral part of this statement.</w:t>
      </w:r>
    </w:p>
    <w:p>
      <w:pPr>
        <w:spacing w:after="0" w:line="314" w:lineRule="exact"/>
        <w:rPr>
          <w:sz w:val="20"/>
          <w:szCs w:val="20"/>
          <w:color w:val="auto"/>
        </w:rPr>
      </w:pPr>
    </w:p>
    <w:p>
      <w:pPr>
        <w:ind w:left="268" w:hanging="268"/>
        <w:spacing w:after="0"/>
        <w:tabs>
          <w:tab w:leader="none" w:pos="268" w:val="left"/>
        </w:tabs>
        <w:numPr>
          <w:ilvl w:val="0"/>
          <w:numId w:val="100"/>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58" w:name="page59"/>
    <w:bookmarkEnd w:id="58"/>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388"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HONEYWELL INTERNATIONAL INC.</w:t>
      </w:r>
    </w:p>
    <w:p>
      <w:pPr>
        <w:spacing w:after="0" w:line="10"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CONSOLIDATED STATEMENT OF CASH FLOWS</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8580" w:type="dxa"/>
            <w:vAlign w:val="bottom"/>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580" w:type="dxa"/>
            <w:vAlign w:val="bottom"/>
            <w:tcBorders>
              <w:bottom w:val="single" w:sz="8" w:color="D7282F"/>
            </w:tcBorders>
          </w:tcPr>
          <w:p>
            <w:pPr>
              <w:spacing w:after="0"/>
              <w:rPr>
                <w:sz w:val="11"/>
                <w:szCs w:val="11"/>
                <w:color w:val="auto"/>
              </w:rPr>
            </w:pPr>
          </w:p>
        </w:tc>
        <w:tc>
          <w:tcPr>
            <w:tcW w:w="1380" w:type="dxa"/>
            <w:vAlign w:val="bottom"/>
            <w:tcBorders>
              <w:bottom w:val="single" w:sz="8" w:color="D7282F"/>
            </w:tcBorders>
            <w:gridSpan w:val="3"/>
          </w:tcPr>
          <w:p>
            <w:pPr>
              <w:jc w:val="center"/>
              <w:ind w:right="92"/>
              <w:spacing w:after="0"/>
              <w:rPr>
                <w:sz w:val="20"/>
                <w:szCs w:val="20"/>
                <w:color w:val="auto"/>
              </w:rPr>
            </w:pPr>
            <w:r>
              <w:rPr>
                <w:rFonts w:ascii="Arial" w:cs="Arial" w:eastAsia="Arial" w:hAnsi="Arial"/>
                <w:sz w:val="10"/>
                <w:szCs w:val="10"/>
                <w:b w:val="1"/>
                <w:bCs w:val="1"/>
                <w:color w:val="auto"/>
                <w:w w:val="96"/>
              </w:rPr>
              <w:t>Years Ended December 31,</w:t>
            </w:r>
          </w:p>
        </w:tc>
        <w:tc>
          <w:tcPr>
            <w:tcW w:w="600" w:type="dxa"/>
            <w:vAlign w:val="bottom"/>
            <w:tcBorders>
              <w:bottom w:val="single" w:sz="8" w:color="D7282F"/>
            </w:tcBorders>
          </w:tcPr>
          <w:p>
            <w:pPr>
              <w:spacing w:after="0"/>
              <w:rPr>
                <w:sz w:val="11"/>
                <w:szCs w:val="11"/>
                <w:color w:val="auto"/>
              </w:rPr>
            </w:pPr>
          </w:p>
        </w:tc>
      </w:tr>
      <w:tr>
        <w:trPr>
          <w:trHeight w:val="151"/>
        </w:trPr>
        <w:tc>
          <w:tcPr>
            <w:tcW w:w="8580" w:type="dxa"/>
            <w:vAlign w:val="bottom"/>
          </w:tcPr>
          <w:p>
            <w:pPr>
              <w:spacing w:after="0"/>
              <w:rPr>
                <w:sz w:val="13"/>
                <w:szCs w:val="13"/>
                <w:color w:val="auto"/>
              </w:rPr>
            </w:pPr>
          </w:p>
        </w:tc>
        <w:tc>
          <w:tcPr>
            <w:tcW w:w="160" w:type="dxa"/>
            <w:vAlign w:val="bottom"/>
            <w:tcBorders>
              <w:bottom w:val="single" w:sz="8" w:color="D7282F"/>
            </w:tcBorders>
          </w:tcPr>
          <w:p>
            <w:pPr>
              <w:spacing w:after="0"/>
              <w:rPr>
                <w:sz w:val="13"/>
                <w:szCs w:val="13"/>
                <w:color w:val="auto"/>
              </w:rPr>
            </w:pPr>
          </w:p>
        </w:tc>
        <w:tc>
          <w:tcPr>
            <w:tcW w:w="58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b w:val="1"/>
                <w:bCs w:val="1"/>
                <w:color w:val="auto"/>
              </w:rPr>
              <w:t>2023</w:t>
            </w:r>
          </w:p>
        </w:tc>
        <w:tc>
          <w:tcPr>
            <w:tcW w:w="400" w:type="dxa"/>
            <w:vAlign w:val="bottom"/>
            <w:tcBorders>
              <w:bottom w:val="single" w:sz="8" w:color="D7282F"/>
            </w:tcBorders>
          </w:tcPr>
          <w:p>
            <w:pPr>
              <w:spacing w:after="0"/>
              <w:rPr>
                <w:sz w:val="13"/>
                <w:szCs w:val="13"/>
                <w:color w:val="auto"/>
              </w:rPr>
            </w:pPr>
          </w:p>
        </w:tc>
        <w:tc>
          <w:tcPr>
            <w:tcW w:w="740" w:type="dxa"/>
            <w:vAlign w:val="bottom"/>
            <w:tcBorders>
              <w:bottom w:val="single" w:sz="8" w:color="D7282F"/>
            </w:tcBorders>
          </w:tcPr>
          <w:p>
            <w:pPr>
              <w:jc w:val="center"/>
              <w:ind w:right="272"/>
              <w:spacing w:after="0"/>
              <w:rPr>
                <w:sz w:val="20"/>
                <w:szCs w:val="20"/>
                <w:color w:val="auto"/>
              </w:rPr>
            </w:pPr>
            <w:r>
              <w:rPr>
                <w:rFonts w:ascii="Arial" w:cs="Arial" w:eastAsia="Arial" w:hAnsi="Arial"/>
                <w:sz w:val="10"/>
                <w:szCs w:val="10"/>
                <w:b w:val="1"/>
                <w:bCs w:val="1"/>
                <w:color w:val="auto"/>
                <w:w w:val="98"/>
              </w:rPr>
              <w:t>2022</w:t>
            </w:r>
          </w:p>
        </w:tc>
        <w:tc>
          <w:tcPr>
            <w:tcW w:w="24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2021</w:t>
            </w:r>
          </w:p>
        </w:tc>
      </w:tr>
      <w:tr>
        <w:trPr>
          <w:trHeight w:val="124"/>
        </w:trPr>
        <w:tc>
          <w:tcPr>
            <w:tcW w:w="858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spacing w:after="0"/>
              <w:rPr>
                <w:sz w:val="10"/>
                <w:szCs w:val="10"/>
                <w:color w:val="auto"/>
              </w:rPr>
            </w:pPr>
          </w:p>
        </w:tc>
        <w:tc>
          <w:tcPr>
            <w:tcW w:w="1140" w:type="dxa"/>
            <w:vAlign w:val="bottom"/>
            <w:tcBorders>
              <w:bottom w:val="single" w:sz="8" w:color="D7282F"/>
            </w:tcBorders>
            <w:gridSpan w:val="2"/>
          </w:tcPr>
          <w:p>
            <w:pPr>
              <w:jc w:val="center"/>
              <w:ind w:left="52"/>
              <w:spacing w:after="0"/>
              <w:rPr>
                <w:sz w:val="20"/>
                <w:szCs w:val="20"/>
                <w:color w:val="auto"/>
              </w:rPr>
            </w:pPr>
            <w:r>
              <w:rPr>
                <w:rFonts w:ascii="Arial" w:cs="Arial" w:eastAsia="Arial" w:hAnsi="Arial"/>
                <w:sz w:val="10"/>
                <w:szCs w:val="10"/>
                <w:b w:val="1"/>
                <w:bCs w:val="1"/>
                <w:color w:val="auto"/>
                <w:w w:val="94"/>
              </w:rPr>
              <w:t>(Dollars in millions)</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spacing w:after="0"/>
              <w:rPr>
                <w:sz w:val="10"/>
                <w:szCs w:val="10"/>
                <w:color w:val="auto"/>
              </w:rPr>
            </w:pPr>
          </w:p>
        </w:tc>
      </w:tr>
      <w:tr>
        <w:trPr>
          <w:trHeight w:val="124"/>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Cash flows from operating activities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spacing w:after="0"/>
              <w:rPr>
                <w:sz w:val="10"/>
                <w:szCs w:val="10"/>
                <w:color w:val="auto"/>
              </w:rPr>
            </w:pPr>
          </w:p>
        </w:tc>
      </w:tr>
      <w:tr>
        <w:trPr>
          <w:trHeight w:val="122"/>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Net income</w:t>
            </w:r>
          </w:p>
        </w:tc>
        <w:tc>
          <w:tcPr>
            <w:tcW w:w="16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5,672</w:t>
            </w:r>
          </w:p>
        </w:tc>
        <w:tc>
          <w:tcPr>
            <w:tcW w:w="40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4,967</w:t>
            </w:r>
          </w:p>
        </w:tc>
        <w:tc>
          <w:tcPr>
            <w:tcW w:w="2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5,610</w:t>
            </w:r>
          </w:p>
        </w:tc>
      </w:tr>
      <w:tr>
        <w:trPr>
          <w:trHeight w:val="124"/>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Less: Net income attributable to noncontrolling interest</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14</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1</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68</w:t>
            </w:r>
          </w:p>
        </w:tc>
      </w:tr>
      <w:tr>
        <w:trPr>
          <w:trHeight w:val="126"/>
        </w:trPr>
        <w:tc>
          <w:tcPr>
            <w:tcW w:w="85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Net income attributable to Honeywell</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5,658</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4,966</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5,542</w:t>
            </w:r>
          </w:p>
        </w:tc>
      </w:tr>
      <w:tr>
        <w:trPr>
          <w:trHeight w:val="122"/>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Adjustments to reconcile net income attributable to Honeywell to net cash provided by operating activities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spacing w:after="0"/>
              <w:rPr>
                <w:sz w:val="10"/>
                <w:szCs w:val="10"/>
                <w:color w:val="auto"/>
              </w:rPr>
            </w:pPr>
          </w:p>
        </w:tc>
      </w:tr>
      <w:tr>
        <w:trPr>
          <w:trHeight w:val="124"/>
        </w:trPr>
        <w:tc>
          <w:tcPr>
            <w:tcW w:w="858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Depreciation</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659</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657</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674</w:t>
            </w:r>
          </w:p>
        </w:tc>
      </w:tr>
      <w:tr>
        <w:trPr>
          <w:trHeight w:val="124"/>
        </w:trPr>
        <w:tc>
          <w:tcPr>
            <w:tcW w:w="858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Amortization</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517</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547</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549</w:t>
            </w:r>
          </w:p>
        </w:tc>
      </w:tr>
      <w:tr>
        <w:trPr>
          <w:trHeight w:val="124"/>
        </w:trPr>
        <w:tc>
          <w:tcPr>
            <w:tcW w:w="858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Gain on sale of non-strategic businesses and assets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(22)</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(102)</w:t>
            </w:r>
          </w:p>
        </w:tc>
      </w:tr>
      <w:tr>
        <w:trPr>
          <w:trHeight w:val="124"/>
        </w:trPr>
        <w:tc>
          <w:tcPr>
            <w:tcW w:w="858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Repositioning and other charges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860</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1,266</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569</w:t>
            </w:r>
          </w:p>
        </w:tc>
      </w:tr>
      <w:tr>
        <w:trPr>
          <w:trHeight w:val="124"/>
        </w:trPr>
        <w:tc>
          <w:tcPr>
            <w:tcW w:w="8580" w:type="dxa"/>
            <w:vAlign w:val="bottom"/>
            <w:tcBorders>
              <w:bottom w:val="single" w:sz="8" w:color="61656A"/>
            </w:tcBorders>
          </w:tcPr>
          <w:p>
            <w:pPr>
              <w:ind w:left="140"/>
              <w:spacing w:after="0"/>
              <w:rPr>
                <w:sz w:val="20"/>
                <w:szCs w:val="20"/>
                <w:color w:val="auto"/>
              </w:rPr>
            </w:pPr>
            <w:r>
              <w:rPr>
                <w:rFonts w:ascii="Arial" w:cs="Arial" w:eastAsia="Arial" w:hAnsi="Arial"/>
                <w:sz w:val="10"/>
                <w:szCs w:val="10"/>
                <w:color w:val="auto"/>
              </w:rPr>
              <w:t>Net payments for repositioning and other charges</w:t>
            </w:r>
          </w:p>
        </w:tc>
        <w:tc>
          <w:tcPr>
            <w:tcW w:w="1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(459)</w:t>
            </w:r>
          </w:p>
        </w:tc>
        <w:tc>
          <w:tcPr>
            <w:tcW w:w="400" w:type="dxa"/>
            <w:vAlign w:val="bottom"/>
            <w:tcBorders>
              <w:bottom w:val="single" w:sz="8" w:color="61656A"/>
            </w:tcBorders>
          </w:tcPr>
          <w:p>
            <w:pPr>
              <w:spacing w:after="0"/>
              <w:rPr>
                <w:sz w:val="10"/>
                <w:szCs w:val="10"/>
                <w:color w:val="auto"/>
              </w:rPr>
            </w:pPr>
          </w:p>
        </w:tc>
        <w:tc>
          <w:tcPr>
            <w:tcW w:w="740" w:type="dxa"/>
            <w:vAlign w:val="bottom"/>
            <w:tcBorders>
              <w:bottom w:val="single" w:sz="8" w:color="61656A"/>
            </w:tcBorders>
          </w:tcPr>
          <w:p>
            <w:pPr>
              <w:jc w:val="right"/>
              <w:ind w:right="132"/>
              <w:spacing w:after="0"/>
              <w:rPr>
                <w:sz w:val="20"/>
                <w:szCs w:val="20"/>
                <w:color w:val="auto"/>
              </w:rPr>
            </w:pPr>
            <w:r>
              <w:rPr>
                <w:rFonts w:ascii="Arial" w:cs="Arial" w:eastAsia="Arial" w:hAnsi="Arial"/>
                <w:sz w:val="10"/>
                <w:szCs w:val="10"/>
                <w:color w:val="auto"/>
              </w:rPr>
              <w:t>(512)</w:t>
            </w:r>
          </w:p>
        </w:tc>
        <w:tc>
          <w:tcPr>
            <w:tcW w:w="24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(692)</w:t>
            </w:r>
          </w:p>
        </w:tc>
      </w:tr>
      <w:tr>
        <w:trPr>
          <w:trHeight w:val="124"/>
        </w:trPr>
        <w:tc>
          <w:tcPr>
            <w:tcW w:w="8580" w:type="dxa"/>
            <w:vAlign w:val="bottom"/>
            <w:tcBorders>
              <w:bottom w:val="single" w:sz="8" w:color="61656A"/>
            </w:tcBorders>
          </w:tcPr>
          <w:p>
            <w:pPr>
              <w:ind w:left="140"/>
              <w:spacing w:after="0"/>
              <w:rPr>
                <w:sz w:val="20"/>
                <w:szCs w:val="20"/>
                <w:color w:val="auto"/>
              </w:rPr>
            </w:pPr>
            <w:r>
              <w:rPr>
                <w:rFonts w:ascii="Arial" w:cs="Arial" w:eastAsia="Arial" w:hAnsi="Arial"/>
                <w:sz w:val="10"/>
                <w:szCs w:val="10"/>
                <w:color w:val="auto"/>
              </w:rPr>
              <w:t>NARCO Buyout payment</w:t>
            </w:r>
          </w:p>
        </w:tc>
        <w:tc>
          <w:tcPr>
            <w:tcW w:w="1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(1,325)</w:t>
            </w:r>
          </w:p>
        </w:tc>
        <w:tc>
          <w:tcPr>
            <w:tcW w:w="400" w:type="dxa"/>
            <w:vAlign w:val="bottom"/>
            <w:tcBorders>
              <w:bottom w:val="single" w:sz="8" w:color="61656A"/>
            </w:tcBorders>
          </w:tcPr>
          <w:p>
            <w:pPr>
              <w:spacing w:after="0"/>
              <w:rPr>
                <w:sz w:val="10"/>
                <w:szCs w:val="10"/>
                <w:color w:val="auto"/>
              </w:rPr>
            </w:pPr>
          </w:p>
        </w:tc>
        <w:tc>
          <w:tcPr>
            <w:tcW w:w="740" w:type="dxa"/>
            <w:vAlign w:val="bottom"/>
            <w:tcBorders>
              <w:bottom w:val="single" w:sz="8" w:color="61656A"/>
            </w:tcBorders>
          </w:tcPr>
          <w:p>
            <w:pPr>
              <w:jc w:val="right"/>
              <w:ind w:right="15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858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Pension and other postretirement income</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(406)</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(510)</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(1,114)</w:t>
            </w:r>
          </w:p>
        </w:tc>
      </w:tr>
      <w:tr>
        <w:trPr>
          <w:trHeight w:val="124"/>
        </w:trPr>
        <w:tc>
          <w:tcPr>
            <w:tcW w:w="858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Pension and other postretirement benefit payments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(38)</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(23)</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(43)</w:t>
            </w:r>
          </w:p>
        </w:tc>
      </w:tr>
      <w:tr>
        <w:trPr>
          <w:trHeight w:val="124"/>
        </w:trPr>
        <w:tc>
          <w:tcPr>
            <w:tcW w:w="858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Stock compensation expense</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202</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188</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217</w:t>
            </w:r>
          </w:p>
        </w:tc>
      </w:tr>
      <w:tr>
        <w:trPr>
          <w:trHeight w:val="124"/>
        </w:trPr>
        <w:tc>
          <w:tcPr>
            <w:tcW w:w="858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Deferred income taxes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153</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(180)</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178</w:t>
            </w:r>
          </w:p>
        </w:tc>
      </w:tr>
      <w:tr>
        <w:trPr>
          <w:trHeight w:val="124"/>
        </w:trPr>
        <w:tc>
          <w:tcPr>
            <w:tcW w:w="858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Other</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(837)</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(358)</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(28)</w:t>
            </w:r>
          </w:p>
        </w:tc>
      </w:tr>
      <w:tr>
        <w:trPr>
          <w:trHeight w:val="124"/>
        </w:trPr>
        <w:tc>
          <w:tcPr>
            <w:tcW w:w="858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Changes in assets and liabilities, net of the effects of acquisitions and divestitures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spacing w:after="0"/>
              <w:rPr>
                <w:sz w:val="10"/>
                <w:szCs w:val="10"/>
                <w:color w:val="auto"/>
              </w:rPr>
            </w:pPr>
          </w:p>
        </w:tc>
      </w:tr>
      <w:tr>
        <w:trPr>
          <w:trHeight w:val="124"/>
        </w:trPr>
        <w:tc>
          <w:tcPr>
            <w:tcW w:w="858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Accounts receivable</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(42)</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(739)</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(8)</w:t>
            </w:r>
          </w:p>
        </w:tc>
      </w:tr>
      <w:tr>
        <w:trPr>
          <w:trHeight w:val="124"/>
        </w:trPr>
        <w:tc>
          <w:tcPr>
            <w:tcW w:w="858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Inventories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(626)</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(440)</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(685)</w:t>
            </w:r>
          </w:p>
        </w:tc>
      </w:tr>
      <w:tr>
        <w:trPr>
          <w:trHeight w:val="124"/>
        </w:trPr>
        <w:tc>
          <w:tcPr>
            <w:tcW w:w="858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Other current assets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17</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232</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(276)</w:t>
            </w:r>
          </w:p>
        </w:tc>
      </w:tr>
      <w:tr>
        <w:trPr>
          <w:trHeight w:val="124"/>
        </w:trPr>
        <w:tc>
          <w:tcPr>
            <w:tcW w:w="858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Accounts payable</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518</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(155)</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744</w:t>
            </w:r>
          </w:p>
        </w:tc>
      </w:tr>
      <w:tr>
        <w:trPr>
          <w:trHeight w:val="124"/>
        </w:trPr>
        <w:tc>
          <w:tcPr>
            <w:tcW w:w="8580" w:type="dxa"/>
            <w:vAlign w:val="bottom"/>
            <w:tcBorders>
              <w:bottom w:val="single" w:sz="8" w:color="D7282F"/>
            </w:tcBorders>
          </w:tcPr>
          <w:p>
            <w:pPr>
              <w:ind w:left="220"/>
              <w:spacing w:after="0"/>
              <w:rPr>
                <w:sz w:val="20"/>
                <w:szCs w:val="20"/>
                <w:color w:val="auto"/>
              </w:rPr>
            </w:pPr>
            <w:r>
              <w:rPr>
                <w:rFonts w:ascii="Arial" w:cs="Arial" w:eastAsia="Arial" w:hAnsi="Arial"/>
                <w:sz w:val="10"/>
                <w:szCs w:val="10"/>
                <w:color w:val="auto"/>
              </w:rPr>
              <w:t>Accrued liabilities</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494</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357</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513</w:t>
            </w:r>
          </w:p>
        </w:tc>
      </w:tr>
      <w:tr>
        <w:trPr>
          <w:trHeight w:val="126"/>
        </w:trPr>
        <w:tc>
          <w:tcPr>
            <w:tcW w:w="8580" w:type="dxa"/>
            <w:vAlign w:val="bottom"/>
            <w:tcBorders>
              <w:bottom w:val="single" w:sz="8" w:color="D7282F"/>
            </w:tcBorders>
          </w:tcPr>
          <w:p>
            <w:pPr>
              <w:ind w:left="300"/>
              <w:spacing w:after="0"/>
              <w:rPr>
                <w:sz w:val="20"/>
                <w:szCs w:val="20"/>
                <w:color w:val="auto"/>
              </w:rPr>
            </w:pPr>
            <w:r>
              <w:rPr>
                <w:rFonts w:ascii="Arial" w:cs="Arial" w:eastAsia="Arial" w:hAnsi="Arial"/>
                <w:sz w:val="10"/>
                <w:szCs w:val="10"/>
                <w:b w:val="1"/>
                <w:bCs w:val="1"/>
                <w:color w:val="auto"/>
              </w:rPr>
              <w:t>Net cash provided by operating activities</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5,340</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5,274</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6,038</w:t>
            </w:r>
          </w:p>
        </w:tc>
      </w:tr>
      <w:tr>
        <w:trPr>
          <w:trHeight w:val="124"/>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Cash flows from investing activities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spacing w:after="0"/>
              <w:rPr>
                <w:sz w:val="10"/>
                <w:szCs w:val="10"/>
                <w:color w:val="auto"/>
              </w:rPr>
            </w:pPr>
          </w:p>
        </w:tc>
      </w:tr>
      <w:tr>
        <w:trPr>
          <w:trHeight w:val="122"/>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Capital expenditures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(1,039)</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(766)</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(895)</w:t>
            </w:r>
          </w:p>
        </w:tc>
      </w:tr>
      <w:tr>
        <w:trPr>
          <w:trHeight w:val="124"/>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Proceeds from disposals of property, plant and equipment</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43</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29</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27</w:t>
            </w:r>
          </w:p>
        </w:tc>
      </w:tr>
      <w:tr>
        <w:trPr>
          <w:trHeight w:val="124"/>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Increase in investments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(560)</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(1,211)</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(2,373)</w:t>
            </w:r>
          </w:p>
        </w:tc>
      </w:tr>
      <w:tr>
        <w:trPr>
          <w:trHeight w:val="124"/>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Decrease in investments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971</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1,255</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2,525</w:t>
            </w:r>
          </w:p>
        </w:tc>
      </w:tr>
      <w:tr>
        <w:trPr>
          <w:trHeight w:val="124"/>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Receipts from Garrett Motion Inc.</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409</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586</w:t>
            </w:r>
          </w:p>
        </w:tc>
      </w:tr>
      <w:tr>
        <w:trPr>
          <w:trHeight w:val="124"/>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Receipts (payments) from settlements of derivative contracts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369</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192</w:t>
            </w:r>
          </w:p>
        </w:tc>
      </w:tr>
      <w:tr>
        <w:trPr>
          <w:trHeight w:val="124"/>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Cash paid for acquisitions, net of cash acquired</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(718)</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(178)</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(1,326)</w:t>
            </w:r>
          </w:p>
        </w:tc>
      </w:tr>
      <w:tr>
        <w:trPr>
          <w:trHeight w:val="124"/>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Proceeds from sales of businesses, net of fees paid</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203</w:t>
            </w:r>
          </w:p>
        </w:tc>
      </w:tr>
      <w:tr>
        <w:trPr>
          <w:trHeight w:val="126"/>
        </w:trPr>
        <w:tc>
          <w:tcPr>
            <w:tcW w:w="8580" w:type="dxa"/>
            <w:vAlign w:val="bottom"/>
            <w:tcBorders>
              <w:bottom w:val="single" w:sz="8" w:color="D7282F"/>
            </w:tcBorders>
          </w:tcPr>
          <w:p>
            <w:pPr>
              <w:ind w:left="300"/>
              <w:spacing w:after="0"/>
              <w:rPr>
                <w:sz w:val="20"/>
                <w:szCs w:val="20"/>
                <w:color w:val="auto"/>
              </w:rPr>
            </w:pPr>
            <w:r>
              <w:rPr>
                <w:rFonts w:ascii="Arial" w:cs="Arial" w:eastAsia="Arial" w:hAnsi="Arial"/>
                <w:sz w:val="10"/>
                <w:szCs w:val="10"/>
                <w:b w:val="1"/>
                <w:bCs w:val="1"/>
                <w:color w:val="auto"/>
              </w:rPr>
              <w:t>Net cash used for investing activities</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(1,293)</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(93)</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(1,061)</w:t>
            </w:r>
          </w:p>
        </w:tc>
      </w:tr>
      <w:tr>
        <w:trPr>
          <w:trHeight w:val="124"/>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Cash flows from financing activities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spacing w:after="0"/>
              <w:rPr>
                <w:sz w:val="10"/>
                <w:szCs w:val="10"/>
                <w:color w:val="auto"/>
              </w:rPr>
            </w:pPr>
          </w:p>
        </w:tc>
      </w:tr>
      <w:tr>
        <w:trPr>
          <w:trHeight w:val="122"/>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Proceeds from issuance of commercial paper and other short-term borrowings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12,991</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7,661</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5,194</w:t>
            </w:r>
          </w:p>
        </w:tc>
      </w:tr>
      <w:tr>
        <w:trPr>
          <w:trHeight w:val="124"/>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Payments of commercial paper and other short-term borrowings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(13,663)</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(8,447)</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(5,190)</w:t>
            </w:r>
          </w:p>
        </w:tc>
      </w:tr>
      <w:tr>
        <w:trPr>
          <w:trHeight w:val="124"/>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Proceeds from issuance of common stock</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196</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320</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229</w:t>
            </w:r>
          </w:p>
        </w:tc>
      </w:tr>
      <w:tr>
        <w:trPr>
          <w:trHeight w:val="124"/>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Proceeds from issuance of long-term debt</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2,986</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2,953</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2,517</w:t>
            </w:r>
          </w:p>
        </w:tc>
      </w:tr>
      <w:tr>
        <w:trPr>
          <w:trHeight w:val="124"/>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Payments of long-term debt</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(1,731)</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(1,850)</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(4,917)</w:t>
            </w:r>
          </w:p>
        </w:tc>
      </w:tr>
      <w:tr>
        <w:trPr>
          <w:trHeight w:val="124"/>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Repurchases of common stock</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(3,715)</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(4,200)</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(3,380)</w:t>
            </w:r>
          </w:p>
        </w:tc>
      </w:tr>
      <w:tr>
        <w:trPr>
          <w:trHeight w:val="124"/>
        </w:trPr>
        <w:tc>
          <w:tcPr>
            <w:tcW w:w="858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Cash dividends paid</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(2,855)</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32"/>
              <w:spacing w:after="0"/>
              <w:rPr>
                <w:sz w:val="20"/>
                <w:szCs w:val="20"/>
                <w:color w:val="auto"/>
              </w:rPr>
            </w:pPr>
            <w:r>
              <w:rPr>
                <w:rFonts w:ascii="Arial" w:cs="Arial" w:eastAsia="Arial" w:hAnsi="Arial"/>
                <w:sz w:val="10"/>
                <w:szCs w:val="10"/>
                <w:color w:val="auto"/>
              </w:rPr>
              <w:t>(2,719)</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(2,626)</w:t>
            </w:r>
          </w:p>
        </w:tc>
      </w:tr>
      <w:tr>
        <w:trPr>
          <w:trHeight w:val="124"/>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Other</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28</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color w:val="auto"/>
              </w:rPr>
              <w:t>(48)</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(81)</w:t>
            </w:r>
          </w:p>
        </w:tc>
      </w:tr>
      <w:tr>
        <w:trPr>
          <w:trHeight w:val="126"/>
        </w:trPr>
        <w:tc>
          <w:tcPr>
            <w:tcW w:w="8580" w:type="dxa"/>
            <w:vAlign w:val="bottom"/>
            <w:tcBorders>
              <w:bottom w:val="single" w:sz="8" w:color="D7282F"/>
            </w:tcBorders>
          </w:tcPr>
          <w:p>
            <w:pPr>
              <w:ind w:left="300"/>
              <w:spacing w:after="0"/>
              <w:rPr>
                <w:sz w:val="20"/>
                <w:szCs w:val="20"/>
                <w:color w:val="auto"/>
              </w:rPr>
            </w:pPr>
            <w:r>
              <w:rPr>
                <w:rFonts w:ascii="Arial" w:cs="Arial" w:eastAsia="Arial" w:hAnsi="Arial"/>
                <w:sz w:val="10"/>
                <w:szCs w:val="10"/>
                <w:b w:val="1"/>
                <w:bCs w:val="1"/>
                <w:color w:val="auto"/>
              </w:rPr>
              <w:t>Net cash used for financing activities</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(5,763)</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(6,330)</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(8,254)</w:t>
            </w:r>
          </w:p>
        </w:tc>
      </w:tr>
      <w:tr>
        <w:trPr>
          <w:trHeight w:val="122"/>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Effect of foreign exchange rate changes on cash and cash equivalents</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14</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color w:val="auto"/>
              </w:rPr>
              <w:t>(183)</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(39)</w:t>
            </w:r>
          </w:p>
        </w:tc>
      </w:tr>
      <w:tr>
        <w:trPr>
          <w:trHeight w:val="126"/>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Net decrease in cash and cash equivalents</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(1,702)</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(1,332)</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(3,316)</w:t>
            </w:r>
          </w:p>
        </w:tc>
      </w:tr>
      <w:tr>
        <w:trPr>
          <w:trHeight w:val="124"/>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Cash and cash equivalents at beginning of period</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9,627</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10,959</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14,275</w:t>
            </w:r>
          </w:p>
        </w:tc>
      </w:tr>
      <w:tr>
        <w:trPr>
          <w:trHeight w:val="123"/>
        </w:trPr>
        <w:tc>
          <w:tcPr>
            <w:tcW w:w="8580" w:type="dxa"/>
            <w:vAlign w:val="bottom"/>
          </w:tcPr>
          <w:p>
            <w:pPr>
              <w:spacing w:after="0"/>
              <w:rPr>
                <w:sz w:val="20"/>
                <w:szCs w:val="20"/>
                <w:color w:val="auto"/>
              </w:rPr>
            </w:pPr>
            <w:r>
              <w:rPr>
                <w:rFonts w:ascii="Arial" w:cs="Arial" w:eastAsia="Arial" w:hAnsi="Arial"/>
                <w:sz w:val="10"/>
                <w:szCs w:val="10"/>
                <w:b w:val="1"/>
                <w:bCs w:val="1"/>
                <w:color w:val="auto"/>
              </w:rPr>
              <w:t>Cash and cash equivalents at end of period</w:t>
            </w:r>
          </w:p>
        </w:tc>
        <w:tc>
          <w:tcPr>
            <w:tcW w:w="160" w:type="dxa"/>
            <w:vAlign w:val="bottom"/>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0"/>
                <w:szCs w:val="10"/>
                <w:b w:val="1"/>
                <w:bCs w:val="1"/>
                <w:color w:val="auto"/>
              </w:rPr>
              <w:t>7,925</w:t>
            </w:r>
          </w:p>
        </w:tc>
        <w:tc>
          <w:tcPr>
            <w:tcW w:w="400" w:type="dxa"/>
            <w:vAlign w:val="bottom"/>
          </w:tcPr>
          <w:p>
            <w:pPr>
              <w:jc w:val="right"/>
              <w:ind w:right="52"/>
              <w:spacing w:after="0"/>
              <w:rPr>
                <w:sz w:val="20"/>
                <w:szCs w:val="20"/>
                <w:color w:val="auto"/>
              </w:rPr>
            </w:pPr>
            <w:r>
              <w:rPr>
                <w:rFonts w:ascii="Arial" w:cs="Arial" w:eastAsia="Arial" w:hAnsi="Arial"/>
                <w:sz w:val="10"/>
                <w:szCs w:val="10"/>
                <w:b w:val="1"/>
                <w:bCs w:val="1"/>
                <w:color w:val="auto"/>
              </w:rPr>
              <w:t>$</w:t>
            </w:r>
          </w:p>
        </w:tc>
        <w:tc>
          <w:tcPr>
            <w:tcW w:w="740" w:type="dxa"/>
            <w:vAlign w:val="bottom"/>
          </w:tcPr>
          <w:p>
            <w:pPr>
              <w:jc w:val="right"/>
              <w:ind w:right="152"/>
              <w:spacing w:after="0"/>
              <w:rPr>
                <w:sz w:val="20"/>
                <w:szCs w:val="20"/>
                <w:color w:val="auto"/>
              </w:rPr>
            </w:pPr>
            <w:r>
              <w:rPr>
                <w:rFonts w:ascii="Arial" w:cs="Arial" w:eastAsia="Arial" w:hAnsi="Arial"/>
                <w:sz w:val="10"/>
                <w:szCs w:val="10"/>
                <w:b w:val="1"/>
                <w:bCs w:val="1"/>
                <w:color w:val="auto"/>
              </w:rPr>
              <w:t>9,627</w:t>
            </w:r>
          </w:p>
        </w:tc>
        <w:tc>
          <w:tcPr>
            <w:tcW w:w="24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Pr>
          <w:p>
            <w:pPr>
              <w:jc w:val="right"/>
              <w:ind w:right="12"/>
              <w:spacing w:after="0"/>
              <w:rPr>
                <w:sz w:val="20"/>
                <w:szCs w:val="20"/>
                <w:color w:val="auto"/>
              </w:rPr>
            </w:pPr>
            <w:r>
              <w:rPr>
                <w:rFonts w:ascii="Arial" w:cs="Arial" w:eastAsia="Arial" w:hAnsi="Arial"/>
                <w:sz w:val="10"/>
                <w:szCs w:val="10"/>
                <w:b w:val="1"/>
                <w:bCs w:val="1"/>
                <w:color w:val="auto"/>
              </w:rPr>
              <w:t>10,959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17804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jc w:val="center"/>
        <w:ind w:right="-7"/>
        <w:spacing w:after="0"/>
        <w:rPr>
          <w:sz w:val="20"/>
          <w:szCs w:val="20"/>
          <w:color w:val="auto"/>
        </w:rPr>
      </w:pPr>
      <w:r>
        <w:rPr>
          <w:rFonts w:ascii="Arial" w:cs="Arial" w:eastAsia="Arial" w:hAnsi="Arial"/>
          <w:sz w:val="11"/>
          <w:szCs w:val="11"/>
          <w:color w:val="auto"/>
        </w:rPr>
        <w:t>The Notes to Consolidated Financial Statements are an integral part of this statement.</w:t>
      </w:r>
    </w:p>
    <w:p>
      <w:pPr>
        <w:spacing w:after="0" w:line="314" w:lineRule="exact"/>
        <w:rPr>
          <w:sz w:val="20"/>
          <w:szCs w:val="20"/>
          <w:color w:val="auto"/>
        </w:rPr>
      </w:pPr>
    </w:p>
    <w:p>
      <w:pPr>
        <w:ind w:left="268" w:hanging="268"/>
        <w:spacing w:after="0"/>
        <w:tabs>
          <w:tab w:leader="none" w:pos="268" w:val="left"/>
        </w:tabs>
        <w:numPr>
          <w:ilvl w:val="0"/>
          <w:numId w:val="101"/>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59" w:name="page60"/>
    <w:bookmarkEnd w:id="59"/>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388"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HONEYWELL INTERNATIONAL INC.</w:t>
      </w:r>
    </w:p>
    <w:p>
      <w:pPr>
        <w:spacing w:after="0" w:line="10"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CONSOLIDATED STATEMENT OF SHAREOWNERS’ EQUITY</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5660" w:type="dxa"/>
            <w:vAlign w:val="bottom"/>
          </w:tcPr>
          <w:p>
            <w:pPr>
              <w:spacing w:after="0"/>
              <w:rPr>
                <w:sz w:val="11"/>
                <w:szCs w:val="11"/>
                <w:color w:val="auto"/>
              </w:rPr>
            </w:pPr>
          </w:p>
        </w:tc>
        <w:tc>
          <w:tcPr>
            <w:tcW w:w="98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640" w:type="dxa"/>
            <w:vAlign w:val="bottom"/>
            <w:tcBorders>
              <w:bottom w:val="single" w:sz="8" w:color="D7282F"/>
            </w:tcBorders>
          </w:tcPr>
          <w:p>
            <w:pPr>
              <w:spacing w:after="0"/>
              <w:rPr>
                <w:sz w:val="11"/>
                <w:szCs w:val="11"/>
                <w:color w:val="auto"/>
              </w:rPr>
            </w:pPr>
          </w:p>
        </w:tc>
        <w:tc>
          <w:tcPr>
            <w:tcW w:w="2080" w:type="dxa"/>
            <w:vAlign w:val="bottom"/>
            <w:tcBorders>
              <w:bottom w:val="single" w:sz="8" w:color="D7282F"/>
            </w:tcBorders>
            <w:gridSpan w:val="2"/>
          </w:tcPr>
          <w:p>
            <w:pPr>
              <w:jc w:val="right"/>
              <w:ind w:right="432"/>
              <w:spacing w:after="0"/>
              <w:rPr>
                <w:sz w:val="20"/>
                <w:szCs w:val="20"/>
                <w:color w:val="auto"/>
              </w:rPr>
            </w:pPr>
            <w:r>
              <w:rPr>
                <w:rFonts w:ascii="Arial" w:cs="Arial" w:eastAsia="Arial" w:hAnsi="Arial"/>
                <w:sz w:val="10"/>
                <w:szCs w:val="10"/>
                <w:b w:val="1"/>
                <w:bCs w:val="1"/>
                <w:color w:val="auto"/>
              </w:rPr>
              <w:t>Years Ended December 31,</w:t>
            </w:r>
          </w:p>
        </w:tc>
        <w:tc>
          <w:tcPr>
            <w:tcW w:w="1160" w:type="dxa"/>
            <w:vAlign w:val="bottom"/>
            <w:tcBorders>
              <w:bottom w:val="single" w:sz="8" w:color="D7282F"/>
            </w:tcBorders>
          </w:tcPr>
          <w:p>
            <w:pPr>
              <w:spacing w:after="0"/>
              <w:rPr>
                <w:sz w:val="11"/>
                <w:szCs w:val="11"/>
                <w:color w:val="auto"/>
              </w:rPr>
            </w:pPr>
          </w:p>
        </w:tc>
        <w:tc>
          <w:tcPr>
            <w:tcW w:w="580" w:type="dxa"/>
            <w:vAlign w:val="bottom"/>
            <w:tcBorders>
              <w:bottom w:val="single" w:sz="8" w:color="D7282F"/>
            </w:tcBorders>
          </w:tcPr>
          <w:p>
            <w:pPr>
              <w:spacing w:after="0"/>
              <w:rPr>
                <w:sz w:val="11"/>
                <w:szCs w:val="11"/>
                <w:color w:val="auto"/>
              </w:rPr>
            </w:pPr>
          </w:p>
        </w:tc>
      </w:tr>
      <w:tr>
        <w:trPr>
          <w:trHeight w:val="151"/>
        </w:trPr>
        <w:tc>
          <w:tcPr>
            <w:tcW w:w="5660" w:type="dxa"/>
            <w:vAlign w:val="bottom"/>
          </w:tcPr>
          <w:p>
            <w:pPr>
              <w:spacing w:after="0"/>
              <w:rPr>
                <w:sz w:val="13"/>
                <w:szCs w:val="13"/>
                <w:color w:val="auto"/>
              </w:rPr>
            </w:pP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2023</w:t>
            </w:r>
          </w:p>
        </w:tc>
        <w:tc>
          <w:tcPr>
            <w:tcW w:w="200" w:type="dxa"/>
            <w:vAlign w:val="bottom"/>
            <w:tcBorders>
              <w:bottom w:val="single" w:sz="8" w:color="D7282F"/>
            </w:tcBorders>
          </w:tcPr>
          <w:p>
            <w:pPr>
              <w:spacing w:after="0"/>
              <w:rPr>
                <w:sz w:val="13"/>
                <w:szCs w:val="13"/>
                <w:color w:val="auto"/>
              </w:rPr>
            </w:pPr>
          </w:p>
        </w:tc>
        <w:tc>
          <w:tcPr>
            <w:tcW w:w="640" w:type="dxa"/>
            <w:vAlign w:val="bottom"/>
            <w:tcBorders>
              <w:bottom w:val="single" w:sz="8" w:color="D7282F"/>
            </w:tcBorders>
          </w:tcPr>
          <w:p>
            <w:pPr>
              <w:spacing w:after="0"/>
              <w:rPr>
                <w:sz w:val="13"/>
                <w:szCs w:val="13"/>
                <w:color w:val="auto"/>
              </w:rPr>
            </w:pPr>
          </w:p>
        </w:tc>
        <w:tc>
          <w:tcPr>
            <w:tcW w:w="130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2022</w:t>
            </w:r>
          </w:p>
        </w:tc>
        <w:tc>
          <w:tcPr>
            <w:tcW w:w="780" w:type="dxa"/>
            <w:vAlign w:val="bottom"/>
            <w:tcBorders>
              <w:bottom w:val="single" w:sz="8" w:color="D7282F"/>
            </w:tcBorders>
          </w:tcPr>
          <w:p>
            <w:pPr>
              <w:spacing w:after="0"/>
              <w:rPr>
                <w:sz w:val="13"/>
                <w:szCs w:val="13"/>
                <w:color w:val="auto"/>
              </w:rPr>
            </w:pPr>
          </w:p>
        </w:tc>
        <w:tc>
          <w:tcPr>
            <w:tcW w:w="116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2021</w:t>
            </w:r>
          </w:p>
        </w:tc>
        <w:tc>
          <w:tcPr>
            <w:tcW w:w="580" w:type="dxa"/>
            <w:vAlign w:val="bottom"/>
            <w:tcBorders>
              <w:bottom w:val="single" w:sz="8" w:color="D7282F"/>
            </w:tcBorders>
          </w:tcPr>
          <w:p>
            <w:pPr>
              <w:spacing w:after="0"/>
              <w:rPr>
                <w:sz w:val="13"/>
                <w:szCs w:val="13"/>
                <w:color w:val="auto"/>
              </w:rPr>
            </w:pPr>
          </w:p>
        </w:tc>
      </w:tr>
      <w:tr>
        <w:trPr>
          <w:trHeight w:val="151"/>
        </w:trPr>
        <w:tc>
          <w:tcPr>
            <w:tcW w:w="5660" w:type="dxa"/>
            <w:vAlign w:val="bottom"/>
          </w:tcPr>
          <w:p>
            <w:pPr>
              <w:spacing w:after="0"/>
              <w:rPr>
                <w:sz w:val="13"/>
                <w:szCs w:val="13"/>
                <w:color w:val="auto"/>
              </w:rPr>
            </w:pPr>
          </w:p>
        </w:tc>
        <w:tc>
          <w:tcPr>
            <w:tcW w:w="980" w:type="dxa"/>
            <w:vAlign w:val="bottom"/>
            <w:tcBorders>
              <w:bottom w:val="single" w:sz="8" w:color="D7282F"/>
            </w:tcBorders>
          </w:tcPr>
          <w:p>
            <w:pPr>
              <w:jc w:val="right"/>
              <w:ind w:right="392"/>
              <w:spacing w:after="0"/>
              <w:rPr>
                <w:sz w:val="20"/>
                <w:szCs w:val="20"/>
                <w:color w:val="auto"/>
              </w:rPr>
            </w:pPr>
            <w:r>
              <w:rPr>
                <w:rFonts w:ascii="Arial" w:cs="Arial" w:eastAsia="Arial" w:hAnsi="Arial"/>
                <w:sz w:val="10"/>
                <w:szCs w:val="10"/>
                <w:b w:val="1"/>
                <w:bCs w:val="1"/>
                <w:color w:val="auto"/>
              </w:rPr>
              <w:t>Shares</w:t>
            </w:r>
          </w:p>
        </w:tc>
        <w:tc>
          <w:tcPr>
            <w:tcW w:w="200" w:type="dxa"/>
            <w:vAlign w:val="bottom"/>
            <w:tcBorders>
              <w:bottom w:val="single" w:sz="8" w:color="D7282F"/>
            </w:tcBorders>
          </w:tcPr>
          <w:p>
            <w:pPr>
              <w:spacing w:after="0"/>
              <w:rPr>
                <w:sz w:val="13"/>
                <w:szCs w:val="13"/>
                <w:color w:val="auto"/>
              </w:rPr>
            </w:pPr>
          </w:p>
        </w:tc>
        <w:tc>
          <w:tcPr>
            <w:tcW w:w="64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b w:val="1"/>
                <w:bCs w:val="1"/>
                <w:color w:val="auto"/>
              </w:rPr>
              <w:t>$</w:t>
            </w:r>
          </w:p>
        </w:tc>
        <w:tc>
          <w:tcPr>
            <w:tcW w:w="1300" w:type="dxa"/>
            <w:vAlign w:val="bottom"/>
            <w:tcBorders>
              <w:bottom w:val="single" w:sz="8" w:color="D7282F"/>
            </w:tcBorders>
          </w:tcPr>
          <w:p>
            <w:pPr>
              <w:jc w:val="right"/>
              <w:ind w:right="592"/>
              <w:spacing w:after="0"/>
              <w:rPr>
                <w:sz w:val="20"/>
                <w:szCs w:val="20"/>
                <w:color w:val="auto"/>
              </w:rPr>
            </w:pPr>
            <w:r>
              <w:rPr>
                <w:rFonts w:ascii="Arial" w:cs="Arial" w:eastAsia="Arial" w:hAnsi="Arial"/>
                <w:sz w:val="10"/>
                <w:szCs w:val="10"/>
                <w:b w:val="1"/>
                <w:bCs w:val="1"/>
                <w:color w:val="auto"/>
              </w:rPr>
              <w:t>Shares</w:t>
            </w:r>
          </w:p>
        </w:tc>
        <w:tc>
          <w:tcPr>
            <w:tcW w:w="780" w:type="dxa"/>
            <w:vAlign w:val="bottom"/>
            <w:tcBorders>
              <w:bottom w:val="single" w:sz="8" w:color="D7282F"/>
            </w:tcBorders>
          </w:tcPr>
          <w:p>
            <w:pPr>
              <w:jc w:val="right"/>
              <w:ind w:right="532"/>
              <w:spacing w:after="0"/>
              <w:rPr>
                <w:sz w:val="20"/>
                <w:szCs w:val="20"/>
                <w:color w:val="auto"/>
              </w:rPr>
            </w:pPr>
            <w:r>
              <w:rPr>
                <w:rFonts w:ascii="Arial" w:cs="Arial" w:eastAsia="Arial" w:hAnsi="Arial"/>
                <w:sz w:val="10"/>
                <w:szCs w:val="10"/>
                <w:b w:val="1"/>
                <w:bCs w:val="1"/>
                <w:color w:val="auto"/>
              </w:rPr>
              <w:t>$</w:t>
            </w:r>
          </w:p>
        </w:tc>
        <w:tc>
          <w:tcPr>
            <w:tcW w:w="1160" w:type="dxa"/>
            <w:vAlign w:val="bottom"/>
            <w:tcBorders>
              <w:bottom w:val="single" w:sz="8" w:color="D7282F"/>
            </w:tcBorders>
          </w:tcPr>
          <w:p>
            <w:pPr>
              <w:jc w:val="right"/>
              <w:ind w:right="592"/>
              <w:spacing w:after="0"/>
              <w:rPr>
                <w:sz w:val="20"/>
                <w:szCs w:val="20"/>
                <w:color w:val="auto"/>
              </w:rPr>
            </w:pPr>
            <w:r>
              <w:rPr>
                <w:rFonts w:ascii="Arial" w:cs="Arial" w:eastAsia="Arial" w:hAnsi="Arial"/>
                <w:sz w:val="10"/>
                <w:szCs w:val="10"/>
                <w:b w:val="1"/>
                <w:bCs w:val="1"/>
                <w:color w:val="auto"/>
              </w:rPr>
              <w:t>Shares</w:t>
            </w:r>
          </w:p>
        </w:tc>
        <w:tc>
          <w:tcPr>
            <w:tcW w:w="58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w:t>
            </w:r>
          </w:p>
        </w:tc>
      </w:tr>
      <w:tr>
        <w:trPr>
          <w:trHeight w:val="124"/>
        </w:trPr>
        <w:tc>
          <w:tcPr>
            <w:tcW w:w="5660" w:type="dxa"/>
            <w:vAlign w:val="bottom"/>
            <w:tcBorders>
              <w:bottom w:val="single" w:sz="8" w:color="D7282F"/>
            </w:tcBorders>
          </w:tcPr>
          <w:p>
            <w:pPr>
              <w:spacing w:after="0"/>
              <w:rPr>
                <w:sz w:val="10"/>
                <w:szCs w:val="10"/>
                <w:color w:val="auto"/>
              </w:rPr>
            </w:pPr>
          </w:p>
        </w:tc>
        <w:tc>
          <w:tcPr>
            <w:tcW w:w="98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spacing w:after="0"/>
              <w:rPr>
                <w:sz w:val="10"/>
                <w:szCs w:val="10"/>
                <w:color w:val="auto"/>
              </w:rPr>
            </w:pPr>
          </w:p>
        </w:tc>
        <w:tc>
          <w:tcPr>
            <w:tcW w:w="2080" w:type="dxa"/>
            <w:vAlign w:val="bottom"/>
            <w:tcBorders>
              <w:bottom w:val="single" w:sz="8" w:color="D7282F"/>
            </w:tcBorders>
            <w:gridSpan w:val="2"/>
          </w:tcPr>
          <w:p>
            <w:pPr>
              <w:jc w:val="right"/>
              <w:ind w:right="152"/>
              <w:spacing w:after="0"/>
              <w:rPr>
                <w:sz w:val="20"/>
                <w:szCs w:val="20"/>
                <w:color w:val="auto"/>
              </w:rPr>
            </w:pPr>
            <w:r>
              <w:rPr>
                <w:rFonts w:ascii="Arial" w:cs="Arial" w:eastAsia="Arial" w:hAnsi="Arial"/>
                <w:sz w:val="10"/>
                <w:szCs w:val="10"/>
                <w:b w:val="1"/>
                <w:bCs w:val="1"/>
                <w:color w:val="auto"/>
              </w:rPr>
              <w:t>(In millions, except per share amounts)</w:t>
            </w:r>
          </w:p>
        </w:tc>
        <w:tc>
          <w:tcPr>
            <w:tcW w:w="1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spacing w:after="0"/>
              <w:rPr>
                <w:sz w:val="10"/>
                <w:szCs w:val="10"/>
                <w:color w:val="auto"/>
              </w:rPr>
            </w:pPr>
          </w:p>
        </w:tc>
      </w:tr>
      <w:tr>
        <w:trPr>
          <w:trHeight w:val="124"/>
        </w:trPr>
        <w:tc>
          <w:tcPr>
            <w:tcW w:w="566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Common stock, par value</w:t>
            </w:r>
          </w:p>
        </w:tc>
        <w:tc>
          <w:tcPr>
            <w:tcW w:w="98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957.6</w:t>
            </w: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958</w:t>
            </w:r>
          </w:p>
        </w:tc>
        <w:tc>
          <w:tcPr>
            <w:tcW w:w="1300" w:type="dxa"/>
            <w:vAlign w:val="bottom"/>
            <w:tcBorders>
              <w:bottom w:val="single" w:sz="8" w:color="888B8D"/>
            </w:tcBorders>
          </w:tcPr>
          <w:p>
            <w:pPr>
              <w:jc w:val="right"/>
              <w:ind w:right="432"/>
              <w:spacing w:after="0"/>
              <w:rPr>
                <w:sz w:val="20"/>
                <w:szCs w:val="20"/>
                <w:color w:val="auto"/>
              </w:rPr>
            </w:pPr>
            <w:r>
              <w:rPr>
                <w:rFonts w:ascii="Arial" w:cs="Arial" w:eastAsia="Arial" w:hAnsi="Arial"/>
                <w:sz w:val="10"/>
                <w:szCs w:val="10"/>
                <w:color w:val="auto"/>
              </w:rPr>
              <w:t>957.6</w:t>
            </w:r>
          </w:p>
        </w:tc>
        <w:tc>
          <w:tcPr>
            <w:tcW w:w="78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958</w:t>
            </w:r>
          </w:p>
        </w:tc>
        <w:tc>
          <w:tcPr>
            <w:tcW w:w="1160" w:type="dxa"/>
            <w:vAlign w:val="bottom"/>
            <w:tcBorders>
              <w:bottom w:val="single" w:sz="8" w:color="888B8D"/>
            </w:tcBorders>
          </w:tcPr>
          <w:p>
            <w:pPr>
              <w:jc w:val="right"/>
              <w:ind w:right="412"/>
              <w:spacing w:after="0"/>
              <w:rPr>
                <w:sz w:val="20"/>
                <w:szCs w:val="20"/>
                <w:color w:val="auto"/>
              </w:rPr>
            </w:pPr>
            <w:r>
              <w:rPr>
                <w:rFonts w:ascii="Arial" w:cs="Arial" w:eastAsia="Arial" w:hAnsi="Arial"/>
                <w:sz w:val="10"/>
                <w:szCs w:val="10"/>
                <w:color w:val="auto"/>
              </w:rPr>
              <w:t>957.6</w:t>
            </w:r>
          </w:p>
        </w:tc>
        <w:tc>
          <w:tcPr>
            <w:tcW w:w="5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958</w:t>
            </w:r>
          </w:p>
        </w:tc>
      </w:tr>
      <w:tr>
        <w:trPr>
          <w:trHeight w:val="124"/>
        </w:trPr>
        <w:tc>
          <w:tcPr>
            <w:tcW w:w="566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Additional paid-in capital</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spacing w:after="0"/>
              <w:rPr>
                <w:sz w:val="10"/>
                <w:szCs w:val="10"/>
                <w:color w:val="auto"/>
              </w:rPr>
            </w:pP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spacing w:after="0"/>
              <w:rPr>
                <w:sz w:val="10"/>
                <w:szCs w:val="10"/>
                <w:color w:val="auto"/>
              </w:rPr>
            </w:pP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r>
      <w:tr>
        <w:trPr>
          <w:trHeight w:val="122"/>
        </w:trPr>
        <w:tc>
          <w:tcPr>
            <w:tcW w:w="56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Beginning balance</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8,564</w:t>
            </w: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8,141</w:t>
            </w: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7,292</w:t>
            </w:r>
          </w:p>
        </w:tc>
      </w:tr>
      <w:tr>
        <w:trPr>
          <w:trHeight w:val="124"/>
        </w:trPr>
        <w:tc>
          <w:tcPr>
            <w:tcW w:w="566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Issued for employee savings and option plans</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214</w:t>
            </w: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235</w:t>
            </w: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184</w:t>
            </w:r>
          </w:p>
        </w:tc>
      </w:tr>
      <w:tr>
        <w:trPr>
          <w:trHeight w:val="124"/>
        </w:trPr>
        <w:tc>
          <w:tcPr>
            <w:tcW w:w="566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Stock compensation expense</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202</w:t>
            </w: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188</w:t>
            </w: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217</w:t>
            </w:r>
          </w:p>
        </w:tc>
      </w:tr>
      <w:tr>
        <w:trPr>
          <w:trHeight w:val="124"/>
        </w:trPr>
        <w:tc>
          <w:tcPr>
            <w:tcW w:w="566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Impact of Quantinuum contribution</w:t>
            </w:r>
          </w:p>
        </w:tc>
        <w:tc>
          <w:tcPr>
            <w:tcW w:w="98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82</w:t>
            </w:r>
          </w:p>
        </w:tc>
        <w:tc>
          <w:tcPr>
            <w:tcW w:w="130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448</w:t>
            </w:r>
          </w:p>
        </w:tc>
      </w:tr>
      <w:tr>
        <w:trPr>
          <w:trHeight w:val="126"/>
        </w:trPr>
        <w:tc>
          <w:tcPr>
            <w:tcW w:w="566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Ending balance</w:t>
            </w:r>
          </w:p>
        </w:tc>
        <w:tc>
          <w:tcPr>
            <w:tcW w:w="98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9,062</w:t>
            </w:r>
          </w:p>
        </w:tc>
        <w:tc>
          <w:tcPr>
            <w:tcW w:w="130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8,564</w:t>
            </w:r>
          </w:p>
        </w:tc>
        <w:tc>
          <w:tcPr>
            <w:tcW w:w="1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8,141</w:t>
            </w:r>
          </w:p>
        </w:tc>
      </w:tr>
      <w:tr>
        <w:trPr>
          <w:trHeight w:val="124"/>
        </w:trPr>
        <w:tc>
          <w:tcPr>
            <w:tcW w:w="566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Treasury stock</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spacing w:after="0"/>
              <w:rPr>
                <w:sz w:val="10"/>
                <w:szCs w:val="10"/>
                <w:color w:val="auto"/>
              </w:rPr>
            </w:pP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spacing w:after="0"/>
              <w:rPr>
                <w:sz w:val="10"/>
                <w:szCs w:val="10"/>
                <w:color w:val="auto"/>
              </w:rPr>
            </w:pP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r>
      <w:tr>
        <w:trPr>
          <w:trHeight w:val="122"/>
        </w:trPr>
        <w:tc>
          <w:tcPr>
            <w:tcW w:w="56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Beginning balance</w:t>
            </w:r>
          </w:p>
        </w:tc>
        <w:tc>
          <w:tcPr>
            <w:tcW w:w="980" w:type="dxa"/>
            <w:vAlign w:val="bottom"/>
            <w:tcBorders>
              <w:bottom w:val="single" w:sz="8" w:color="888B8D"/>
            </w:tcBorders>
          </w:tcPr>
          <w:p>
            <w:pPr>
              <w:jc w:val="right"/>
              <w:ind w:right="192"/>
              <w:spacing w:after="0"/>
              <w:rPr>
                <w:sz w:val="20"/>
                <w:szCs w:val="20"/>
                <w:color w:val="auto"/>
              </w:rPr>
            </w:pPr>
            <w:r>
              <w:rPr>
                <w:rFonts w:ascii="Arial" w:cs="Arial" w:eastAsia="Arial" w:hAnsi="Arial"/>
                <w:sz w:val="10"/>
                <w:szCs w:val="10"/>
                <w:color w:val="auto"/>
              </w:rPr>
              <w:t>(290.0)</w:t>
            </w: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(34,443)</w:t>
            </w:r>
          </w:p>
        </w:tc>
        <w:tc>
          <w:tcPr>
            <w:tcW w:w="1300" w:type="dxa"/>
            <w:vAlign w:val="bottom"/>
            <w:tcBorders>
              <w:bottom w:val="single" w:sz="8" w:color="888B8D"/>
            </w:tcBorders>
          </w:tcPr>
          <w:p>
            <w:pPr>
              <w:jc w:val="right"/>
              <w:ind w:right="392"/>
              <w:spacing w:after="0"/>
              <w:rPr>
                <w:sz w:val="20"/>
                <w:szCs w:val="20"/>
                <w:color w:val="auto"/>
              </w:rPr>
            </w:pPr>
            <w:r>
              <w:rPr>
                <w:rFonts w:ascii="Arial" w:cs="Arial" w:eastAsia="Arial" w:hAnsi="Arial"/>
                <w:sz w:val="10"/>
                <w:szCs w:val="10"/>
                <w:color w:val="auto"/>
              </w:rPr>
              <w:t>(272.8)</w:t>
            </w:r>
          </w:p>
        </w:tc>
        <w:tc>
          <w:tcPr>
            <w:tcW w:w="78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(30,462)</w:t>
            </w:r>
          </w:p>
        </w:tc>
        <w:tc>
          <w:tcPr>
            <w:tcW w:w="1160" w:type="dxa"/>
            <w:vAlign w:val="bottom"/>
            <w:tcBorders>
              <w:bottom w:val="single" w:sz="8" w:color="888B8D"/>
            </w:tcBorders>
          </w:tcPr>
          <w:p>
            <w:pPr>
              <w:jc w:val="right"/>
              <w:ind w:right="392"/>
              <w:spacing w:after="0"/>
              <w:rPr>
                <w:sz w:val="20"/>
                <w:szCs w:val="20"/>
                <w:color w:val="auto"/>
              </w:rPr>
            </w:pPr>
            <w:r>
              <w:rPr>
                <w:rFonts w:ascii="Arial" w:cs="Arial" w:eastAsia="Arial" w:hAnsi="Arial"/>
                <w:sz w:val="10"/>
                <w:szCs w:val="10"/>
                <w:color w:val="auto"/>
              </w:rPr>
              <w:t>(260.8)</w:t>
            </w: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(27,229)</w:t>
            </w:r>
          </w:p>
        </w:tc>
      </w:tr>
      <w:tr>
        <w:trPr>
          <w:trHeight w:val="124"/>
        </w:trPr>
        <w:tc>
          <w:tcPr>
            <w:tcW w:w="566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Reacquired stock or repurchases of common stock</w:t>
            </w:r>
          </w:p>
        </w:tc>
        <w:tc>
          <w:tcPr>
            <w:tcW w:w="980" w:type="dxa"/>
            <w:vAlign w:val="bottom"/>
            <w:tcBorders>
              <w:bottom w:val="single" w:sz="8" w:color="888B8D"/>
            </w:tcBorders>
          </w:tcPr>
          <w:p>
            <w:pPr>
              <w:jc w:val="right"/>
              <w:ind w:right="192"/>
              <w:spacing w:after="0"/>
              <w:rPr>
                <w:sz w:val="20"/>
                <w:szCs w:val="20"/>
                <w:color w:val="auto"/>
              </w:rPr>
            </w:pPr>
            <w:r>
              <w:rPr>
                <w:rFonts w:ascii="Arial" w:cs="Arial" w:eastAsia="Arial" w:hAnsi="Arial"/>
                <w:sz w:val="10"/>
                <w:szCs w:val="10"/>
                <w:color w:val="auto"/>
              </w:rPr>
              <w:t>(19.2)</w:t>
            </w: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(3,715)</w:t>
            </w:r>
          </w:p>
        </w:tc>
        <w:tc>
          <w:tcPr>
            <w:tcW w:w="1300" w:type="dxa"/>
            <w:vAlign w:val="bottom"/>
            <w:tcBorders>
              <w:bottom w:val="single" w:sz="8" w:color="888B8D"/>
            </w:tcBorders>
          </w:tcPr>
          <w:p>
            <w:pPr>
              <w:jc w:val="right"/>
              <w:ind w:right="392"/>
              <w:spacing w:after="0"/>
              <w:rPr>
                <w:sz w:val="20"/>
                <w:szCs w:val="20"/>
                <w:color w:val="auto"/>
              </w:rPr>
            </w:pPr>
            <w:r>
              <w:rPr>
                <w:rFonts w:ascii="Arial" w:cs="Arial" w:eastAsia="Arial" w:hAnsi="Arial"/>
                <w:sz w:val="10"/>
                <w:szCs w:val="10"/>
                <w:color w:val="auto"/>
              </w:rPr>
              <w:t>(21.9)</w:t>
            </w:r>
          </w:p>
        </w:tc>
        <w:tc>
          <w:tcPr>
            <w:tcW w:w="78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(4,200)</w:t>
            </w:r>
          </w:p>
        </w:tc>
        <w:tc>
          <w:tcPr>
            <w:tcW w:w="1160" w:type="dxa"/>
            <w:vAlign w:val="bottom"/>
            <w:tcBorders>
              <w:bottom w:val="single" w:sz="8" w:color="888B8D"/>
            </w:tcBorders>
          </w:tcPr>
          <w:p>
            <w:pPr>
              <w:jc w:val="right"/>
              <w:ind w:right="392"/>
              <w:spacing w:after="0"/>
              <w:rPr>
                <w:sz w:val="20"/>
                <w:szCs w:val="20"/>
                <w:color w:val="auto"/>
              </w:rPr>
            </w:pPr>
            <w:r>
              <w:rPr>
                <w:rFonts w:ascii="Arial" w:cs="Arial" w:eastAsia="Arial" w:hAnsi="Arial"/>
                <w:sz w:val="10"/>
                <w:szCs w:val="10"/>
                <w:color w:val="auto"/>
              </w:rPr>
              <w:t>(15.8)</w:t>
            </w: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(3,380)</w:t>
            </w:r>
          </w:p>
        </w:tc>
      </w:tr>
      <w:tr>
        <w:trPr>
          <w:trHeight w:val="124"/>
        </w:trPr>
        <w:tc>
          <w:tcPr>
            <w:tcW w:w="566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Issued for employee savings and option plans</w:t>
            </w:r>
          </w:p>
        </w:tc>
        <w:tc>
          <w:tcPr>
            <w:tcW w:w="98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color w:val="auto"/>
              </w:rPr>
              <w:t>3.4</w:t>
            </w:r>
          </w:p>
        </w:tc>
        <w:tc>
          <w:tcPr>
            <w:tcW w:w="20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150</w:t>
            </w:r>
          </w:p>
        </w:tc>
        <w:tc>
          <w:tcPr>
            <w:tcW w:w="1300" w:type="dxa"/>
            <w:vAlign w:val="bottom"/>
            <w:tcBorders>
              <w:bottom w:val="single" w:sz="8" w:color="D7282F"/>
            </w:tcBorders>
          </w:tcPr>
          <w:p>
            <w:pPr>
              <w:jc w:val="right"/>
              <w:ind w:right="432"/>
              <w:spacing w:after="0"/>
              <w:rPr>
                <w:sz w:val="20"/>
                <w:szCs w:val="20"/>
                <w:color w:val="auto"/>
              </w:rPr>
            </w:pPr>
            <w:r>
              <w:rPr>
                <w:rFonts w:ascii="Arial" w:cs="Arial" w:eastAsia="Arial" w:hAnsi="Arial"/>
                <w:sz w:val="10"/>
                <w:szCs w:val="10"/>
                <w:color w:val="auto"/>
              </w:rPr>
              <w:t>4.7</w:t>
            </w:r>
          </w:p>
        </w:tc>
        <w:tc>
          <w:tcPr>
            <w:tcW w:w="78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color w:val="auto"/>
              </w:rPr>
              <w:t>219</w:t>
            </w:r>
          </w:p>
        </w:tc>
        <w:tc>
          <w:tcPr>
            <w:tcW w:w="116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color w:val="auto"/>
              </w:rPr>
              <w:t>3.8</w:t>
            </w:r>
          </w:p>
        </w:tc>
        <w:tc>
          <w:tcPr>
            <w:tcW w:w="5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147</w:t>
            </w:r>
          </w:p>
        </w:tc>
      </w:tr>
      <w:tr>
        <w:trPr>
          <w:trHeight w:val="126"/>
        </w:trPr>
        <w:tc>
          <w:tcPr>
            <w:tcW w:w="566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Ending balance</w:t>
            </w:r>
          </w:p>
        </w:tc>
        <w:tc>
          <w:tcPr>
            <w:tcW w:w="980" w:type="dxa"/>
            <w:vAlign w:val="bottom"/>
            <w:tcBorders>
              <w:bottom w:val="single" w:sz="8" w:color="D7282F"/>
            </w:tcBorders>
          </w:tcPr>
          <w:p>
            <w:pPr>
              <w:jc w:val="right"/>
              <w:ind w:right="192"/>
              <w:spacing w:after="0"/>
              <w:rPr>
                <w:sz w:val="20"/>
                <w:szCs w:val="20"/>
                <w:color w:val="auto"/>
              </w:rPr>
            </w:pPr>
            <w:r>
              <w:rPr>
                <w:rFonts w:ascii="Arial" w:cs="Arial" w:eastAsia="Arial" w:hAnsi="Arial"/>
                <w:sz w:val="10"/>
                <w:szCs w:val="10"/>
                <w:b w:val="1"/>
                <w:bCs w:val="1"/>
                <w:color w:val="auto"/>
              </w:rPr>
              <w:t>(305.8)</w:t>
            </w:r>
          </w:p>
        </w:tc>
        <w:tc>
          <w:tcPr>
            <w:tcW w:w="20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(38,008)</w:t>
            </w:r>
          </w:p>
        </w:tc>
        <w:tc>
          <w:tcPr>
            <w:tcW w:w="1300" w:type="dxa"/>
            <w:vAlign w:val="bottom"/>
            <w:tcBorders>
              <w:bottom w:val="single" w:sz="8" w:color="D7282F"/>
            </w:tcBorders>
          </w:tcPr>
          <w:p>
            <w:pPr>
              <w:jc w:val="right"/>
              <w:ind w:right="392"/>
              <w:spacing w:after="0"/>
              <w:rPr>
                <w:sz w:val="20"/>
                <w:szCs w:val="20"/>
                <w:color w:val="auto"/>
              </w:rPr>
            </w:pPr>
            <w:r>
              <w:rPr>
                <w:rFonts w:ascii="Arial" w:cs="Arial" w:eastAsia="Arial" w:hAnsi="Arial"/>
                <w:sz w:val="10"/>
                <w:szCs w:val="10"/>
                <w:b w:val="1"/>
                <w:bCs w:val="1"/>
                <w:color w:val="auto"/>
              </w:rPr>
              <w:t>(290.0)</w:t>
            </w:r>
          </w:p>
        </w:tc>
        <w:tc>
          <w:tcPr>
            <w:tcW w:w="78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b w:val="1"/>
                <w:bCs w:val="1"/>
                <w:color w:val="auto"/>
              </w:rPr>
              <w:t>(34,443)</w:t>
            </w:r>
          </w:p>
        </w:tc>
        <w:tc>
          <w:tcPr>
            <w:tcW w:w="1160" w:type="dxa"/>
            <w:vAlign w:val="bottom"/>
            <w:tcBorders>
              <w:bottom w:val="single" w:sz="8" w:color="D7282F"/>
            </w:tcBorders>
          </w:tcPr>
          <w:p>
            <w:pPr>
              <w:jc w:val="right"/>
              <w:ind w:right="392"/>
              <w:spacing w:after="0"/>
              <w:rPr>
                <w:sz w:val="20"/>
                <w:szCs w:val="20"/>
                <w:color w:val="auto"/>
              </w:rPr>
            </w:pPr>
            <w:r>
              <w:rPr>
                <w:rFonts w:ascii="Arial" w:cs="Arial" w:eastAsia="Arial" w:hAnsi="Arial"/>
                <w:sz w:val="10"/>
                <w:szCs w:val="10"/>
                <w:b w:val="1"/>
                <w:bCs w:val="1"/>
                <w:color w:val="auto"/>
              </w:rPr>
              <w:t>(272.8)</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(30,462)</w:t>
            </w:r>
          </w:p>
        </w:tc>
      </w:tr>
      <w:tr>
        <w:trPr>
          <w:trHeight w:val="124"/>
        </w:trPr>
        <w:tc>
          <w:tcPr>
            <w:tcW w:w="566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Retained earnings</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spacing w:after="0"/>
              <w:rPr>
                <w:sz w:val="10"/>
                <w:szCs w:val="10"/>
                <w:color w:val="auto"/>
              </w:rPr>
            </w:pP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spacing w:after="0"/>
              <w:rPr>
                <w:sz w:val="10"/>
                <w:szCs w:val="10"/>
                <w:color w:val="auto"/>
              </w:rPr>
            </w:pP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r>
      <w:tr>
        <w:trPr>
          <w:trHeight w:val="122"/>
        </w:trPr>
        <w:tc>
          <w:tcPr>
            <w:tcW w:w="56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Beginning balance</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45,093</w:t>
            </w: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42,827</w:t>
            </w: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39,905</w:t>
            </w:r>
          </w:p>
        </w:tc>
      </w:tr>
      <w:tr>
        <w:trPr>
          <w:trHeight w:val="124"/>
        </w:trPr>
        <w:tc>
          <w:tcPr>
            <w:tcW w:w="566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Net income attributable to Honeywell</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5,658</w:t>
            </w: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4,966</w:t>
            </w: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5,542</w:t>
            </w:r>
          </w:p>
        </w:tc>
      </w:tr>
      <w:tr>
        <w:trPr>
          <w:trHeight w:val="124"/>
        </w:trPr>
        <w:tc>
          <w:tcPr>
            <w:tcW w:w="566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Dividends on common stock</w:t>
            </w:r>
          </w:p>
        </w:tc>
        <w:tc>
          <w:tcPr>
            <w:tcW w:w="98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(2,772)</w:t>
            </w:r>
          </w:p>
        </w:tc>
        <w:tc>
          <w:tcPr>
            <w:tcW w:w="130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color w:val="auto"/>
              </w:rPr>
              <w:t>(2,700)</w:t>
            </w:r>
          </w:p>
        </w:tc>
        <w:tc>
          <w:tcPr>
            <w:tcW w:w="1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(2,620)</w:t>
            </w:r>
          </w:p>
        </w:tc>
      </w:tr>
      <w:tr>
        <w:trPr>
          <w:trHeight w:val="126"/>
        </w:trPr>
        <w:tc>
          <w:tcPr>
            <w:tcW w:w="566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Ending balance</w:t>
            </w:r>
          </w:p>
        </w:tc>
        <w:tc>
          <w:tcPr>
            <w:tcW w:w="98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47,979</w:t>
            </w:r>
          </w:p>
        </w:tc>
        <w:tc>
          <w:tcPr>
            <w:tcW w:w="130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45,093</w:t>
            </w:r>
          </w:p>
        </w:tc>
        <w:tc>
          <w:tcPr>
            <w:tcW w:w="1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42,827</w:t>
            </w:r>
          </w:p>
        </w:tc>
      </w:tr>
      <w:tr>
        <w:trPr>
          <w:trHeight w:val="124"/>
        </w:trPr>
        <w:tc>
          <w:tcPr>
            <w:tcW w:w="566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Accumulated other comprehensive income (loss)</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spacing w:after="0"/>
              <w:rPr>
                <w:sz w:val="10"/>
                <w:szCs w:val="10"/>
                <w:color w:val="auto"/>
              </w:rPr>
            </w:pP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spacing w:after="0"/>
              <w:rPr>
                <w:sz w:val="10"/>
                <w:szCs w:val="10"/>
                <w:color w:val="auto"/>
              </w:rPr>
            </w:pP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r>
      <w:tr>
        <w:trPr>
          <w:trHeight w:val="122"/>
        </w:trPr>
        <w:tc>
          <w:tcPr>
            <w:tcW w:w="56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Beginning balance</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(3,475)</w:t>
            </w: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(2,895)</w:t>
            </w: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(3,377)</w:t>
            </w:r>
          </w:p>
        </w:tc>
      </w:tr>
      <w:tr>
        <w:trPr>
          <w:trHeight w:val="124"/>
        </w:trPr>
        <w:tc>
          <w:tcPr>
            <w:tcW w:w="566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Foreign exchange translation adjustment</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(269)</w:t>
            </w: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(354)</w:t>
            </w: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302</w:t>
            </w:r>
          </w:p>
        </w:tc>
      </w:tr>
      <w:tr>
        <w:trPr>
          <w:trHeight w:val="124"/>
        </w:trPr>
        <w:tc>
          <w:tcPr>
            <w:tcW w:w="566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Pension and other postretirement benefit adjustments</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(407)</w:t>
            </w: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(233)</w:t>
            </w: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186</w:t>
            </w:r>
          </w:p>
        </w:tc>
      </w:tr>
      <w:tr>
        <w:trPr>
          <w:trHeight w:val="124"/>
        </w:trPr>
        <w:tc>
          <w:tcPr>
            <w:tcW w:w="566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Changes in fair value of available for sale investments</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5</w:t>
            </w: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(8)</w:t>
            </w: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w:t>
            </w:r>
          </w:p>
        </w:tc>
      </w:tr>
      <w:tr>
        <w:trPr>
          <w:trHeight w:val="124"/>
        </w:trPr>
        <w:tc>
          <w:tcPr>
            <w:tcW w:w="566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Changes in fair value of cash flow hedges</w:t>
            </w:r>
          </w:p>
        </w:tc>
        <w:tc>
          <w:tcPr>
            <w:tcW w:w="98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11</w:t>
            </w:r>
          </w:p>
        </w:tc>
        <w:tc>
          <w:tcPr>
            <w:tcW w:w="130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color w:val="auto"/>
              </w:rPr>
              <w:t>15</w:t>
            </w:r>
          </w:p>
        </w:tc>
        <w:tc>
          <w:tcPr>
            <w:tcW w:w="1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w:t>
            </w:r>
          </w:p>
        </w:tc>
      </w:tr>
      <w:tr>
        <w:trPr>
          <w:trHeight w:val="126"/>
        </w:trPr>
        <w:tc>
          <w:tcPr>
            <w:tcW w:w="566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Ending balance</w:t>
            </w:r>
          </w:p>
        </w:tc>
        <w:tc>
          <w:tcPr>
            <w:tcW w:w="98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(4,135)</w:t>
            </w:r>
          </w:p>
        </w:tc>
        <w:tc>
          <w:tcPr>
            <w:tcW w:w="130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b w:val="1"/>
                <w:bCs w:val="1"/>
                <w:color w:val="auto"/>
              </w:rPr>
              <w:t>(3,475)</w:t>
            </w:r>
          </w:p>
        </w:tc>
        <w:tc>
          <w:tcPr>
            <w:tcW w:w="1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(2,895)</w:t>
            </w:r>
          </w:p>
        </w:tc>
      </w:tr>
      <w:tr>
        <w:trPr>
          <w:trHeight w:val="124"/>
        </w:trPr>
        <w:tc>
          <w:tcPr>
            <w:tcW w:w="566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Noncontrolling interest</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spacing w:after="0"/>
              <w:rPr>
                <w:sz w:val="10"/>
                <w:szCs w:val="10"/>
                <w:color w:val="auto"/>
              </w:rPr>
            </w:pP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spacing w:after="0"/>
              <w:rPr>
                <w:sz w:val="10"/>
                <w:szCs w:val="10"/>
                <w:color w:val="auto"/>
              </w:rPr>
            </w:pP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r>
      <w:tr>
        <w:trPr>
          <w:trHeight w:val="122"/>
        </w:trPr>
        <w:tc>
          <w:tcPr>
            <w:tcW w:w="56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Beginning balance</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622</w:t>
            </w: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673</w:t>
            </w: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241</w:t>
            </w:r>
          </w:p>
        </w:tc>
      </w:tr>
      <w:tr>
        <w:trPr>
          <w:trHeight w:val="124"/>
        </w:trPr>
        <w:tc>
          <w:tcPr>
            <w:tcW w:w="566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Acquisitions, divestitures, and other</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(5)</w:t>
            </w: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397</w:t>
            </w:r>
          </w:p>
        </w:tc>
      </w:tr>
      <w:tr>
        <w:trPr>
          <w:trHeight w:val="124"/>
        </w:trPr>
        <w:tc>
          <w:tcPr>
            <w:tcW w:w="566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Net income attributable to noncontrolling interest</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14</w:t>
            </w: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1</w:t>
            </w: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68</w:t>
            </w:r>
          </w:p>
        </w:tc>
      </w:tr>
      <w:tr>
        <w:trPr>
          <w:trHeight w:val="124"/>
        </w:trPr>
        <w:tc>
          <w:tcPr>
            <w:tcW w:w="566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Foreign exchange translation adjustment</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(5)</w:t>
            </w: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(18)</w:t>
            </w: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w:t>
            </w:r>
          </w:p>
        </w:tc>
      </w:tr>
      <w:tr>
        <w:trPr>
          <w:trHeight w:val="124"/>
        </w:trPr>
        <w:tc>
          <w:tcPr>
            <w:tcW w:w="566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Dividends paid</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(107)</w:t>
            </w: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(48)</w:t>
            </w: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(33)</w:t>
            </w:r>
          </w:p>
        </w:tc>
      </w:tr>
      <w:tr>
        <w:trPr>
          <w:trHeight w:val="124"/>
        </w:trPr>
        <w:tc>
          <w:tcPr>
            <w:tcW w:w="566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Contributions from noncontrolling interest holders</w:t>
            </w:r>
          </w:p>
        </w:tc>
        <w:tc>
          <w:tcPr>
            <w:tcW w:w="98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59</w:t>
            </w:r>
          </w:p>
        </w:tc>
        <w:tc>
          <w:tcPr>
            <w:tcW w:w="130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color w:val="auto"/>
              </w:rPr>
              <w:t>14</w:t>
            </w:r>
          </w:p>
        </w:tc>
        <w:tc>
          <w:tcPr>
            <w:tcW w:w="1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4</w:t>
            </w:r>
          </w:p>
        </w:tc>
      </w:tr>
      <w:tr>
        <w:trPr>
          <w:trHeight w:val="126"/>
        </w:trPr>
        <w:tc>
          <w:tcPr>
            <w:tcW w:w="566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Ending balance</w:t>
            </w:r>
          </w:p>
        </w:tc>
        <w:tc>
          <w:tcPr>
            <w:tcW w:w="98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578</w:t>
            </w:r>
          </w:p>
        </w:tc>
        <w:tc>
          <w:tcPr>
            <w:tcW w:w="130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622</w:t>
            </w:r>
          </w:p>
        </w:tc>
        <w:tc>
          <w:tcPr>
            <w:tcW w:w="1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673</w:t>
            </w:r>
          </w:p>
        </w:tc>
      </w:tr>
      <w:tr>
        <w:trPr>
          <w:trHeight w:val="124"/>
        </w:trPr>
        <w:tc>
          <w:tcPr>
            <w:tcW w:w="566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Total shareowners’ equity</w:t>
            </w:r>
          </w:p>
        </w:tc>
        <w:tc>
          <w:tcPr>
            <w:tcW w:w="98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651.8</w:t>
            </w:r>
          </w:p>
        </w:tc>
        <w:tc>
          <w:tcPr>
            <w:tcW w:w="20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16,434</w:t>
            </w:r>
          </w:p>
        </w:tc>
        <w:tc>
          <w:tcPr>
            <w:tcW w:w="1300" w:type="dxa"/>
            <w:vAlign w:val="bottom"/>
            <w:tcBorders>
              <w:bottom w:val="single" w:sz="8" w:color="D7282F"/>
            </w:tcBorders>
          </w:tcPr>
          <w:p>
            <w:pPr>
              <w:jc w:val="right"/>
              <w:ind w:right="432"/>
              <w:spacing w:after="0"/>
              <w:rPr>
                <w:sz w:val="20"/>
                <w:szCs w:val="20"/>
                <w:color w:val="auto"/>
              </w:rPr>
            </w:pPr>
            <w:r>
              <w:rPr>
                <w:rFonts w:ascii="Arial" w:cs="Arial" w:eastAsia="Arial" w:hAnsi="Arial"/>
                <w:sz w:val="10"/>
                <w:szCs w:val="10"/>
                <w:b w:val="1"/>
                <w:bCs w:val="1"/>
                <w:color w:val="auto"/>
              </w:rPr>
              <w:t>667.6</w:t>
            </w:r>
          </w:p>
        </w:tc>
        <w:tc>
          <w:tcPr>
            <w:tcW w:w="78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17,319</w:t>
            </w:r>
          </w:p>
        </w:tc>
        <w:tc>
          <w:tcPr>
            <w:tcW w:w="116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b w:val="1"/>
                <w:bCs w:val="1"/>
                <w:color w:val="auto"/>
              </w:rPr>
              <w:t>684.8</w:t>
            </w:r>
          </w:p>
        </w:tc>
        <w:tc>
          <w:tcPr>
            <w:tcW w:w="5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19,242</w:t>
            </w:r>
          </w:p>
        </w:tc>
      </w:tr>
      <w:tr>
        <w:trPr>
          <w:trHeight w:val="124"/>
        </w:trPr>
        <w:tc>
          <w:tcPr>
            <w:tcW w:w="566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Cash dividends per share of common stock</w:t>
            </w:r>
          </w:p>
        </w:tc>
        <w:tc>
          <w:tcPr>
            <w:tcW w:w="98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4.17</w:t>
            </w:r>
          </w:p>
        </w:tc>
        <w:tc>
          <w:tcPr>
            <w:tcW w:w="13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78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3.97</w:t>
            </w:r>
          </w:p>
        </w:tc>
        <w:tc>
          <w:tcPr>
            <w:tcW w:w="11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3.77</w:t>
            </w:r>
          </w:p>
        </w:tc>
      </w:tr>
    </w:tbl>
    <w:p>
      <w:pPr>
        <w:spacing w:after="0" w:line="387"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The Notes to Consolidated Financial Statements are an integral part of this statement.</w:t>
      </w:r>
    </w:p>
    <w:p>
      <w:pPr>
        <w:spacing w:after="0" w:line="314" w:lineRule="exact"/>
        <w:rPr>
          <w:sz w:val="20"/>
          <w:szCs w:val="20"/>
          <w:color w:val="auto"/>
        </w:rPr>
      </w:pPr>
    </w:p>
    <w:p>
      <w:pPr>
        <w:ind w:left="268" w:hanging="268"/>
        <w:spacing w:after="0"/>
        <w:tabs>
          <w:tab w:leader="none" w:pos="268" w:val="left"/>
        </w:tabs>
        <w:numPr>
          <w:ilvl w:val="0"/>
          <w:numId w:val="102"/>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60" w:name="page61"/>
    <w:bookmarkEnd w:id="60"/>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4248"/>
        <w:spacing w:after="0"/>
        <w:rPr>
          <w:sz w:val="20"/>
          <w:szCs w:val="20"/>
          <w:color w:val="auto"/>
        </w:rPr>
      </w:pPr>
      <w:r>
        <w:rPr>
          <w:rFonts w:ascii="Arial" w:cs="Arial" w:eastAsia="Arial" w:hAnsi="Arial"/>
          <w:sz w:val="11"/>
          <w:szCs w:val="11"/>
          <w:b w:val="1"/>
          <w:bCs w:val="1"/>
          <w:color w:val="auto"/>
        </w:rPr>
        <w:t>NOTES TO CONSOLIDATED FINANCIAL STATEMENTS</w:t>
      </w:r>
    </w:p>
    <w:p>
      <w:pPr>
        <w:ind w:left="4208"/>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92" w:lineRule="exact"/>
        <w:rPr>
          <w:sz w:val="20"/>
          <w:szCs w:val="20"/>
          <w:color w:val="auto"/>
        </w:rPr>
      </w:pPr>
    </w:p>
    <w:p>
      <w:pPr>
        <w:ind w:left="8"/>
        <w:spacing w:after="0"/>
        <w:rPr>
          <w:sz w:val="20"/>
          <w:szCs w:val="20"/>
          <w:color w:val="auto"/>
        </w:rPr>
      </w:pPr>
      <w:r>
        <w:rPr>
          <w:rFonts w:ascii="Arial" w:cs="Arial" w:eastAsia="Arial" w:hAnsi="Arial"/>
          <w:sz w:val="19"/>
          <w:szCs w:val="19"/>
          <w:color w:val="D7282F"/>
        </w:rPr>
        <w:t>NOTE 1. SUMMARY OF SIGNIFICANT ACCOUNTING POLICIES</w:t>
      </w:r>
    </w:p>
    <w:p>
      <w:pPr>
        <w:spacing w:after="0" w:line="192"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ACCOUNTING PRINCIPLES</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0"/>
          <w:szCs w:val="10"/>
          <w:color w:val="auto"/>
        </w:rPr>
        <w:t>The financial statements and accompanying notes are prepared in accordance with accounting principles generally accepted in the United States of America. The following is a description of Honeywell’s significant accounting policies.</w:t>
      </w:r>
    </w:p>
    <w:p>
      <w:pPr>
        <w:spacing w:after="0" w:line="176"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PRINCIPLES OF CONSOLIDATION</w:t>
      </w:r>
    </w:p>
    <w:p>
      <w:pPr>
        <w:spacing w:after="0" w:line="81" w:lineRule="exact"/>
        <w:rPr>
          <w:sz w:val="20"/>
          <w:szCs w:val="20"/>
          <w:color w:val="auto"/>
        </w:rPr>
      </w:pPr>
    </w:p>
    <w:p>
      <w:pPr>
        <w:jc w:val="both"/>
        <w:ind w:left="8"/>
        <w:spacing w:after="0" w:line="260" w:lineRule="auto"/>
        <w:rPr>
          <w:sz w:val="20"/>
          <w:szCs w:val="20"/>
          <w:color w:val="auto"/>
        </w:rPr>
      </w:pPr>
      <w:r>
        <w:rPr>
          <w:rFonts w:ascii="Arial" w:cs="Arial" w:eastAsia="Arial" w:hAnsi="Arial"/>
          <w:sz w:val="11"/>
          <w:szCs w:val="11"/>
          <w:color w:val="auto"/>
        </w:rPr>
        <w:t>The Consolidated Financial Statements include the accounts of Honeywell International Inc. and all of its subsidiaries and entities in which a controlling interest is maintained. The Company's consolidation policy requires equity investments that the Company exercises significant influence over, but does not control the investee and are not the primary beneficiary of the investee’s activities, to be accounted for using the equity method. Investments through which the Company is not able to exercise significant influence over the investee and which the Company does not have readily determinable fair values are accounted for under the cost method. All intercompany transactions and balances are eliminated in consolidation.</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RECLASSIFICATIONS</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1"/>
          <w:szCs w:val="11"/>
          <w:color w:val="auto"/>
        </w:rPr>
        <w:t>Certain prior year amounts are reclassified to conform to the current year presentation.</w:t>
      </w:r>
    </w:p>
    <w:p>
      <w:pPr>
        <w:spacing w:after="0" w:line="72" w:lineRule="exact"/>
        <w:rPr>
          <w:sz w:val="20"/>
          <w:szCs w:val="20"/>
          <w:color w:val="auto"/>
        </w:rPr>
      </w:pPr>
    </w:p>
    <w:p>
      <w:pPr>
        <w:jc w:val="both"/>
        <w:ind w:left="8"/>
        <w:spacing w:after="0" w:line="260" w:lineRule="auto"/>
        <w:rPr>
          <w:sz w:val="20"/>
          <w:szCs w:val="20"/>
          <w:color w:val="auto"/>
        </w:rPr>
      </w:pPr>
      <w:r>
        <w:rPr>
          <w:rFonts w:ascii="Arial" w:cs="Arial" w:eastAsia="Arial" w:hAnsi="Arial"/>
          <w:sz w:val="11"/>
          <w:szCs w:val="11"/>
          <w:color w:val="212529"/>
        </w:rPr>
        <w:t>Historically, the Company included Company-sponsored costs and costs that relate to contracts with customers for research and development projects as a component of Cost of products and services sold on the Consolidated Statement of Operations. Effective January 1, 2023, the Company began classifying Company-sponsored costs for research and development projects as a separate financial statement line item, titled Research and development expenses, on the Consolidated Statement of Operations and recast prior period results for this reclassification. This reclassification had no impact on the Company's net income, earnings per share, cash flows, segment reporting, or financial position. The Company revised historical periods to reflect this change in presentation.</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RECENT ACCOUNTING PRONOUNCEMENTS</w:t>
      </w:r>
    </w:p>
    <w:p>
      <w:pPr>
        <w:spacing w:after="0" w:line="81" w:lineRule="exact"/>
        <w:rPr>
          <w:sz w:val="20"/>
          <w:szCs w:val="20"/>
          <w:color w:val="auto"/>
        </w:rPr>
      </w:pPr>
    </w:p>
    <w:p>
      <w:pPr>
        <w:jc w:val="both"/>
        <w:ind w:left="8" w:right="20"/>
        <w:spacing w:after="0" w:line="268" w:lineRule="auto"/>
        <w:rPr>
          <w:sz w:val="20"/>
          <w:szCs w:val="20"/>
          <w:color w:val="auto"/>
        </w:rPr>
      </w:pPr>
      <w:r>
        <w:rPr>
          <w:rFonts w:ascii="Arial" w:cs="Arial" w:eastAsia="Arial" w:hAnsi="Arial"/>
          <w:sz w:val="11"/>
          <w:szCs w:val="11"/>
          <w:color w:val="auto"/>
        </w:rPr>
        <w:t>The Company considers the applicability and impact of all Accounting Standards Updates (ASUs) issued by the Financial Accounting Standards Board (FASB). ASUs not listed below were assessed and determined to be either not applicable or are expected to have minimal impact on the Company's Consolidated Statement of Operations, Balance Sheet, and Cash Flows (Consolidated Financial Statements).</w:t>
      </w:r>
    </w:p>
    <w:p>
      <w:pPr>
        <w:spacing w:after="0" w:line="51"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 xml:space="preserve">In December 2023, the FASB issued ASU 2023-09, </w:t>
      </w:r>
      <w:r>
        <w:rPr>
          <w:rFonts w:ascii="Arial" w:cs="Arial" w:eastAsia="Arial" w:hAnsi="Arial"/>
          <w:sz w:val="11"/>
          <w:szCs w:val="11"/>
          <w:i w:val="1"/>
          <w:iCs w:val="1"/>
          <w:color w:val="auto"/>
        </w:rPr>
        <w:t>Income Taxes (Topic 740): Improvements to Income Taxes Disclosures</w:t>
      </w:r>
      <w:r>
        <w:rPr>
          <w:rFonts w:ascii="Arial" w:cs="Arial" w:eastAsia="Arial" w:hAnsi="Arial"/>
          <w:sz w:val="11"/>
          <w:szCs w:val="11"/>
          <w:color w:val="auto"/>
        </w:rPr>
        <w:t>, which requires greater disaggregation of income tax disclosures. The new standard requires additional information to be disclosed with respect to the income tax rate reconciliation and income taxes paid disaggregated by jurisdiction. This ASU should be applied prospectively for fiscal years beginning after December 15, 2024, with retrospective application permitted. The Company is currently evaluating the impacts of this guidance on the Company’s Consolidated Financial Statements.</w:t>
      </w:r>
    </w:p>
    <w:p>
      <w:pPr>
        <w:spacing w:after="0" w:line="45"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 xml:space="preserve">In November 2023, the FASB issued ASU 2023-07, </w:t>
      </w:r>
      <w:r>
        <w:rPr>
          <w:rFonts w:ascii="Arial" w:cs="Arial" w:eastAsia="Arial" w:hAnsi="Arial"/>
          <w:sz w:val="11"/>
          <w:szCs w:val="11"/>
          <w:i w:val="1"/>
          <w:iCs w:val="1"/>
          <w:color w:val="auto"/>
        </w:rPr>
        <w:t>Segment Reporting (Topic 280): Improvements to Reportable Segment Disclosures</w:t>
      </w:r>
      <w:r>
        <w:rPr>
          <w:rFonts w:ascii="Arial" w:cs="Arial" w:eastAsia="Arial" w:hAnsi="Arial"/>
          <w:sz w:val="11"/>
          <w:szCs w:val="11"/>
          <w:color w:val="auto"/>
        </w:rPr>
        <w:t>, which requires companies to enhance the disclosures about segment expenses. The new standard requires the disclosure of the Company’s Chief Operating Decision Maker (CODM), expanded incremental line-item disclosures of significant segment expenses used by the CODM for decision-making, and the inclusion of previous annual only segment disclosure requirements on a quarterly basis. This ASU should be applied retrospectively for fiscal years beginning after December 15, 2023, and early adoption is permitted. The Company is currently evaluating the impacts of this guidance on the Company’s Consolidated Financial Statements.</w:t>
      </w:r>
    </w:p>
    <w:p>
      <w:pPr>
        <w:spacing w:after="0" w:line="59"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 xml:space="preserve">In September 2022, the FASB issued ASU 2022-04, </w:t>
      </w:r>
      <w:r>
        <w:rPr>
          <w:rFonts w:ascii="Arial" w:cs="Arial" w:eastAsia="Arial" w:hAnsi="Arial"/>
          <w:sz w:val="11"/>
          <w:szCs w:val="11"/>
          <w:i w:val="1"/>
          <w:iCs w:val="1"/>
          <w:color w:val="auto"/>
        </w:rPr>
        <w:t>Liabilities—Supplier Finance Programs (Topic 405): Disclosure of Supplier Finance Program Obligations</w:t>
      </w:r>
      <w:r>
        <w:rPr>
          <w:rFonts w:ascii="Arial" w:cs="Arial" w:eastAsia="Arial" w:hAnsi="Arial"/>
          <w:sz w:val="11"/>
          <w:szCs w:val="11"/>
          <w:color w:val="auto"/>
        </w:rPr>
        <w:t>, to enhance the transparency of supplier finance programs. The new standard requires annual disclosure of the key terms of the program, a description of where in the financial statements amounts outstanding under the program are presented, a rollforward of such amounts, and interim disclosure of amounts outstanding as of the end of each period. The guidance does not affect recognition, measurement, or financial statement presentation of supplier finance programs. The ASU is effective on January 1, 2023, except for the rollforward, which is effective on January 1, 2024. The Company adopted this guidance on January 1, 2023, with the exception of the rollforward that is effective on January 1, 2024. The adoption of this standard does not have a material impact on the Company’s Consolidated Financial Statements.</w:t>
      </w:r>
    </w:p>
    <w:p>
      <w:pPr>
        <w:spacing w:after="0" w:line="277" w:lineRule="exact"/>
        <w:rPr>
          <w:sz w:val="20"/>
          <w:szCs w:val="20"/>
          <w:color w:val="auto"/>
        </w:rPr>
      </w:pPr>
    </w:p>
    <w:p>
      <w:pPr>
        <w:ind w:left="268" w:hanging="268"/>
        <w:spacing w:after="0"/>
        <w:tabs>
          <w:tab w:leader="none" w:pos="268" w:val="left"/>
        </w:tabs>
        <w:numPr>
          <w:ilvl w:val="0"/>
          <w:numId w:val="103"/>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61" w:name="page62"/>
    <w:bookmarkEnd w:id="61"/>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 xml:space="preserve">In October 2021, the FASB issued ASU 2021-08, </w:t>
      </w:r>
      <w:r>
        <w:rPr>
          <w:rFonts w:ascii="Arial" w:cs="Arial" w:eastAsia="Arial" w:hAnsi="Arial"/>
          <w:sz w:val="11"/>
          <w:szCs w:val="11"/>
          <w:i w:val="1"/>
          <w:iCs w:val="1"/>
          <w:color w:val="auto"/>
        </w:rPr>
        <w:t>Business Combinations (Topic 805)</w:t>
      </w:r>
      <w:r>
        <w:rPr>
          <w:rFonts w:ascii="Arial" w:cs="Arial" w:eastAsia="Arial" w:hAnsi="Arial"/>
          <w:sz w:val="11"/>
          <w:szCs w:val="11"/>
          <w:color w:val="auto"/>
        </w:rPr>
        <w:t xml:space="preserve">: </w:t>
      </w:r>
      <w:r>
        <w:rPr>
          <w:rFonts w:ascii="Arial" w:cs="Arial" w:eastAsia="Arial" w:hAnsi="Arial"/>
          <w:sz w:val="11"/>
          <w:szCs w:val="11"/>
          <w:i w:val="1"/>
          <w:iCs w:val="1"/>
          <w:color w:val="auto"/>
        </w:rPr>
        <w:t>Accounting for Contract Assets and Contract Liabilities from Contracts with Customers</w:t>
      </w:r>
      <w:r>
        <w:rPr>
          <w:rFonts w:ascii="Arial" w:cs="Arial" w:eastAsia="Arial" w:hAnsi="Arial"/>
          <w:sz w:val="11"/>
          <w:szCs w:val="11"/>
          <w:color w:val="auto"/>
        </w:rPr>
        <w:t>, which requires contract assets and contract liabilities acquired in a business combination to be recognized and measured by the acquirer on the acquisition date in accordance with ASC 606, Revenue from Contracts with Customers. This ASU should be applied prospectively to acquisitions occurring on or after the effective date of December 15, 2022, and early adoption was permitted. The Company adopted this guidance on January 1, 2022. The adoption of this standard does not have a material impact on the Company’s Consolidated Financial Statements.</w:t>
      </w:r>
    </w:p>
    <w:p>
      <w:pPr>
        <w:spacing w:after="0" w:line="59"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color w:val="auto"/>
        </w:rPr>
        <w:t xml:space="preserve">In March 2020, the FASB issued ASU 2020-04, </w:t>
      </w:r>
      <w:r>
        <w:rPr>
          <w:rFonts w:ascii="Arial" w:cs="Arial" w:eastAsia="Arial" w:hAnsi="Arial"/>
          <w:sz w:val="11"/>
          <w:szCs w:val="11"/>
          <w:i w:val="1"/>
          <w:iCs w:val="1"/>
          <w:color w:val="auto"/>
        </w:rPr>
        <w:t>Reference Rate Reform (Topic 848): Facilitation of the Effects of Reference Rate Reform on Financial Reporting</w:t>
      </w:r>
      <w:r>
        <w:rPr>
          <w:rFonts w:ascii="Arial" w:cs="Arial" w:eastAsia="Arial" w:hAnsi="Arial"/>
          <w:sz w:val="11"/>
          <w:szCs w:val="11"/>
          <w:color w:val="auto"/>
        </w:rPr>
        <w:t xml:space="preserve">, which provides optional expedients and exceptions for applying generally accepted accounting principles to contracts, hedging relationships, and other transactions affected by the transition away from reference rates expected to be discontinued to alternative reference rates. In January 2021, the FASB issued ASU 2021-01, </w:t>
      </w:r>
      <w:r>
        <w:rPr>
          <w:rFonts w:ascii="Arial" w:cs="Arial" w:eastAsia="Arial" w:hAnsi="Arial"/>
          <w:sz w:val="11"/>
          <w:szCs w:val="11"/>
          <w:i w:val="1"/>
          <w:iCs w:val="1"/>
          <w:color w:val="auto"/>
        </w:rPr>
        <w:t>Reference Rate Reform (Topic 848): Scope</w:t>
      </w:r>
      <w:r>
        <w:rPr>
          <w:rFonts w:ascii="Arial" w:cs="Arial" w:eastAsia="Arial" w:hAnsi="Arial"/>
          <w:sz w:val="11"/>
          <w:szCs w:val="11"/>
          <w:color w:val="auto"/>
        </w:rPr>
        <w:t xml:space="preserve">, to expand the scope of this guidance to include derivatives. The guidance was effective upon issuance and may be applied prospectively to contract modifications made and hedging relationships entered into on or before December 31, 2022. In December 2022, the FASB issued ASU 2022-06, </w:t>
      </w:r>
      <w:r>
        <w:rPr>
          <w:rFonts w:ascii="Arial" w:cs="Arial" w:eastAsia="Arial" w:hAnsi="Arial"/>
          <w:sz w:val="11"/>
          <w:szCs w:val="11"/>
          <w:i w:val="1"/>
          <w:iCs w:val="1"/>
          <w:color w:val="auto"/>
        </w:rPr>
        <w:t>Reference Rate Reform (Topic 848): Deferral of the Sunset Date of Topic 848</w:t>
      </w:r>
      <w:r>
        <w:rPr>
          <w:rFonts w:ascii="Arial" w:cs="Arial" w:eastAsia="Arial" w:hAnsi="Arial"/>
          <w:sz w:val="11"/>
          <w:szCs w:val="11"/>
          <w:color w:val="auto"/>
        </w:rPr>
        <w:t>, which extends the period of time entities can utilize the reference rate reform relief guidance under ASU 2020-04 from December 31, 2022, to December 31, 2024. The Company will apply the guidance to impacted transactions during the transition period. The adoption of this standard does not have a material impact on the Company’s Consolidated Financial Statements.</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RESEARCH AND DEVELOPMENT</w:t>
      </w:r>
    </w:p>
    <w:p>
      <w:pPr>
        <w:spacing w:after="0" w:line="81"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Research and development costs for projects are expensed as incurred, unless these costs relate to contracts with customers where the Company receives reimbursements. Amounts expensed as incurred for Company-sponsored research and development projects are included in Research and development expenses and were $1,456 million, $1,478 million, and $1,333 million for the years ended December 31, 2023, 2022, and 2021, respectively. Costs related to contracts with customers for customer-sponsored research and development projects are included as a contract cost and included in Cost of products and services sold when revenue from such contracts is recognized, consistent with the Company's sales recognition policies. This revenue was $1,303 million, $1,336 million, and $1,284 million for the years ended December 31, 2023, 2022, and 2021, respectively.</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CASH AND CASH EQUIVALENTS</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Cash and cash equivalents include cash on hand and highly liquid investments having an original maturity of three months or less.</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INVENTORIES</w:t>
      </w:r>
    </w:p>
    <w:p>
      <w:pPr>
        <w:spacing w:after="0" w:line="81"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Inventories are stated at the lower of cost or net realizable value, with cost determined on a first-in, first-out basis. Carrying value adjustments for inventory obsolescence is equal to the difference between the cost and net realizable value. Net realizable value is the estimated selling price in the ordinary course of business, less reasonably predictable costs of completion, disposal, and transportation.</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PROPERTY, PLANT AND EQUIPMENT</w:t>
      </w:r>
    </w:p>
    <w:p>
      <w:pPr>
        <w:spacing w:after="0" w:line="90" w:lineRule="exact"/>
        <w:rPr>
          <w:sz w:val="20"/>
          <w:szCs w:val="20"/>
          <w:color w:val="auto"/>
        </w:rPr>
      </w:pPr>
    </w:p>
    <w:p>
      <w:pPr>
        <w:jc w:val="both"/>
        <w:ind w:left="8" w:right="20"/>
        <w:spacing w:after="0" w:line="262" w:lineRule="auto"/>
        <w:rPr>
          <w:sz w:val="20"/>
          <w:szCs w:val="20"/>
          <w:color w:val="auto"/>
        </w:rPr>
      </w:pPr>
      <w:r>
        <w:rPr>
          <w:rFonts w:ascii="Arial" w:cs="Arial" w:eastAsia="Arial" w:hAnsi="Arial"/>
          <w:sz w:val="11"/>
          <w:szCs w:val="11"/>
          <w:color w:val="auto"/>
        </w:rPr>
        <w:t>Property, plant and equipment are recorded at cost, including any asset retirement obligations, less accumulated depreciation. For financial reporting, the straight-line method of depreciation is used over the estimated useful lives of 10 to 50 years for buildings and improvements and 3 to 16 years for machinery and equipment. Recognition of the fair value of obligations associated with the retirement of tangible long-lived assets is required when there is a legal obligation to incur such costs. Upon initial recognition of a liability, the cost is capitalized as part of the related long-lived asset and depreciated over the corresponding asset’s useful life.</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GOODWILL AND INDEFINITE-LIVED INTANGIBLE ASSETS</w:t>
      </w:r>
    </w:p>
    <w:p>
      <w:pPr>
        <w:spacing w:after="0" w:line="81"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Goodwill and indefinite-lived intangible assets are subject to impairment testing annually as of the first day of the fourth quarter, or if a triggering event occurs or changes in circumstances indicate that the carrying amount may not be fully recoverable. This testing compares carrying values to fair values and, when appropriate, the carrying value of these assets is reduced to fair value, not to exceed the carrying value of goodwill. The Company completed its annual goodwill impairment test as of the first day of the fourth quarter and determined there was no impairment as of that date. The Company is not aware of any additional triggering events.</w:t>
      </w:r>
    </w:p>
    <w:p>
      <w:pPr>
        <w:spacing w:after="0" w:line="270" w:lineRule="exact"/>
        <w:rPr>
          <w:sz w:val="20"/>
          <w:szCs w:val="20"/>
          <w:color w:val="auto"/>
        </w:rPr>
      </w:pPr>
    </w:p>
    <w:p>
      <w:pPr>
        <w:ind w:left="268" w:hanging="268"/>
        <w:spacing w:after="0"/>
        <w:tabs>
          <w:tab w:leader="none" w:pos="268" w:val="left"/>
        </w:tabs>
        <w:numPr>
          <w:ilvl w:val="0"/>
          <w:numId w:val="104"/>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62" w:name="page63"/>
    <w:bookmarkEnd w:id="62"/>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color w:val="auto"/>
        </w:rPr>
        <w:t>Prior to 2022, the Company performed its annual goodwill and intangible asset impairment test as of the last day of the first quarter. In 2022, the Company changed the date of its annual goodwill and intangible asset impairment assessment to the first day of the fourth quarter. The Company believes this change does not represent a material change in method of applying an accounting principle. This change has been applied prospectively as of the date of the change, as retrospective application is deemed impracticable due to the inability to objectively determine the assumptions used in earlier periods without the benefit of hindsight. This voluntary change is preferable under the circumstances as it results in better alignment with the timing of the Company’s forecasting process and reduces the time period between the assessment date and annual financial statements. This change in accounting principle does not delay, accelerate, or avoid an impairment of goodwill. In 2022, due to this change, the Company performed annual goodwill and intangible asset impairment tests as of the last day of the first quarter and the first day of the fourth quarter.</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DEFINITE-LIVED INTANGIBLE ASSETS</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1"/>
          <w:szCs w:val="11"/>
          <w:color w:val="auto"/>
        </w:rPr>
        <w:t>Other intangible assets with definite lives consist of customer relationships, patents and technology, trademarks, and other intangibles and are amortized over their estimated useful lives, ranging from 2 to 20 years.</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CAPITALIZED SOFTWARE</w:t>
      </w:r>
    </w:p>
    <w:p>
      <w:pPr>
        <w:spacing w:after="0" w:line="90"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The Company capitalizes costs of software developed or obtained for internal use during the application development stage of a project and amortizes those costs using the straight-line method over the expected useful life of the software, not to exceed 7 years. Costs incurred during the preliminary and post-implementation stages are expensed as incurred. Development costs for software held for sale are capitalized once a project has reached the point of technological feasibility. Completed projects are amortized after reaching the point of general availability using the straight-line method based on the expected useful life, not to exceed 7 years. At each balance sheet date, or earlier if an indicator of an impairment exists, the Company evaluates the recoverability of unamortized capitalized software costs based on estimated future undiscounted revenues net of estimated related costs over the remaining amortization period. Capitalized software held for internal use and held for sale is included in Other assets in the Consolidated Balance Sheet.</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FOREIGN CURRENCY TRANSLATION</w:t>
      </w:r>
    </w:p>
    <w:p>
      <w:pPr>
        <w:spacing w:after="0" w:line="90"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Assets and liabilities of subsidiaries operating outside the United States with a functional currency other than the U.S. Dollar are translated into U.S. Dollars using year-end exchange rates. Sales, costs, and expenses are translated at the average exchange rates in effect during the year. Foreign currency translation gains and losses are included as a component of Accumulated other comprehensive income (loss). For subsidiaries operating in highly inflationary environments, inventories and property, plant and equipment, including related expenses, are remeasured at the exchange rate in effect on the date the assets were acquired, while monetary assets and liabilities are remeasured at year-end exchange rates. Remeasurement adjustments for these subsidiaries are included in earnings.</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DERIVATIVE FINANCIAL INSTRUMENTS</w:t>
      </w:r>
    </w:p>
    <w:p>
      <w:pPr>
        <w:spacing w:after="0" w:line="81"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All derivative financial instruments are recorded on the balance sheet as assets or liabilities and measured at fair value. For derivatives designated as hedges of the fair value of assets or liabilities, the changes in fair values of both the derivatives and the hedged items are recorded in current earnings. For derivatives designated as cash flow hedges, the changes in fair value of the derivatives are recorded in Accumulated other comprehensive income (loss) and subsequently recognized in earnings when the hedged items impact earnings.</w:t>
      </w:r>
    </w:p>
    <w:p>
      <w:pPr>
        <w:spacing w:after="0" w:line="54"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Derivative financial instruments designated as hedges must be designated and effective as a hedge of the identified risk exposure at the inception of the contract. Changes in fair value of the derivative contract must be highly correlated with changes in fair value of the underlying hedged item at inception and over the life of the hedge contract. Cash flows of such derivative financial instruments are classified consistent with the underlying hedged item. The Company elected to exclude the time value of the derivatives (i.e., the forward points) from the assessment of hedge effectiveness and to recognize the initial value of the excluded component in earnings using the amortization approach. For derivative instruments that are designated and qualify as a net investment hedge, the gain or loss is reported as a component of Other comprehensive income (loss) and recorded in Accumulated other comprehensive income (loss). The gain or loss will be subsequently reclassified into earnings when the hedged net investment is either sold or substantially liquidated.</w:t>
      </w:r>
    </w:p>
    <w:p>
      <w:pPr>
        <w:spacing w:after="0" w:line="286" w:lineRule="exact"/>
        <w:rPr>
          <w:sz w:val="20"/>
          <w:szCs w:val="20"/>
          <w:color w:val="auto"/>
        </w:rPr>
      </w:pPr>
    </w:p>
    <w:p>
      <w:pPr>
        <w:ind w:left="268" w:hanging="268"/>
        <w:spacing w:after="0"/>
        <w:tabs>
          <w:tab w:leader="none" w:pos="268" w:val="left"/>
        </w:tabs>
        <w:numPr>
          <w:ilvl w:val="0"/>
          <w:numId w:val="105"/>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63" w:name="page64"/>
    <w:bookmarkEnd w:id="63"/>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79"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LEASES</w:t>
      </w:r>
    </w:p>
    <w:p>
      <w:pPr>
        <w:spacing w:after="0" w:line="81" w:lineRule="exact"/>
        <w:rPr>
          <w:sz w:val="20"/>
          <w:szCs w:val="20"/>
          <w:color w:val="auto"/>
        </w:rPr>
      </w:pPr>
    </w:p>
    <w:p>
      <w:pPr>
        <w:jc w:val="both"/>
        <w:ind w:left="8" w:right="20"/>
        <w:spacing w:after="0" w:line="268" w:lineRule="auto"/>
        <w:rPr>
          <w:sz w:val="20"/>
          <w:szCs w:val="20"/>
          <w:color w:val="auto"/>
        </w:rPr>
      </w:pPr>
      <w:r>
        <w:rPr>
          <w:rFonts w:ascii="Arial" w:cs="Arial" w:eastAsia="Arial" w:hAnsi="Arial"/>
          <w:sz w:val="11"/>
          <w:szCs w:val="11"/>
          <w:color w:val="auto"/>
        </w:rPr>
        <w:t>At the inception of a contract, the Company assesses whether the contract is, or contains, a lease. The assessment is based on (i) whether the contract involves the use of a distinct identified asset, (ii) whether the Company obtains the right to substantially all the economic benefit from the use of the asset throughout the period, and (iii) whether the Company has the right to direct the use of the asset.</w:t>
      </w:r>
    </w:p>
    <w:p>
      <w:pPr>
        <w:spacing w:after="0" w:line="51"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All significant lease arrangements are generally recognized at lease commencement. Operating lease right-of-use (ROU) assets and lease liabilities are recognized at commencement. A ROU asset and corresponding lease liability are not recorded for leases with an initial term of 12 months or less (short-term leases); however, lease expense for these leases is recognized as incurred over the lease term.</w:t>
      </w:r>
    </w:p>
    <w:p>
      <w:pPr>
        <w:spacing w:after="0" w:line="51"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ROU assets represent the Company's right to use an underlying asset during the reasonably certain lease term, and lease liabilities represent the obligation to make lease payments arising from the lease. The Company's lease terms may include options to extend or terminate the lease when it is reasonably certain that the Company will exercise that option.</w:t>
      </w:r>
    </w:p>
    <w:p>
      <w:pPr>
        <w:spacing w:after="0" w:line="42" w:lineRule="exact"/>
        <w:rPr>
          <w:sz w:val="20"/>
          <w:szCs w:val="20"/>
          <w:color w:val="auto"/>
        </w:rPr>
      </w:pPr>
    </w:p>
    <w:p>
      <w:pPr>
        <w:jc w:val="both"/>
        <w:ind w:left="8"/>
        <w:spacing w:after="0" w:line="260" w:lineRule="auto"/>
        <w:rPr>
          <w:sz w:val="20"/>
          <w:szCs w:val="20"/>
          <w:color w:val="auto"/>
        </w:rPr>
      </w:pPr>
      <w:r>
        <w:rPr>
          <w:rFonts w:ascii="Arial" w:cs="Arial" w:eastAsia="Arial" w:hAnsi="Arial"/>
          <w:sz w:val="11"/>
          <w:szCs w:val="11"/>
          <w:color w:val="auto"/>
        </w:rPr>
        <w:t>Operating lease ROU assets and liabilities are recognized at commencement date based on the present value of lease payments over the lease term. Lease payments may be fixed or variable, however, only fixed payments or in-substance fixed payments are included in determining the lease liability. Variable lease payments are recognized in operating expenses in the period in which the obligation for those payments are incurred. The operating lease ROU asset also includes any lease payments related to initial direct costs and prepayments and excludes lease incentives. Lease expense is recognized on a straight-line basis over the lease term. The Company has lease agreements with lease and non-lease components, which are generally accounted for separately.</w:t>
      </w:r>
    </w:p>
    <w:p>
      <w:pPr>
        <w:spacing w:after="0" w:line="46"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The Company primarily uses its incremental borrowing rate, which is based on the information available at the lease commencement date, in determining the present value of the lease payments. In determining the borrowing rate, the Company considers the lease term, secured incremental borrowing rate, and for leases denominated in a currency different than the U.S. dollar, the collateralized borrowing rate in the foreign currency using the U.S. dollar and foreign currency swap spread, when available.</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PENSION BENEFITS</w:t>
      </w:r>
    </w:p>
    <w:p>
      <w:pPr>
        <w:spacing w:after="0" w:line="81" w:lineRule="exact"/>
        <w:rPr>
          <w:sz w:val="20"/>
          <w:szCs w:val="20"/>
          <w:color w:val="auto"/>
        </w:rPr>
      </w:pPr>
    </w:p>
    <w:p>
      <w:pPr>
        <w:jc w:val="both"/>
        <w:ind w:left="8" w:right="20"/>
        <w:spacing w:after="0" w:line="285" w:lineRule="auto"/>
        <w:rPr>
          <w:sz w:val="20"/>
          <w:szCs w:val="20"/>
          <w:color w:val="auto"/>
        </w:rPr>
      </w:pPr>
      <w:r>
        <w:rPr>
          <w:rFonts w:ascii="Arial" w:cs="Arial" w:eastAsia="Arial" w:hAnsi="Arial"/>
          <w:sz w:val="11"/>
          <w:szCs w:val="11"/>
          <w:color w:val="auto"/>
        </w:rPr>
        <w:t>The Company presents net periodic pension costs by disaggregating the service cost component of such costs and reports those costs in the same line item or items in the Consolidated Statement of Operations as other compensation costs arising from services rendered by the pertinent employees during the period. The other non-service components of such costs are required to be presented separately from the service cost component.</w:t>
      </w:r>
    </w:p>
    <w:p>
      <w:pPr>
        <w:spacing w:after="0" w:line="33"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The Company records the service cost component of Pension ongoing (income) expense in Cost of products and services sold, Research and development expenses, and Selling, general and administrative expenses. The remaining components of costs within Pension ongoing (income) expense, primarily interest costs and assumed return on plan assets, are recorded in Other (income) expense. The Company recognizes net actuarial gains or losses in excess of 10% of the greater of the fair value of plan assets or the plan's projected benefit obligation (the corridor) annually in the fourth quarter each year (MTM Adjustment). The MTM Adjustment is also reported in Other (income) expense.</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SUPPLY CHAIN FINANCING</w:t>
      </w:r>
    </w:p>
    <w:p>
      <w:pPr>
        <w:spacing w:after="0" w:line="81"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color w:val="auto"/>
        </w:rPr>
        <w:t>The Company maintains agreements with third-party financial institutions that offer voluntary supply chain financing (SCF) programs to suppliers. The SCF programs enable suppliers, at their sole discretion, to sell their receivables to third-party financial institutions in order to receive payment on receivables earlier than the negotiated commercial terms between suppliers and the Company. Supplier sale of receivables to third-party financial institutions is on terms negotiated between the supplier and the respective third-party financial institution. The Company agrees on commercial terms for the goods and services procured from suppliers, including prices, quantities, and payment terms, which normally range between 60 and 120 days, regardless of whether the supplier elects to participate in the SCF programs. A suppliers’ voluntary participation in the SCF programs has no bearing on the Company's payment terms and the Company has no economic interest in a supplier’s decision to participate in the SCF programs. The Company agrees to pay participating third-party financial institutions the stated amounts of confirmed invoices from suppliers on the original maturity dates of the invoices.</w:t>
      </w:r>
    </w:p>
    <w:p>
      <w:pPr>
        <w:spacing w:after="0" w:line="61" w:lineRule="exact"/>
        <w:rPr>
          <w:sz w:val="20"/>
          <w:szCs w:val="20"/>
          <w:color w:val="auto"/>
        </w:rPr>
      </w:pPr>
    </w:p>
    <w:p>
      <w:pPr>
        <w:jc w:val="both"/>
        <w:ind w:left="8" w:right="20"/>
        <w:spacing w:after="0" w:line="268" w:lineRule="auto"/>
        <w:rPr>
          <w:sz w:val="20"/>
          <w:szCs w:val="20"/>
          <w:color w:val="auto"/>
        </w:rPr>
      </w:pPr>
      <w:r>
        <w:rPr>
          <w:rFonts w:ascii="Arial" w:cs="Arial" w:eastAsia="Arial" w:hAnsi="Arial"/>
          <w:sz w:val="11"/>
          <w:szCs w:val="11"/>
          <w:color w:val="auto"/>
        </w:rPr>
        <w:t>Amounts outstanding related to SCF programs are included in Accounts payable in the Consolidated Balance Sheet. Accounts payable included approximately $1,112 million and $992 million as of December 31, 2023, and 2022, respectively. The impact of these programs is not material to the Company's overall liquidity.</w:t>
      </w:r>
    </w:p>
    <w:p>
      <w:pPr>
        <w:spacing w:after="0" w:line="266" w:lineRule="exact"/>
        <w:rPr>
          <w:sz w:val="20"/>
          <w:szCs w:val="20"/>
          <w:color w:val="auto"/>
        </w:rPr>
      </w:pPr>
    </w:p>
    <w:p>
      <w:pPr>
        <w:ind w:left="268" w:hanging="268"/>
        <w:spacing w:after="0"/>
        <w:tabs>
          <w:tab w:leader="none" w:pos="268" w:val="left"/>
        </w:tabs>
        <w:numPr>
          <w:ilvl w:val="0"/>
          <w:numId w:val="106"/>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64" w:name="page65"/>
    <w:bookmarkEnd w:id="64"/>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79"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SALES RECOGNITION</w:t>
      </w:r>
    </w:p>
    <w:p>
      <w:pPr>
        <w:spacing w:after="0" w:line="81" w:lineRule="exact"/>
        <w:rPr>
          <w:sz w:val="20"/>
          <w:szCs w:val="20"/>
          <w:color w:val="auto"/>
        </w:rPr>
      </w:pPr>
    </w:p>
    <w:p>
      <w:pPr>
        <w:jc w:val="both"/>
        <w:ind w:left="8"/>
        <w:spacing w:after="0" w:line="249" w:lineRule="auto"/>
        <w:rPr>
          <w:sz w:val="20"/>
          <w:szCs w:val="20"/>
          <w:color w:val="auto"/>
        </w:rPr>
      </w:pPr>
      <w:r>
        <w:rPr>
          <w:rFonts w:ascii="Arial" w:cs="Arial" w:eastAsia="Arial" w:hAnsi="Arial"/>
          <w:sz w:val="11"/>
          <w:szCs w:val="11"/>
          <w:color w:val="auto"/>
        </w:rPr>
        <w:t>Product and service sales are recognized when or as the Company transfers control of the promised products or services to its customers. Revenue is measured as the amount of consideration the Company expects to receive in exchange for transferring goods or providing services. Service sales, principally representing repair, maintenance, and engineering activities, are recognized over the contractual period or as services are rendered. Sales under long-term contracts with performance obligations satisfied over time are recognized using either an input or output method. The Company recognizes revenue over time as the Company performs on these contracts because of the continuous transfer of control to the customer. With control transferring over time, revenue is recognized based on the extent of progress towards completion of the performance obligation. The Company generally uses the cost-to-cost input method of progress for contracts because it best depicts the transfer of control to the customer that occurs as the Company incurs costs. Under the cost-to-cost input method, the extent of progress towards completion is measured based on the proportion of costs incurred to date to the total estimated costs at completion of the performance obligation. The Company reviews its cost estimates on significant contracts on a periodic basis, or when circumstances change and warrant a modification to a previous estimate. Cost estimates are largely based on negotiated or estimated purchase contract terms, historical performance trends, and other economic projections. Significant factors that influence these estimates include inflationary trends, technical and schedule risks, internal and subcontractor performance trends, business volume assumptions, asset utilization, and anticipated labor agreements. Provisions for anticipated losses on long-term contracts are recorded in full when such losses become evident, to the extent required.</w:t>
      </w:r>
    </w:p>
    <w:p>
      <w:pPr>
        <w:spacing w:after="0" w:line="61"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The customer funding for costs incurred for nonrecurring engineering and development activities of the Company's products under agreements with commercial customers is deferred and subsequently recognized as revenue as products are delivered to the customers. Additionally, expenses incurred, up to the customer agreed funded amount, are deferred as an asset and recognized as cost of sales when products are delivered to the customer. The deferred customer funding and costs result in recognition of deferred costs (asset) and deferred revenue (liability) within Other assets and Accrued liabilities, respectively, in the Consolidated Balance Sheet. Deferred contract fulfillment costs were approximately $1.2 billion and $1.3 billion as of December 31, 2023, and 2022, respectively. The amounts recognized as Cost of products and services sold were approximately $0.1 billion for the year ended December 31, 2023, and $0.2 billion and $0.1 billion for 2022 and 2021, respectively.</w:t>
      </w:r>
    </w:p>
    <w:p>
      <w:pPr>
        <w:spacing w:after="0" w:line="61" w:lineRule="exact"/>
        <w:rPr>
          <w:sz w:val="20"/>
          <w:szCs w:val="20"/>
          <w:color w:val="auto"/>
        </w:rPr>
      </w:pPr>
    </w:p>
    <w:p>
      <w:pPr>
        <w:ind w:left="8"/>
        <w:spacing w:after="0"/>
        <w:rPr>
          <w:sz w:val="20"/>
          <w:szCs w:val="20"/>
          <w:color w:val="auto"/>
        </w:rPr>
      </w:pPr>
      <w:r>
        <w:rPr>
          <w:rFonts w:ascii="Arial" w:cs="Arial" w:eastAsia="Arial" w:hAnsi="Arial"/>
          <w:sz w:val="11"/>
          <w:szCs w:val="11"/>
          <w:color w:val="auto"/>
        </w:rPr>
        <w:t>Revenues for the Company's mechanical service programs are recognized as performance obligations that are satisfied over time, with recognition reflecting a series of distinct services using the output method.</w:t>
      </w:r>
    </w:p>
    <w:p>
      <w:pPr>
        <w:spacing w:after="0" w:line="72"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The terms of a contract or the historical business practice can give rise to variable consideration due to, but not limited to, cash-based incentives, rebates, performance awards, or credits. The Company estimates variable consideration at the most likely amount the Company will receive from customers. The Company includes estimated amounts in the transaction price to the extent it is probable that a significant reversal of cumulative revenue recognized for such transaction will not occur, or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STOCK-BASED COMPENSATION PLANS</w:t>
      </w:r>
    </w:p>
    <w:p>
      <w:pPr>
        <w:spacing w:after="0" w:line="90"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The principal awards issued under the Company's stock-based compensation plans, which are described in Note 15 Stock-Based Compensation Plans, are non-qualified stock options and restricted stock units. The cost for such awards is measured at the grant date based on the fair value of the award. The value of the portion of the award that is ultimately expected to vest is recognized as expense over the requisite service periods (generally the vesting period of the equity award) and is included in Selling, general and administrative expenses. Forfeitures are estimated at the time of grant to recognize expense for those awards expected to vest and are based on the Company's historical forfeiture rates.</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INCOME TAXES</w:t>
      </w:r>
    </w:p>
    <w:p>
      <w:pPr>
        <w:spacing w:after="0" w:line="81"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Significant judgment is required in evaluating tax positions. The Company establishes reserves for income taxes when, despite the belief that tax positions are fully supportable, certain positions remain that do not meet the minimum recognition threshold. The approach for evaluating certain and uncertain tax positions is defined by the authoritative guidance which determines when a tax position is more likely than not to be sustained upon examination by the applicable taxing authority. In the normal course of business, the Company and its subsidiaries are examined by various federal, state, and foreign tax authorities. The Company regularly assesses the potential outcomes of these examinations and any future examinations for the current or prior years in determining the adequacy of the Company's provision for income taxes. The Company continually assesses the likelihood and amount of potential adjustments and adjusts the income tax provision, the current tax liability, and deferred taxes in the period in which the facts that give rise to a change in estimate become known. See Note 5 Income Taxes for additional information.</w:t>
      </w:r>
    </w:p>
    <w:p>
      <w:pPr>
        <w:spacing w:after="0" w:line="275" w:lineRule="exact"/>
        <w:rPr>
          <w:sz w:val="20"/>
          <w:szCs w:val="20"/>
          <w:color w:val="auto"/>
        </w:rPr>
      </w:pPr>
    </w:p>
    <w:p>
      <w:pPr>
        <w:ind w:left="268" w:hanging="268"/>
        <w:spacing w:after="0"/>
        <w:tabs>
          <w:tab w:leader="none" w:pos="268" w:val="left"/>
        </w:tabs>
        <w:numPr>
          <w:ilvl w:val="0"/>
          <w:numId w:val="107"/>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65" w:name="page66"/>
    <w:bookmarkEnd w:id="65"/>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79"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EARNINGS PER SHARE</w:t>
      </w:r>
    </w:p>
    <w:p>
      <w:pPr>
        <w:spacing w:after="0" w:line="81" w:lineRule="exact"/>
        <w:rPr>
          <w:sz w:val="20"/>
          <w:szCs w:val="20"/>
          <w:color w:val="auto"/>
        </w:rPr>
      </w:pPr>
    </w:p>
    <w:p>
      <w:pPr>
        <w:jc w:val="both"/>
        <w:ind w:left="8" w:right="20"/>
        <w:spacing w:after="0" w:line="268" w:lineRule="auto"/>
        <w:rPr>
          <w:sz w:val="20"/>
          <w:szCs w:val="20"/>
          <w:color w:val="auto"/>
        </w:rPr>
      </w:pPr>
      <w:r>
        <w:rPr>
          <w:rFonts w:ascii="Arial" w:cs="Arial" w:eastAsia="Arial" w:hAnsi="Arial"/>
          <w:sz w:val="11"/>
          <w:szCs w:val="11"/>
          <w:color w:val="auto"/>
        </w:rPr>
        <w:t>Basic earnings per share is based on the weighted average number of common shares outstanding. Diluted earnings per share is based on the weighted average number of common shares outstanding and all dilutive potential common shares outstanding.</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ENVIRONMENTAL</w:t>
      </w:r>
    </w:p>
    <w:p>
      <w:pPr>
        <w:spacing w:after="0" w:line="90"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The Company accrues costs related to environmental matters when it is probable that it has incurred a liability related to a contaminated site and the amount can be reasonably estimated. See Note 19 Commitments and Contingencies for additional information.</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REIMBURSEMENT RECEIVABLES</w:t>
      </w:r>
    </w:p>
    <w:p>
      <w:pPr>
        <w:spacing w:after="0" w:line="90" w:lineRule="exact"/>
        <w:rPr>
          <w:sz w:val="20"/>
          <w:szCs w:val="20"/>
          <w:color w:val="auto"/>
        </w:rPr>
      </w:pPr>
    </w:p>
    <w:p>
      <w:pPr>
        <w:jc w:val="both"/>
        <w:ind w:left="8"/>
        <w:spacing w:after="0" w:line="253" w:lineRule="auto"/>
        <w:rPr>
          <w:sz w:val="20"/>
          <w:szCs w:val="20"/>
          <w:color w:val="auto"/>
        </w:rPr>
      </w:pPr>
      <w:r>
        <w:rPr>
          <w:rFonts w:ascii="Arial" w:cs="Arial" w:eastAsia="Arial" w:hAnsi="Arial"/>
          <w:sz w:val="11"/>
          <w:szCs w:val="11"/>
          <w:color w:val="auto"/>
        </w:rPr>
        <w:t>In conjunction with the Resideo Technologies, Inc. (Resideo) spin-off, the Company entered into a reimbursement agreement under which Honeywell receives cash payments as reimbursement primarily related to net spending for environmental matters at certain sites as defined in the reimbursement agreement. Accordingly, the Company recorded receivables based on estimates of the underlying reimbursable Honeywell environmental spend, and the Company monitors the recoverability of such receivables, which are subject to the terms of applicable credit agreements and general ability to pay.</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ASBESTOS-RELATED LIABILITIES AND INSURANCE RECOVERIES</w:t>
      </w:r>
    </w:p>
    <w:p>
      <w:pPr>
        <w:spacing w:after="0" w:line="81"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The Company recognizes a liability for any asbestos-related contingency that is probable of occurrence and reasonably estimable. In connection with the recognition of liabilities for asbestos-related matters, the Company records asbestos-related insurance recoveries that are deemed probable. See Note 19 Commitments and Contingencies for additional information.</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9"/>
          <w:szCs w:val="19"/>
          <w:color w:val="D7282F"/>
        </w:rPr>
        <w:t>NOTE 2. ACQUISITIONS AND DIVESTITURES</w:t>
      </w:r>
    </w:p>
    <w:p>
      <w:pPr>
        <w:spacing w:after="0" w:line="183"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ACQUISITIONS</w:t>
      </w:r>
    </w:p>
    <w:p>
      <w:pPr>
        <w:spacing w:after="0" w:line="90" w:lineRule="exact"/>
        <w:rPr>
          <w:sz w:val="20"/>
          <w:szCs w:val="20"/>
          <w:color w:val="auto"/>
        </w:rPr>
      </w:pPr>
    </w:p>
    <w:p>
      <w:pPr>
        <w:jc w:val="both"/>
        <w:ind w:left="8" w:right="20"/>
        <w:spacing w:after="0" w:line="268" w:lineRule="auto"/>
        <w:rPr>
          <w:sz w:val="20"/>
          <w:szCs w:val="20"/>
          <w:color w:val="auto"/>
        </w:rPr>
      </w:pPr>
      <w:r>
        <w:rPr>
          <w:rFonts w:ascii="Arial" w:cs="Arial" w:eastAsia="Arial" w:hAnsi="Arial"/>
          <w:sz w:val="11"/>
          <w:szCs w:val="11"/>
          <w:color w:val="auto"/>
        </w:rPr>
        <w:t>On December 8, 2023, the Company agreed to acquire Carrier Global Corporation's Global Access Solutions business in an all-cash transaction for $5.0 billion. The transaction is subject to regulatory review and approval and customary closing conditions. The transaction is expected to close by the end of the third quarter of 2024 and the business will be reported within the Honeywell Building Technologies reportable business segment.</w:t>
      </w:r>
    </w:p>
    <w:p>
      <w:pPr>
        <w:spacing w:after="0" w:line="42" w:lineRule="exact"/>
        <w:rPr>
          <w:sz w:val="20"/>
          <w:szCs w:val="20"/>
          <w:color w:val="auto"/>
        </w:rPr>
      </w:pPr>
    </w:p>
    <w:p>
      <w:pPr>
        <w:jc w:val="both"/>
        <w:ind w:left="8"/>
        <w:spacing w:after="0" w:line="260" w:lineRule="auto"/>
        <w:rPr>
          <w:sz w:val="20"/>
          <w:szCs w:val="20"/>
          <w:color w:val="auto"/>
        </w:rPr>
      </w:pPr>
      <w:r>
        <w:rPr>
          <w:rFonts w:ascii="Arial" w:cs="Arial" w:eastAsia="Arial" w:hAnsi="Arial"/>
          <w:sz w:val="11"/>
          <w:szCs w:val="11"/>
          <w:color w:val="auto"/>
        </w:rPr>
        <w:t>On August 25, 2023, the Company acquired 100% of the outstanding equity interests of SCADAfence, a provider of operational technology and Internet of Things cybersecurity solutions for monitoring large scale networks, for total consideration of $52 million, net of cash acquired. The business is included in the Performance Materials and Technologies reportable business segment. The assets and liabilities acquired with SCADAfence are included in the Consolidated Balance Sheet as of December 31, 2023, including $17 million of intangible assets and $42 million of goodwill, which is not deductible for tax purposes. The purchase accounting is subject to final adjustment, primarily for the value of intangible assets, amounts allocated to goodwill, and tax balances.</w:t>
      </w:r>
    </w:p>
    <w:p>
      <w:pPr>
        <w:spacing w:after="0" w:line="46"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On June 30, 2023, the Company acquired 100% of the outstanding equity interests of Compressor Controls Corporation, a turbomachinery services and controls company based in the United States, for total cash consideration of $673 million, net of cash acquired. The business is included in the Performance Materials and Technologies reportable business segment. The assets and liabilities acquired with Compressor Controls Corporation are included in the Consolidated Balance Sheet as of December 31, 2023, including $282 million of intangible assets and $350 million allocated to goodwill, which is deductible for tax purposes. The identifiable intangible assets primarily include customer relationships amortized over an estimated life of 15 years using an excess earnings amortization method. The purchase accounting is subject to final adjustment, primarily for the valuation of intangible assets, amounts allocated to goodwill, and tax balances.</w:t>
      </w:r>
    </w:p>
    <w:p>
      <w:pPr>
        <w:spacing w:after="0" w:line="51"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On January 18, 2022, the Company acquired 100% of the issued and outstanding shares of US Digital Designs, Inc., a leading provider of technologies for first responders, for total consideration of $186 million. The business is included within the Honeywell Building Technologies reportable business segment. The Company finalized the evaluation for the fair value of all the assets and liabilities acquired with US Digital Designs, Inc. during the first quarter of 2023. Management recorded intangible assets of $53 million and allocated $129 million to goodwill, which is deductible for tax purposes.</w:t>
      </w:r>
    </w:p>
    <w:p>
      <w:pPr>
        <w:spacing w:after="0" w:line="270" w:lineRule="exact"/>
        <w:rPr>
          <w:sz w:val="20"/>
          <w:szCs w:val="20"/>
          <w:color w:val="auto"/>
        </w:rPr>
      </w:pPr>
    </w:p>
    <w:p>
      <w:pPr>
        <w:ind w:left="268" w:hanging="268"/>
        <w:spacing w:after="0"/>
        <w:tabs>
          <w:tab w:leader="none" w:pos="268" w:val="left"/>
        </w:tabs>
        <w:numPr>
          <w:ilvl w:val="0"/>
          <w:numId w:val="108"/>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66" w:name="page67"/>
    <w:bookmarkEnd w:id="66"/>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jc w:val="both"/>
        <w:ind w:left="8"/>
        <w:spacing w:after="0" w:line="249" w:lineRule="auto"/>
        <w:rPr>
          <w:sz w:val="20"/>
          <w:szCs w:val="20"/>
          <w:color w:val="auto"/>
        </w:rPr>
      </w:pPr>
      <w:r>
        <w:rPr>
          <w:rFonts w:ascii="Arial" w:cs="Arial" w:eastAsia="Arial" w:hAnsi="Arial"/>
          <w:sz w:val="11"/>
          <w:szCs w:val="11"/>
          <w:color w:val="auto"/>
        </w:rPr>
        <w:t>On November 29, 2021, Honeywell Quantum Solutions, a wholly-owned subsidiary of Honeywell, and Cambridge Quantum Computing, a leading developer of quantum computing and quantum software, combined to form Quantinuum. Prior to closing the transaction, Honeywell held a 4.2% ownership interest in Cambridge Quantum Computing. As part of the business combination, Honeywell contributed an additional $270 million of cash and is the controlling majority-owner of Quantinuum, with an overall 54% ownership in the business. Assets and liabilities of Quantinuum are consolidated by Honeywell and included in the Consolidated Balance Sheet. The business is included within Corporate and All Other, which is not a reportable business segment. Upon close of the transaction, Honeywell recorded a non-cash adjustment of $460 million in Additional paid-in capital in the Consolidated Balance Sheet as the contribution of ownership interest in Honeywell Quantum Solutions and Cambridge Quantum Computing for the formation of Quantinuum. In addition, Honeywell recognized a gain of $22 million related to the fair value remeasurement of Honeywell's existing 4.2% ownership interest in Cambridge Quantum Computing, which was recorded in Other (income) expense in the Consolidated Statement of Operations. At close of the transaction, the fair value of Cambridge Quantum Computing's noncontrolling interest in Quantinuum was $419 million. In December 2021, Cambridge Quantum Computing contributed cash of $12 million to Quantinuum, increasing their noncontrolling interest and decreasing Honeywell's additional paid-in capital. In the fourth quarter of 2022, the Company completed its evaluation of the fair value of all the assets and liabilities acquired. Management recorded intangible assets of $90 million and allocated $945 million to goodwill, which is non-deductible for tax purposes.</w:t>
      </w:r>
    </w:p>
    <w:p>
      <w:pPr>
        <w:spacing w:after="0" w:line="61" w:lineRule="exact"/>
        <w:rPr>
          <w:sz w:val="20"/>
          <w:szCs w:val="20"/>
          <w:color w:val="auto"/>
        </w:rPr>
      </w:pPr>
    </w:p>
    <w:p>
      <w:pPr>
        <w:jc w:val="both"/>
        <w:ind w:left="8" w:right="20"/>
        <w:spacing w:after="0" w:line="253" w:lineRule="auto"/>
        <w:rPr>
          <w:sz w:val="20"/>
          <w:szCs w:val="20"/>
          <w:color w:val="auto"/>
        </w:rPr>
      </w:pPr>
      <w:r>
        <w:rPr>
          <w:rFonts w:ascii="Arial" w:cs="Arial" w:eastAsia="Arial" w:hAnsi="Arial"/>
          <w:sz w:val="11"/>
          <w:szCs w:val="11"/>
          <w:color w:val="auto"/>
        </w:rPr>
        <w:t>On February 12, 2021, the Company acquired 100% of the shares outstanding of Sparta Systems, a leading provider of enterprise quality management software for the life sciences industry, for $1,303 million. The business is included within the Performance Materials and Technologies reportable business segment. The assets and liabilities acquired with Sparta Systems are included in the Consolidated Balance Sheet as of December 31, 2021, including $383 million of intangible assets and $1,011 million allocated to goodwill, which is non-deductible for tax purposes.</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DIVESTITURES</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During 2023, there were no significant divestitures individually or in the aggregate.</w:t>
      </w:r>
    </w:p>
    <w:p>
      <w:pPr>
        <w:spacing w:after="0" w:line="72"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In conjunction with the wind down of the Company's businesses and operations in Russia (the Wind down), during 2022 the Company completed the sale of three entities domiciled in Russia in exchange for gross cash consideration of less than $1 million. The Company recognized a pre-tax gain of $22 million, which was recorded in Other (income) expense in the Consolidated Statement of Operations, driven by favorable foreign currency cumulative translation adjustment positions in the entities at the time of sale. The financial results of the entities were previously included in the Performance Materials and Technologies, Honeywell Building Technologies, and Safety and Productivity Solutions reportable business segments.</w:t>
      </w:r>
    </w:p>
    <w:p>
      <w:pPr>
        <w:spacing w:after="0" w:line="59"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On March 15, 2021, the Company completed the sale of its retail footwear business in exchange for gross cash consideration of $230 million. The Company recognized a pre-tax gain of $95 million for the twelve months ended December 31, 2021, which was recorded in Other (income) expense. The retail footwear business was previously included in the Safety and Productivity Solutions reportable business segment.</w:t>
      </w:r>
    </w:p>
    <w:p>
      <w:pPr>
        <w:spacing w:after="0" w:line="266" w:lineRule="exact"/>
        <w:rPr>
          <w:sz w:val="20"/>
          <w:szCs w:val="20"/>
          <w:color w:val="auto"/>
        </w:rPr>
      </w:pPr>
    </w:p>
    <w:p>
      <w:pPr>
        <w:ind w:left="268" w:hanging="268"/>
        <w:spacing w:after="0"/>
        <w:tabs>
          <w:tab w:leader="none" w:pos="268" w:val="left"/>
        </w:tabs>
        <w:numPr>
          <w:ilvl w:val="0"/>
          <w:numId w:val="109"/>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67" w:name="page68"/>
    <w:bookmarkEnd w:id="67"/>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92" w:lineRule="exact"/>
        <w:rPr>
          <w:sz w:val="20"/>
          <w:szCs w:val="20"/>
          <w:color w:val="auto"/>
        </w:rPr>
      </w:pPr>
    </w:p>
    <w:p>
      <w:pPr>
        <w:ind w:left="8"/>
        <w:spacing w:after="0"/>
        <w:rPr>
          <w:sz w:val="20"/>
          <w:szCs w:val="20"/>
          <w:color w:val="auto"/>
        </w:rPr>
      </w:pPr>
      <w:r>
        <w:rPr>
          <w:rFonts w:ascii="Arial" w:cs="Arial" w:eastAsia="Arial" w:hAnsi="Arial"/>
          <w:sz w:val="19"/>
          <w:szCs w:val="19"/>
          <w:color w:val="D7282F"/>
        </w:rPr>
        <w:t>NOTE 3. REVENUE RECOGNITION AND CONTRACTS WITH CUSTOMERS</w:t>
      </w:r>
    </w:p>
    <w:p>
      <w:pPr>
        <w:spacing w:after="0" w:line="172"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The Company has a comprehensive offering of products and services, including software and technologies, that are sold to a variety of customers in multiple end markets. See the following disaggregated revenue table and related discussions by reportable business segment for details:</w:t>
      </w:r>
    </w:p>
    <w:p>
      <w:pPr>
        <w:spacing w:after="0" w:line="79"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8580" w:type="dxa"/>
            <w:vAlign w:val="bottom"/>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560" w:type="dxa"/>
            <w:vAlign w:val="bottom"/>
            <w:tcBorders>
              <w:bottom w:val="single" w:sz="8" w:color="D7282F"/>
            </w:tcBorders>
          </w:tcPr>
          <w:p>
            <w:pPr>
              <w:spacing w:after="0"/>
              <w:rPr>
                <w:sz w:val="11"/>
                <w:szCs w:val="11"/>
                <w:color w:val="auto"/>
              </w:rPr>
            </w:pPr>
          </w:p>
        </w:tc>
        <w:tc>
          <w:tcPr>
            <w:tcW w:w="1400" w:type="dxa"/>
            <w:vAlign w:val="bottom"/>
            <w:tcBorders>
              <w:bottom w:val="single" w:sz="8" w:color="D7282F"/>
            </w:tcBorders>
            <w:gridSpan w:val="3"/>
          </w:tcPr>
          <w:p>
            <w:pPr>
              <w:jc w:val="right"/>
              <w:ind w:right="92"/>
              <w:spacing w:after="0"/>
              <w:rPr>
                <w:sz w:val="20"/>
                <w:szCs w:val="20"/>
                <w:color w:val="auto"/>
              </w:rPr>
            </w:pPr>
            <w:r>
              <w:rPr>
                <w:rFonts w:ascii="Arial" w:cs="Arial" w:eastAsia="Arial" w:hAnsi="Arial"/>
                <w:sz w:val="10"/>
                <w:szCs w:val="10"/>
                <w:b w:val="1"/>
                <w:bCs w:val="1"/>
                <w:color w:val="auto"/>
                <w:w w:val="96"/>
              </w:rPr>
              <w:t>Years Ended December 31,</w:t>
            </w:r>
          </w:p>
        </w:tc>
        <w:tc>
          <w:tcPr>
            <w:tcW w:w="600" w:type="dxa"/>
            <w:vAlign w:val="bottom"/>
            <w:tcBorders>
              <w:bottom w:val="single" w:sz="8" w:color="D7282F"/>
            </w:tcBorders>
          </w:tcPr>
          <w:p>
            <w:pPr>
              <w:spacing w:after="0"/>
              <w:rPr>
                <w:sz w:val="11"/>
                <w:szCs w:val="11"/>
                <w:color w:val="auto"/>
              </w:rPr>
            </w:pPr>
          </w:p>
        </w:tc>
      </w:tr>
      <w:tr>
        <w:trPr>
          <w:trHeight w:val="138"/>
        </w:trPr>
        <w:tc>
          <w:tcPr>
            <w:tcW w:w="8580" w:type="dxa"/>
            <w:vAlign w:val="bottom"/>
            <w:tcBorders>
              <w:bottom w:val="single" w:sz="8" w:color="D7282F"/>
            </w:tcBorders>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560" w:type="dxa"/>
            <w:vAlign w:val="bottom"/>
            <w:tcBorders>
              <w:bottom w:val="single" w:sz="8" w:color="D7282F"/>
            </w:tcBorders>
          </w:tcPr>
          <w:p>
            <w:pPr>
              <w:jc w:val="right"/>
              <w:ind w:right="192"/>
              <w:spacing w:after="0"/>
              <w:rPr>
                <w:sz w:val="20"/>
                <w:szCs w:val="20"/>
                <w:color w:val="auto"/>
              </w:rPr>
            </w:pPr>
            <w:r>
              <w:rPr>
                <w:rFonts w:ascii="Arial" w:cs="Arial" w:eastAsia="Arial" w:hAnsi="Arial"/>
                <w:sz w:val="10"/>
                <w:szCs w:val="10"/>
                <w:b w:val="1"/>
                <w:bCs w:val="1"/>
                <w:color w:val="auto"/>
              </w:rPr>
              <w:t>2023</w:t>
            </w:r>
          </w:p>
        </w:tc>
        <w:tc>
          <w:tcPr>
            <w:tcW w:w="420" w:type="dxa"/>
            <w:vAlign w:val="bottom"/>
            <w:tcBorders>
              <w:bottom w:val="single" w:sz="8" w:color="D7282F"/>
            </w:tcBorders>
          </w:tcPr>
          <w:p>
            <w:pPr>
              <w:spacing w:after="0"/>
              <w:rPr>
                <w:sz w:val="11"/>
                <w:szCs w:val="11"/>
                <w:color w:val="auto"/>
              </w:rPr>
            </w:pPr>
          </w:p>
        </w:tc>
        <w:tc>
          <w:tcPr>
            <w:tcW w:w="68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2022</w:t>
            </w:r>
          </w:p>
        </w:tc>
        <w:tc>
          <w:tcPr>
            <w:tcW w:w="300" w:type="dxa"/>
            <w:vAlign w:val="bottom"/>
            <w:tcBorders>
              <w:bottom w:val="single" w:sz="8" w:color="D7282F"/>
            </w:tcBorders>
          </w:tcPr>
          <w:p>
            <w:pPr>
              <w:spacing w:after="0"/>
              <w:rPr>
                <w:sz w:val="11"/>
                <w:szCs w:val="11"/>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2021</w:t>
            </w:r>
          </w:p>
        </w:tc>
      </w:tr>
      <w:tr>
        <w:trPr>
          <w:trHeight w:val="142"/>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Aerospace</w:t>
            </w:r>
          </w:p>
        </w:tc>
        <w:tc>
          <w:tcPr>
            <w:tcW w:w="160" w:type="dxa"/>
            <w:vAlign w:val="bottom"/>
            <w:tcBorders>
              <w:bottom w:val="single" w:sz="8" w:color="888B8D"/>
            </w:tcBorders>
          </w:tcPr>
          <w:p>
            <w:pPr>
              <w:spacing w:after="0"/>
              <w:rPr>
                <w:sz w:val="12"/>
                <w:szCs w:val="12"/>
                <w:color w:val="auto"/>
              </w:rPr>
            </w:pPr>
          </w:p>
        </w:tc>
        <w:tc>
          <w:tcPr>
            <w:tcW w:w="560" w:type="dxa"/>
            <w:vAlign w:val="bottom"/>
            <w:tcBorders>
              <w:bottom w:val="single" w:sz="8" w:color="888B8D"/>
            </w:tcBorders>
          </w:tcPr>
          <w:p>
            <w:pPr>
              <w:spacing w:after="0"/>
              <w:rPr>
                <w:sz w:val="12"/>
                <w:szCs w:val="12"/>
                <w:color w:val="auto"/>
              </w:rPr>
            </w:pPr>
          </w:p>
        </w:tc>
        <w:tc>
          <w:tcPr>
            <w:tcW w:w="420" w:type="dxa"/>
            <w:vAlign w:val="bottom"/>
            <w:tcBorders>
              <w:bottom w:val="single" w:sz="8" w:color="888B8D"/>
            </w:tcBorders>
          </w:tcPr>
          <w:p>
            <w:pPr>
              <w:spacing w:after="0"/>
              <w:rPr>
                <w:sz w:val="12"/>
                <w:szCs w:val="12"/>
                <w:color w:val="auto"/>
              </w:rPr>
            </w:pPr>
          </w:p>
        </w:tc>
        <w:tc>
          <w:tcPr>
            <w:tcW w:w="680" w:type="dxa"/>
            <w:vAlign w:val="bottom"/>
            <w:tcBorders>
              <w:bottom w:val="single" w:sz="8" w:color="888B8D"/>
            </w:tcBorders>
          </w:tcPr>
          <w:p>
            <w:pPr>
              <w:spacing w:after="0"/>
              <w:rPr>
                <w:sz w:val="12"/>
                <w:szCs w:val="12"/>
                <w:color w:val="auto"/>
              </w:rPr>
            </w:pPr>
          </w:p>
        </w:tc>
        <w:tc>
          <w:tcPr>
            <w:tcW w:w="300" w:type="dxa"/>
            <w:vAlign w:val="bottom"/>
            <w:tcBorders>
              <w:bottom w:val="single" w:sz="8" w:color="888B8D"/>
            </w:tcBorders>
          </w:tcPr>
          <w:p>
            <w:pPr>
              <w:spacing w:after="0"/>
              <w:rPr>
                <w:sz w:val="12"/>
                <w:szCs w:val="12"/>
                <w:color w:val="auto"/>
              </w:rPr>
            </w:pPr>
          </w:p>
        </w:tc>
        <w:tc>
          <w:tcPr>
            <w:tcW w:w="600" w:type="dxa"/>
            <w:vAlign w:val="bottom"/>
            <w:tcBorders>
              <w:bottom w:val="single" w:sz="8" w:color="888B8D"/>
            </w:tcBorders>
          </w:tcPr>
          <w:p>
            <w:pPr>
              <w:spacing w:after="0"/>
              <w:rPr>
                <w:sz w:val="12"/>
                <w:szCs w:val="12"/>
                <w:color w:val="auto"/>
              </w:rPr>
            </w:pPr>
          </w:p>
        </w:tc>
      </w:tr>
      <w:tr>
        <w:trPr>
          <w:trHeight w:val="126"/>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Commercial Aviation Original Equipment</w:t>
            </w:r>
          </w:p>
        </w:tc>
        <w:tc>
          <w:tcPr>
            <w:tcW w:w="16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2,397</w:t>
            </w:r>
          </w:p>
        </w:tc>
        <w:tc>
          <w:tcPr>
            <w:tcW w:w="42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2,089</w:t>
            </w:r>
          </w:p>
        </w:tc>
        <w:tc>
          <w:tcPr>
            <w:tcW w:w="3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1,720</w:t>
            </w:r>
          </w:p>
        </w:tc>
      </w:tr>
      <w:tr>
        <w:trPr>
          <w:trHeight w:val="124"/>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Commercial Aviation Aftermarket</w:t>
            </w:r>
          </w:p>
        </w:tc>
        <w:tc>
          <w:tcPr>
            <w:tcW w:w="1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6,241</w:t>
            </w:r>
          </w:p>
        </w:tc>
        <w:tc>
          <w:tcPr>
            <w:tcW w:w="4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5,108</w:t>
            </w:r>
          </w:p>
        </w:tc>
        <w:tc>
          <w:tcPr>
            <w:tcW w:w="30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4,155</w:t>
            </w:r>
          </w:p>
        </w:tc>
      </w:tr>
      <w:tr>
        <w:trPr>
          <w:trHeight w:val="124"/>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Defense and Space</w:t>
            </w:r>
          </w:p>
        </w:tc>
        <w:tc>
          <w:tcPr>
            <w:tcW w:w="16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4,986</w:t>
            </w:r>
          </w:p>
        </w:tc>
        <w:tc>
          <w:tcPr>
            <w:tcW w:w="42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4,630</w:t>
            </w:r>
          </w:p>
        </w:tc>
        <w:tc>
          <w:tcPr>
            <w:tcW w:w="30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5,151</w:t>
            </w:r>
          </w:p>
        </w:tc>
      </w:tr>
      <w:tr>
        <w:trPr>
          <w:trHeight w:val="126"/>
        </w:trPr>
        <w:tc>
          <w:tcPr>
            <w:tcW w:w="85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Net Aerospace sales</w:t>
            </w:r>
          </w:p>
        </w:tc>
        <w:tc>
          <w:tcPr>
            <w:tcW w:w="16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13,624</w:t>
            </w:r>
          </w:p>
        </w:tc>
        <w:tc>
          <w:tcPr>
            <w:tcW w:w="42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11,827</w:t>
            </w:r>
          </w:p>
        </w:tc>
        <w:tc>
          <w:tcPr>
            <w:tcW w:w="30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11,026</w:t>
            </w:r>
          </w:p>
        </w:tc>
      </w:tr>
      <w:tr>
        <w:trPr>
          <w:trHeight w:val="124"/>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Honeywell Building Technologies</w:t>
            </w:r>
          </w:p>
        </w:tc>
        <w:tc>
          <w:tcPr>
            <w:tcW w:w="1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spacing w:after="0"/>
              <w:rPr>
                <w:sz w:val="10"/>
                <w:szCs w:val="10"/>
                <w:color w:val="auto"/>
              </w:rPr>
            </w:pPr>
          </w:p>
        </w:tc>
        <w:tc>
          <w:tcPr>
            <w:tcW w:w="30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spacing w:after="0"/>
              <w:rPr>
                <w:sz w:val="10"/>
                <w:szCs w:val="10"/>
                <w:color w:val="auto"/>
              </w:rPr>
            </w:pPr>
          </w:p>
        </w:tc>
      </w:tr>
      <w:tr>
        <w:trPr>
          <w:trHeight w:val="122"/>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Products</w:t>
            </w:r>
          </w:p>
        </w:tc>
        <w:tc>
          <w:tcPr>
            <w:tcW w:w="1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3,583</w:t>
            </w:r>
          </w:p>
        </w:tc>
        <w:tc>
          <w:tcPr>
            <w:tcW w:w="4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3,638</w:t>
            </w:r>
          </w:p>
        </w:tc>
        <w:tc>
          <w:tcPr>
            <w:tcW w:w="30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3,173</w:t>
            </w:r>
          </w:p>
        </w:tc>
      </w:tr>
      <w:tr>
        <w:trPr>
          <w:trHeight w:val="124"/>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Building Solutions</w:t>
            </w:r>
          </w:p>
        </w:tc>
        <w:tc>
          <w:tcPr>
            <w:tcW w:w="16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2,448</w:t>
            </w:r>
          </w:p>
        </w:tc>
        <w:tc>
          <w:tcPr>
            <w:tcW w:w="42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2,362</w:t>
            </w:r>
          </w:p>
        </w:tc>
        <w:tc>
          <w:tcPr>
            <w:tcW w:w="30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2,366</w:t>
            </w:r>
          </w:p>
        </w:tc>
      </w:tr>
      <w:tr>
        <w:trPr>
          <w:trHeight w:val="126"/>
        </w:trPr>
        <w:tc>
          <w:tcPr>
            <w:tcW w:w="85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Net Honeywell Building Technologies sales</w:t>
            </w:r>
          </w:p>
        </w:tc>
        <w:tc>
          <w:tcPr>
            <w:tcW w:w="16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6,031</w:t>
            </w:r>
          </w:p>
        </w:tc>
        <w:tc>
          <w:tcPr>
            <w:tcW w:w="42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6,000</w:t>
            </w:r>
          </w:p>
        </w:tc>
        <w:tc>
          <w:tcPr>
            <w:tcW w:w="30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5,539</w:t>
            </w:r>
          </w:p>
        </w:tc>
      </w:tr>
      <w:tr>
        <w:trPr>
          <w:trHeight w:val="124"/>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Performance Materials and Technologies</w:t>
            </w:r>
          </w:p>
        </w:tc>
        <w:tc>
          <w:tcPr>
            <w:tcW w:w="1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spacing w:after="0"/>
              <w:rPr>
                <w:sz w:val="10"/>
                <w:szCs w:val="10"/>
                <w:color w:val="auto"/>
              </w:rPr>
            </w:pPr>
          </w:p>
        </w:tc>
        <w:tc>
          <w:tcPr>
            <w:tcW w:w="30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spacing w:after="0"/>
              <w:rPr>
                <w:sz w:val="10"/>
                <w:szCs w:val="10"/>
                <w:color w:val="auto"/>
              </w:rPr>
            </w:pPr>
          </w:p>
        </w:tc>
      </w:tr>
      <w:tr>
        <w:trPr>
          <w:trHeight w:val="122"/>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UOP</w:t>
            </w:r>
          </w:p>
        </w:tc>
        <w:tc>
          <w:tcPr>
            <w:tcW w:w="1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2,586</w:t>
            </w:r>
          </w:p>
        </w:tc>
        <w:tc>
          <w:tcPr>
            <w:tcW w:w="4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2,404</w:t>
            </w:r>
          </w:p>
        </w:tc>
        <w:tc>
          <w:tcPr>
            <w:tcW w:w="30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2,348</w:t>
            </w:r>
          </w:p>
        </w:tc>
      </w:tr>
      <w:tr>
        <w:trPr>
          <w:trHeight w:val="124"/>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Process Solutions</w:t>
            </w:r>
          </w:p>
        </w:tc>
        <w:tc>
          <w:tcPr>
            <w:tcW w:w="1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5,267</w:t>
            </w:r>
          </w:p>
        </w:tc>
        <w:tc>
          <w:tcPr>
            <w:tcW w:w="4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4,731</w:t>
            </w:r>
          </w:p>
        </w:tc>
        <w:tc>
          <w:tcPr>
            <w:tcW w:w="30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4,611</w:t>
            </w:r>
          </w:p>
        </w:tc>
      </w:tr>
      <w:tr>
        <w:trPr>
          <w:trHeight w:val="124"/>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Advanced Materials</w:t>
            </w:r>
          </w:p>
        </w:tc>
        <w:tc>
          <w:tcPr>
            <w:tcW w:w="16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3,653</w:t>
            </w:r>
          </w:p>
        </w:tc>
        <w:tc>
          <w:tcPr>
            <w:tcW w:w="42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3,592</w:t>
            </w:r>
          </w:p>
        </w:tc>
        <w:tc>
          <w:tcPr>
            <w:tcW w:w="30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3,054</w:t>
            </w:r>
          </w:p>
        </w:tc>
      </w:tr>
      <w:tr>
        <w:trPr>
          <w:trHeight w:val="126"/>
        </w:trPr>
        <w:tc>
          <w:tcPr>
            <w:tcW w:w="85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Net Performance Materials and Technologies sales</w:t>
            </w:r>
          </w:p>
        </w:tc>
        <w:tc>
          <w:tcPr>
            <w:tcW w:w="16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11,506</w:t>
            </w:r>
          </w:p>
        </w:tc>
        <w:tc>
          <w:tcPr>
            <w:tcW w:w="42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10,727</w:t>
            </w:r>
          </w:p>
        </w:tc>
        <w:tc>
          <w:tcPr>
            <w:tcW w:w="30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10,013</w:t>
            </w:r>
          </w:p>
        </w:tc>
      </w:tr>
      <w:tr>
        <w:trPr>
          <w:trHeight w:val="124"/>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Safety and Productivity Solutions</w:t>
            </w:r>
          </w:p>
        </w:tc>
        <w:tc>
          <w:tcPr>
            <w:tcW w:w="1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spacing w:after="0"/>
              <w:rPr>
                <w:sz w:val="10"/>
                <w:szCs w:val="10"/>
                <w:color w:val="auto"/>
              </w:rPr>
            </w:pPr>
          </w:p>
        </w:tc>
        <w:tc>
          <w:tcPr>
            <w:tcW w:w="30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spacing w:after="0"/>
              <w:rPr>
                <w:sz w:val="10"/>
                <w:szCs w:val="10"/>
                <w:color w:val="auto"/>
              </w:rPr>
            </w:pPr>
          </w:p>
        </w:tc>
      </w:tr>
      <w:tr>
        <w:trPr>
          <w:trHeight w:val="122"/>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Sensing and Safety Technologies</w:t>
            </w:r>
          </w:p>
        </w:tc>
        <w:tc>
          <w:tcPr>
            <w:tcW w:w="1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2,733</w:t>
            </w:r>
          </w:p>
        </w:tc>
        <w:tc>
          <w:tcPr>
            <w:tcW w:w="4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2,860</w:t>
            </w:r>
          </w:p>
        </w:tc>
        <w:tc>
          <w:tcPr>
            <w:tcW w:w="30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3,123</w:t>
            </w:r>
          </w:p>
        </w:tc>
      </w:tr>
      <w:tr>
        <w:trPr>
          <w:trHeight w:val="124"/>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Productivity Solutions and Services</w:t>
            </w:r>
          </w:p>
        </w:tc>
        <w:tc>
          <w:tcPr>
            <w:tcW w:w="1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1,313</w:t>
            </w:r>
          </w:p>
        </w:tc>
        <w:tc>
          <w:tcPr>
            <w:tcW w:w="4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1,739</w:t>
            </w:r>
          </w:p>
        </w:tc>
        <w:tc>
          <w:tcPr>
            <w:tcW w:w="30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1,778</w:t>
            </w:r>
          </w:p>
        </w:tc>
      </w:tr>
      <w:tr>
        <w:trPr>
          <w:trHeight w:val="124"/>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Warehouse and Workflow Solutions</w:t>
            </w:r>
          </w:p>
        </w:tc>
        <w:tc>
          <w:tcPr>
            <w:tcW w:w="16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1,443</w:t>
            </w:r>
          </w:p>
        </w:tc>
        <w:tc>
          <w:tcPr>
            <w:tcW w:w="42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2,308</w:t>
            </w:r>
          </w:p>
        </w:tc>
        <w:tc>
          <w:tcPr>
            <w:tcW w:w="30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2,913</w:t>
            </w:r>
          </w:p>
        </w:tc>
      </w:tr>
      <w:tr>
        <w:trPr>
          <w:trHeight w:val="126"/>
        </w:trPr>
        <w:tc>
          <w:tcPr>
            <w:tcW w:w="85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Net Safety and Productivity Solutions sales</w:t>
            </w:r>
          </w:p>
        </w:tc>
        <w:tc>
          <w:tcPr>
            <w:tcW w:w="16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5,489</w:t>
            </w:r>
          </w:p>
        </w:tc>
        <w:tc>
          <w:tcPr>
            <w:tcW w:w="42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6,907</w:t>
            </w:r>
          </w:p>
        </w:tc>
        <w:tc>
          <w:tcPr>
            <w:tcW w:w="30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7,814</w:t>
            </w:r>
          </w:p>
        </w:tc>
      </w:tr>
      <w:tr>
        <w:trPr>
          <w:trHeight w:val="124"/>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Corporate and All Other</w:t>
            </w:r>
          </w:p>
        </w:tc>
        <w:tc>
          <w:tcPr>
            <w:tcW w:w="16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12</w:t>
            </w:r>
          </w:p>
        </w:tc>
        <w:tc>
          <w:tcPr>
            <w:tcW w:w="42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5</w:t>
            </w:r>
          </w:p>
        </w:tc>
        <w:tc>
          <w:tcPr>
            <w:tcW w:w="30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r>
      <w:tr>
        <w:trPr>
          <w:trHeight w:val="124"/>
        </w:trPr>
        <w:tc>
          <w:tcPr>
            <w:tcW w:w="8580" w:type="dxa"/>
            <w:vAlign w:val="bottom"/>
            <w:tcBorders>
              <w:bottom w:val="single" w:sz="8" w:color="D7282F"/>
            </w:tcBorders>
          </w:tcPr>
          <w:p>
            <w:pPr>
              <w:ind w:left="220"/>
              <w:spacing w:after="0"/>
              <w:rPr>
                <w:sz w:val="20"/>
                <w:szCs w:val="20"/>
                <w:color w:val="auto"/>
              </w:rPr>
            </w:pPr>
            <w:r>
              <w:rPr>
                <w:rFonts w:ascii="Arial" w:cs="Arial" w:eastAsia="Arial" w:hAnsi="Arial"/>
                <w:sz w:val="10"/>
                <w:szCs w:val="10"/>
                <w:b w:val="1"/>
                <w:bCs w:val="1"/>
                <w:color w:val="auto"/>
              </w:rPr>
              <w:t>Net sales</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36,662</w:t>
            </w:r>
          </w:p>
        </w:tc>
        <w:tc>
          <w:tcPr>
            <w:tcW w:w="42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35,466</w:t>
            </w:r>
          </w:p>
        </w:tc>
        <w:tc>
          <w:tcPr>
            <w:tcW w:w="3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34,392</w:t>
            </w:r>
          </w:p>
        </w:tc>
      </w:tr>
    </w:tbl>
    <w:p>
      <w:pPr>
        <w:spacing w:after="0" w:line="117" w:lineRule="exact"/>
        <w:rPr>
          <w:sz w:val="20"/>
          <w:szCs w:val="20"/>
          <w:color w:val="auto"/>
        </w:rPr>
      </w:pPr>
    </w:p>
    <w:p>
      <w:pPr>
        <w:jc w:val="both"/>
        <w:ind w:left="8" w:right="20"/>
        <w:spacing w:after="0" w:line="285" w:lineRule="auto"/>
        <w:rPr>
          <w:sz w:val="20"/>
          <w:szCs w:val="20"/>
          <w:color w:val="auto"/>
        </w:rPr>
      </w:pPr>
      <w:r>
        <w:rPr>
          <w:rFonts w:ascii="Arial" w:cs="Arial" w:eastAsia="Arial" w:hAnsi="Arial"/>
          <w:sz w:val="11"/>
          <w:szCs w:val="11"/>
          <w:color w:val="auto"/>
        </w:rPr>
        <w:t>In July 2022, the Company realigned certain business units within the Safety and Productivity Solutions reportable business segment. The Safety and Retail business unit, which included the gas detection and safety business, combined with the Advanced Sensing Technologies business unit to form the Sensing and Safety Technologies business unit. The Company recast historical periods to reflect this realignment.</w:t>
      </w:r>
    </w:p>
    <w:p>
      <w:pPr>
        <w:spacing w:after="0" w:line="33"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b w:val="1"/>
          <w:bCs w:val="1"/>
          <w:color w:val="auto"/>
        </w:rPr>
        <w:t xml:space="preserve">Aerospace </w:t>
      </w:r>
      <w:r>
        <w:rPr>
          <w:rFonts w:ascii="Arial" w:cs="Arial" w:eastAsia="Arial" w:hAnsi="Arial"/>
          <w:sz w:val="11"/>
          <w:szCs w:val="11"/>
          <w:color w:val="auto"/>
        </w:rPr>
        <w:t>– A global supplier of products, software, and services for aircrafts that it sells to original equipment manufacturers (OEM) and other customers in a variety of end markets including: air transport, regional, business and</w:t>
      </w:r>
      <w:r>
        <w:rPr>
          <w:rFonts w:ascii="Arial" w:cs="Arial" w:eastAsia="Arial" w:hAnsi="Arial"/>
          <w:sz w:val="11"/>
          <w:szCs w:val="11"/>
          <w:b w:val="1"/>
          <w:bCs w:val="1"/>
          <w:color w:val="auto"/>
        </w:rPr>
        <w:t xml:space="preserve"> </w:t>
      </w:r>
      <w:r>
        <w:rPr>
          <w:rFonts w:ascii="Arial" w:cs="Arial" w:eastAsia="Arial" w:hAnsi="Arial"/>
          <w:sz w:val="11"/>
          <w:szCs w:val="11"/>
          <w:color w:val="auto"/>
        </w:rPr>
        <w:t>general aviation aircraft, airlines, aircraft operators, and defense and space contractors. Aerospace products and services include auxiliary power units, propulsion engines, environmental control systems, integrated avionics, wireless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and thermal systems. Aerospace also provides spare parts, repair, overhaul, and maintenance services (principally to aircraft operators), and sells licenses or intellectual property to other parties. Our Honeywell Forge solutions enable our customers to turn data into predictive maintenance and predictive analytics to enable better fleet management and make flight operations more efficient.</w:t>
      </w:r>
    </w:p>
    <w:p>
      <w:pPr>
        <w:spacing w:after="0" w:line="52" w:lineRule="exact"/>
        <w:rPr>
          <w:sz w:val="20"/>
          <w:szCs w:val="20"/>
          <w:color w:val="auto"/>
        </w:rPr>
      </w:pPr>
    </w:p>
    <w:p>
      <w:pPr>
        <w:jc w:val="both"/>
        <w:ind w:left="8"/>
        <w:spacing w:after="0" w:line="260" w:lineRule="auto"/>
        <w:rPr>
          <w:sz w:val="20"/>
          <w:szCs w:val="20"/>
          <w:color w:val="auto"/>
        </w:rPr>
      </w:pPr>
      <w:r>
        <w:rPr>
          <w:rFonts w:ascii="Arial" w:cs="Arial" w:eastAsia="Arial" w:hAnsi="Arial"/>
          <w:sz w:val="11"/>
          <w:szCs w:val="11"/>
          <w:b w:val="1"/>
          <w:bCs w:val="1"/>
          <w:color w:val="auto"/>
        </w:rPr>
        <w:t xml:space="preserve">Honeywell Building Technologies </w:t>
      </w:r>
      <w:r>
        <w:rPr>
          <w:rFonts w:ascii="Arial" w:cs="Arial" w:eastAsia="Arial" w:hAnsi="Arial"/>
          <w:sz w:val="11"/>
          <w:szCs w:val="11"/>
          <w:color w:val="auto"/>
        </w:rPr>
        <w:t>– A global provider of products, software, solutions, and technologies that enable building owners and occupants to ensure their facilities are safe, energy efficient, sustainable, and productive.</w:t>
      </w:r>
      <w:r>
        <w:rPr>
          <w:rFonts w:ascii="Arial" w:cs="Arial" w:eastAsia="Arial" w:hAnsi="Arial"/>
          <w:sz w:val="11"/>
          <w:szCs w:val="11"/>
          <w:b w:val="1"/>
          <w:bCs w:val="1"/>
          <w:color w:val="auto"/>
        </w:rPr>
        <w:t xml:space="preserve"> </w:t>
      </w:r>
      <w:r>
        <w:rPr>
          <w:rFonts w:ascii="Arial" w:cs="Arial" w:eastAsia="Arial" w:hAnsi="Arial"/>
          <w:sz w:val="11"/>
          <w:szCs w:val="11"/>
          <w:color w:val="auto"/>
        </w:rPr>
        <w:t>Honeywell Building Technologies products and services include advanced software applications for building control and optimization; sensors, switches, control systems, and instruments for energy management; access control; video surveillance; fire products; and installation, maintenance, and upgrades of systems. Our Honeywell Forge solutions enable our customers to digitally manage buildings, connecting data from different assets to enable smart maintenance, improve building performance, and even protect from incoming security threats.</w:t>
      </w:r>
    </w:p>
    <w:p>
      <w:pPr>
        <w:spacing w:after="0" w:line="271" w:lineRule="exact"/>
        <w:rPr>
          <w:sz w:val="20"/>
          <w:szCs w:val="20"/>
          <w:color w:val="auto"/>
        </w:rPr>
      </w:pPr>
    </w:p>
    <w:p>
      <w:pPr>
        <w:ind w:left="268" w:hanging="268"/>
        <w:spacing w:after="0"/>
        <w:tabs>
          <w:tab w:leader="none" w:pos="268" w:val="left"/>
        </w:tabs>
        <w:numPr>
          <w:ilvl w:val="0"/>
          <w:numId w:val="110"/>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68" w:name="page69"/>
    <w:bookmarkEnd w:id="68"/>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b w:val="1"/>
          <w:bCs w:val="1"/>
          <w:color w:val="auto"/>
        </w:rPr>
        <w:t xml:space="preserve">Performance Materials and Technologies </w:t>
      </w:r>
      <w:r>
        <w:rPr>
          <w:rFonts w:ascii="Arial" w:cs="Arial" w:eastAsia="Arial" w:hAnsi="Arial"/>
          <w:sz w:val="11"/>
          <w:szCs w:val="11"/>
          <w:color w:val="auto"/>
        </w:rPr>
        <w:t>– A global provider in developing and manufacturing high-quality performance chemicals and materials, process technologies, and automation solutions. The reportable business segment is</w:t>
      </w:r>
      <w:r>
        <w:rPr>
          <w:rFonts w:ascii="Arial" w:cs="Arial" w:eastAsia="Arial" w:hAnsi="Arial"/>
          <w:sz w:val="11"/>
          <w:szCs w:val="11"/>
          <w:b w:val="1"/>
          <w:bCs w:val="1"/>
          <w:color w:val="auto"/>
        </w:rPr>
        <w:t xml:space="preserve"> </w:t>
      </w:r>
      <w:r>
        <w:rPr>
          <w:rFonts w:ascii="Arial" w:cs="Arial" w:eastAsia="Arial" w:hAnsi="Arial"/>
          <w:sz w:val="11"/>
          <w:szCs w:val="11"/>
          <w:color w:val="auto"/>
        </w:rPr>
        <w:t>comprised of Process Solutions, UOP, and Advanced Materials. Process Solutions provides automation control, instrumentation, advanced software, and related services for the oil and gas, refining, pulp and paper, industrial power generation, chemicals and petrochemicals, biofuels, life sciences, and metals, minerals, and mining industries. Our smart energy products enable utilities and distribution companies to deploy advanced capabilities to improve operations, reliability, and environmental sustainability. UOP provides process technology, products, including catalysts and adsorbents, equipment, and consulting services that enable customers to efficiently produce gasoline, diesel, jet fuel, petrochemicals, and renewable fuels for the petroleum refining, gas processing, petrochemical, and other industries. Advanced Materials manufactures a wide variety of high-performance products, including materials used to manufacture end products such as bullet-resistant armor, nylon, computer chips, and pharmaceutical packaging, and provides reduced and low global warming potential materials based on hydrofluoro-olefin technology. In the industrial environment, our Honeywell Forge solutions enable integration and connectivity to provide a holistic view of operations and turn data into clear actions to maximize productivity and efficiency. Our Honeywell Forge's cybersecurity capabilities help identify risks and act on cyber-related incidents, together enabling improved operations and protecting processes, people, and assets.</w:t>
      </w:r>
    </w:p>
    <w:p>
      <w:pPr>
        <w:spacing w:after="0" w:line="53"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b w:val="1"/>
          <w:bCs w:val="1"/>
          <w:color w:val="auto"/>
        </w:rPr>
        <w:t xml:space="preserve">Safety and Productivity Solutions </w:t>
      </w:r>
      <w:r>
        <w:rPr>
          <w:rFonts w:ascii="Arial" w:cs="Arial" w:eastAsia="Arial" w:hAnsi="Arial"/>
          <w:sz w:val="11"/>
          <w:szCs w:val="11"/>
          <w:color w:val="auto"/>
        </w:rPr>
        <w:t>– A global provider of products and software that improve productivity, workplace safety, and asset performance to customers around the globe. Sensing and Safety Technologies products include</w:t>
      </w:r>
      <w:r>
        <w:rPr>
          <w:rFonts w:ascii="Arial" w:cs="Arial" w:eastAsia="Arial" w:hAnsi="Arial"/>
          <w:sz w:val="11"/>
          <w:szCs w:val="11"/>
          <w:b w:val="1"/>
          <w:bCs w:val="1"/>
          <w:color w:val="auto"/>
        </w:rPr>
        <w:t xml:space="preserve"> </w:t>
      </w:r>
      <w:r>
        <w:rPr>
          <w:rFonts w:ascii="Arial" w:cs="Arial" w:eastAsia="Arial" w:hAnsi="Arial"/>
          <w:sz w:val="11"/>
          <w:szCs w:val="11"/>
          <w:color w:val="auto"/>
        </w:rPr>
        <w:t>personal protective equipment (PPE), apparel, gear, and footwear; gas detection technology; custom-engineered sensors, switches, and controls for sensing and productivity solutions; and cloud-based notification and emergency messaging. Productivity Solutions and Services products and services include mobile devices and software for computing, data collection, and thermal printing; and software-based data and asset management productivity solutions. Warehouse and Workflow Solutions products and services include system design and simulation, automation solutions, performance optimization software, and lifecycle services to enable accuracy, productivity, and predictability of warehouse operations. Our Honeywell Forge solutions digitally automate processes to improve efficiency while reducing downtime and safety costs.</w:t>
      </w:r>
    </w:p>
    <w:p>
      <w:pPr>
        <w:spacing w:after="0" w:line="51" w:lineRule="exact"/>
        <w:rPr>
          <w:sz w:val="20"/>
          <w:szCs w:val="20"/>
          <w:color w:val="auto"/>
        </w:rPr>
      </w:pPr>
    </w:p>
    <w:p>
      <w:pPr>
        <w:jc w:val="both"/>
        <w:ind w:left="8" w:right="20"/>
        <w:spacing w:after="0" w:line="268" w:lineRule="auto"/>
        <w:rPr>
          <w:sz w:val="20"/>
          <w:szCs w:val="20"/>
          <w:color w:val="auto"/>
        </w:rPr>
      </w:pPr>
      <w:r>
        <w:rPr>
          <w:rFonts w:ascii="Arial" w:cs="Arial" w:eastAsia="Arial" w:hAnsi="Arial"/>
          <w:sz w:val="11"/>
          <w:szCs w:val="11"/>
          <w:b w:val="1"/>
          <w:bCs w:val="1"/>
          <w:color w:val="auto"/>
        </w:rPr>
        <w:t xml:space="preserve">Corporate and All Other </w:t>
      </w:r>
      <w:r>
        <w:rPr>
          <w:rFonts w:ascii="Arial" w:cs="Arial" w:eastAsia="Arial" w:hAnsi="Arial"/>
          <w:sz w:val="11"/>
          <w:szCs w:val="11"/>
          <w:color w:val="auto"/>
        </w:rPr>
        <w:t>– Corporate and All Other includes revenue from Honeywell's majority-owned investment in Quantinuum. Through Quantinuum, Honeywell provides a wide range of service offerings of fully integrated quantum</w:t>
      </w:r>
      <w:r>
        <w:rPr>
          <w:rFonts w:ascii="Arial" w:cs="Arial" w:eastAsia="Arial" w:hAnsi="Arial"/>
          <w:sz w:val="11"/>
          <w:szCs w:val="11"/>
          <w:b w:val="1"/>
          <w:bCs w:val="1"/>
          <w:color w:val="auto"/>
        </w:rPr>
        <w:t xml:space="preserve"> </w:t>
      </w:r>
      <w:r>
        <w:rPr>
          <w:rFonts w:ascii="Arial" w:cs="Arial" w:eastAsia="Arial" w:hAnsi="Arial"/>
          <w:sz w:val="11"/>
          <w:szCs w:val="11"/>
          <w:color w:val="auto"/>
        </w:rPr>
        <w:t>computing hardware and software solutions.</w:t>
      </w:r>
    </w:p>
    <w:p>
      <w:pPr>
        <w:spacing w:after="0" w:line="51" w:lineRule="exact"/>
        <w:rPr>
          <w:sz w:val="20"/>
          <w:szCs w:val="20"/>
          <w:color w:val="auto"/>
        </w:rPr>
      </w:pPr>
    </w:p>
    <w:p>
      <w:pPr>
        <w:ind w:left="8"/>
        <w:spacing w:after="0"/>
        <w:rPr>
          <w:sz w:val="20"/>
          <w:szCs w:val="20"/>
          <w:color w:val="auto"/>
        </w:rPr>
      </w:pPr>
      <w:r>
        <w:rPr>
          <w:rFonts w:ascii="Arial" w:cs="Arial" w:eastAsia="Arial" w:hAnsi="Arial"/>
          <w:sz w:val="11"/>
          <w:szCs w:val="11"/>
          <w:color w:val="auto"/>
        </w:rPr>
        <w:t>See Note 22 Segment Financial Data for a summary by disaggregated product and services sales for each reportable business segment.</w:t>
      </w:r>
    </w:p>
    <w:p>
      <w:pPr>
        <w:spacing w:after="0" w:line="72" w:lineRule="exact"/>
        <w:rPr>
          <w:sz w:val="20"/>
          <w:szCs w:val="20"/>
          <w:color w:val="auto"/>
        </w:rPr>
      </w:pPr>
    </w:p>
    <w:p>
      <w:pPr>
        <w:jc w:val="both"/>
        <w:ind w:left="8" w:right="20"/>
        <w:spacing w:after="0" w:line="285" w:lineRule="auto"/>
        <w:rPr>
          <w:sz w:val="20"/>
          <w:szCs w:val="20"/>
          <w:color w:val="auto"/>
        </w:rPr>
      </w:pPr>
      <w:r>
        <w:rPr>
          <w:rFonts w:ascii="Arial" w:cs="Arial" w:eastAsia="Arial" w:hAnsi="Arial"/>
          <w:sz w:val="11"/>
          <w:szCs w:val="11"/>
          <w:color w:val="auto"/>
        </w:rPr>
        <w:t>The Company recognizes revenue arising from performance obligations outlined in contracts with its customers that are satisfied at a point in time and over time. The disaggregation of the Company's revenue based off timing of recognition is as follows:</w:t>
      </w:r>
    </w:p>
    <w:p>
      <w:pPr>
        <w:spacing w:after="0" w:line="62" w:lineRule="exact"/>
        <w:rPr>
          <w:sz w:val="20"/>
          <w:szCs w:val="20"/>
          <w:color w:val="auto"/>
        </w:rPr>
      </w:pPr>
    </w:p>
    <w:p>
      <w:pPr>
        <w:ind w:left="9228"/>
        <w:spacing w:after="0"/>
        <w:rPr>
          <w:sz w:val="20"/>
          <w:szCs w:val="20"/>
          <w:color w:val="auto"/>
        </w:rPr>
      </w:pPr>
      <w:r>
        <w:rPr>
          <w:rFonts w:ascii="Arial" w:cs="Arial" w:eastAsia="Arial" w:hAnsi="Arial"/>
          <w:sz w:val="10"/>
          <w:szCs w:val="10"/>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5320665</wp:posOffset>
            </wp:positionH>
            <wp:positionV relativeFrom="paragraph">
              <wp:posOffset>11430</wp:posOffset>
            </wp:positionV>
            <wp:extent cx="185737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857375" cy="5715"/>
                    </a:xfrm>
                    <a:prstGeom prst="rect">
                      <a:avLst/>
                    </a:prstGeom>
                    <a:noFill/>
                  </pic:spPr>
                </pic:pic>
              </a:graphicData>
            </a:graphic>
          </wp:anchor>
        </w:drawing>
      </w:r>
    </w:p>
    <w:p>
      <w:pPr>
        <w:spacing w:after="0" w:line="18"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8900" w:type="dxa"/>
            <w:vAlign w:val="bottom"/>
            <w:tcBorders>
              <w:bottom w:val="single" w:sz="8" w:color="D7282F"/>
            </w:tcBorders>
          </w:tcPr>
          <w:p>
            <w:pPr>
              <w:ind w:left="8680"/>
              <w:spacing w:after="0"/>
              <w:rPr>
                <w:sz w:val="20"/>
                <w:szCs w:val="20"/>
                <w:color w:val="auto"/>
              </w:rPr>
            </w:pPr>
            <w:r>
              <w:rPr>
                <w:rFonts w:ascii="Arial" w:cs="Arial" w:eastAsia="Arial" w:hAnsi="Arial"/>
                <w:sz w:val="10"/>
                <w:szCs w:val="10"/>
                <w:b w:val="1"/>
                <w:bCs w:val="1"/>
                <w:color w:val="auto"/>
                <w:w w:val="89"/>
              </w:rPr>
              <w:t>2023</w:t>
            </w:r>
          </w:p>
        </w:tc>
        <w:tc>
          <w:tcPr>
            <w:tcW w:w="560" w:type="dxa"/>
            <w:vAlign w:val="bottom"/>
            <w:tcBorders>
              <w:bottom w:val="single" w:sz="8" w:color="D7282F"/>
            </w:tcBorders>
          </w:tcPr>
          <w:p>
            <w:pPr>
              <w:spacing w:after="0"/>
              <w:rPr>
                <w:sz w:val="11"/>
                <w:szCs w:val="11"/>
                <w:color w:val="auto"/>
              </w:rPr>
            </w:pPr>
          </w:p>
        </w:tc>
        <w:tc>
          <w:tcPr>
            <w:tcW w:w="1040" w:type="dxa"/>
            <w:vAlign w:val="bottom"/>
            <w:tcBorders>
              <w:bottom w:val="single" w:sz="8" w:color="D7282F"/>
            </w:tcBorders>
          </w:tcPr>
          <w:p>
            <w:pPr>
              <w:jc w:val="right"/>
              <w:ind w:right="512"/>
              <w:spacing w:after="0"/>
              <w:rPr>
                <w:sz w:val="20"/>
                <w:szCs w:val="20"/>
                <w:color w:val="auto"/>
              </w:rPr>
            </w:pPr>
            <w:r>
              <w:rPr>
                <w:rFonts w:ascii="Arial" w:cs="Arial" w:eastAsia="Arial" w:hAnsi="Arial"/>
                <w:sz w:val="10"/>
                <w:szCs w:val="10"/>
                <w:b w:val="1"/>
                <w:bCs w:val="1"/>
                <w:color w:val="auto"/>
              </w:rPr>
              <w:t>2022</w:t>
            </w:r>
          </w:p>
        </w:tc>
        <w:tc>
          <w:tcPr>
            <w:tcW w:w="80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rPr>
              <w:t>2021</w:t>
            </w:r>
          </w:p>
        </w:tc>
      </w:tr>
      <w:tr>
        <w:trPr>
          <w:trHeight w:val="126"/>
        </w:trPr>
        <w:tc>
          <w:tcPr>
            <w:tcW w:w="89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Products, transferred point in time</w:t>
            </w:r>
          </w:p>
        </w:tc>
        <w:tc>
          <w:tcPr>
            <w:tcW w:w="56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58 %</w:t>
            </w:r>
          </w:p>
        </w:tc>
        <w:tc>
          <w:tcPr>
            <w:tcW w:w="104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59 %</w:t>
            </w:r>
          </w:p>
        </w:tc>
        <w:tc>
          <w:tcPr>
            <w:tcW w:w="8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58 %</w:t>
            </w:r>
          </w:p>
        </w:tc>
      </w:tr>
      <w:tr>
        <w:trPr>
          <w:trHeight w:val="124"/>
        </w:trPr>
        <w:tc>
          <w:tcPr>
            <w:tcW w:w="890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Products, transferred over time</w:t>
            </w:r>
          </w:p>
        </w:tc>
        <w:tc>
          <w:tcPr>
            <w:tcW w:w="5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color w:val="auto"/>
              </w:rPr>
              <w:t>12</w:t>
            </w:r>
          </w:p>
        </w:tc>
        <w:tc>
          <w:tcPr>
            <w:tcW w:w="104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color w:val="auto"/>
              </w:rPr>
              <w:t>14</w:t>
            </w:r>
          </w:p>
        </w:tc>
        <w:tc>
          <w:tcPr>
            <w:tcW w:w="8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17</w:t>
            </w:r>
          </w:p>
        </w:tc>
      </w:tr>
      <w:tr>
        <w:trPr>
          <w:trHeight w:val="126"/>
        </w:trPr>
        <w:tc>
          <w:tcPr>
            <w:tcW w:w="890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Net product sales</w:t>
            </w:r>
          </w:p>
        </w:tc>
        <w:tc>
          <w:tcPr>
            <w:tcW w:w="5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70</w:t>
            </w:r>
          </w:p>
        </w:tc>
        <w:tc>
          <w:tcPr>
            <w:tcW w:w="104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73</w:t>
            </w:r>
          </w:p>
        </w:tc>
        <w:tc>
          <w:tcPr>
            <w:tcW w:w="8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75</w:t>
            </w:r>
          </w:p>
        </w:tc>
      </w:tr>
      <w:tr>
        <w:trPr>
          <w:trHeight w:val="122"/>
        </w:trPr>
        <w:tc>
          <w:tcPr>
            <w:tcW w:w="89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Services, transferred point in time</w:t>
            </w:r>
          </w:p>
        </w:tc>
        <w:tc>
          <w:tcPr>
            <w:tcW w:w="560" w:type="dxa"/>
            <w:vAlign w:val="bottom"/>
            <w:tcBorders>
              <w:bottom w:val="single" w:sz="8" w:color="888B8D"/>
            </w:tcBorders>
          </w:tcPr>
          <w:p>
            <w:pPr>
              <w:jc w:val="right"/>
              <w:ind w:right="332"/>
              <w:spacing w:after="0"/>
              <w:rPr>
                <w:sz w:val="20"/>
                <w:szCs w:val="20"/>
                <w:color w:val="auto"/>
              </w:rPr>
            </w:pPr>
            <w:r>
              <w:rPr>
                <w:rFonts w:ascii="Arial" w:cs="Arial" w:eastAsia="Arial" w:hAnsi="Arial"/>
                <w:sz w:val="10"/>
                <w:szCs w:val="10"/>
                <w:color w:val="auto"/>
              </w:rPr>
              <w:t>10</w:t>
            </w:r>
          </w:p>
        </w:tc>
        <w:tc>
          <w:tcPr>
            <w:tcW w:w="1040" w:type="dxa"/>
            <w:vAlign w:val="bottom"/>
            <w:tcBorders>
              <w:bottom w:val="single" w:sz="8" w:color="888B8D"/>
            </w:tcBorders>
          </w:tcPr>
          <w:p>
            <w:pPr>
              <w:jc w:val="right"/>
              <w:ind w:right="332"/>
              <w:spacing w:after="0"/>
              <w:rPr>
                <w:sz w:val="20"/>
                <w:szCs w:val="20"/>
                <w:color w:val="auto"/>
              </w:rPr>
            </w:pPr>
            <w:r>
              <w:rPr>
                <w:rFonts w:ascii="Arial" w:cs="Arial" w:eastAsia="Arial" w:hAnsi="Arial"/>
                <w:sz w:val="10"/>
                <w:szCs w:val="10"/>
                <w:color w:val="auto"/>
              </w:rPr>
              <w:t>8</w:t>
            </w:r>
          </w:p>
        </w:tc>
        <w:tc>
          <w:tcPr>
            <w:tcW w:w="8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8</w:t>
            </w:r>
          </w:p>
        </w:tc>
      </w:tr>
      <w:tr>
        <w:trPr>
          <w:trHeight w:val="124"/>
        </w:trPr>
        <w:tc>
          <w:tcPr>
            <w:tcW w:w="890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Services, transferred over time</w:t>
            </w:r>
          </w:p>
        </w:tc>
        <w:tc>
          <w:tcPr>
            <w:tcW w:w="5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color w:val="auto"/>
              </w:rPr>
              <w:t>20</w:t>
            </w:r>
          </w:p>
        </w:tc>
        <w:tc>
          <w:tcPr>
            <w:tcW w:w="104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color w:val="auto"/>
              </w:rPr>
              <w:t>19</w:t>
            </w:r>
          </w:p>
        </w:tc>
        <w:tc>
          <w:tcPr>
            <w:tcW w:w="8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17</w:t>
            </w:r>
          </w:p>
        </w:tc>
      </w:tr>
      <w:tr>
        <w:trPr>
          <w:trHeight w:val="126"/>
        </w:trPr>
        <w:tc>
          <w:tcPr>
            <w:tcW w:w="890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Net service sales</w:t>
            </w:r>
          </w:p>
        </w:tc>
        <w:tc>
          <w:tcPr>
            <w:tcW w:w="5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30</w:t>
            </w:r>
          </w:p>
        </w:tc>
        <w:tc>
          <w:tcPr>
            <w:tcW w:w="104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27</w:t>
            </w:r>
          </w:p>
        </w:tc>
        <w:tc>
          <w:tcPr>
            <w:tcW w:w="8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25</w:t>
            </w:r>
          </w:p>
        </w:tc>
      </w:tr>
      <w:tr>
        <w:trPr>
          <w:trHeight w:val="124"/>
        </w:trPr>
        <w:tc>
          <w:tcPr>
            <w:tcW w:w="890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Net sales</w:t>
            </w:r>
          </w:p>
        </w:tc>
        <w:tc>
          <w:tcPr>
            <w:tcW w:w="56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w w:val="91"/>
              </w:rPr>
              <w:t>100 %</w:t>
            </w:r>
          </w:p>
        </w:tc>
        <w:tc>
          <w:tcPr>
            <w:tcW w:w="104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b w:val="1"/>
                <w:bCs w:val="1"/>
                <w:color w:val="auto"/>
              </w:rPr>
              <w:t>100 %</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100 %</w:t>
            </w:r>
          </w:p>
        </w:tc>
      </w:tr>
    </w:tbl>
    <w:p>
      <w:pPr>
        <w:spacing w:after="0" w:line="210"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CONTRACT BALANCES</w:t>
      </w:r>
    </w:p>
    <w:p>
      <w:pPr>
        <w:spacing w:after="0" w:line="90"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color w:val="auto"/>
        </w:rPr>
        <w:t>The Company tracks progress on satisfying performance obligations under contracts with customers. The related billings and cash collections are recorded in the Consolidated Balance Sheet in Accounts receivable—net and Other assets (unbilled receivables (contract assets) and billed receivables), and Accrued liabilities and Other liabilities (customer advances and deposits (contract liabilities)). Unbilled receivables arise when the timing of cash collected from customers differs from the timing of revenue recognition, such as when contract provisions require specific milestones to be met before a customer can be billed. Contract assets are recognized when the revenue associated with the contract is recognized prior to billing and derecognized when billed in accordance with the terms of the contract. Contract liabilities are recorded when customers remit contractual cash payments in advance of the Company satisfying performance obligations under contractual arrangements, including those with performance obligations to be satisfied over a period of time. Contract liabilities are derecognized when revenue is recorded, either when a milestone is met triggering the contractual right to bill or when the performance obligation is satisfied.</w:t>
      </w:r>
    </w:p>
    <w:p>
      <w:pPr>
        <w:spacing w:after="0" w:line="52" w:lineRule="exact"/>
        <w:rPr>
          <w:sz w:val="20"/>
          <w:szCs w:val="20"/>
          <w:color w:val="auto"/>
        </w:rPr>
      </w:pPr>
    </w:p>
    <w:p>
      <w:pPr>
        <w:ind w:left="8"/>
        <w:spacing w:after="0"/>
        <w:rPr>
          <w:sz w:val="20"/>
          <w:szCs w:val="20"/>
          <w:color w:val="auto"/>
        </w:rPr>
      </w:pPr>
      <w:r>
        <w:rPr>
          <w:rFonts w:ascii="Arial" w:cs="Arial" w:eastAsia="Arial" w:hAnsi="Arial"/>
          <w:sz w:val="11"/>
          <w:szCs w:val="11"/>
          <w:color w:val="auto"/>
        </w:rPr>
        <w:t>Contract balances are classified as assets or liabilities on a contract-by-contract basis at the end of each reporting period.</w:t>
      </w:r>
    </w:p>
    <w:p>
      <w:pPr>
        <w:spacing w:after="0" w:line="296" w:lineRule="exact"/>
        <w:rPr>
          <w:sz w:val="20"/>
          <w:szCs w:val="20"/>
          <w:color w:val="auto"/>
        </w:rPr>
      </w:pPr>
    </w:p>
    <w:p>
      <w:pPr>
        <w:ind w:left="268" w:hanging="268"/>
        <w:spacing w:after="0"/>
        <w:tabs>
          <w:tab w:leader="none" w:pos="268" w:val="left"/>
        </w:tabs>
        <w:numPr>
          <w:ilvl w:val="0"/>
          <w:numId w:val="111"/>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69" w:name="page70"/>
    <w:bookmarkEnd w:id="69"/>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summarizes the Company's contract assets and liabilities balances:</w:t>
      </w:r>
    </w:p>
    <w:p>
      <w:pPr>
        <w:spacing w:after="0" w:line="109"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5980" w:type="dxa"/>
            <w:vAlign w:val="bottom"/>
            <w:tcBorders>
              <w:bottom w:val="single" w:sz="8" w:color="D7282F"/>
            </w:tcBorders>
          </w:tcPr>
          <w:p>
            <w:pPr>
              <w:spacing w:after="0"/>
              <w:rPr>
                <w:sz w:val="11"/>
                <w:szCs w:val="11"/>
                <w:color w:val="auto"/>
              </w:rPr>
            </w:pPr>
          </w:p>
        </w:tc>
        <w:tc>
          <w:tcPr>
            <w:tcW w:w="3740" w:type="dxa"/>
            <w:vAlign w:val="bottom"/>
            <w:tcBorders>
              <w:bottom w:val="single" w:sz="8" w:color="D7282F"/>
            </w:tcBorders>
          </w:tcPr>
          <w:p>
            <w:pPr>
              <w:spacing w:after="0"/>
              <w:rPr>
                <w:sz w:val="11"/>
                <w:szCs w:val="11"/>
                <w:color w:val="auto"/>
              </w:rPr>
            </w:pPr>
          </w:p>
        </w:tc>
        <w:tc>
          <w:tcPr>
            <w:tcW w:w="70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2023</w:t>
            </w:r>
          </w:p>
        </w:tc>
        <w:tc>
          <w:tcPr>
            <w:tcW w:w="280" w:type="dxa"/>
            <w:vAlign w:val="bottom"/>
            <w:tcBorders>
              <w:bottom w:val="single" w:sz="8" w:color="D7282F"/>
            </w:tcBorders>
          </w:tcPr>
          <w:p>
            <w:pPr>
              <w:spacing w:after="0"/>
              <w:rPr>
                <w:sz w:val="11"/>
                <w:szCs w:val="11"/>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2022</w:t>
            </w:r>
          </w:p>
        </w:tc>
      </w:tr>
      <w:tr>
        <w:trPr>
          <w:trHeight w:val="126"/>
        </w:trPr>
        <w:tc>
          <w:tcPr>
            <w:tcW w:w="59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Contract assets—January 1</w:t>
            </w:r>
          </w:p>
        </w:tc>
        <w:tc>
          <w:tcPr>
            <w:tcW w:w="374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2,294</w:t>
            </w:r>
          </w:p>
        </w:tc>
        <w:tc>
          <w:tcPr>
            <w:tcW w:w="28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2,060</w:t>
            </w:r>
          </w:p>
        </w:tc>
      </w:tr>
      <w:tr>
        <w:trPr>
          <w:trHeight w:val="124"/>
        </w:trPr>
        <w:tc>
          <w:tcPr>
            <w:tcW w:w="59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Contract assets—December 31</w:t>
            </w:r>
          </w:p>
        </w:tc>
        <w:tc>
          <w:tcPr>
            <w:tcW w:w="374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2,013</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2,294</w:t>
            </w:r>
          </w:p>
        </w:tc>
      </w:tr>
      <w:tr>
        <w:trPr>
          <w:trHeight w:val="126"/>
        </w:trPr>
        <w:tc>
          <w:tcPr>
            <w:tcW w:w="598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Change in contract assets—increase (decrease)</w:t>
            </w:r>
          </w:p>
        </w:tc>
        <w:tc>
          <w:tcPr>
            <w:tcW w:w="374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(281)</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234</w:t>
            </w:r>
          </w:p>
        </w:tc>
      </w:tr>
      <w:tr>
        <w:trPr>
          <w:trHeight w:val="122"/>
        </w:trPr>
        <w:tc>
          <w:tcPr>
            <w:tcW w:w="59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Contract liabilities—January 1</w:t>
            </w:r>
          </w:p>
        </w:tc>
        <w:tc>
          <w:tcPr>
            <w:tcW w:w="374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(4,583)</w:t>
            </w:r>
          </w:p>
        </w:tc>
        <w:tc>
          <w:tcPr>
            <w:tcW w:w="2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(4,290)</w:t>
            </w:r>
          </w:p>
        </w:tc>
      </w:tr>
      <w:tr>
        <w:trPr>
          <w:trHeight w:val="124"/>
        </w:trPr>
        <w:tc>
          <w:tcPr>
            <w:tcW w:w="59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Contract liabilities—December 31</w:t>
            </w:r>
          </w:p>
        </w:tc>
        <w:tc>
          <w:tcPr>
            <w:tcW w:w="374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(4,326)</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(4,583)</w:t>
            </w:r>
          </w:p>
        </w:tc>
      </w:tr>
      <w:tr>
        <w:trPr>
          <w:trHeight w:val="126"/>
        </w:trPr>
        <w:tc>
          <w:tcPr>
            <w:tcW w:w="598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Change in contract liabilities—decrease (increase)</w:t>
            </w:r>
          </w:p>
        </w:tc>
        <w:tc>
          <w:tcPr>
            <w:tcW w:w="374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257</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(293)</w:t>
            </w:r>
          </w:p>
        </w:tc>
      </w:tr>
      <w:tr>
        <w:trPr>
          <w:trHeight w:val="124"/>
        </w:trPr>
        <w:tc>
          <w:tcPr>
            <w:tcW w:w="59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Net change</w:t>
            </w:r>
          </w:p>
        </w:tc>
        <w:tc>
          <w:tcPr>
            <w:tcW w:w="374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(24)</w:t>
            </w:r>
          </w:p>
        </w:tc>
        <w:tc>
          <w:tcPr>
            <w:tcW w:w="2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(59)</w:t>
            </w:r>
          </w:p>
        </w:tc>
      </w:tr>
    </w:tbl>
    <w:p>
      <w:pPr>
        <w:spacing w:after="0" w:line="126" w:lineRule="exact"/>
        <w:rPr>
          <w:sz w:val="20"/>
          <w:szCs w:val="20"/>
          <w:color w:val="auto"/>
        </w:rPr>
      </w:pPr>
    </w:p>
    <w:p>
      <w:pPr>
        <w:ind w:left="8"/>
        <w:spacing w:after="0"/>
        <w:rPr>
          <w:sz w:val="20"/>
          <w:szCs w:val="20"/>
          <w:color w:val="auto"/>
        </w:rPr>
      </w:pPr>
      <w:r>
        <w:rPr>
          <w:rFonts w:ascii="Arial" w:cs="Arial" w:eastAsia="Arial" w:hAnsi="Arial"/>
          <w:sz w:val="11"/>
          <w:szCs w:val="11"/>
          <w:color w:val="auto"/>
        </w:rPr>
        <w:t>For the years ended December 31, 2023, and 2022, the Company recognized revenue of $2,070 million and $1,838 million, respectively, that was previously included in the beginning balance of contract liabilities.</w:t>
      </w:r>
    </w:p>
    <w:p>
      <w:pPr>
        <w:spacing w:after="0" w:line="72"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Contract assets included $1,949 million and $2,265 million of unbilled balances under long-term contracts as of December 31, 2023, and 2022, respectively. These amounts are billed in accordance with the terms of customer contracts to which they relate.</w:t>
      </w:r>
    </w:p>
    <w:p>
      <w:pPr>
        <w:spacing w:after="0" w:line="33"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When contracts are modified to account for changes in contract specifications and requirements, the Company considers whether the modification either creates new or changes the existing enforceable rights and obligations. Contract modifications for goods or services and not distinct from the existing contract, due to the significant integration with the original good or service provided, are accounted for as if they were part of that existing contract. The effect of a contract modification on the transaction price and the Company's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PERFORMANCE OBLIGATIONS</w:t>
      </w:r>
    </w:p>
    <w:p>
      <w:pPr>
        <w:spacing w:after="0" w:line="81"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the Company's contracts with customers require highly complex integration or manufacturing services that are not separately identifiable from other promises in the contracts and, therefore, not distinct, then the entire contract is accounted for as a single performance obligation. In situations when the Company's contracts include distinct goods or services that are substantially the same and have the same pattern of transfer to the customer over time, they are recognized as a series of distinct goods or services. For any contracts with multiple performance obligations, the Company allocates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stand-alone selling price.</w:t>
      </w:r>
    </w:p>
    <w:p>
      <w:pPr>
        <w:spacing w:after="0" w:line="61"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outlines the Company's remaining performance obligations disaggregated by reportable business segment:</w:t>
      </w:r>
    </w:p>
    <w:p>
      <w:pPr>
        <w:spacing w:after="0" w:line="118"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5680" w:type="dxa"/>
            <w:vAlign w:val="bottom"/>
            <w:tcBorders>
              <w:bottom w:val="single" w:sz="8" w:color="D7282F"/>
            </w:tcBorders>
          </w:tcPr>
          <w:p>
            <w:pPr>
              <w:spacing w:after="0"/>
              <w:rPr>
                <w:sz w:val="11"/>
                <w:szCs w:val="11"/>
                <w:color w:val="auto"/>
              </w:rPr>
            </w:pPr>
          </w:p>
        </w:tc>
        <w:tc>
          <w:tcPr>
            <w:tcW w:w="4180" w:type="dxa"/>
            <w:vAlign w:val="bottom"/>
            <w:tcBorders>
              <w:bottom w:val="single" w:sz="8" w:color="D7282F"/>
            </w:tcBorders>
          </w:tcPr>
          <w:p>
            <w:pPr>
              <w:spacing w:after="0"/>
              <w:rPr>
                <w:sz w:val="11"/>
                <w:szCs w:val="11"/>
                <w:color w:val="auto"/>
              </w:rPr>
            </w:pPr>
          </w:p>
        </w:tc>
        <w:tc>
          <w:tcPr>
            <w:tcW w:w="1440" w:type="dxa"/>
            <w:vAlign w:val="bottom"/>
            <w:tcBorders>
              <w:bottom w:val="single" w:sz="8" w:color="D7282F"/>
            </w:tcBorders>
          </w:tcPr>
          <w:p>
            <w:pPr>
              <w:jc w:val="right"/>
              <w:ind w:right="352"/>
              <w:spacing w:after="0"/>
              <w:rPr>
                <w:sz w:val="20"/>
                <w:szCs w:val="20"/>
                <w:color w:val="auto"/>
              </w:rPr>
            </w:pPr>
            <w:r>
              <w:rPr>
                <w:rFonts w:ascii="Arial" w:cs="Arial" w:eastAsia="Arial" w:hAnsi="Arial"/>
                <w:sz w:val="10"/>
                <w:szCs w:val="10"/>
                <w:b w:val="1"/>
                <w:bCs w:val="1"/>
                <w:color w:val="auto"/>
              </w:rPr>
              <w:t>December 31, 2023</w:t>
            </w:r>
          </w:p>
        </w:tc>
      </w:tr>
      <w:tr>
        <w:trPr>
          <w:trHeight w:val="126"/>
        </w:trPr>
        <w:tc>
          <w:tcPr>
            <w:tcW w:w="56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Aerospace</w:t>
            </w:r>
          </w:p>
        </w:tc>
        <w:tc>
          <w:tcPr>
            <w:tcW w:w="418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w:t>
            </w:r>
          </w:p>
        </w:tc>
        <w:tc>
          <w:tcPr>
            <w:tcW w:w="14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13,898</w:t>
            </w:r>
          </w:p>
        </w:tc>
      </w:tr>
      <w:tr>
        <w:trPr>
          <w:trHeight w:val="124"/>
        </w:trPr>
        <w:tc>
          <w:tcPr>
            <w:tcW w:w="56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Honeywell Building Technologies</w:t>
            </w:r>
          </w:p>
        </w:tc>
        <w:tc>
          <w:tcPr>
            <w:tcW w:w="4180" w:type="dxa"/>
            <w:vAlign w:val="bottom"/>
            <w:tcBorders>
              <w:bottom w:val="single" w:sz="8" w:color="888B8D"/>
            </w:tcBorders>
          </w:tcPr>
          <w:p>
            <w:pPr>
              <w:spacing w:after="0"/>
              <w:rPr>
                <w:sz w:val="10"/>
                <w:szCs w:val="10"/>
                <w:color w:val="auto"/>
              </w:rPr>
            </w:pPr>
          </w:p>
        </w:tc>
        <w:tc>
          <w:tcPr>
            <w:tcW w:w="14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7,302</w:t>
            </w:r>
          </w:p>
        </w:tc>
      </w:tr>
      <w:tr>
        <w:trPr>
          <w:trHeight w:val="124"/>
        </w:trPr>
        <w:tc>
          <w:tcPr>
            <w:tcW w:w="56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Performance Materials and Technologies</w:t>
            </w:r>
          </w:p>
        </w:tc>
        <w:tc>
          <w:tcPr>
            <w:tcW w:w="4180" w:type="dxa"/>
            <w:vAlign w:val="bottom"/>
            <w:tcBorders>
              <w:bottom w:val="single" w:sz="8" w:color="888B8D"/>
            </w:tcBorders>
          </w:tcPr>
          <w:p>
            <w:pPr>
              <w:spacing w:after="0"/>
              <w:rPr>
                <w:sz w:val="10"/>
                <w:szCs w:val="10"/>
                <w:color w:val="auto"/>
              </w:rPr>
            </w:pPr>
          </w:p>
        </w:tc>
        <w:tc>
          <w:tcPr>
            <w:tcW w:w="14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8,643</w:t>
            </w:r>
          </w:p>
        </w:tc>
      </w:tr>
      <w:tr>
        <w:trPr>
          <w:trHeight w:val="124"/>
        </w:trPr>
        <w:tc>
          <w:tcPr>
            <w:tcW w:w="56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Safety and Productivity Solutions</w:t>
            </w:r>
          </w:p>
        </w:tc>
        <w:tc>
          <w:tcPr>
            <w:tcW w:w="4180" w:type="dxa"/>
            <w:vAlign w:val="bottom"/>
            <w:tcBorders>
              <w:bottom w:val="single" w:sz="8" w:color="888B8D"/>
            </w:tcBorders>
          </w:tcPr>
          <w:p>
            <w:pPr>
              <w:spacing w:after="0"/>
              <w:rPr>
                <w:sz w:val="10"/>
                <w:szCs w:val="10"/>
                <w:color w:val="auto"/>
              </w:rPr>
            </w:pPr>
          </w:p>
        </w:tc>
        <w:tc>
          <w:tcPr>
            <w:tcW w:w="14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1,887</w:t>
            </w:r>
          </w:p>
        </w:tc>
      </w:tr>
      <w:tr>
        <w:trPr>
          <w:trHeight w:val="127"/>
        </w:trPr>
        <w:tc>
          <w:tcPr>
            <w:tcW w:w="5680" w:type="dxa"/>
            <w:vAlign w:val="bottom"/>
            <w:tcBorders>
              <w:bottom w:val="single" w:sz="8" w:color="D7282F"/>
            </w:tcBorders>
          </w:tcPr>
          <w:p>
            <w:pPr>
              <w:spacing w:after="0" w:line="127" w:lineRule="exact"/>
              <w:rPr>
                <w:sz w:val="20"/>
                <w:szCs w:val="20"/>
                <w:color w:val="auto"/>
              </w:rPr>
            </w:pPr>
            <w:r>
              <w:rPr>
                <w:rFonts w:ascii="Arial" w:cs="Arial" w:eastAsia="Arial" w:hAnsi="Arial"/>
                <w:sz w:val="10"/>
                <w:szCs w:val="10"/>
                <w:color w:val="auto"/>
              </w:rPr>
              <w:t>Corporate and All Other</w:t>
            </w:r>
            <w:r>
              <w:rPr>
                <w:rFonts w:ascii="Arial" w:cs="Arial" w:eastAsia="Arial" w:hAnsi="Arial"/>
                <w:sz w:val="12"/>
                <w:szCs w:val="12"/>
                <w:color w:val="auto"/>
                <w:vertAlign w:val="superscript"/>
              </w:rPr>
              <w:t>1</w:t>
            </w:r>
          </w:p>
        </w:tc>
        <w:tc>
          <w:tcPr>
            <w:tcW w:w="4180" w:type="dxa"/>
            <w:vAlign w:val="bottom"/>
            <w:tcBorders>
              <w:bottom w:val="single" w:sz="8" w:color="D7282F"/>
            </w:tcBorders>
          </w:tcPr>
          <w:p>
            <w:pPr>
              <w:spacing w:after="0"/>
              <w:rPr>
                <w:sz w:val="11"/>
                <w:szCs w:val="11"/>
                <w:color w:val="auto"/>
              </w:rPr>
            </w:pPr>
          </w:p>
        </w:tc>
        <w:tc>
          <w:tcPr>
            <w:tcW w:w="14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47</w:t>
            </w:r>
          </w:p>
        </w:tc>
      </w:tr>
      <w:tr>
        <w:trPr>
          <w:trHeight w:val="124"/>
        </w:trPr>
        <w:tc>
          <w:tcPr>
            <w:tcW w:w="5680" w:type="dxa"/>
            <w:vAlign w:val="bottom"/>
            <w:tcBorders>
              <w:bottom w:val="single" w:sz="8" w:color="D7282F"/>
            </w:tcBorders>
          </w:tcPr>
          <w:p>
            <w:pPr>
              <w:ind w:left="80"/>
              <w:spacing w:after="0" w:line="124" w:lineRule="exact"/>
              <w:rPr>
                <w:sz w:val="20"/>
                <w:szCs w:val="20"/>
                <w:color w:val="auto"/>
              </w:rPr>
            </w:pPr>
            <w:r>
              <w:rPr>
                <w:rFonts w:ascii="Arial" w:cs="Arial" w:eastAsia="Arial" w:hAnsi="Arial"/>
                <w:sz w:val="10"/>
                <w:szCs w:val="10"/>
                <w:b w:val="1"/>
                <w:bCs w:val="1"/>
                <w:color w:val="auto"/>
              </w:rPr>
              <w:t>Total performance obligations</w:t>
            </w:r>
            <w:r>
              <w:rPr>
                <w:rFonts w:ascii="Arial" w:cs="Arial" w:eastAsia="Arial" w:hAnsi="Arial"/>
                <w:sz w:val="12"/>
                <w:szCs w:val="12"/>
                <w:b w:val="1"/>
                <w:bCs w:val="1"/>
                <w:color w:val="auto"/>
                <w:vertAlign w:val="superscript"/>
              </w:rPr>
              <w:t>2</w:t>
            </w:r>
          </w:p>
        </w:tc>
        <w:tc>
          <w:tcPr>
            <w:tcW w:w="418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14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31,777</w:t>
            </w:r>
          </w:p>
        </w:tc>
      </w:tr>
    </w:tbl>
    <w:p>
      <w:pPr>
        <w:spacing w:after="0" w:line="20" w:lineRule="exact"/>
        <w:rPr>
          <w:sz w:val="20"/>
          <w:szCs w:val="20"/>
          <w:color w:val="auto"/>
        </w:rPr>
      </w:pPr>
    </w:p>
    <w:p>
      <w:pPr>
        <w:ind w:left="428" w:hanging="280"/>
        <w:spacing w:after="0"/>
        <w:tabs>
          <w:tab w:leader="none" w:pos="428" w:val="left"/>
        </w:tabs>
        <w:numPr>
          <w:ilvl w:val="0"/>
          <w:numId w:val="112"/>
        </w:numPr>
        <w:rPr>
          <w:rFonts w:ascii="Arial" w:cs="Arial" w:eastAsia="Arial" w:hAnsi="Arial"/>
          <w:sz w:val="17"/>
          <w:szCs w:val="17"/>
          <w:color w:val="auto"/>
          <w:vertAlign w:val="superscript"/>
        </w:rPr>
      </w:pPr>
      <w:r>
        <w:rPr>
          <w:rFonts w:ascii="Arial" w:cs="Arial" w:eastAsia="Arial" w:hAnsi="Arial"/>
          <w:sz w:val="8"/>
          <w:szCs w:val="8"/>
          <w:color w:val="auto"/>
        </w:rPr>
        <w:t>The remaining performance obligations within Corporate and All Other relate to the Quantinuum business.</w:t>
      </w:r>
    </w:p>
    <w:p>
      <w:pPr>
        <w:spacing w:after="0" w:line="40" w:lineRule="exact"/>
        <w:rPr>
          <w:sz w:val="20"/>
          <w:szCs w:val="20"/>
          <w:color w:val="auto"/>
        </w:rPr>
      </w:pPr>
    </w:p>
    <w:p>
      <w:pPr>
        <w:ind w:left="148"/>
        <w:spacing w:after="0"/>
        <w:rPr>
          <w:sz w:val="20"/>
          <w:szCs w:val="20"/>
          <w:color w:val="auto"/>
        </w:rPr>
      </w:pPr>
      <w:r>
        <w:rPr>
          <w:rFonts w:ascii="Arial" w:cs="Arial" w:eastAsia="Arial" w:hAnsi="Arial"/>
          <w:sz w:val="8"/>
          <w:szCs w:val="8"/>
          <w:color w:val="auto"/>
        </w:rPr>
        <w:t>2</w:t>
      </w:r>
    </w:p>
    <w:p>
      <w:pPr>
        <w:ind w:left="428"/>
        <w:spacing w:after="0"/>
        <w:rPr>
          <w:sz w:val="20"/>
          <w:szCs w:val="20"/>
          <w:color w:val="auto"/>
        </w:rPr>
      </w:pPr>
      <w:r>
        <w:rPr>
          <w:rFonts w:ascii="Arial" w:cs="Arial" w:eastAsia="Arial" w:hAnsi="Arial"/>
          <w:sz w:val="8"/>
          <w:szCs w:val="8"/>
          <w:color w:val="auto"/>
        </w:rPr>
        <w:t>Effective March 31, 2022, performance obligations exclude contracts with customers related to Russia as collectability is not reasonably assured.</w:t>
      </w:r>
    </w:p>
    <w:p>
      <w:pPr>
        <w:spacing w:after="0" w:line="200" w:lineRule="exact"/>
        <w:rPr>
          <w:sz w:val="20"/>
          <w:szCs w:val="20"/>
          <w:color w:val="auto"/>
        </w:rPr>
      </w:pPr>
    </w:p>
    <w:p>
      <w:pPr>
        <w:spacing w:after="0" w:line="225" w:lineRule="exact"/>
        <w:rPr>
          <w:sz w:val="20"/>
          <w:szCs w:val="20"/>
          <w:color w:val="auto"/>
        </w:rPr>
      </w:pPr>
    </w:p>
    <w:p>
      <w:pPr>
        <w:ind w:left="268" w:hanging="268"/>
        <w:spacing w:after="0"/>
        <w:tabs>
          <w:tab w:leader="none" w:pos="268" w:val="left"/>
        </w:tabs>
        <w:numPr>
          <w:ilvl w:val="0"/>
          <w:numId w:val="113"/>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70" w:name="page71"/>
    <w:bookmarkEnd w:id="70"/>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Performance obligations recognized as of December 31, 2023 will be satisfied over the course of future periods. The Company's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60% and 40%, respectively.</w:t>
      </w:r>
    </w:p>
    <w:p>
      <w:pPr>
        <w:spacing w:after="0" w:line="45"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The timing of satisfaction of the Company's performance obligations does not significantly vary from the typical timing of payment. Typical payment terms of the Company's fixed price over time contracts include progress payments based on specified events or milestones or based on project progress. For some contracts, the Company may be entitled to receive an advance payment.</w:t>
      </w:r>
    </w:p>
    <w:p>
      <w:pPr>
        <w:spacing w:after="0" w:line="33" w:lineRule="exact"/>
        <w:rPr>
          <w:sz w:val="20"/>
          <w:szCs w:val="20"/>
          <w:color w:val="auto"/>
        </w:rPr>
      </w:pPr>
    </w:p>
    <w:p>
      <w:pPr>
        <w:jc w:val="both"/>
        <w:ind w:right="20"/>
        <w:spacing w:after="0" w:line="268" w:lineRule="auto"/>
        <w:rPr>
          <w:sz w:val="20"/>
          <w:szCs w:val="20"/>
          <w:color w:val="auto"/>
        </w:rPr>
      </w:pPr>
      <w:r>
        <w:rPr>
          <w:rFonts w:ascii="Arial" w:cs="Arial" w:eastAsia="Arial" w:hAnsi="Arial"/>
          <w:sz w:val="11"/>
          <w:szCs w:val="11"/>
          <w:color w:val="auto"/>
        </w:rPr>
        <w:t>The Company applied the practical expedient for certain revenue streams to exclude the value of remaining performance obligations for (i) contracts with an original expected term of one year or less or (ii) contracts for which the Company recognizes revenue in proportion to the amount the Company has the right to invoice for services performed.</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D7282F"/>
        </w:rPr>
        <w:t>NOTE 4. REPOSITIONING AND OTHER CHARGES</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A summary of net repositioning and other charges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580" w:type="dxa"/>
            <w:vAlign w:val="bottom"/>
          </w:tcPr>
          <w:p>
            <w:pPr>
              <w:spacing w:after="0"/>
              <w:rPr>
                <w:sz w:val="11"/>
                <w:szCs w:val="11"/>
                <w:color w:val="auto"/>
              </w:rPr>
            </w:pPr>
          </w:p>
        </w:tc>
        <w:tc>
          <w:tcPr>
            <w:tcW w:w="520" w:type="dxa"/>
            <w:vAlign w:val="bottom"/>
            <w:tcBorders>
              <w:bottom w:val="single" w:sz="8" w:color="D7282F"/>
            </w:tcBorders>
          </w:tcPr>
          <w:p>
            <w:pPr>
              <w:spacing w:after="0"/>
              <w:rPr>
                <w:sz w:val="11"/>
                <w:szCs w:val="11"/>
                <w:color w:val="auto"/>
              </w:rPr>
            </w:pPr>
          </w:p>
        </w:tc>
        <w:tc>
          <w:tcPr>
            <w:tcW w:w="220" w:type="dxa"/>
            <w:vAlign w:val="bottom"/>
            <w:tcBorders>
              <w:bottom w:val="single" w:sz="8" w:color="D7282F"/>
            </w:tcBorders>
          </w:tcPr>
          <w:p>
            <w:pPr>
              <w:spacing w:after="0"/>
              <w:rPr>
                <w:sz w:val="11"/>
                <w:szCs w:val="11"/>
                <w:color w:val="auto"/>
              </w:rPr>
            </w:pPr>
          </w:p>
        </w:tc>
        <w:tc>
          <w:tcPr>
            <w:tcW w:w="1380" w:type="dxa"/>
            <w:vAlign w:val="bottom"/>
            <w:tcBorders>
              <w:bottom w:val="single" w:sz="8" w:color="D7282F"/>
            </w:tcBorders>
            <w:gridSpan w:val="3"/>
          </w:tcPr>
          <w:p>
            <w:pPr>
              <w:jc w:val="right"/>
              <w:ind w:right="92"/>
              <w:spacing w:after="0"/>
              <w:rPr>
                <w:sz w:val="20"/>
                <w:szCs w:val="20"/>
                <w:color w:val="auto"/>
              </w:rPr>
            </w:pPr>
            <w:r>
              <w:rPr>
                <w:rFonts w:ascii="Arial" w:cs="Arial" w:eastAsia="Arial" w:hAnsi="Arial"/>
                <w:sz w:val="10"/>
                <w:szCs w:val="10"/>
                <w:b w:val="1"/>
                <w:bCs w:val="1"/>
                <w:color w:val="auto"/>
                <w:w w:val="94"/>
              </w:rPr>
              <w:t>Years Ended December 31,</w:t>
            </w:r>
          </w:p>
        </w:tc>
        <w:tc>
          <w:tcPr>
            <w:tcW w:w="600" w:type="dxa"/>
            <w:vAlign w:val="bottom"/>
            <w:tcBorders>
              <w:bottom w:val="single" w:sz="8" w:color="D7282F"/>
            </w:tcBorders>
          </w:tcPr>
          <w:p>
            <w:pPr>
              <w:spacing w:after="0"/>
              <w:rPr>
                <w:sz w:val="11"/>
                <w:szCs w:val="11"/>
                <w:color w:val="auto"/>
              </w:rPr>
            </w:pPr>
          </w:p>
        </w:tc>
      </w:tr>
      <w:tr>
        <w:trPr>
          <w:trHeight w:val="151"/>
        </w:trPr>
        <w:tc>
          <w:tcPr>
            <w:tcW w:w="8580" w:type="dxa"/>
            <w:vAlign w:val="bottom"/>
            <w:tcBorders>
              <w:bottom w:val="single" w:sz="8" w:color="D7282F"/>
            </w:tcBorders>
          </w:tcPr>
          <w:p>
            <w:pPr>
              <w:spacing w:after="0"/>
              <w:rPr>
                <w:sz w:val="13"/>
                <w:szCs w:val="13"/>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2023</w:t>
            </w:r>
          </w:p>
        </w:tc>
        <w:tc>
          <w:tcPr>
            <w:tcW w:w="220" w:type="dxa"/>
            <w:vAlign w:val="bottom"/>
            <w:tcBorders>
              <w:bottom w:val="single" w:sz="8" w:color="D7282F"/>
            </w:tcBorders>
          </w:tcPr>
          <w:p>
            <w:pPr>
              <w:spacing w:after="0"/>
              <w:rPr>
                <w:sz w:val="13"/>
                <w:szCs w:val="13"/>
                <w:color w:val="auto"/>
              </w:rPr>
            </w:pPr>
          </w:p>
        </w:tc>
        <w:tc>
          <w:tcPr>
            <w:tcW w:w="400" w:type="dxa"/>
            <w:vAlign w:val="bottom"/>
            <w:tcBorders>
              <w:bottom w:val="single" w:sz="8" w:color="D7282F"/>
            </w:tcBorders>
          </w:tcPr>
          <w:p>
            <w:pPr>
              <w:spacing w:after="0"/>
              <w:rPr>
                <w:sz w:val="13"/>
                <w:szCs w:val="13"/>
                <w:color w:val="auto"/>
              </w:rPr>
            </w:pPr>
          </w:p>
        </w:tc>
        <w:tc>
          <w:tcPr>
            <w:tcW w:w="70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2022</w:t>
            </w:r>
          </w:p>
        </w:tc>
        <w:tc>
          <w:tcPr>
            <w:tcW w:w="28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2021</w:t>
            </w:r>
          </w:p>
        </w:tc>
      </w:tr>
      <w:tr>
        <w:trPr>
          <w:trHeight w:val="122"/>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Severance</w:t>
            </w:r>
          </w:p>
        </w:tc>
        <w:tc>
          <w:tcPr>
            <w:tcW w:w="520" w:type="dxa"/>
            <w:vAlign w:val="bottom"/>
            <w:tcBorders>
              <w:bottom w:val="single" w:sz="8" w:color="888B8D"/>
            </w:tcBorders>
          </w:tcPr>
          <w:p>
            <w:pPr>
              <w:jc w:val="right"/>
              <w:ind w:right="412"/>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w w:val="95"/>
              </w:rPr>
              <w:t>162</w:t>
            </w:r>
          </w:p>
        </w:tc>
        <w:tc>
          <w:tcPr>
            <w:tcW w:w="40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122</w:t>
            </w:r>
          </w:p>
        </w:tc>
        <w:tc>
          <w:tcPr>
            <w:tcW w:w="2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80</w:t>
            </w:r>
          </w:p>
        </w:tc>
      </w:tr>
      <w:tr>
        <w:trPr>
          <w:trHeight w:val="124"/>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Asset impairments</w:t>
            </w:r>
          </w:p>
        </w:tc>
        <w:tc>
          <w:tcPr>
            <w:tcW w:w="52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41</w:t>
            </w: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176</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117</w:t>
            </w:r>
          </w:p>
        </w:tc>
      </w:tr>
      <w:tr>
        <w:trPr>
          <w:trHeight w:val="124"/>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Exit costs</w:t>
            </w:r>
          </w:p>
        </w:tc>
        <w:tc>
          <w:tcPr>
            <w:tcW w:w="52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w w:val="95"/>
              </w:rPr>
              <w:t>139</w:t>
            </w: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122</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134</w:t>
            </w:r>
          </w:p>
        </w:tc>
      </w:tr>
      <w:tr>
        <w:trPr>
          <w:trHeight w:val="124"/>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Reserve adjustments</w:t>
            </w:r>
          </w:p>
        </w:tc>
        <w:tc>
          <w:tcPr>
            <w:tcW w:w="52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(56)</w:t>
            </w:r>
          </w:p>
        </w:tc>
        <w:tc>
          <w:tcPr>
            <w:tcW w:w="40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(56)</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(13)</w:t>
            </w:r>
          </w:p>
        </w:tc>
      </w:tr>
      <w:tr>
        <w:trPr>
          <w:trHeight w:val="126"/>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net repositioning charges</w:t>
            </w:r>
          </w:p>
        </w:tc>
        <w:tc>
          <w:tcPr>
            <w:tcW w:w="52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w w:val="95"/>
              </w:rPr>
              <w:t>286</w:t>
            </w:r>
          </w:p>
        </w:tc>
        <w:tc>
          <w:tcPr>
            <w:tcW w:w="40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364</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318</w:t>
            </w:r>
          </w:p>
        </w:tc>
      </w:tr>
      <w:tr>
        <w:trPr>
          <w:trHeight w:val="122"/>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Asbestos-related charges, net of insurance and reimbursements</w:t>
            </w:r>
          </w:p>
        </w:tc>
        <w:tc>
          <w:tcPr>
            <w:tcW w:w="52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w w:val="95"/>
              </w:rPr>
              <w:t>534</w:t>
            </w: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532</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129</w:t>
            </w:r>
          </w:p>
        </w:tc>
      </w:tr>
      <w:tr>
        <w:trPr>
          <w:trHeight w:val="124"/>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Probable and reasonably estimable environmental liabilities, net of reimbursements</w:t>
            </w:r>
          </w:p>
        </w:tc>
        <w:tc>
          <w:tcPr>
            <w:tcW w:w="52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44</w:t>
            </w: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28</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22</w:t>
            </w:r>
          </w:p>
        </w:tc>
      </w:tr>
      <w:tr>
        <w:trPr>
          <w:trHeight w:val="124"/>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Other charges</w:t>
            </w:r>
          </w:p>
        </w:tc>
        <w:tc>
          <w:tcPr>
            <w:tcW w:w="52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w:t>
            </w:r>
          </w:p>
        </w:tc>
        <w:tc>
          <w:tcPr>
            <w:tcW w:w="40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342</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100</w:t>
            </w:r>
          </w:p>
        </w:tc>
      </w:tr>
      <w:tr>
        <w:trPr>
          <w:trHeight w:val="126"/>
        </w:trPr>
        <w:tc>
          <w:tcPr>
            <w:tcW w:w="85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net repositioning and other charges</w:t>
            </w:r>
          </w:p>
        </w:tc>
        <w:tc>
          <w:tcPr>
            <w:tcW w:w="52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w w:val="95"/>
              </w:rPr>
              <w:t>860</w:t>
            </w:r>
          </w:p>
        </w:tc>
        <w:tc>
          <w:tcPr>
            <w:tcW w:w="4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1,266</w:t>
            </w:r>
          </w:p>
        </w:tc>
        <w:tc>
          <w:tcPr>
            <w:tcW w:w="2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569</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summarizes the pre-tax distribution of total net repositioning and other charges by classification in the Consolidated Statement of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8580" w:type="dxa"/>
            <w:vAlign w:val="bottom"/>
          </w:tcPr>
          <w:p>
            <w:pPr>
              <w:spacing w:after="0"/>
              <w:rPr>
                <w:sz w:val="11"/>
                <w:szCs w:val="11"/>
                <w:color w:val="auto"/>
              </w:rPr>
            </w:pPr>
          </w:p>
        </w:tc>
        <w:tc>
          <w:tcPr>
            <w:tcW w:w="52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1400" w:type="dxa"/>
            <w:vAlign w:val="bottom"/>
            <w:tcBorders>
              <w:bottom w:val="single" w:sz="8" w:color="D7282F"/>
            </w:tcBorders>
            <w:gridSpan w:val="3"/>
          </w:tcPr>
          <w:p>
            <w:pPr>
              <w:jc w:val="right"/>
              <w:ind w:right="92"/>
              <w:spacing w:after="0"/>
              <w:rPr>
                <w:sz w:val="20"/>
                <w:szCs w:val="20"/>
                <w:color w:val="auto"/>
              </w:rPr>
            </w:pPr>
            <w:r>
              <w:rPr>
                <w:rFonts w:ascii="Arial" w:cs="Arial" w:eastAsia="Arial" w:hAnsi="Arial"/>
                <w:sz w:val="10"/>
                <w:szCs w:val="10"/>
                <w:b w:val="1"/>
                <w:bCs w:val="1"/>
                <w:color w:val="auto"/>
                <w:w w:val="96"/>
              </w:rPr>
              <w:t>Years Ended December 31,</w:t>
            </w:r>
          </w:p>
        </w:tc>
        <w:tc>
          <w:tcPr>
            <w:tcW w:w="600" w:type="dxa"/>
            <w:vAlign w:val="bottom"/>
            <w:tcBorders>
              <w:bottom w:val="single" w:sz="8" w:color="D7282F"/>
            </w:tcBorders>
          </w:tcPr>
          <w:p>
            <w:pPr>
              <w:spacing w:after="0"/>
              <w:rPr>
                <w:sz w:val="11"/>
                <w:szCs w:val="11"/>
                <w:color w:val="auto"/>
              </w:rPr>
            </w:pPr>
          </w:p>
        </w:tc>
      </w:tr>
      <w:tr>
        <w:trPr>
          <w:trHeight w:val="151"/>
        </w:trPr>
        <w:tc>
          <w:tcPr>
            <w:tcW w:w="8580" w:type="dxa"/>
            <w:vAlign w:val="bottom"/>
            <w:tcBorders>
              <w:bottom w:val="single" w:sz="8" w:color="D7282F"/>
            </w:tcBorders>
          </w:tcPr>
          <w:p>
            <w:pPr>
              <w:spacing w:after="0"/>
              <w:rPr>
                <w:sz w:val="13"/>
                <w:szCs w:val="13"/>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2023</w:t>
            </w:r>
          </w:p>
        </w:tc>
        <w:tc>
          <w:tcPr>
            <w:tcW w:w="200" w:type="dxa"/>
            <w:vAlign w:val="bottom"/>
            <w:tcBorders>
              <w:bottom w:val="single" w:sz="8" w:color="D7282F"/>
            </w:tcBorders>
          </w:tcPr>
          <w:p>
            <w:pPr>
              <w:spacing w:after="0"/>
              <w:rPr>
                <w:sz w:val="13"/>
                <w:szCs w:val="13"/>
                <w:color w:val="auto"/>
              </w:rPr>
            </w:pPr>
          </w:p>
        </w:tc>
        <w:tc>
          <w:tcPr>
            <w:tcW w:w="42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2022</w:t>
            </w:r>
          </w:p>
        </w:tc>
        <w:tc>
          <w:tcPr>
            <w:tcW w:w="30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2021</w:t>
            </w:r>
          </w:p>
        </w:tc>
      </w:tr>
      <w:tr>
        <w:trPr>
          <w:trHeight w:val="127"/>
        </w:trPr>
        <w:tc>
          <w:tcPr>
            <w:tcW w:w="85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Cost of products and services sold</w:t>
            </w:r>
          </w:p>
        </w:tc>
        <w:tc>
          <w:tcPr>
            <w:tcW w:w="520" w:type="dxa"/>
            <w:vAlign w:val="bottom"/>
            <w:tcBorders>
              <w:bottom w:val="single" w:sz="8" w:color="61656A"/>
            </w:tcBorders>
          </w:tcPr>
          <w:p>
            <w:pPr>
              <w:jc w:val="right"/>
              <w:ind w:right="412"/>
              <w:spacing w:after="0"/>
              <w:rPr>
                <w:sz w:val="20"/>
                <w:szCs w:val="20"/>
                <w:color w:val="auto"/>
              </w:rPr>
            </w:pPr>
            <w:r>
              <w:rPr>
                <w:rFonts w:ascii="Arial" w:cs="Arial" w:eastAsia="Arial" w:hAnsi="Arial"/>
                <w:sz w:val="10"/>
                <w:szCs w:val="10"/>
                <w:color w:val="auto"/>
                <w:w w:val="71"/>
              </w:rPr>
              <w:t>$</w:t>
            </w:r>
          </w:p>
        </w:tc>
        <w:tc>
          <w:tcPr>
            <w:tcW w:w="2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w w:val="95"/>
              </w:rPr>
              <w:t>680</w:t>
            </w:r>
          </w:p>
        </w:tc>
        <w:tc>
          <w:tcPr>
            <w:tcW w:w="42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572</w:t>
            </w:r>
          </w:p>
        </w:tc>
        <w:tc>
          <w:tcPr>
            <w:tcW w:w="3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457</w:t>
            </w:r>
          </w:p>
        </w:tc>
      </w:tr>
      <w:tr>
        <w:trPr>
          <w:trHeight w:val="124"/>
        </w:trPr>
        <w:tc>
          <w:tcPr>
            <w:tcW w:w="85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Selling, general and administrative expenses</w:t>
            </w:r>
          </w:p>
        </w:tc>
        <w:tc>
          <w:tcPr>
            <w:tcW w:w="520" w:type="dxa"/>
            <w:vAlign w:val="bottom"/>
            <w:tcBorders>
              <w:bottom w:val="single" w:sz="8" w:color="61656A"/>
            </w:tcBorders>
          </w:tcPr>
          <w:p>
            <w:pPr>
              <w:spacing w:after="0"/>
              <w:rPr>
                <w:sz w:val="10"/>
                <w:szCs w:val="10"/>
                <w:color w:val="auto"/>
              </w:rPr>
            </w:pPr>
          </w:p>
        </w:tc>
        <w:tc>
          <w:tcPr>
            <w:tcW w:w="2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w w:val="95"/>
              </w:rPr>
              <w:t>172</w:t>
            </w:r>
          </w:p>
        </w:tc>
        <w:tc>
          <w:tcPr>
            <w:tcW w:w="42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309</w:t>
            </w:r>
          </w:p>
        </w:tc>
        <w:tc>
          <w:tcPr>
            <w:tcW w:w="30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112</w:t>
            </w:r>
          </w:p>
        </w:tc>
      </w:tr>
      <w:tr>
        <w:trPr>
          <w:trHeight w:val="124"/>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Other (income) expense</w:t>
            </w:r>
          </w:p>
        </w:tc>
        <w:tc>
          <w:tcPr>
            <w:tcW w:w="52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8</w:t>
            </w:r>
          </w:p>
        </w:tc>
        <w:tc>
          <w:tcPr>
            <w:tcW w:w="42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385</w:t>
            </w:r>
          </w:p>
        </w:tc>
        <w:tc>
          <w:tcPr>
            <w:tcW w:w="30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6"/>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net repositioning and other charges</w:t>
            </w:r>
          </w:p>
        </w:tc>
        <w:tc>
          <w:tcPr>
            <w:tcW w:w="52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w w:val="95"/>
              </w:rPr>
              <w:t>860</w:t>
            </w:r>
          </w:p>
        </w:tc>
        <w:tc>
          <w:tcPr>
            <w:tcW w:w="42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1,266</w:t>
            </w:r>
          </w:p>
        </w:tc>
        <w:tc>
          <w:tcPr>
            <w:tcW w:w="3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569</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summarizes the pre-tax amount of total net repositioning and other charges by reportable business segment. These amounts are excluded from segment profit as described in Note 22 Segment Financial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8580" w:type="dxa"/>
            <w:vAlign w:val="bottom"/>
          </w:tcPr>
          <w:p>
            <w:pPr>
              <w:spacing w:after="0"/>
              <w:rPr>
                <w:sz w:val="11"/>
                <w:szCs w:val="11"/>
                <w:color w:val="auto"/>
              </w:rPr>
            </w:pPr>
          </w:p>
        </w:tc>
        <w:tc>
          <w:tcPr>
            <w:tcW w:w="52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1400" w:type="dxa"/>
            <w:vAlign w:val="bottom"/>
            <w:tcBorders>
              <w:bottom w:val="single" w:sz="8" w:color="D7282F"/>
            </w:tcBorders>
            <w:gridSpan w:val="3"/>
          </w:tcPr>
          <w:p>
            <w:pPr>
              <w:jc w:val="right"/>
              <w:ind w:right="92"/>
              <w:spacing w:after="0"/>
              <w:rPr>
                <w:sz w:val="20"/>
                <w:szCs w:val="20"/>
                <w:color w:val="auto"/>
              </w:rPr>
            </w:pPr>
            <w:r>
              <w:rPr>
                <w:rFonts w:ascii="Arial" w:cs="Arial" w:eastAsia="Arial" w:hAnsi="Arial"/>
                <w:sz w:val="10"/>
                <w:szCs w:val="10"/>
                <w:b w:val="1"/>
                <w:bCs w:val="1"/>
                <w:color w:val="auto"/>
                <w:w w:val="96"/>
              </w:rPr>
              <w:t>Years Ended December 31,</w:t>
            </w:r>
          </w:p>
        </w:tc>
        <w:tc>
          <w:tcPr>
            <w:tcW w:w="600" w:type="dxa"/>
            <w:vAlign w:val="bottom"/>
            <w:tcBorders>
              <w:bottom w:val="single" w:sz="8" w:color="D7282F"/>
            </w:tcBorders>
          </w:tcPr>
          <w:p>
            <w:pPr>
              <w:spacing w:after="0"/>
              <w:rPr>
                <w:sz w:val="11"/>
                <w:szCs w:val="11"/>
                <w:color w:val="auto"/>
              </w:rPr>
            </w:pPr>
          </w:p>
        </w:tc>
      </w:tr>
      <w:tr>
        <w:trPr>
          <w:trHeight w:val="151"/>
        </w:trPr>
        <w:tc>
          <w:tcPr>
            <w:tcW w:w="8580" w:type="dxa"/>
            <w:vAlign w:val="bottom"/>
            <w:tcBorders>
              <w:bottom w:val="single" w:sz="8" w:color="D7282F"/>
            </w:tcBorders>
          </w:tcPr>
          <w:p>
            <w:pPr>
              <w:spacing w:after="0"/>
              <w:rPr>
                <w:sz w:val="13"/>
                <w:szCs w:val="13"/>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2023</w:t>
            </w:r>
          </w:p>
        </w:tc>
        <w:tc>
          <w:tcPr>
            <w:tcW w:w="200" w:type="dxa"/>
            <w:vAlign w:val="bottom"/>
            <w:tcBorders>
              <w:bottom w:val="single" w:sz="8" w:color="D7282F"/>
            </w:tcBorders>
          </w:tcPr>
          <w:p>
            <w:pPr>
              <w:spacing w:after="0"/>
              <w:rPr>
                <w:sz w:val="13"/>
                <w:szCs w:val="13"/>
                <w:color w:val="auto"/>
              </w:rPr>
            </w:pPr>
          </w:p>
        </w:tc>
        <w:tc>
          <w:tcPr>
            <w:tcW w:w="42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2022</w:t>
            </w:r>
          </w:p>
        </w:tc>
        <w:tc>
          <w:tcPr>
            <w:tcW w:w="30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2021</w:t>
            </w:r>
          </w:p>
        </w:tc>
      </w:tr>
      <w:tr>
        <w:trPr>
          <w:trHeight w:val="127"/>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Aerospace</w:t>
            </w:r>
          </w:p>
        </w:tc>
        <w:tc>
          <w:tcPr>
            <w:tcW w:w="520" w:type="dxa"/>
            <w:vAlign w:val="bottom"/>
            <w:tcBorders>
              <w:bottom w:val="single" w:sz="8" w:color="888B8D"/>
            </w:tcBorders>
          </w:tcPr>
          <w:p>
            <w:pPr>
              <w:jc w:val="right"/>
              <w:ind w:right="412"/>
              <w:spacing w:after="0"/>
              <w:rPr>
                <w:sz w:val="20"/>
                <w:szCs w:val="20"/>
                <w:color w:val="auto"/>
              </w:rPr>
            </w:pPr>
            <w:r>
              <w:rPr>
                <w:rFonts w:ascii="Arial" w:cs="Arial" w:eastAsia="Arial" w:hAnsi="Arial"/>
                <w:sz w:val="10"/>
                <w:szCs w:val="10"/>
                <w:color w:val="auto"/>
                <w:w w:val="71"/>
              </w:rPr>
              <w:t>$</w:t>
            </w:r>
          </w:p>
        </w:tc>
        <w:tc>
          <w:tcPr>
            <w:tcW w:w="2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23</w:t>
            </w:r>
          </w:p>
        </w:tc>
        <w:tc>
          <w:tcPr>
            <w:tcW w:w="42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41</w:t>
            </w:r>
          </w:p>
        </w:tc>
        <w:tc>
          <w:tcPr>
            <w:tcW w:w="3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62</w:t>
            </w:r>
          </w:p>
        </w:tc>
      </w:tr>
      <w:tr>
        <w:trPr>
          <w:trHeight w:val="124"/>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Honeywell Building Technologies</w:t>
            </w:r>
          </w:p>
        </w:tc>
        <w:tc>
          <w:tcPr>
            <w:tcW w:w="52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58</w:t>
            </w:r>
          </w:p>
        </w:tc>
        <w:tc>
          <w:tcPr>
            <w:tcW w:w="4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63</w:t>
            </w:r>
          </w:p>
        </w:tc>
        <w:tc>
          <w:tcPr>
            <w:tcW w:w="30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13</w:t>
            </w:r>
          </w:p>
        </w:tc>
      </w:tr>
      <w:tr>
        <w:trPr>
          <w:trHeight w:val="124"/>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Performance Materials and Technologies</w:t>
            </w:r>
          </w:p>
        </w:tc>
        <w:tc>
          <w:tcPr>
            <w:tcW w:w="52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50</w:t>
            </w:r>
          </w:p>
        </w:tc>
        <w:tc>
          <w:tcPr>
            <w:tcW w:w="4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332</w:t>
            </w:r>
          </w:p>
        </w:tc>
        <w:tc>
          <w:tcPr>
            <w:tcW w:w="30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24</w:t>
            </w:r>
          </w:p>
        </w:tc>
      </w:tr>
      <w:tr>
        <w:trPr>
          <w:trHeight w:val="124"/>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Safety and Productivity Solutions</w:t>
            </w:r>
          </w:p>
        </w:tc>
        <w:tc>
          <w:tcPr>
            <w:tcW w:w="52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w w:val="95"/>
              </w:rPr>
              <w:t>112</w:t>
            </w:r>
          </w:p>
        </w:tc>
        <w:tc>
          <w:tcPr>
            <w:tcW w:w="4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188</w:t>
            </w:r>
          </w:p>
        </w:tc>
        <w:tc>
          <w:tcPr>
            <w:tcW w:w="30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268</w:t>
            </w:r>
          </w:p>
        </w:tc>
      </w:tr>
      <w:tr>
        <w:trPr>
          <w:trHeight w:val="124"/>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Corporate and All Other</w:t>
            </w:r>
          </w:p>
        </w:tc>
        <w:tc>
          <w:tcPr>
            <w:tcW w:w="52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w w:val="95"/>
              </w:rPr>
              <w:t>617</w:t>
            </w:r>
          </w:p>
        </w:tc>
        <w:tc>
          <w:tcPr>
            <w:tcW w:w="42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642</w:t>
            </w:r>
          </w:p>
        </w:tc>
        <w:tc>
          <w:tcPr>
            <w:tcW w:w="30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202</w:t>
            </w:r>
          </w:p>
        </w:tc>
      </w:tr>
      <w:tr>
        <w:trPr>
          <w:trHeight w:val="126"/>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net repositioning and other charges</w:t>
            </w:r>
          </w:p>
        </w:tc>
        <w:tc>
          <w:tcPr>
            <w:tcW w:w="52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w w:val="95"/>
              </w:rPr>
              <w:t>860</w:t>
            </w:r>
          </w:p>
        </w:tc>
        <w:tc>
          <w:tcPr>
            <w:tcW w:w="42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1,266</w:t>
            </w:r>
          </w:p>
        </w:tc>
        <w:tc>
          <w:tcPr>
            <w:tcW w:w="3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569</w:t>
            </w:r>
          </w:p>
        </w:tc>
      </w:tr>
    </w:tbl>
    <w:p>
      <w:pPr>
        <w:spacing w:after="0" w:line="200" w:lineRule="exact"/>
        <w:rPr>
          <w:sz w:val="20"/>
          <w:szCs w:val="20"/>
          <w:color w:val="auto"/>
        </w:rPr>
      </w:pPr>
    </w:p>
    <w:p>
      <w:pPr>
        <w:spacing w:after="0" w:line="372"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D7282F"/>
        </w:rPr>
        <w:t>69</w:t>
      </w:r>
      <w:r>
        <w:rPr>
          <w:sz w:val="20"/>
          <w:szCs w:val="20"/>
          <w:color w:val="auto"/>
        </w:rPr>
        <w:tab/>
      </w:r>
      <w:r>
        <w:rPr>
          <w:rFonts w:ascii="Arial" w:cs="Arial" w:eastAsia="Arial" w:hAnsi="Arial"/>
          <w:sz w:val="8"/>
          <w:szCs w:val="8"/>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90805</wp:posOffset>
            </wp:positionV>
            <wp:extent cx="7203440"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71" w:name="page72"/>
    <w:bookmarkEnd w:id="71"/>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79"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NET REPOSITIONING CHARGES</w:t>
      </w:r>
    </w:p>
    <w:p>
      <w:pPr>
        <w:spacing w:after="0" w:line="81" w:lineRule="exact"/>
        <w:rPr>
          <w:sz w:val="20"/>
          <w:szCs w:val="20"/>
          <w:color w:val="auto"/>
        </w:rPr>
      </w:pPr>
    </w:p>
    <w:p>
      <w:pPr>
        <w:jc w:val="both"/>
        <w:ind w:left="8"/>
        <w:spacing w:after="0" w:line="286" w:lineRule="auto"/>
        <w:rPr>
          <w:sz w:val="20"/>
          <w:szCs w:val="20"/>
          <w:color w:val="auto"/>
        </w:rPr>
      </w:pPr>
      <w:r>
        <w:rPr>
          <w:rFonts w:ascii="Arial" w:cs="Arial" w:eastAsia="Arial" w:hAnsi="Arial"/>
          <w:sz w:val="10"/>
          <w:szCs w:val="10"/>
          <w:color w:val="auto"/>
        </w:rPr>
        <w:t>In 2023, the Company recognized gross repositioning charges totaling $342 million, including severance costs of $162 million related to workforce reductions of 5,854 manufacturing and administrative positions mainly in the Company's Honeywell Building Technologies and Safety and Productivity Solutions reportable business segments. The workforce reductions related to productivity and ongoing functional transformation initiatives. The repositioning charges included asset impairments of $41 million related to the write-down of certain assets within the Company's Safety and Productivity Solutions reportable business segment and corporate function. The repositioning charges included exit costs of $139 million related to current period costs incurred for closure obligations associated with site transitions in the Company's Performance Materials and Technologies and Safety and Productivity Solutions reportable business segments. Also, $56 million of previously established reserves, primarily for severance, were returned to income due to higher-than-expected voluntary exits and adjustments to the scope of previously announced repositioning actions.</w:t>
      </w:r>
    </w:p>
    <w:p>
      <w:pPr>
        <w:spacing w:after="0" w:line="35"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color w:val="auto"/>
        </w:rPr>
        <w:t>In 2022, the Company recognized repositioning charges totaling $420 million, including severance costs of $122 million related to workforce reductions of 4,345 manufacturing and administrative positions mainly in the Company's Safety and Productivity Solutions reportable business segment. The workforce reductions related to our productivity and ongoing functional transformation initiatives. The repositioning charges included asset impairments of $176 million related to the write-down of certain manufacturing and other equipment, primarily related to closing and relocating the production of certain respiratory manufacturing from a U.S.-based facility to a non-U.S. facility in the Company's Safety and Productivity Solutions reportable business segment. The repositioning charges included exit costs of $122 million related to current period costs incurred for closure obligations associated with site transitions in the Company's Performance Materials and Technologies and Aerospace reportable business segments. Also, $56 million of previously established reserves, primarily for severance, were returned to income due to higher than expected voluntary exits and adjustments to the scope of previously announced repositioning actions.</w:t>
      </w:r>
    </w:p>
    <w:p>
      <w:pPr>
        <w:spacing w:after="0" w:line="52"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color w:val="auto"/>
        </w:rPr>
        <w:t>In 2021, the Company recognized repositioning charges totaling $331 million, including severance costs of $80 million related to workforce reductions of 6,432 manufacturing and administrative positions mainly in the Company's Safety and Productivity Solutions and Aerospace reportable business segments. The workforce reductions were primarily related to the realignment of a product line in the Company's Safety and Productivity Solutions reportable business segment, site transitions, mainly in the Aerospace reportable business segment, to more cost-effective locations, and the Company's productivity and ongoing functional transformation initiatives. The repositioning charges included asset impairments of $117 million primarily related to the write-down of certain manufacturing and other equipment. The repositioning charges included exit costs of $134 million primarily for current period exit costs incurred for previously approved repositioning projects, closure obligations associated with site transitions, and lease obligations for equipment. Also, $13 million of previously established reserves, primarily for severance, were returned to income due to adjustments to the scope of previously announced repositioning actions.</w:t>
      </w:r>
    </w:p>
    <w:p>
      <w:pPr>
        <w:spacing w:after="0" w:line="286" w:lineRule="exact"/>
        <w:rPr>
          <w:sz w:val="20"/>
          <w:szCs w:val="20"/>
          <w:color w:val="auto"/>
        </w:rPr>
      </w:pPr>
    </w:p>
    <w:p>
      <w:pPr>
        <w:ind w:left="268" w:hanging="268"/>
        <w:spacing w:after="0"/>
        <w:tabs>
          <w:tab w:leader="none" w:pos="268" w:val="left"/>
        </w:tabs>
        <w:numPr>
          <w:ilvl w:val="0"/>
          <w:numId w:val="114"/>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72" w:name="page73"/>
    <w:bookmarkEnd w:id="72"/>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summarizes the status of the Company's total repositioning reserves:</w:t>
      </w:r>
    </w:p>
    <w:p>
      <w:pPr>
        <w:spacing w:after="0" w:line="109"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3720" w:type="dxa"/>
            <w:vAlign w:val="bottom"/>
          </w:tcPr>
          <w:p>
            <w:pPr>
              <w:spacing w:after="0"/>
              <w:rPr>
                <w:sz w:val="10"/>
                <w:szCs w:val="10"/>
                <w:color w:val="auto"/>
              </w:rPr>
            </w:pPr>
          </w:p>
        </w:tc>
        <w:tc>
          <w:tcPr>
            <w:tcW w:w="3180" w:type="dxa"/>
            <w:vAlign w:val="bottom"/>
          </w:tcPr>
          <w:p>
            <w:pPr>
              <w:jc w:val="right"/>
              <w:spacing w:after="0"/>
              <w:rPr>
                <w:sz w:val="20"/>
                <w:szCs w:val="20"/>
                <w:color w:val="auto"/>
              </w:rPr>
            </w:pPr>
            <w:r>
              <w:rPr>
                <w:rFonts w:ascii="Arial" w:cs="Arial" w:eastAsia="Arial" w:hAnsi="Arial"/>
                <w:sz w:val="10"/>
                <w:szCs w:val="10"/>
                <w:b w:val="1"/>
                <w:bCs w:val="1"/>
                <w:color w:val="auto"/>
              </w:rPr>
              <w:t>Severance</w:t>
            </w:r>
          </w:p>
        </w:tc>
        <w:tc>
          <w:tcPr>
            <w:tcW w:w="400" w:type="dxa"/>
            <w:vAlign w:val="bottom"/>
          </w:tcPr>
          <w:p>
            <w:pPr>
              <w:spacing w:after="0"/>
              <w:rPr>
                <w:sz w:val="10"/>
                <w:szCs w:val="10"/>
                <w:color w:val="auto"/>
              </w:rPr>
            </w:pPr>
          </w:p>
        </w:tc>
        <w:tc>
          <w:tcPr>
            <w:tcW w:w="1000" w:type="dxa"/>
            <w:vAlign w:val="bottom"/>
          </w:tcPr>
          <w:p>
            <w:pPr>
              <w:jc w:val="right"/>
              <w:ind w:right="132"/>
              <w:spacing w:after="0"/>
              <w:rPr>
                <w:sz w:val="20"/>
                <w:szCs w:val="20"/>
                <w:color w:val="auto"/>
              </w:rPr>
            </w:pPr>
            <w:r>
              <w:rPr>
                <w:rFonts w:ascii="Arial" w:cs="Arial" w:eastAsia="Arial" w:hAnsi="Arial"/>
                <w:sz w:val="10"/>
                <w:szCs w:val="10"/>
                <w:b w:val="1"/>
                <w:bCs w:val="1"/>
                <w:color w:val="auto"/>
              </w:rPr>
              <w:t>Asset</w:t>
            </w:r>
          </w:p>
        </w:tc>
        <w:tc>
          <w:tcPr>
            <w:tcW w:w="36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b w:val="1"/>
                <w:bCs w:val="1"/>
                <w:color w:val="auto"/>
              </w:rPr>
              <w:t>Exit</w:t>
            </w: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36"/>
        </w:trPr>
        <w:tc>
          <w:tcPr>
            <w:tcW w:w="3720" w:type="dxa"/>
            <w:vAlign w:val="bottom"/>
            <w:tcBorders>
              <w:bottom w:val="single" w:sz="8" w:color="D7282F"/>
            </w:tcBorders>
          </w:tcPr>
          <w:p>
            <w:pPr>
              <w:spacing w:after="0"/>
              <w:rPr>
                <w:sz w:val="11"/>
                <w:szCs w:val="11"/>
                <w:color w:val="auto"/>
              </w:rPr>
            </w:pPr>
          </w:p>
        </w:tc>
        <w:tc>
          <w:tcPr>
            <w:tcW w:w="318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Costs</w:t>
            </w:r>
          </w:p>
        </w:tc>
        <w:tc>
          <w:tcPr>
            <w:tcW w:w="400" w:type="dxa"/>
            <w:vAlign w:val="bottom"/>
            <w:tcBorders>
              <w:bottom w:val="single" w:sz="8" w:color="D7282F"/>
            </w:tcBorders>
          </w:tcPr>
          <w:p>
            <w:pPr>
              <w:spacing w:after="0"/>
              <w:rPr>
                <w:sz w:val="11"/>
                <w:szCs w:val="11"/>
                <w:color w:val="auto"/>
              </w:rPr>
            </w:pP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Impairments</w:t>
            </w:r>
          </w:p>
        </w:tc>
        <w:tc>
          <w:tcPr>
            <w:tcW w:w="360" w:type="dxa"/>
            <w:vAlign w:val="bottom"/>
            <w:tcBorders>
              <w:bottom w:val="single" w:sz="8" w:color="D7282F"/>
            </w:tcBorders>
          </w:tcPr>
          <w:p>
            <w:pPr>
              <w:spacing w:after="0"/>
              <w:rPr>
                <w:sz w:val="11"/>
                <w:szCs w:val="11"/>
                <w:color w:val="auto"/>
              </w:rPr>
            </w:pPr>
          </w:p>
        </w:tc>
        <w:tc>
          <w:tcPr>
            <w:tcW w:w="92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Costs</w:t>
            </w:r>
          </w:p>
        </w:tc>
        <w:tc>
          <w:tcPr>
            <w:tcW w:w="460" w:type="dxa"/>
            <w:vAlign w:val="bottom"/>
            <w:tcBorders>
              <w:bottom w:val="single" w:sz="8" w:color="D7282F"/>
            </w:tcBorders>
          </w:tcPr>
          <w:p>
            <w:pPr>
              <w:spacing w:after="0"/>
              <w:rPr>
                <w:sz w:val="11"/>
                <w:szCs w:val="11"/>
                <w:color w:val="auto"/>
              </w:rPr>
            </w:pPr>
          </w:p>
        </w:tc>
        <w:tc>
          <w:tcPr>
            <w:tcW w:w="360" w:type="dxa"/>
            <w:vAlign w:val="bottom"/>
            <w:tcBorders>
              <w:bottom w:val="single" w:sz="8" w:color="D7282F"/>
            </w:tcBorders>
          </w:tcPr>
          <w:p>
            <w:pPr>
              <w:spacing w:after="0"/>
              <w:rPr>
                <w:sz w:val="11"/>
                <w:szCs w:val="11"/>
                <w:color w:val="auto"/>
              </w:rPr>
            </w:pPr>
          </w:p>
        </w:tc>
        <w:tc>
          <w:tcPr>
            <w:tcW w:w="90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b w:val="1"/>
                <w:bCs w:val="1"/>
                <w:color w:val="auto"/>
              </w:rPr>
              <w:t>Total</w:t>
            </w:r>
          </w:p>
        </w:tc>
      </w:tr>
      <w:tr>
        <w:trPr>
          <w:trHeight w:val="128"/>
        </w:trPr>
        <w:tc>
          <w:tcPr>
            <w:tcW w:w="372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Balance at December 31, 2020</w:t>
            </w:r>
          </w:p>
        </w:tc>
        <w:tc>
          <w:tcPr>
            <w:tcW w:w="3180" w:type="dxa"/>
            <w:vAlign w:val="bottom"/>
            <w:tcBorders>
              <w:bottom w:val="single" w:sz="8" w:color="D7282F"/>
            </w:tcBorders>
          </w:tcPr>
          <w:p>
            <w:pPr>
              <w:jc w:val="right"/>
              <w:ind w:right="75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527</w:t>
            </w:r>
          </w:p>
        </w:tc>
        <w:tc>
          <w:tcPr>
            <w:tcW w:w="1000" w:type="dxa"/>
            <w:vAlign w:val="bottom"/>
            <w:tcBorders>
              <w:bottom w:val="single" w:sz="8" w:color="D7282F"/>
            </w:tcBorders>
          </w:tcPr>
          <w:p>
            <w:pPr>
              <w:jc w:val="right"/>
              <w:ind w:right="772"/>
              <w:spacing w:after="0"/>
              <w:rPr>
                <w:sz w:val="20"/>
                <w:szCs w:val="20"/>
                <w:color w:val="auto"/>
              </w:rPr>
            </w:pPr>
            <w:r>
              <w:rPr>
                <w:rFonts w:ascii="Arial" w:cs="Arial" w:eastAsia="Arial" w:hAnsi="Arial"/>
                <w:sz w:val="10"/>
                <w:szCs w:val="10"/>
                <w:b w:val="1"/>
                <w:bCs w:val="1"/>
                <w:color w:val="auto"/>
              </w:rPr>
              <w:t>$</w:t>
            </w: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D7282F"/>
            </w:tcBorders>
          </w:tcPr>
          <w:p>
            <w:pPr>
              <w:jc w:val="right"/>
              <w:ind w:right="69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74</w:t>
            </w:r>
          </w:p>
        </w:tc>
        <w:tc>
          <w:tcPr>
            <w:tcW w:w="36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601</w:t>
            </w:r>
          </w:p>
        </w:tc>
      </w:tr>
      <w:tr>
        <w:trPr>
          <w:trHeight w:val="122"/>
        </w:trPr>
        <w:tc>
          <w:tcPr>
            <w:tcW w:w="372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Charges</w:t>
            </w:r>
          </w:p>
        </w:tc>
        <w:tc>
          <w:tcPr>
            <w:tcW w:w="31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80</w:t>
            </w:r>
          </w:p>
        </w:tc>
        <w:tc>
          <w:tcPr>
            <w:tcW w:w="10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117</w:t>
            </w:r>
          </w:p>
        </w:tc>
        <w:tc>
          <w:tcPr>
            <w:tcW w:w="9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134</w:t>
            </w:r>
          </w:p>
        </w:tc>
        <w:tc>
          <w:tcPr>
            <w:tcW w:w="360" w:type="dxa"/>
            <w:vAlign w:val="bottom"/>
            <w:tcBorders>
              <w:bottom w:val="single" w:sz="8" w:color="888B8D"/>
            </w:tcBorders>
          </w:tcPr>
          <w:p>
            <w:pPr>
              <w:spacing w:after="0"/>
              <w:rPr>
                <w:sz w:val="10"/>
                <w:szCs w:val="10"/>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331</w:t>
            </w:r>
          </w:p>
        </w:tc>
      </w:tr>
      <w:tr>
        <w:trPr>
          <w:trHeight w:val="124"/>
        </w:trPr>
        <w:tc>
          <w:tcPr>
            <w:tcW w:w="372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Usage—cash</w:t>
            </w:r>
          </w:p>
        </w:tc>
        <w:tc>
          <w:tcPr>
            <w:tcW w:w="31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(299)</w:t>
            </w:r>
          </w:p>
        </w:tc>
        <w:tc>
          <w:tcPr>
            <w:tcW w:w="10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(83)</w:t>
            </w:r>
          </w:p>
        </w:tc>
        <w:tc>
          <w:tcPr>
            <w:tcW w:w="360" w:type="dxa"/>
            <w:vAlign w:val="bottom"/>
            <w:tcBorders>
              <w:bottom w:val="single" w:sz="8" w:color="888B8D"/>
            </w:tcBorders>
          </w:tcPr>
          <w:p>
            <w:pPr>
              <w:spacing w:after="0"/>
              <w:rPr>
                <w:sz w:val="10"/>
                <w:szCs w:val="10"/>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(382)</w:t>
            </w:r>
          </w:p>
        </w:tc>
      </w:tr>
      <w:tr>
        <w:trPr>
          <w:trHeight w:val="124"/>
        </w:trPr>
        <w:tc>
          <w:tcPr>
            <w:tcW w:w="372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Usage—noncash</w:t>
            </w:r>
          </w:p>
        </w:tc>
        <w:tc>
          <w:tcPr>
            <w:tcW w:w="31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w w:val="94"/>
              </w:rPr>
              <w:t>(119)</w:t>
            </w:r>
          </w:p>
        </w:tc>
        <w:tc>
          <w:tcPr>
            <w:tcW w:w="9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888B8D"/>
            </w:tcBorders>
          </w:tcPr>
          <w:p>
            <w:pPr>
              <w:spacing w:after="0"/>
              <w:rPr>
                <w:sz w:val="10"/>
                <w:szCs w:val="10"/>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(119)</w:t>
            </w:r>
          </w:p>
        </w:tc>
      </w:tr>
      <w:tr>
        <w:trPr>
          <w:trHeight w:val="124"/>
        </w:trPr>
        <w:tc>
          <w:tcPr>
            <w:tcW w:w="372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Divestitures</w:t>
            </w:r>
          </w:p>
        </w:tc>
        <w:tc>
          <w:tcPr>
            <w:tcW w:w="31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888B8D"/>
            </w:tcBorders>
          </w:tcPr>
          <w:p>
            <w:pPr>
              <w:spacing w:after="0"/>
              <w:rPr>
                <w:sz w:val="10"/>
                <w:szCs w:val="10"/>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372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Adjustments</w:t>
            </w:r>
          </w:p>
        </w:tc>
        <w:tc>
          <w:tcPr>
            <w:tcW w:w="31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(14)</w:t>
            </w:r>
          </w:p>
        </w:tc>
        <w:tc>
          <w:tcPr>
            <w:tcW w:w="10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w:t>
            </w:r>
          </w:p>
        </w:tc>
        <w:tc>
          <w:tcPr>
            <w:tcW w:w="9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w:t>
            </w:r>
          </w:p>
        </w:tc>
        <w:tc>
          <w:tcPr>
            <w:tcW w:w="360" w:type="dxa"/>
            <w:vAlign w:val="bottom"/>
            <w:tcBorders>
              <w:bottom w:val="single" w:sz="8" w:color="888B8D"/>
            </w:tcBorders>
          </w:tcPr>
          <w:p>
            <w:pPr>
              <w:spacing w:after="0"/>
              <w:rPr>
                <w:sz w:val="10"/>
                <w:szCs w:val="10"/>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(13)</w:t>
            </w:r>
          </w:p>
        </w:tc>
      </w:tr>
      <w:tr>
        <w:trPr>
          <w:trHeight w:val="124"/>
        </w:trPr>
        <w:tc>
          <w:tcPr>
            <w:tcW w:w="372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Foreign currency translation</w:t>
            </w:r>
          </w:p>
        </w:tc>
        <w:tc>
          <w:tcPr>
            <w:tcW w:w="318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(5)</w:t>
            </w:r>
          </w:p>
        </w:tc>
        <w:tc>
          <w:tcPr>
            <w:tcW w:w="100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(2)</w:t>
            </w:r>
          </w:p>
        </w:tc>
        <w:tc>
          <w:tcPr>
            <w:tcW w:w="360" w:type="dxa"/>
            <w:vAlign w:val="bottom"/>
            <w:tcBorders>
              <w:bottom w:val="single" w:sz="8" w:color="D7282F"/>
            </w:tcBorders>
          </w:tcPr>
          <w:p>
            <w:pPr>
              <w:spacing w:after="0"/>
              <w:rPr>
                <w:sz w:val="10"/>
                <w:szCs w:val="10"/>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(7)</w:t>
            </w:r>
          </w:p>
        </w:tc>
      </w:tr>
      <w:tr>
        <w:trPr>
          <w:trHeight w:val="126"/>
        </w:trPr>
        <w:tc>
          <w:tcPr>
            <w:tcW w:w="372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Balance at December 31, 2021</w:t>
            </w:r>
          </w:p>
        </w:tc>
        <w:tc>
          <w:tcPr>
            <w:tcW w:w="318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289</w:t>
            </w:r>
          </w:p>
        </w:tc>
        <w:tc>
          <w:tcPr>
            <w:tcW w:w="100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122</w:t>
            </w:r>
          </w:p>
        </w:tc>
        <w:tc>
          <w:tcPr>
            <w:tcW w:w="360" w:type="dxa"/>
            <w:vAlign w:val="bottom"/>
            <w:tcBorders>
              <w:bottom w:val="single" w:sz="8" w:color="D7282F"/>
            </w:tcBorders>
          </w:tcPr>
          <w:p>
            <w:pPr>
              <w:spacing w:after="0"/>
              <w:rPr>
                <w:sz w:val="10"/>
                <w:szCs w:val="10"/>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411</w:t>
            </w:r>
          </w:p>
        </w:tc>
      </w:tr>
      <w:tr>
        <w:trPr>
          <w:trHeight w:val="122"/>
        </w:trPr>
        <w:tc>
          <w:tcPr>
            <w:tcW w:w="372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Charges</w:t>
            </w:r>
          </w:p>
        </w:tc>
        <w:tc>
          <w:tcPr>
            <w:tcW w:w="31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122</w:t>
            </w:r>
          </w:p>
        </w:tc>
        <w:tc>
          <w:tcPr>
            <w:tcW w:w="10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176</w:t>
            </w:r>
          </w:p>
        </w:tc>
        <w:tc>
          <w:tcPr>
            <w:tcW w:w="9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122</w:t>
            </w:r>
          </w:p>
        </w:tc>
        <w:tc>
          <w:tcPr>
            <w:tcW w:w="360" w:type="dxa"/>
            <w:vAlign w:val="bottom"/>
            <w:tcBorders>
              <w:bottom w:val="single" w:sz="8" w:color="888B8D"/>
            </w:tcBorders>
          </w:tcPr>
          <w:p>
            <w:pPr>
              <w:spacing w:after="0"/>
              <w:rPr>
                <w:sz w:val="10"/>
                <w:szCs w:val="10"/>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420</w:t>
            </w:r>
          </w:p>
        </w:tc>
      </w:tr>
      <w:tr>
        <w:trPr>
          <w:trHeight w:val="124"/>
        </w:trPr>
        <w:tc>
          <w:tcPr>
            <w:tcW w:w="372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Usage—cash</w:t>
            </w:r>
          </w:p>
        </w:tc>
        <w:tc>
          <w:tcPr>
            <w:tcW w:w="31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(135)</w:t>
            </w:r>
          </w:p>
        </w:tc>
        <w:tc>
          <w:tcPr>
            <w:tcW w:w="10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(140)</w:t>
            </w:r>
          </w:p>
        </w:tc>
        <w:tc>
          <w:tcPr>
            <w:tcW w:w="360" w:type="dxa"/>
            <w:vAlign w:val="bottom"/>
            <w:tcBorders>
              <w:bottom w:val="single" w:sz="8" w:color="888B8D"/>
            </w:tcBorders>
          </w:tcPr>
          <w:p>
            <w:pPr>
              <w:spacing w:after="0"/>
              <w:rPr>
                <w:sz w:val="10"/>
                <w:szCs w:val="10"/>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(275)</w:t>
            </w:r>
          </w:p>
        </w:tc>
      </w:tr>
      <w:tr>
        <w:trPr>
          <w:trHeight w:val="124"/>
        </w:trPr>
        <w:tc>
          <w:tcPr>
            <w:tcW w:w="372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Usage—noncash</w:t>
            </w:r>
          </w:p>
        </w:tc>
        <w:tc>
          <w:tcPr>
            <w:tcW w:w="31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w w:val="94"/>
              </w:rPr>
              <w:t>(168)</w:t>
            </w:r>
          </w:p>
        </w:tc>
        <w:tc>
          <w:tcPr>
            <w:tcW w:w="9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(15)</w:t>
            </w:r>
          </w:p>
        </w:tc>
        <w:tc>
          <w:tcPr>
            <w:tcW w:w="360" w:type="dxa"/>
            <w:vAlign w:val="bottom"/>
            <w:tcBorders>
              <w:bottom w:val="single" w:sz="8" w:color="888B8D"/>
            </w:tcBorders>
          </w:tcPr>
          <w:p>
            <w:pPr>
              <w:spacing w:after="0"/>
              <w:rPr>
                <w:sz w:val="10"/>
                <w:szCs w:val="10"/>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(183)</w:t>
            </w:r>
          </w:p>
        </w:tc>
      </w:tr>
      <w:tr>
        <w:trPr>
          <w:trHeight w:val="124"/>
        </w:trPr>
        <w:tc>
          <w:tcPr>
            <w:tcW w:w="372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Divestitures</w:t>
            </w:r>
          </w:p>
        </w:tc>
        <w:tc>
          <w:tcPr>
            <w:tcW w:w="31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888B8D"/>
            </w:tcBorders>
          </w:tcPr>
          <w:p>
            <w:pPr>
              <w:spacing w:after="0"/>
              <w:rPr>
                <w:sz w:val="10"/>
                <w:szCs w:val="10"/>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372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Adjustments</w:t>
            </w:r>
          </w:p>
        </w:tc>
        <w:tc>
          <w:tcPr>
            <w:tcW w:w="31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(42)</w:t>
            </w:r>
          </w:p>
        </w:tc>
        <w:tc>
          <w:tcPr>
            <w:tcW w:w="10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(8)</w:t>
            </w:r>
          </w:p>
        </w:tc>
        <w:tc>
          <w:tcPr>
            <w:tcW w:w="9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(6)</w:t>
            </w:r>
          </w:p>
        </w:tc>
        <w:tc>
          <w:tcPr>
            <w:tcW w:w="360" w:type="dxa"/>
            <w:vAlign w:val="bottom"/>
            <w:tcBorders>
              <w:bottom w:val="single" w:sz="8" w:color="888B8D"/>
            </w:tcBorders>
          </w:tcPr>
          <w:p>
            <w:pPr>
              <w:spacing w:after="0"/>
              <w:rPr>
                <w:sz w:val="10"/>
                <w:szCs w:val="10"/>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(56)</w:t>
            </w:r>
          </w:p>
        </w:tc>
      </w:tr>
      <w:tr>
        <w:trPr>
          <w:trHeight w:val="124"/>
        </w:trPr>
        <w:tc>
          <w:tcPr>
            <w:tcW w:w="372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Foreign currency translation</w:t>
            </w:r>
          </w:p>
        </w:tc>
        <w:tc>
          <w:tcPr>
            <w:tcW w:w="318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1</w:t>
            </w:r>
          </w:p>
        </w:tc>
        <w:tc>
          <w:tcPr>
            <w:tcW w:w="100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(9)</w:t>
            </w:r>
          </w:p>
        </w:tc>
        <w:tc>
          <w:tcPr>
            <w:tcW w:w="360" w:type="dxa"/>
            <w:vAlign w:val="bottom"/>
            <w:tcBorders>
              <w:bottom w:val="single" w:sz="8" w:color="D7282F"/>
            </w:tcBorders>
          </w:tcPr>
          <w:p>
            <w:pPr>
              <w:spacing w:after="0"/>
              <w:rPr>
                <w:sz w:val="10"/>
                <w:szCs w:val="10"/>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(8)</w:t>
            </w:r>
          </w:p>
        </w:tc>
      </w:tr>
      <w:tr>
        <w:trPr>
          <w:trHeight w:val="126"/>
        </w:trPr>
        <w:tc>
          <w:tcPr>
            <w:tcW w:w="372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Balance at December 31, 2022</w:t>
            </w:r>
          </w:p>
        </w:tc>
        <w:tc>
          <w:tcPr>
            <w:tcW w:w="318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235</w:t>
            </w:r>
          </w:p>
        </w:tc>
        <w:tc>
          <w:tcPr>
            <w:tcW w:w="100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74</w:t>
            </w:r>
          </w:p>
        </w:tc>
        <w:tc>
          <w:tcPr>
            <w:tcW w:w="360" w:type="dxa"/>
            <w:vAlign w:val="bottom"/>
            <w:tcBorders>
              <w:bottom w:val="single" w:sz="8" w:color="D7282F"/>
            </w:tcBorders>
          </w:tcPr>
          <w:p>
            <w:pPr>
              <w:spacing w:after="0"/>
              <w:rPr>
                <w:sz w:val="10"/>
                <w:szCs w:val="10"/>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309</w:t>
            </w:r>
          </w:p>
        </w:tc>
      </w:tr>
      <w:tr>
        <w:trPr>
          <w:trHeight w:val="122"/>
        </w:trPr>
        <w:tc>
          <w:tcPr>
            <w:tcW w:w="372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Charges</w:t>
            </w:r>
          </w:p>
        </w:tc>
        <w:tc>
          <w:tcPr>
            <w:tcW w:w="31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162</w:t>
            </w:r>
          </w:p>
        </w:tc>
        <w:tc>
          <w:tcPr>
            <w:tcW w:w="10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41</w:t>
            </w:r>
          </w:p>
        </w:tc>
        <w:tc>
          <w:tcPr>
            <w:tcW w:w="9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139</w:t>
            </w:r>
          </w:p>
        </w:tc>
        <w:tc>
          <w:tcPr>
            <w:tcW w:w="360" w:type="dxa"/>
            <w:vAlign w:val="bottom"/>
            <w:tcBorders>
              <w:bottom w:val="single" w:sz="8" w:color="888B8D"/>
            </w:tcBorders>
          </w:tcPr>
          <w:p>
            <w:pPr>
              <w:spacing w:after="0"/>
              <w:rPr>
                <w:sz w:val="10"/>
                <w:szCs w:val="10"/>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342</w:t>
            </w:r>
          </w:p>
        </w:tc>
      </w:tr>
      <w:tr>
        <w:trPr>
          <w:trHeight w:val="124"/>
        </w:trPr>
        <w:tc>
          <w:tcPr>
            <w:tcW w:w="372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Usage—cash</w:t>
            </w:r>
          </w:p>
        </w:tc>
        <w:tc>
          <w:tcPr>
            <w:tcW w:w="31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(173)</w:t>
            </w:r>
          </w:p>
        </w:tc>
        <w:tc>
          <w:tcPr>
            <w:tcW w:w="10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(121)</w:t>
            </w:r>
          </w:p>
        </w:tc>
        <w:tc>
          <w:tcPr>
            <w:tcW w:w="360" w:type="dxa"/>
            <w:vAlign w:val="bottom"/>
            <w:tcBorders>
              <w:bottom w:val="single" w:sz="8" w:color="888B8D"/>
            </w:tcBorders>
          </w:tcPr>
          <w:p>
            <w:pPr>
              <w:spacing w:after="0"/>
              <w:rPr>
                <w:sz w:val="10"/>
                <w:szCs w:val="10"/>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(294)</w:t>
            </w:r>
          </w:p>
        </w:tc>
      </w:tr>
      <w:tr>
        <w:trPr>
          <w:trHeight w:val="124"/>
        </w:trPr>
        <w:tc>
          <w:tcPr>
            <w:tcW w:w="372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Usage—noncash</w:t>
            </w:r>
          </w:p>
        </w:tc>
        <w:tc>
          <w:tcPr>
            <w:tcW w:w="31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(36)</w:t>
            </w:r>
          </w:p>
        </w:tc>
        <w:tc>
          <w:tcPr>
            <w:tcW w:w="9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888B8D"/>
            </w:tcBorders>
          </w:tcPr>
          <w:p>
            <w:pPr>
              <w:spacing w:after="0"/>
              <w:rPr>
                <w:sz w:val="10"/>
                <w:szCs w:val="10"/>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(36)</w:t>
            </w:r>
          </w:p>
        </w:tc>
      </w:tr>
      <w:tr>
        <w:trPr>
          <w:trHeight w:val="124"/>
        </w:trPr>
        <w:tc>
          <w:tcPr>
            <w:tcW w:w="372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Divestitures</w:t>
            </w:r>
          </w:p>
        </w:tc>
        <w:tc>
          <w:tcPr>
            <w:tcW w:w="31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(4)</w:t>
            </w:r>
          </w:p>
        </w:tc>
        <w:tc>
          <w:tcPr>
            <w:tcW w:w="9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(5)</w:t>
            </w:r>
          </w:p>
        </w:tc>
        <w:tc>
          <w:tcPr>
            <w:tcW w:w="360" w:type="dxa"/>
            <w:vAlign w:val="bottom"/>
            <w:tcBorders>
              <w:bottom w:val="single" w:sz="8" w:color="888B8D"/>
            </w:tcBorders>
          </w:tcPr>
          <w:p>
            <w:pPr>
              <w:spacing w:after="0"/>
              <w:rPr>
                <w:sz w:val="10"/>
                <w:szCs w:val="10"/>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(9)</w:t>
            </w:r>
          </w:p>
        </w:tc>
      </w:tr>
      <w:tr>
        <w:trPr>
          <w:trHeight w:val="124"/>
        </w:trPr>
        <w:tc>
          <w:tcPr>
            <w:tcW w:w="372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Adjustments</w:t>
            </w:r>
          </w:p>
        </w:tc>
        <w:tc>
          <w:tcPr>
            <w:tcW w:w="31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(42)</w:t>
            </w:r>
          </w:p>
        </w:tc>
        <w:tc>
          <w:tcPr>
            <w:tcW w:w="10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w:t>
            </w:r>
          </w:p>
        </w:tc>
        <w:tc>
          <w:tcPr>
            <w:tcW w:w="9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(13)</w:t>
            </w:r>
          </w:p>
        </w:tc>
        <w:tc>
          <w:tcPr>
            <w:tcW w:w="360" w:type="dxa"/>
            <w:vAlign w:val="bottom"/>
            <w:tcBorders>
              <w:bottom w:val="single" w:sz="8" w:color="888B8D"/>
            </w:tcBorders>
          </w:tcPr>
          <w:p>
            <w:pPr>
              <w:spacing w:after="0"/>
              <w:rPr>
                <w:sz w:val="10"/>
                <w:szCs w:val="10"/>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(56)</w:t>
            </w:r>
          </w:p>
        </w:tc>
      </w:tr>
      <w:tr>
        <w:trPr>
          <w:trHeight w:val="124"/>
        </w:trPr>
        <w:tc>
          <w:tcPr>
            <w:tcW w:w="372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Foreign currency translation</w:t>
            </w:r>
          </w:p>
        </w:tc>
        <w:tc>
          <w:tcPr>
            <w:tcW w:w="318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6</w:t>
            </w:r>
          </w:p>
        </w:tc>
        <w:tc>
          <w:tcPr>
            <w:tcW w:w="100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17</w:t>
            </w:r>
          </w:p>
        </w:tc>
        <w:tc>
          <w:tcPr>
            <w:tcW w:w="360" w:type="dxa"/>
            <w:vAlign w:val="bottom"/>
            <w:tcBorders>
              <w:bottom w:val="single" w:sz="8" w:color="D7282F"/>
            </w:tcBorders>
          </w:tcPr>
          <w:p>
            <w:pPr>
              <w:spacing w:after="0"/>
              <w:rPr>
                <w:sz w:val="10"/>
                <w:szCs w:val="10"/>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23</w:t>
            </w:r>
          </w:p>
        </w:tc>
      </w:tr>
      <w:tr>
        <w:trPr>
          <w:trHeight w:val="126"/>
        </w:trPr>
        <w:tc>
          <w:tcPr>
            <w:tcW w:w="372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Balance at December 31, 2023</w:t>
            </w:r>
          </w:p>
        </w:tc>
        <w:tc>
          <w:tcPr>
            <w:tcW w:w="3180" w:type="dxa"/>
            <w:vAlign w:val="bottom"/>
            <w:tcBorders>
              <w:bottom w:val="single" w:sz="8" w:color="D7282F"/>
            </w:tcBorders>
          </w:tcPr>
          <w:p>
            <w:pPr>
              <w:jc w:val="right"/>
              <w:ind w:right="75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188</w:t>
            </w:r>
          </w:p>
        </w:tc>
        <w:tc>
          <w:tcPr>
            <w:tcW w:w="1000" w:type="dxa"/>
            <w:vAlign w:val="bottom"/>
            <w:tcBorders>
              <w:bottom w:val="single" w:sz="8" w:color="D7282F"/>
            </w:tcBorders>
          </w:tcPr>
          <w:p>
            <w:pPr>
              <w:jc w:val="right"/>
              <w:ind w:right="772"/>
              <w:spacing w:after="0"/>
              <w:rPr>
                <w:sz w:val="20"/>
                <w:szCs w:val="20"/>
                <w:color w:val="auto"/>
              </w:rPr>
            </w:pPr>
            <w:r>
              <w:rPr>
                <w:rFonts w:ascii="Arial" w:cs="Arial" w:eastAsia="Arial" w:hAnsi="Arial"/>
                <w:sz w:val="10"/>
                <w:szCs w:val="10"/>
                <w:b w:val="1"/>
                <w:bCs w:val="1"/>
                <w:color w:val="auto"/>
              </w:rPr>
              <w:t>$</w:t>
            </w: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D7282F"/>
            </w:tcBorders>
          </w:tcPr>
          <w:p>
            <w:pPr>
              <w:jc w:val="right"/>
              <w:ind w:right="69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91</w:t>
            </w:r>
          </w:p>
        </w:tc>
        <w:tc>
          <w:tcPr>
            <w:tcW w:w="36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279</w:t>
            </w:r>
          </w:p>
        </w:tc>
      </w:tr>
    </w:tbl>
    <w:p>
      <w:pPr>
        <w:spacing w:after="0" w:line="126" w:lineRule="exact"/>
        <w:rPr>
          <w:sz w:val="20"/>
          <w:szCs w:val="20"/>
          <w:color w:val="auto"/>
        </w:rPr>
      </w:pPr>
    </w:p>
    <w:p>
      <w:pPr>
        <w:ind w:left="8"/>
        <w:spacing w:after="0"/>
        <w:rPr>
          <w:sz w:val="20"/>
          <w:szCs w:val="20"/>
          <w:color w:val="auto"/>
        </w:rPr>
      </w:pPr>
      <w:r>
        <w:rPr>
          <w:rFonts w:ascii="Arial" w:cs="Arial" w:eastAsia="Arial" w:hAnsi="Arial"/>
          <w:sz w:val="11"/>
          <w:szCs w:val="11"/>
          <w:color w:val="auto"/>
        </w:rPr>
        <w:t>Certain repositioning projects will recognize exit costs in future periods when the actual liability is incurred. Such exit costs incurred in 2023, 2022, and 2021 were $62 million, $63 million, and $45 million, respectively.</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OTHER CHARGES</w:t>
      </w:r>
    </w:p>
    <w:p>
      <w:pPr>
        <w:spacing w:after="0" w:line="81"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color w:val="auto"/>
        </w:rPr>
        <w:t>In 2022, the Company recognized $295 million of Other charges related to the initial suspension and the wind down of our business and operations in Russia. These costs impacted all reportable business segments, with the most significant impact within the Performance Materials and Technologies reportable business segment. The Other charges include costs recorded in Cost of products sold, Selling, general and administrative expenses, or Other (income) expense in the Consolidated Statement of Operations. Cost of products and services sold includes $65 million primarily related to inventory reserves and the write-down of other assets, Selling, general and administrative includes $185 million primarily related to reserves against outstanding accounts receivable and contract assets, impairment of intangible assets, the write-down of other assets, and employee severance, and Other (income) expense includes $45 million related to foreign exchange revaluation on an intercompany loan with a Russian affiliate, impairment of property, plant and equipment, and expenses for called guarantees. Directly attributable to our wind down of businesses and operations in Russia, but excluded from Other charges, is a $2 million tax valuation allowance recorded to Tax expense in the Consolidated Statement of Operations.</w:t>
      </w:r>
    </w:p>
    <w:p>
      <w:pPr>
        <w:spacing w:after="0" w:line="61"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Given the uncertainty inherent in the Company's remaining obligations related to contracts with Russian counterparties, the Company does not believe it is possible to develop estimates of reasonably possible loss in excess of current accruals for these matters (other than as specifically set forth above). Based on available information to date, the Company’s estimate of potential future losses or other contingencies related to suspension and wind down activities, including any guarantee payments or any litigation costs or as otherwise related to the Company's wind down in Russia, could adversely affect the Company's consolidated results of operations in the periods recognized but would not be material with respect to the Company's consolidated financial position. See Note 19 Commitments and Contingencies for a discussion of the recognition and measurement of estimate for contingencies.</w:t>
      </w:r>
    </w:p>
    <w:p>
      <w:pPr>
        <w:spacing w:after="0" w:line="274" w:lineRule="exact"/>
        <w:rPr>
          <w:sz w:val="20"/>
          <w:szCs w:val="20"/>
          <w:color w:val="auto"/>
        </w:rPr>
      </w:pPr>
    </w:p>
    <w:p>
      <w:pPr>
        <w:ind w:left="268" w:hanging="268"/>
        <w:spacing w:after="0"/>
        <w:tabs>
          <w:tab w:leader="none" w:pos="268" w:val="left"/>
        </w:tabs>
        <w:numPr>
          <w:ilvl w:val="0"/>
          <w:numId w:val="115"/>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73" w:name="page74"/>
    <w:bookmarkEnd w:id="73"/>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jc w:val="both"/>
        <w:spacing w:after="0" w:line="254" w:lineRule="auto"/>
        <w:rPr>
          <w:sz w:val="20"/>
          <w:szCs w:val="20"/>
          <w:color w:val="auto"/>
        </w:rPr>
      </w:pPr>
      <w:r>
        <w:rPr>
          <w:rFonts w:ascii="Arial" w:cs="Arial" w:eastAsia="Arial" w:hAnsi="Arial"/>
          <w:sz w:val="11"/>
          <w:szCs w:val="11"/>
          <w:color w:val="auto"/>
        </w:rPr>
        <w:t>Additionally, for the years ended December 31, 2022, and 2021, Other charges include $41 million and $105 million, respectively, of incremental long-term contract labor cost inefficiencies due to severe supply chain disruptions (attributable to the COVID-19 pandemic) relating to the warehouse automation business within the Safety and Productivity Solutions reportable business segment. Certain of these costs incurred include amounts and provisions for anticipated losses recognized during 2022 and 2021 when total estimated costs at completion for certain of the business’ long-term contracts exceeded total estimated revenue. These costs represent unproductive labor costs due to unexpected supply delays and the resulting downstream installation issues, demobilization and remobilization of contract workers, and resolution of contractor disputes. These costs do not include normal operational inefficiencies experienced during a challenging operating environment in 2022 and 2021.</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D7282F"/>
        </w:rPr>
        <w:t>NOTE 5. INCOME TAXES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BEFORE TAXES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580" w:type="dxa"/>
            <w:vAlign w:val="bottom"/>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560" w:type="dxa"/>
            <w:vAlign w:val="bottom"/>
            <w:tcBorders>
              <w:bottom w:val="single" w:sz="8" w:color="D7282F"/>
            </w:tcBorders>
          </w:tcPr>
          <w:p>
            <w:pPr>
              <w:spacing w:after="0"/>
              <w:rPr>
                <w:sz w:val="11"/>
                <w:szCs w:val="11"/>
                <w:color w:val="auto"/>
              </w:rPr>
            </w:pPr>
          </w:p>
        </w:tc>
        <w:tc>
          <w:tcPr>
            <w:tcW w:w="1400" w:type="dxa"/>
            <w:vAlign w:val="bottom"/>
            <w:tcBorders>
              <w:bottom w:val="single" w:sz="8" w:color="D7282F"/>
            </w:tcBorders>
            <w:gridSpan w:val="3"/>
          </w:tcPr>
          <w:p>
            <w:pPr>
              <w:jc w:val="right"/>
              <w:ind w:right="92"/>
              <w:spacing w:after="0"/>
              <w:rPr>
                <w:sz w:val="20"/>
                <w:szCs w:val="20"/>
                <w:color w:val="auto"/>
              </w:rPr>
            </w:pPr>
            <w:r>
              <w:rPr>
                <w:rFonts w:ascii="Arial" w:cs="Arial" w:eastAsia="Arial" w:hAnsi="Arial"/>
                <w:sz w:val="10"/>
                <w:szCs w:val="10"/>
                <w:b w:val="1"/>
                <w:bCs w:val="1"/>
                <w:color w:val="auto"/>
                <w:w w:val="96"/>
              </w:rPr>
              <w:t>Years Ended December 31,</w:t>
            </w:r>
          </w:p>
        </w:tc>
        <w:tc>
          <w:tcPr>
            <w:tcW w:w="600" w:type="dxa"/>
            <w:vAlign w:val="bottom"/>
            <w:tcBorders>
              <w:bottom w:val="single" w:sz="8" w:color="D7282F"/>
            </w:tcBorders>
          </w:tcPr>
          <w:p>
            <w:pPr>
              <w:spacing w:after="0"/>
              <w:rPr>
                <w:sz w:val="11"/>
                <w:szCs w:val="11"/>
                <w:color w:val="auto"/>
              </w:rPr>
            </w:pPr>
          </w:p>
        </w:tc>
      </w:tr>
      <w:tr>
        <w:trPr>
          <w:trHeight w:val="151"/>
        </w:trPr>
        <w:tc>
          <w:tcPr>
            <w:tcW w:w="8580" w:type="dxa"/>
            <w:vAlign w:val="bottom"/>
            <w:tcBorders>
              <w:bottom w:val="single" w:sz="8" w:color="D7282F"/>
            </w:tcBorders>
          </w:tcPr>
          <w:p>
            <w:pPr>
              <w:spacing w:after="0"/>
              <w:rPr>
                <w:sz w:val="13"/>
                <w:szCs w:val="13"/>
                <w:color w:val="auto"/>
              </w:rPr>
            </w:pPr>
          </w:p>
        </w:tc>
        <w:tc>
          <w:tcPr>
            <w:tcW w:w="160" w:type="dxa"/>
            <w:vAlign w:val="bottom"/>
            <w:tcBorders>
              <w:bottom w:val="single" w:sz="8" w:color="D7282F"/>
            </w:tcBorders>
          </w:tcPr>
          <w:p>
            <w:pPr>
              <w:spacing w:after="0"/>
              <w:rPr>
                <w:sz w:val="13"/>
                <w:szCs w:val="13"/>
                <w:color w:val="auto"/>
              </w:rPr>
            </w:pPr>
          </w:p>
        </w:tc>
        <w:tc>
          <w:tcPr>
            <w:tcW w:w="560" w:type="dxa"/>
            <w:vAlign w:val="bottom"/>
            <w:tcBorders>
              <w:bottom w:val="single" w:sz="8" w:color="D7282F"/>
            </w:tcBorders>
          </w:tcPr>
          <w:p>
            <w:pPr>
              <w:jc w:val="right"/>
              <w:ind w:right="192"/>
              <w:spacing w:after="0"/>
              <w:rPr>
                <w:sz w:val="20"/>
                <w:szCs w:val="20"/>
                <w:color w:val="auto"/>
              </w:rPr>
            </w:pPr>
            <w:r>
              <w:rPr>
                <w:rFonts w:ascii="Arial" w:cs="Arial" w:eastAsia="Arial" w:hAnsi="Arial"/>
                <w:sz w:val="10"/>
                <w:szCs w:val="10"/>
                <w:b w:val="1"/>
                <w:bCs w:val="1"/>
                <w:color w:val="auto"/>
              </w:rPr>
              <w:t>2023</w:t>
            </w:r>
          </w:p>
        </w:tc>
        <w:tc>
          <w:tcPr>
            <w:tcW w:w="42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2022</w:t>
            </w:r>
          </w:p>
        </w:tc>
        <w:tc>
          <w:tcPr>
            <w:tcW w:w="30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2021</w:t>
            </w:r>
          </w:p>
        </w:tc>
      </w:tr>
      <w:tr>
        <w:trPr>
          <w:trHeight w:val="122"/>
        </w:trPr>
        <w:tc>
          <w:tcPr>
            <w:tcW w:w="85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U.S.</w:t>
            </w:r>
          </w:p>
        </w:tc>
        <w:tc>
          <w:tcPr>
            <w:tcW w:w="16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2,368</w:t>
            </w:r>
          </w:p>
        </w:tc>
        <w:tc>
          <w:tcPr>
            <w:tcW w:w="42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3,305</w:t>
            </w:r>
          </w:p>
        </w:tc>
        <w:tc>
          <w:tcPr>
            <w:tcW w:w="3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3,955</w:t>
            </w:r>
          </w:p>
        </w:tc>
      </w:tr>
      <w:tr>
        <w:trPr>
          <w:trHeight w:val="124"/>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Non-U.S.</w:t>
            </w:r>
          </w:p>
        </w:tc>
        <w:tc>
          <w:tcPr>
            <w:tcW w:w="16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4,791</w:t>
            </w:r>
          </w:p>
        </w:tc>
        <w:tc>
          <w:tcPr>
            <w:tcW w:w="42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3,074</w:t>
            </w:r>
          </w:p>
        </w:tc>
        <w:tc>
          <w:tcPr>
            <w:tcW w:w="30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3,280</w:t>
            </w:r>
          </w:p>
        </w:tc>
      </w:tr>
      <w:tr>
        <w:trPr>
          <w:trHeight w:val="126"/>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Income before taxes</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7,159</w:t>
            </w:r>
          </w:p>
        </w:tc>
        <w:tc>
          <w:tcPr>
            <w:tcW w:w="42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6,379</w:t>
            </w:r>
          </w:p>
        </w:tc>
        <w:tc>
          <w:tcPr>
            <w:tcW w:w="3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7,235</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EXPENSE (BENEFIT)</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Tax expense (benefit) consists of:</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580" w:type="dxa"/>
            <w:vAlign w:val="bottom"/>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560" w:type="dxa"/>
            <w:vAlign w:val="bottom"/>
            <w:tcBorders>
              <w:bottom w:val="single" w:sz="8" w:color="D7282F"/>
            </w:tcBorders>
          </w:tcPr>
          <w:p>
            <w:pPr>
              <w:spacing w:after="0"/>
              <w:rPr>
                <w:sz w:val="11"/>
                <w:szCs w:val="11"/>
                <w:color w:val="auto"/>
              </w:rPr>
            </w:pPr>
          </w:p>
        </w:tc>
        <w:tc>
          <w:tcPr>
            <w:tcW w:w="1400" w:type="dxa"/>
            <w:vAlign w:val="bottom"/>
            <w:tcBorders>
              <w:bottom w:val="single" w:sz="8" w:color="D7282F"/>
            </w:tcBorders>
            <w:gridSpan w:val="3"/>
          </w:tcPr>
          <w:p>
            <w:pPr>
              <w:jc w:val="right"/>
              <w:ind w:right="92"/>
              <w:spacing w:after="0"/>
              <w:rPr>
                <w:sz w:val="20"/>
                <w:szCs w:val="20"/>
                <w:color w:val="auto"/>
              </w:rPr>
            </w:pPr>
            <w:r>
              <w:rPr>
                <w:rFonts w:ascii="Arial" w:cs="Arial" w:eastAsia="Arial" w:hAnsi="Arial"/>
                <w:sz w:val="10"/>
                <w:szCs w:val="10"/>
                <w:b w:val="1"/>
                <w:bCs w:val="1"/>
                <w:color w:val="auto"/>
                <w:w w:val="96"/>
              </w:rPr>
              <w:t>Years Ended December 31,</w:t>
            </w:r>
          </w:p>
        </w:tc>
        <w:tc>
          <w:tcPr>
            <w:tcW w:w="600" w:type="dxa"/>
            <w:vAlign w:val="bottom"/>
            <w:tcBorders>
              <w:bottom w:val="single" w:sz="8" w:color="D7282F"/>
            </w:tcBorders>
          </w:tcPr>
          <w:p>
            <w:pPr>
              <w:spacing w:after="0"/>
              <w:rPr>
                <w:sz w:val="11"/>
                <w:szCs w:val="11"/>
                <w:color w:val="auto"/>
              </w:rPr>
            </w:pPr>
          </w:p>
        </w:tc>
      </w:tr>
      <w:tr>
        <w:trPr>
          <w:trHeight w:val="151"/>
        </w:trPr>
        <w:tc>
          <w:tcPr>
            <w:tcW w:w="8580" w:type="dxa"/>
            <w:vAlign w:val="bottom"/>
            <w:tcBorders>
              <w:bottom w:val="single" w:sz="8" w:color="D7282F"/>
            </w:tcBorders>
          </w:tcPr>
          <w:p>
            <w:pPr>
              <w:spacing w:after="0"/>
              <w:rPr>
                <w:sz w:val="13"/>
                <w:szCs w:val="13"/>
                <w:color w:val="auto"/>
              </w:rPr>
            </w:pPr>
          </w:p>
        </w:tc>
        <w:tc>
          <w:tcPr>
            <w:tcW w:w="160" w:type="dxa"/>
            <w:vAlign w:val="bottom"/>
            <w:tcBorders>
              <w:bottom w:val="single" w:sz="8" w:color="D7282F"/>
            </w:tcBorders>
          </w:tcPr>
          <w:p>
            <w:pPr>
              <w:spacing w:after="0"/>
              <w:rPr>
                <w:sz w:val="13"/>
                <w:szCs w:val="13"/>
                <w:color w:val="auto"/>
              </w:rPr>
            </w:pPr>
          </w:p>
        </w:tc>
        <w:tc>
          <w:tcPr>
            <w:tcW w:w="560" w:type="dxa"/>
            <w:vAlign w:val="bottom"/>
            <w:tcBorders>
              <w:bottom w:val="single" w:sz="8" w:color="D7282F"/>
            </w:tcBorders>
          </w:tcPr>
          <w:p>
            <w:pPr>
              <w:jc w:val="right"/>
              <w:ind w:right="192"/>
              <w:spacing w:after="0"/>
              <w:rPr>
                <w:sz w:val="20"/>
                <w:szCs w:val="20"/>
                <w:color w:val="auto"/>
              </w:rPr>
            </w:pPr>
            <w:r>
              <w:rPr>
                <w:rFonts w:ascii="Arial" w:cs="Arial" w:eastAsia="Arial" w:hAnsi="Arial"/>
                <w:sz w:val="10"/>
                <w:szCs w:val="10"/>
                <w:b w:val="1"/>
                <w:bCs w:val="1"/>
                <w:color w:val="auto"/>
              </w:rPr>
              <w:t>2023</w:t>
            </w:r>
          </w:p>
        </w:tc>
        <w:tc>
          <w:tcPr>
            <w:tcW w:w="420" w:type="dxa"/>
            <w:vAlign w:val="bottom"/>
            <w:tcBorders>
              <w:bottom w:val="single" w:sz="8" w:color="D7282F"/>
            </w:tcBorders>
          </w:tcPr>
          <w:p>
            <w:pPr>
              <w:spacing w:after="0"/>
              <w:rPr>
                <w:sz w:val="13"/>
                <w:szCs w:val="13"/>
                <w:color w:val="auto"/>
              </w:rPr>
            </w:pPr>
          </w:p>
        </w:tc>
        <w:tc>
          <w:tcPr>
            <w:tcW w:w="70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2022</w:t>
            </w:r>
          </w:p>
        </w:tc>
        <w:tc>
          <w:tcPr>
            <w:tcW w:w="28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2021</w:t>
            </w:r>
          </w:p>
        </w:tc>
      </w:tr>
      <w:tr>
        <w:trPr>
          <w:trHeight w:val="122"/>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Current</w:t>
            </w:r>
          </w:p>
        </w:tc>
        <w:tc>
          <w:tcPr>
            <w:tcW w:w="1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spacing w:after="0"/>
              <w:rPr>
                <w:sz w:val="10"/>
                <w:szCs w:val="10"/>
                <w:color w:val="auto"/>
              </w:rPr>
            </w:pP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spacing w:after="0"/>
              <w:rPr>
                <w:sz w:val="10"/>
                <w:szCs w:val="10"/>
                <w:color w:val="auto"/>
              </w:rPr>
            </w:pPr>
          </w:p>
        </w:tc>
      </w:tr>
      <w:tr>
        <w:trPr>
          <w:trHeight w:val="124"/>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U.S. Federal</w:t>
            </w:r>
          </w:p>
        </w:tc>
        <w:tc>
          <w:tcPr>
            <w:tcW w:w="16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176</w:t>
            </w:r>
          </w:p>
        </w:tc>
        <w:tc>
          <w:tcPr>
            <w:tcW w:w="42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653</w:t>
            </w:r>
          </w:p>
        </w:tc>
        <w:tc>
          <w:tcPr>
            <w:tcW w:w="2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415</w:t>
            </w:r>
          </w:p>
        </w:tc>
      </w:tr>
      <w:tr>
        <w:trPr>
          <w:trHeight w:val="124"/>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U.S. State</w:t>
            </w:r>
          </w:p>
        </w:tc>
        <w:tc>
          <w:tcPr>
            <w:tcW w:w="1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60</w:t>
            </w:r>
          </w:p>
        </w:tc>
        <w:tc>
          <w:tcPr>
            <w:tcW w:w="42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124</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146</w:t>
            </w:r>
          </w:p>
        </w:tc>
      </w:tr>
      <w:tr>
        <w:trPr>
          <w:trHeight w:val="124"/>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Non-U.S.</w:t>
            </w:r>
          </w:p>
        </w:tc>
        <w:tc>
          <w:tcPr>
            <w:tcW w:w="16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1,098</w:t>
            </w:r>
          </w:p>
        </w:tc>
        <w:tc>
          <w:tcPr>
            <w:tcW w:w="42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815</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886</w:t>
            </w:r>
          </w:p>
        </w:tc>
      </w:tr>
      <w:tr>
        <w:trPr>
          <w:trHeight w:val="126"/>
        </w:trPr>
        <w:tc>
          <w:tcPr>
            <w:tcW w:w="85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current tax expense (benefit)</w:t>
            </w:r>
          </w:p>
        </w:tc>
        <w:tc>
          <w:tcPr>
            <w:tcW w:w="16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1,334</w:t>
            </w:r>
          </w:p>
        </w:tc>
        <w:tc>
          <w:tcPr>
            <w:tcW w:w="42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1,592</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1,447</w:t>
            </w:r>
          </w:p>
        </w:tc>
      </w:tr>
      <w:tr>
        <w:trPr>
          <w:trHeight w:val="122"/>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Deferred</w:t>
            </w:r>
          </w:p>
        </w:tc>
        <w:tc>
          <w:tcPr>
            <w:tcW w:w="1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spacing w:after="0"/>
              <w:rPr>
                <w:sz w:val="10"/>
                <w:szCs w:val="10"/>
                <w:color w:val="auto"/>
              </w:rPr>
            </w:pP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spacing w:after="0"/>
              <w:rPr>
                <w:sz w:val="10"/>
                <w:szCs w:val="10"/>
                <w:color w:val="auto"/>
              </w:rPr>
            </w:pPr>
          </w:p>
        </w:tc>
      </w:tr>
      <w:tr>
        <w:trPr>
          <w:trHeight w:val="124"/>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U.S. Federal</w:t>
            </w:r>
          </w:p>
        </w:tc>
        <w:tc>
          <w:tcPr>
            <w:tcW w:w="1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27</w:t>
            </w:r>
          </w:p>
        </w:tc>
        <w:tc>
          <w:tcPr>
            <w:tcW w:w="42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(175)</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173</w:t>
            </w:r>
          </w:p>
        </w:tc>
      </w:tr>
      <w:tr>
        <w:trPr>
          <w:trHeight w:val="124"/>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U.S. State</w:t>
            </w:r>
          </w:p>
        </w:tc>
        <w:tc>
          <w:tcPr>
            <w:tcW w:w="1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11</w:t>
            </w:r>
          </w:p>
        </w:tc>
        <w:tc>
          <w:tcPr>
            <w:tcW w:w="42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(36)</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37</w:t>
            </w:r>
          </w:p>
        </w:tc>
      </w:tr>
      <w:tr>
        <w:trPr>
          <w:trHeight w:val="124"/>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Non-U.S.</w:t>
            </w:r>
          </w:p>
        </w:tc>
        <w:tc>
          <w:tcPr>
            <w:tcW w:w="16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115</w:t>
            </w:r>
          </w:p>
        </w:tc>
        <w:tc>
          <w:tcPr>
            <w:tcW w:w="42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32</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(32)</w:t>
            </w:r>
          </w:p>
        </w:tc>
      </w:tr>
      <w:tr>
        <w:trPr>
          <w:trHeight w:val="126"/>
        </w:trPr>
        <w:tc>
          <w:tcPr>
            <w:tcW w:w="85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deferred tax expense (benefit)</w:t>
            </w:r>
          </w:p>
        </w:tc>
        <w:tc>
          <w:tcPr>
            <w:tcW w:w="16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153</w:t>
            </w:r>
          </w:p>
        </w:tc>
        <w:tc>
          <w:tcPr>
            <w:tcW w:w="42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(180)</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178</w:t>
            </w:r>
          </w:p>
        </w:tc>
      </w:tr>
      <w:tr>
        <w:trPr>
          <w:trHeight w:val="124"/>
        </w:trPr>
        <w:tc>
          <w:tcPr>
            <w:tcW w:w="8580" w:type="dxa"/>
            <w:vAlign w:val="bottom"/>
            <w:tcBorders>
              <w:bottom w:val="single" w:sz="8" w:color="D7282F"/>
            </w:tcBorders>
          </w:tcPr>
          <w:p>
            <w:pPr>
              <w:ind w:left="220"/>
              <w:spacing w:after="0"/>
              <w:rPr>
                <w:sz w:val="20"/>
                <w:szCs w:val="20"/>
                <w:color w:val="auto"/>
              </w:rPr>
            </w:pPr>
            <w:r>
              <w:rPr>
                <w:rFonts w:ascii="Arial" w:cs="Arial" w:eastAsia="Arial" w:hAnsi="Arial"/>
                <w:sz w:val="10"/>
                <w:szCs w:val="10"/>
                <w:b w:val="1"/>
                <w:bCs w:val="1"/>
                <w:color w:val="auto"/>
              </w:rPr>
              <w:t>Total Tax expense</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1,487</w:t>
            </w:r>
          </w:p>
        </w:tc>
        <w:tc>
          <w:tcPr>
            <w:tcW w:w="42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1,412</w:t>
            </w:r>
          </w:p>
        </w:tc>
        <w:tc>
          <w:tcPr>
            <w:tcW w:w="2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1,625</w:t>
            </w:r>
          </w:p>
        </w:tc>
      </w:tr>
    </w:tbl>
    <w:p>
      <w:pPr>
        <w:spacing w:after="0" w:line="338"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D7282F"/>
        </w:rPr>
        <w:t>72</w:t>
      </w:r>
      <w:r>
        <w:rPr>
          <w:sz w:val="20"/>
          <w:szCs w:val="20"/>
          <w:color w:val="auto"/>
        </w:rPr>
        <w:tab/>
      </w:r>
      <w:r>
        <w:rPr>
          <w:rFonts w:ascii="Arial" w:cs="Arial" w:eastAsia="Arial" w:hAnsi="Arial"/>
          <w:sz w:val="8"/>
          <w:szCs w:val="8"/>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90805</wp:posOffset>
            </wp:positionV>
            <wp:extent cx="7203440"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74" w:name="page75"/>
    <w:bookmarkEnd w:id="74"/>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U.S. federal statutory income tax rate is reconciled to the effective income tax rate as follows:</w:t>
      </w:r>
    </w:p>
    <w:p>
      <w:pPr>
        <w:spacing w:after="0" w:line="136"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8380" w:type="dxa"/>
            <w:vAlign w:val="bottom"/>
          </w:tcPr>
          <w:p>
            <w:pPr>
              <w:spacing w:after="0"/>
              <w:rPr>
                <w:sz w:val="11"/>
                <w:szCs w:val="11"/>
                <w:color w:val="auto"/>
              </w:rPr>
            </w:pPr>
          </w:p>
        </w:tc>
        <w:tc>
          <w:tcPr>
            <w:tcW w:w="820" w:type="dxa"/>
            <w:vAlign w:val="bottom"/>
            <w:tcBorders>
              <w:bottom w:val="single" w:sz="8" w:color="D7282F"/>
            </w:tcBorders>
          </w:tcPr>
          <w:p>
            <w:pPr>
              <w:spacing w:after="0"/>
              <w:rPr>
                <w:sz w:val="11"/>
                <w:szCs w:val="11"/>
                <w:color w:val="auto"/>
              </w:rPr>
            </w:pPr>
          </w:p>
        </w:tc>
        <w:tc>
          <w:tcPr>
            <w:tcW w:w="14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w w:val="94"/>
              </w:rPr>
              <w:t>Years Ended December 31,</w:t>
            </w:r>
          </w:p>
        </w:tc>
        <w:tc>
          <w:tcPr>
            <w:tcW w:w="700" w:type="dxa"/>
            <w:vAlign w:val="bottom"/>
            <w:tcBorders>
              <w:bottom w:val="single" w:sz="8" w:color="D7282F"/>
            </w:tcBorders>
          </w:tcPr>
          <w:p>
            <w:pPr>
              <w:spacing w:after="0"/>
              <w:rPr>
                <w:sz w:val="11"/>
                <w:szCs w:val="11"/>
                <w:color w:val="auto"/>
              </w:rPr>
            </w:pPr>
          </w:p>
        </w:tc>
      </w:tr>
      <w:tr>
        <w:trPr>
          <w:trHeight w:val="151"/>
        </w:trPr>
        <w:tc>
          <w:tcPr>
            <w:tcW w:w="8380" w:type="dxa"/>
            <w:vAlign w:val="bottom"/>
            <w:tcBorders>
              <w:bottom w:val="single" w:sz="8" w:color="D7282F"/>
            </w:tcBorders>
          </w:tcPr>
          <w:p>
            <w:pPr>
              <w:spacing w:after="0"/>
              <w:rPr>
                <w:sz w:val="13"/>
                <w:szCs w:val="13"/>
                <w:color w:val="auto"/>
              </w:rPr>
            </w:pPr>
          </w:p>
        </w:tc>
        <w:tc>
          <w:tcPr>
            <w:tcW w:w="820" w:type="dxa"/>
            <w:vAlign w:val="bottom"/>
            <w:tcBorders>
              <w:bottom w:val="single" w:sz="8" w:color="D7282F"/>
            </w:tcBorders>
          </w:tcPr>
          <w:p>
            <w:pPr>
              <w:jc w:val="right"/>
              <w:ind w:right="252"/>
              <w:spacing w:after="0"/>
              <w:rPr>
                <w:sz w:val="20"/>
                <w:szCs w:val="20"/>
                <w:color w:val="auto"/>
              </w:rPr>
            </w:pPr>
            <w:r>
              <w:rPr>
                <w:rFonts w:ascii="Arial" w:cs="Arial" w:eastAsia="Arial" w:hAnsi="Arial"/>
                <w:sz w:val="10"/>
                <w:szCs w:val="10"/>
                <w:b w:val="1"/>
                <w:bCs w:val="1"/>
                <w:color w:val="auto"/>
              </w:rPr>
              <w:t>2023</w:t>
            </w:r>
          </w:p>
        </w:tc>
        <w:tc>
          <w:tcPr>
            <w:tcW w:w="1400" w:type="dxa"/>
            <w:vAlign w:val="bottom"/>
            <w:tcBorders>
              <w:bottom w:val="single" w:sz="8" w:color="D7282F"/>
            </w:tcBorders>
          </w:tcPr>
          <w:p>
            <w:pPr>
              <w:jc w:val="right"/>
              <w:ind w:right="612"/>
              <w:spacing w:after="0"/>
              <w:rPr>
                <w:sz w:val="20"/>
                <w:szCs w:val="20"/>
                <w:color w:val="auto"/>
              </w:rPr>
            </w:pPr>
            <w:r>
              <w:rPr>
                <w:rFonts w:ascii="Arial" w:cs="Arial" w:eastAsia="Arial" w:hAnsi="Arial"/>
                <w:sz w:val="10"/>
                <w:szCs w:val="10"/>
                <w:b w:val="1"/>
                <w:bCs w:val="1"/>
                <w:color w:val="auto"/>
              </w:rPr>
              <w:t>2022</w:t>
            </w:r>
          </w:p>
        </w:tc>
        <w:tc>
          <w:tcPr>
            <w:tcW w:w="70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rPr>
              <w:t>2021</w:t>
            </w:r>
          </w:p>
        </w:tc>
      </w:tr>
      <w:tr>
        <w:trPr>
          <w:trHeight w:val="122"/>
        </w:trPr>
        <w:tc>
          <w:tcPr>
            <w:tcW w:w="83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U.S. federal statutory income tax rate</w:t>
            </w: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21.0 %</w:t>
            </w:r>
          </w:p>
        </w:tc>
        <w:tc>
          <w:tcPr>
            <w:tcW w:w="1400" w:type="dxa"/>
            <w:vAlign w:val="bottom"/>
            <w:tcBorders>
              <w:bottom w:val="single" w:sz="8" w:color="61656A"/>
            </w:tcBorders>
          </w:tcPr>
          <w:p>
            <w:pPr>
              <w:jc w:val="right"/>
              <w:ind w:right="312"/>
              <w:spacing w:after="0"/>
              <w:rPr>
                <w:sz w:val="20"/>
                <w:szCs w:val="20"/>
                <w:color w:val="auto"/>
              </w:rPr>
            </w:pPr>
            <w:r>
              <w:rPr>
                <w:rFonts w:ascii="Arial" w:cs="Arial" w:eastAsia="Arial" w:hAnsi="Arial"/>
                <w:sz w:val="10"/>
                <w:szCs w:val="10"/>
                <w:color w:val="auto"/>
              </w:rPr>
              <w:t>21.0 %</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21.0 %</w:t>
            </w:r>
          </w:p>
        </w:tc>
      </w:tr>
      <w:tr>
        <w:trPr>
          <w:trHeight w:val="124"/>
        </w:trPr>
        <w:tc>
          <w:tcPr>
            <w:tcW w:w="83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Taxes on non-U.S. earnings</w:t>
            </w:r>
            <w:r>
              <w:rPr>
                <w:rFonts w:ascii="Arial" w:cs="Arial" w:eastAsia="Arial" w:hAnsi="Arial"/>
                <w:sz w:val="6"/>
                <w:szCs w:val="6"/>
                <w:color w:val="auto"/>
              </w:rPr>
              <w:t>1,2,3</w:t>
            </w:r>
          </w:p>
        </w:tc>
        <w:tc>
          <w:tcPr>
            <w:tcW w:w="82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(2.0)</w:t>
            </w:r>
          </w:p>
        </w:tc>
        <w:tc>
          <w:tcPr>
            <w:tcW w:w="1400" w:type="dxa"/>
            <w:vAlign w:val="bottom"/>
            <w:tcBorders>
              <w:bottom w:val="single" w:sz="8" w:color="61656A"/>
            </w:tcBorders>
          </w:tcPr>
          <w:p>
            <w:pPr>
              <w:jc w:val="right"/>
              <w:ind w:right="412"/>
              <w:spacing w:after="0"/>
              <w:rPr>
                <w:sz w:val="20"/>
                <w:szCs w:val="20"/>
                <w:color w:val="auto"/>
              </w:rPr>
            </w:pPr>
            <w:r>
              <w:rPr>
                <w:rFonts w:ascii="Arial" w:cs="Arial" w:eastAsia="Arial" w:hAnsi="Arial"/>
                <w:sz w:val="10"/>
                <w:szCs w:val="10"/>
                <w:color w:val="auto"/>
              </w:rPr>
              <w:t>(0.4)</w:t>
            </w:r>
          </w:p>
        </w:tc>
        <w:tc>
          <w:tcPr>
            <w:tcW w:w="70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(1.4)</w:t>
            </w:r>
          </w:p>
        </w:tc>
      </w:tr>
      <w:tr>
        <w:trPr>
          <w:trHeight w:val="124"/>
        </w:trPr>
        <w:tc>
          <w:tcPr>
            <w:tcW w:w="83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U.S. state income taxes</w:t>
            </w:r>
            <w:r>
              <w:rPr>
                <w:rFonts w:ascii="Arial" w:cs="Arial" w:eastAsia="Arial" w:hAnsi="Arial"/>
                <w:sz w:val="6"/>
                <w:szCs w:val="6"/>
                <w:color w:val="auto"/>
              </w:rPr>
              <w:t>1</w:t>
            </w:r>
          </w:p>
        </w:tc>
        <w:tc>
          <w:tcPr>
            <w:tcW w:w="82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0.5</w:t>
            </w:r>
          </w:p>
        </w:tc>
        <w:tc>
          <w:tcPr>
            <w:tcW w:w="1400" w:type="dxa"/>
            <w:vAlign w:val="bottom"/>
            <w:tcBorders>
              <w:bottom w:val="single" w:sz="8" w:color="61656A"/>
            </w:tcBorders>
          </w:tcPr>
          <w:p>
            <w:pPr>
              <w:jc w:val="right"/>
              <w:ind w:right="432"/>
              <w:spacing w:after="0"/>
              <w:rPr>
                <w:sz w:val="20"/>
                <w:szCs w:val="20"/>
                <w:color w:val="auto"/>
              </w:rPr>
            </w:pPr>
            <w:r>
              <w:rPr>
                <w:rFonts w:ascii="Arial" w:cs="Arial" w:eastAsia="Arial" w:hAnsi="Arial"/>
                <w:sz w:val="10"/>
                <w:szCs w:val="10"/>
                <w:color w:val="auto"/>
              </w:rPr>
              <w:t>1.4</w:t>
            </w:r>
          </w:p>
        </w:tc>
        <w:tc>
          <w:tcPr>
            <w:tcW w:w="7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1.5</w:t>
            </w:r>
          </w:p>
        </w:tc>
      </w:tr>
      <w:tr>
        <w:trPr>
          <w:trHeight w:val="124"/>
        </w:trPr>
        <w:tc>
          <w:tcPr>
            <w:tcW w:w="83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Reserves for tax contingencies</w:t>
            </w:r>
          </w:p>
        </w:tc>
        <w:tc>
          <w:tcPr>
            <w:tcW w:w="82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3.4</w:t>
            </w:r>
          </w:p>
        </w:tc>
        <w:tc>
          <w:tcPr>
            <w:tcW w:w="1400" w:type="dxa"/>
            <w:vAlign w:val="bottom"/>
            <w:tcBorders>
              <w:bottom w:val="single" w:sz="8" w:color="61656A"/>
            </w:tcBorders>
          </w:tcPr>
          <w:p>
            <w:pPr>
              <w:jc w:val="right"/>
              <w:ind w:right="432"/>
              <w:spacing w:after="0"/>
              <w:rPr>
                <w:sz w:val="20"/>
                <w:szCs w:val="20"/>
                <w:color w:val="auto"/>
              </w:rPr>
            </w:pPr>
            <w:r>
              <w:rPr>
                <w:rFonts w:ascii="Arial" w:cs="Arial" w:eastAsia="Arial" w:hAnsi="Arial"/>
                <w:sz w:val="10"/>
                <w:szCs w:val="10"/>
                <w:color w:val="auto"/>
              </w:rPr>
              <w:t>1.1</w:t>
            </w:r>
          </w:p>
        </w:tc>
        <w:tc>
          <w:tcPr>
            <w:tcW w:w="7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2.2</w:t>
            </w:r>
          </w:p>
        </w:tc>
      </w:tr>
      <w:tr>
        <w:trPr>
          <w:trHeight w:val="124"/>
        </w:trPr>
        <w:tc>
          <w:tcPr>
            <w:tcW w:w="83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Employee share-based payments</w:t>
            </w:r>
          </w:p>
        </w:tc>
        <w:tc>
          <w:tcPr>
            <w:tcW w:w="82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(0.3)</w:t>
            </w:r>
          </w:p>
        </w:tc>
        <w:tc>
          <w:tcPr>
            <w:tcW w:w="1400" w:type="dxa"/>
            <w:vAlign w:val="bottom"/>
            <w:tcBorders>
              <w:bottom w:val="single" w:sz="8" w:color="61656A"/>
            </w:tcBorders>
          </w:tcPr>
          <w:p>
            <w:pPr>
              <w:jc w:val="right"/>
              <w:ind w:right="412"/>
              <w:spacing w:after="0"/>
              <w:rPr>
                <w:sz w:val="20"/>
                <w:szCs w:val="20"/>
                <w:color w:val="auto"/>
              </w:rPr>
            </w:pPr>
            <w:r>
              <w:rPr>
                <w:rFonts w:ascii="Arial" w:cs="Arial" w:eastAsia="Arial" w:hAnsi="Arial"/>
                <w:sz w:val="10"/>
                <w:szCs w:val="10"/>
                <w:color w:val="auto"/>
              </w:rPr>
              <w:t>(0.9)</w:t>
            </w:r>
          </w:p>
        </w:tc>
        <w:tc>
          <w:tcPr>
            <w:tcW w:w="70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(0.7)</w:t>
            </w:r>
          </w:p>
        </w:tc>
      </w:tr>
      <w:tr>
        <w:trPr>
          <w:trHeight w:val="124"/>
        </w:trPr>
        <w:tc>
          <w:tcPr>
            <w:tcW w:w="83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Restructuring</w:t>
            </w:r>
          </w:p>
        </w:tc>
        <w:tc>
          <w:tcPr>
            <w:tcW w:w="82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1400" w:type="dxa"/>
            <w:vAlign w:val="bottom"/>
            <w:tcBorders>
              <w:bottom w:val="single" w:sz="8" w:color="61656A"/>
            </w:tcBorders>
          </w:tcPr>
          <w:p>
            <w:pPr>
              <w:jc w:val="right"/>
              <w:ind w:right="432"/>
              <w:spacing w:after="0"/>
              <w:rPr>
                <w:sz w:val="20"/>
                <w:szCs w:val="20"/>
                <w:color w:val="auto"/>
              </w:rPr>
            </w:pPr>
            <w:r>
              <w:rPr>
                <w:rFonts w:ascii="Arial" w:cs="Arial" w:eastAsia="Arial" w:hAnsi="Arial"/>
                <w:sz w:val="10"/>
                <w:szCs w:val="10"/>
                <w:color w:val="auto"/>
              </w:rPr>
              <w:t>0.7</w:t>
            </w:r>
          </w:p>
        </w:tc>
        <w:tc>
          <w:tcPr>
            <w:tcW w:w="70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(1.4)</w:t>
            </w:r>
          </w:p>
        </w:tc>
      </w:tr>
      <w:tr>
        <w:trPr>
          <w:trHeight w:val="124"/>
        </w:trPr>
        <w:tc>
          <w:tcPr>
            <w:tcW w:w="83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U.S. federal tax credits</w:t>
            </w:r>
          </w:p>
        </w:tc>
        <w:tc>
          <w:tcPr>
            <w:tcW w:w="82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(1.6)</w:t>
            </w:r>
          </w:p>
        </w:tc>
        <w:tc>
          <w:tcPr>
            <w:tcW w:w="1400" w:type="dxa"/>
            <w:vAlign w:val="bottom"/>
            <w:tcBorders>
              <w:bottom w:val="single" w:sz="8" w:color="61656A"/>
            </w:tcBorders>
          </w:tcPr>
          <w:p>
            <w:pPr>
              <w:jc w:val="right"/>
              <w:ind w:right="412"/>
              <w:spacing w:after="0"/>
              <w:rPr>
                <w:sz w:val="20"/>
                <w:szCs w:val="20"/>
                <w:color w:val="auto"/>
              </w:rPr>
            </w:pPr>
            <w:r>
              <w:rPr>
                <w:rFonts w:ascii="Arial" w:cs="Arial" w:eastAsia="Arial" w:hAnsi="Arial"/>
                <w:sz w:val="10"/>
                <w:szCs w:val="10"/>
                <w:color w:val="auto"/>
              </w:rPr>
              <w:t>(0.9)</w:t>
            </w:r>
          </w:p>
        </w:tc>
        <w:tc>
          <w:tcPr>
            <w:tcW w:w="70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(0.6)</w:t>
            </w:r>
          </w:p>
        </w:tc>
      </w:tr>
      <w:tr>
        <w:trPr>
          <w:trHeight w:val="124"/>
        </w:trPr>
        <w:tc>
          <w:tcPr>
            <w:tcW w:w="83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U.S. valuation allowance</w:t>
            </w:r>
          </w:p>
        </w:tc>
        <w:tc>
          <w:tcPr>
            <w:tcW w:w="82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(0.1)</w:t>
            </w:r>
          </w:p>
        </w:tc>
        <w:tc>
          <w:tcPr>
            <w:tcW w:w="1400" w:type="dxa"/>
            <w:vAlign w:val="bottom"/>
            <w:tcBorders>
              <w:bottom w:val="single" w:sz="8" w:color="61656A"/>
            </w:tcBorders>
          </w:tcPr>
          <w:p>
            <w:pPr>
              <w:jc w:val="right"/>
              <w:ind w:right="412"/>
              <w:spacing w:after="0"/>
              <w:rPr>
                <w:sz w:val="20"/>
                <w:szCs w:val="20"/>
                <w:color w:val="auto"/>
              </w:rPr>
            </w:pPr>
            <w:r>
              <w:rPr>
                <w:rFonts w:ascii="Arial" w:cs="Arial" w:eastAsia="Arial" w:hAnsi="Arial"/>
                <w:sz w:val="10"/>
                <w:szCs w:val="10"/>
                <w:color w:val="auto"/>
              </w:rPr>
              <w:t>(0.2)</w:t>
            </w:r>
          </w:p>
        </w:tc>
        <w:tc>
          <w:tcPr>
            <w:tcW w:w="7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2.0</w:t>
            </w:r>
          </w:p>
        </w:tc>
      </w:tr>
      <w:tr>
        <w:trPr>
          <w:trHeight w:val="124"/>
        </w:trPr>
        <w:tc>
          <w:tcPr>
            <w:tcW w:w="83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All other items—net</w:t>
            </w:r>
          </w:p>
        </w:tc>
        <w:tc>
          <w:tcPr>
            <w:tcW w:w="82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color w:val="auto"/>
              </w:rPr>
              <w:t>(0.1)</w:t>
            </w:r>
          </w:p>
        </w:tc>
        <w:tc>
          <w:tcPr>
            <w:tcW w:w="1400" w:type="dxa"/>
            <w:vAlign w:val="bottom"/>
            <w:tcBorders>
              <w:bottom w:val="single" w:sz="8" w:color="D7282F"/>
            </w:tcBorders>
          </w:tcPr>
          <w:p>
            <w:pPr>
              <w:jc w:val="right"/>
              <w:ind w:right="432"/>
              <w:spacing w:after="0"/>
              <w:rPr>
                <w:sz w:val="20"/>
                <w:szCs w:val="20"/>
                <w:color w:val="auto"/>
              </w:rPr>
            </w:pPr>
            <w:r>
              <w:rPr>
                <w:rFonts w:ascii="Arial" w:cs="Arial" w:eastAsia="Arial" w:hAnsi="Arial"/>
                <w:sz w:val="10"/>
                <w:szCs w:val="10"/>
                <w:color w:val="auto"/>
              </w:rPr>
              <w:t>0.3</w:t>
            </w:r>
          </w:p>
        </w:tc>
        <w:tc>
          <w:tcPr>
            <w:tcW w:w="7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color w:val="auto"/>
              </w:rPr>
              <w:t>(0.1)</w:t>
            </w:r>
          </w:p>
        </w:tc>
      </w:tr>
      <w:tr>
        <w:trPr>
          <w:trHeight w:val="126"/>
        </w:trPr>
        <w:tc>
          <w:tcPr>
            <w:tcW w:w="838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Effective income tax rate</w:t>
            </w: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20.8 %</w:t>
            </w:r>
          </w:p>
        </w:tc>
        <w:tc>
          <w:tcPr>
            <w:tcW w:w="140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22.1 %</w:t>
            </w: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22.5 %</w:t>
            </w:r>
          </w:p>
        </w:tc>
      </w:tr>
    </w:tbl>
    <w:p>
      <w:pPr>
        <w:spacing w:after="0" w:line="20" w:lineRule="exact"/>
        <w:rPr>
          <w:sz w:val="20"/>
          <w:szCs w:val="20"/>
          <w:color w:val="auto"/>
        </w:rPr>
      </w:pPr>
    </w:p>
    <w:p>
      <w:pPr>
        <w:ind w:left="428" w:hanging="280"/>
        <w:spacing w:after="0"/>
        <w:tabs>
          <w:tab w:leader="none" w:pos="428" w:val="left"/>
        </w:tabs>
        <w:numPr>
          <w:ilvl w:val="0"/>
          <w:numId w:val="116"/>
        </w:numPr>
        <w:rPr>
          <w:rFonts w:ascii="Arial" w:cs="Arial" w:eastAsia="Arial" w:hAnsi="Arial"/>
          <w:sz w:val="17"/>
          <w:szCs w:val="17"/>
          <w:color w:val="auto"/>
          <w:vertAlign w:val="superscript"/>
        </w:rPr>
      </w:pPr>
      <w:r>
        <w:rPr>
          <w:rFonts w:ascii="Arial" w:cs="Arial" w:eastAsia="Arial" w:hAnsi="Arial"/>
          <w:sz w:val="8"/>
          <w:szCs w:val="8"/>
          <w:color w:val="auto"/>
        </w:rPr>
        <w:t>Net of changes in valuation allowance.</w:t>
      </w:r>
    </w:p>
    <w:p>
      <w:pPr>
        <w:spacing w:after="0" w:line="60" w:lineRule="exact"/>
        <w:rPr>
          <w:sz w:val="20"/>
          <w:szCs w:val="20"/>
          <w:color w:val="auto"/>
        </w:rPr>
      </w:pPr>
    </w:p>
    <w:p>
      <w:pPr>
        <w:ind w:left="428" w:hanging="280"/>
        <w:spacing w:after="0"/>
        <w:tabs>
          <w:tab w:leader="none" w:pos="428" w:val="left"/>
        </w:tabs>
        <w:numPr>
          <w:ilvl w:val="0"/>
          <w:numId w:val="117"/>
        </w:numPr>
        <w:rPr>
          <w:rFonts w:ascii="Arial" w:cs="Arial" w:eastAsia="Arial" w:hAnsi="Arial"/>
          <w:sz w:val="8"/>
          <w:szCs w:val="8"/>
          <w:color w:val="auto"/>
        </w:rPr>
      </w:pPr>
      <w:r>
        <w:rPr>
          <w:rFonts w:ascii="Arial" w:cs="Arial" w:eastAsia="Arial" w:hAnsi="Arial"/>
          <w:sz w:val="8"/>
          <w:szCs w:val="8"/>
          <w:color w:val="auto"/>
        </w:rPr>
        <w:t>Includes U.S. taxes on non-U.S. earnings, net of foreign tax credits.</w:t>
      </w:r>
    </w:p>
    <w:p>
      <w:pPr>
        <w:spacing w:after="0" w:line="17" w:lineRule="exact"/>
        <w:rPr>
          <w:sz w:val="20"/>
          <w:szCs w:val="20"/>
          <w:color w:val="auto"/>
        </w:rPr>
      </w:pPr>
    </w:p>
    <w:p>
      <w:pPr>
        <w:ind w:left="428" w:hanging="280"/>
        <w:spacing w:after="0"/>
        <w:tabs>
          <w:tab w:leader="none" w:pos="428" w:val="left"/>
        </w:tabs>
        <w:numPr>
          <w:ilvl w:val="0"/>
          <w:numId w:val="118"/>
        </w:numPr>
        <w:rPr>
          <w:rFonts w:ascii="Arial" w:cs="Arial" w:eastAsia="Arial" w:hAnsi="Arial"/>
          <w:sz w:val="8"/>
          <w:szCs w:val="8"/>
          <w:color w:val="auto"/>
        </w:rPr>
      </w:pPr>
      <w:r>
        <w:rPr>
          <w:rFonts w:ascii="Arial" w:cs="Arial" w:eastAsia="Arial" w:hAnsi="Arial"/>
          <w:sz w:val="8"/>
          <w:szCs w:val="8"/>
          <w:color w:val="auto"/>
        </w:rPr>
        <w:t>2023 includes (3.6)% deferred tax benefit resulting from a non-U.S. legislative change, offset by 3.6% deferred tax expense resulting from a full valuation allowance.</w:t>
      </w:r>
    </w:p>
    <w:p>
      <w:pPr>
        <w:spacing w:after="0" w:line="154"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The effective tax rate decreased by 1.3 percentage points in 2023 compared to 2022. The decrease was primarily attributable to the increased benefit of taxes on non-U.S. earnings and lower expense related to unremitted withholding taxes on non-U.S. earnings, partially offset by incremental tax expense for reserves. The Company’s 2023 non-U.S. effective tax rate was 25.3%, a decrease of approximately 2.2 percentage points compared to 2022. The decrease in the non-U.S. effective tax rate was primarily attributable to increased benefit of taxes on non-U.S. earnings and lower expense related to unremitted withholding taxes on non-U.S. earnings, partially offset by incremental tax expense for reserves.</w:t>
      </w:r>
    </w:p>
    <w:p>
      <w:pPr>
        <w:spacing w:after="0" w:line="50"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The effective tax rate decreased by 0.4 percentage points in 2022 compared to 2021. The decrease was primarily a result of additional tax expense reported in 2021 arising from a valuation allowance established against a capital loss, partially offset by a tax benefit related to restructuring transactions. In 2022, the valuation allowance was partially released as losses were utilized against a capital gain. Additionally, in 2022, there was lower tax expense reported for contingencies as a result of the release of certain state income tax reserves. The Company’s 2022 non-U.S. effective tax rate was 27.5%, an increase of approximately 1.5 percentage points compared to 2021. The increase in the non-U.S. effective tax rate was primarily attributable to a 2021 tax benefit recorded for the release of a valuation allowance on net operating losses due to restructuring in Canada, which resulted in more tax expense in 2022 compared to 2021. This increase was partially offset by lower tax expense recorded in 2022 related to tax reserves when compared to 2021.</w:t>
      </w:r>
    </w:p>
    <w:p>
      <w:pPr>
        <w:spacing w:after="0" w:line="275" w:lineRule="exact"/>
        <w:rPr>
          <w:sz w:val="20"/>
          <w:szCs w:val="20"/>
          <w:color w:val="auto"/>
        </w:rPr>
      </w:pPr>
    </w:p>
    <w:p>
      <w:pPr>
        <w:ind w:left="268" w:hanging="268"/>
        <w:spacing w:after="0"/>
        <w:tabs>
          <w:tab w:leader="none" w:pos="268" w:val="left"/>
        </w:tabs>
        <w:numPr>
          <w:ilvl w:val="0"/>
          <w:numId w:val="119"/>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75" w:name="page76"/>
    <w:bookmarkEnd w:id="75"/>
    <w:tbl>
      <w:tblPr>
        <w:tblLayout w:type="fixed"/>
        <w:tblInd w:w="8" w:type="dxa"/>
        <w:tblCellMar>
          <w:top w:w="0" w:type="dxa"/>
          <w:left w:w="0" w:type="dxa"/>
          <w:bottom w:w="0" w:type="dxa"/>
          <w:right w:w="0" w:type="dxa"/>
        </w:tblCellMar>
      </w:tblPr>
      <w:tr>
        <w:trPr>
          <w:trHeight w:val="93"/>
        </w:trPr>
        <w:tc>
          <w:tcPr>
            <w:tcW w:w="2400" w:type="dxa"/>
            <w:vAlign w:val="bottom"/>
            <w:gridSpan w:val="2"/>
          </w:tcPr>
          <w:p>
            <w:pPr>
              <w:spacing w:after="0"/>
              <w:rPr>
                <w:sz w:val="20"/>
                <w:szCs w:val="20"/>
                <w:color w:val="auto"/>
              </w:rPr>
            </w:pPr>
            <w:r>
              <w:rPr>
                <w:rFonts w:ascii="Arial" w:cs="Arial" w:eastAsia="Arial" w:hAnsi="Arial"/>
                <w:sz w:val="8"/>
                <w:szCs w:val="8"/>
                <w:b w:val="1"/>
                <w:bCs w:val="1"/>
                <w:color w:val="0000FF"/>
              </w:rPr>
              <w:t>TABLE OF CONTENTS</w:t>
            </w:r>
          </w:p>
        </w:tc>
        <w:tc>
          <w:tcPr>
            <w:tcW w:w="8880" w:type="dxa"/>
            <w:vAlign w:val="bottom"/>
          </w:tcPr>
          <w:p>
            <w:pPr>
              <w:ind w:left="6640"/>
              <w:spacing w:after="0"/>
              <w:rPr>
                <w:sz w:val="20"/>
                <w:szCs w:val="20"/>
                <w:color w:val="auto"/>
              </w:rPr>
            </w:pPr>
            <w:r>
              <w:rPr>
                <w:rFonts w:ascii="Arial" w:cs="Arial" w:eastAsia="Arial" w:hAnsi="Arial"/>
                <w:sz w:val="8"/>
                <w:szCs w:val="8"/>
                <w:b w:val="1"/>
                <w:bCs w:val="1"/>
                <w:color w:val="D7282F"/>
              </w:rPr>
              <w:t>FINANCIAL STATEMENTS AND SUPPLEMENTARY DATA</w:t>
            </w:r>
          </w:p>
        </w:tc>
      </w:tr>
      <w:tr>
        <w:trPr>
          <w:trHeight w:val="250"/>
        </w:trPr>
        <w:tc>
          <w:tcPr>
            <w:tcW w:w="900" w:type="dxa"/>
            <w:vAlign w:val="bottom"/>
            <w:tcBorders>
              <w:top w:val="single" w:sz="8" w:color="0000FF"/>
            </w:tcBorders>
          </w:tcPr>
          <w:p>
            <w:pPr>
              <w:spacing w:after="0"/>
              <w:rPr>
                <w:sz w:val="21"/>
                <w:szCs w:val="21"/>
                <w:color w:val="auto"/>
              </w:rPr>
            </w:pPr>
          </w:p>
        </w:tc>
        <w:tc>
          <w:tcPr>
            <w:tcW w:w="1500" w:type="dxa"/>
            <w:vAlign w:val="bottom"/>
          </w:tcPr>
          <w:p>
            <w:pPr>
              <w:spacing w:after="0"/>
              <w:rPr>
                <w:sz w:val="21"/>
                <w:szCs w:val="21"/>
                <w:color w:val="auto"/>
              </w:rPr>
            </w:pPr>
          </w:p>
        </w:tc>
        <w:tc>
          <w:tcPr>
            <w:tcW w:w="8880" w:type="dxa"/>
            <w:vAlign w:val="bottom"/>
          </w:tcPr>
          <w:p>
            <w:pPr>
              <w:jc w:val="center"/>
              <w:ind w:right="2349"/>
              <w:spacing w:after="0"/>
              <w:rPr>
                <w:sz w:val="20"/>
                <w:szCs w:val="20"/>
                <w:color w:val="auto"/>
              </w:rPr>
            </w:pPr>
            <w:r>
              <w:rPr>
                <w:rFonts w:ascii="Arial" w:cs="Arial" w:eastAsia="Arial" w:hAnsi="Arial"/>
                <w:sz w:val="11"/>
                <w:szCs w:val="11"/>
                <w:b w:val="1"/>
                <w:bCs w:val="1"/>
                <w:color w:val="auto"/>
                <w:w w:val="97"/>
              </w:rPr>
              <w:t>HONEYWELL INTERNATIONAL INC.</w:t>
            </w:r>
          </w:p>
        </w:tc>
      </w:tr>
      <w:tr>
        <w:trPr>
          <w:trHeight w:val="126"/>
        </w:trPr>
        <w:tc>
          <w:tcPr>
            <w:tcW w:w="9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880" w:type="dxa"/>
            <w:vAlign w:val="bottom"/>
          </w:tcPr>
          <w:p>
            <w:pPr>
              <w:jc w:val="center"/>
              <w:ind w:right="2329"/>
              <w:spacing w:after="0"/>
              <w:rPr>
                <w:sz w:val="20"/>
                <w:szCs w:val="20"/>
                <w:color w:val="auto"/>
              </w:rPr>
            </w:pPr>
            <w:r>
              <w:rPr>
                <w:rFonts w:ascii="Arial" w:cs="Arial" w:eastAsia="Arial" w:hAnsi="Arial"/>
                <w:sz w:val="11"/>
                <w:szCs w:val="11"/>
                <w:b w:val="1"/>
                <w:bCs w:val="1"/>
                <w:color w:val="auto"/>
                <w:w w:val="97"/>
              </w:rPr>
              <w:t>NOTES TO CONSOLIDATED FINANCIAL STATEMENTS—(Continued)</w:t>
            </w:r>
          </w:p>
        </w:tc>
      </w:tr>
      <w:tr>
        <w:trPr>
          <w:trHeight w:val="148"/>
        </w:trPr>
        <w:tc>
          <w:tcPr>
            <w:tcW w:w="9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80" w:type="dxa"/>
            <w:vAlign w:val="bottom"/>
          </w:tcPr>
          <w:p>
            <w:pPr>
              <w:jc w:val="center"/>
              <w:ind w:right="2349"/>
              <w:spacing w:after="0"/>
              <w:rPr>
                <w:sz w:val="20"/>
                <w:szCs w:val="20"/>
                <w:color w:val="auto"/>
              </w:rPr>
            </w:pPr>
            <w:r>
              <w:rPr>
                <w:rFonts w:ascii="Arial" w:cs="Arial" w:eastAsia="Arial" w:hAnsi="Arial"/>
                <w:sz w:val="11"/>
                <w:szCs w:val="11"/>
                <w:b w:val="1"/>
                <w:bCs w:val="1"/>
                <w:color w:val="auto"/>
                <w:w w:val="98"/>
              </w:rPr>
              <w:t>(Dollars in tables in millions, except per share amounts)</w:t>
            </w:r>
          </w:p>
        </w:tc>
      </w:tr>
    </w:tbl>
    <w:p>
      <w:pPr>
        <w:spacing w:after="0" w:line="368"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DEFERRED TAX ASSETS (LIABILITIES)</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tax effects of temporary differences and tax carryforwards which give rise to future income tax benefits and payables are as follows:</w:t>
      </w:r>
    </w:p>
    <w:p>
      <w:pPr>
        <w:spacing w:after="0" w:line="136"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9560" w:type="dxa"/>
            <w:vAlign w:val="bottom"/>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1060" w:type="dxa"/>
            <w:vAlign w:val="bottom"/>
            <w:tcBorders>
              <w:bottom w:val="single" w:sz="8" w:color="D7282F"/>
            </w:tcBorders>
            <w:gridSpan w:val="2"/>
          </w:tcPr>
          <w:p>
            <w:pPr>
              <w:jc w:val="right"/>
              <w:spacing w:after="0"/>
              <w:rPr>
                <w:sz w:val="20"/>
                <w:szCs w:val="20"/>
                <w:color w:val="auto"/>
              </w:rPr>
            </w:pPr>
            <w:r>
              <w:rPr>
                <w:rFonts w:ascii="Arial" w:cs="Arial" w:eastAsia="Arial" w:hAnsi="Arial"/>
                <w:sz w:val="10"/>
                <w:szCs w:val="10"/>
                <w:b w:val="1"/>
                <w:bCs w:val="1"/>
                <w:color w:val="auto"/>
              </w:rPr>
              <w:t>December 31,</w:t>
            </w:r>
          </w:p>
        </w:tc>
        <w:tc>
          <w:tcPr>
            <w:tcW w:w="520" w:type="dxa"/>
            <w:vAlign w:val="bottom"/>
            <w:tcBorders>
              <w:bottom w:val="single" w:sz="8" w:color="D7282F"/>
            </w:tcBorders>
          </w:tcPr>
          <w:p>
            <w:pPr>
              <w:spacing w:after="0"/>
              <w:rPr>
                <w:sz w:val="11"/>
                <w:szCs w:val="11"/>
                <w:color w:val="auto"/>
              </w:rPr>
            </w:pPr>
          </w:p>
        </w:tc>
      </w:tr>
      <w:tr>
        <w:trPr>
          <w:trHeight w:val="151"/>
        </w:trPr>
        <w:tc>
          <w:tcPr>
            <w:tcW w:w="956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Deferred tax assets</w:t>
            </w:r>
          </w:p>
        </w:tc>
        <w:tc>
          <w:tcPr>
            <w:tcW w:w="160" w:type="dxa"/>
            <w:vAlign w:val="bottom"/>
            <w:tcBorders>
              <w:bottom w:val="single" w:sz="8" w:color="D7282F"/>
            </w:tcBorders>
          </w:tcPr>
          <w:p>
            <w:pPr>
              <w:spacing w:after="0"/>
              <w:rPr>
                <w:sz w:val="13"/>
                <w:szCs w:val="13"/>
                <w:color w:val="auto"/>
              </w:rPr>
            </w:pPr>
          </w:p>
        </w:tc>
        <w:tc>
          <w:tcPr>
            <w:tcW w:w="70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2023</w:t>
            </w:r>
          </w:p>
        </w:tc>
        <w:tc>
          <w:tcPr>
            <w:tcW w:w="360" w:type="dxa"/>
            <w:vAlign w:val="bottom"/>
            <w:tcBorders>
              <w:bottom w:val="single" w:sz="8" w:color="D7282F"/>
            </w:tcBorders>
          </w:tcPr>
          <w:p>
            <w:pPr>
              <w:spacing w:after="0"/>
              <w:rPr>
                <w:sz w:val="13"/>
                <w:szCs w:val="13"/>
                <w:color w:val="auto"/>
              </w:rPr>
            </w:pPr>
          </w:p>
        </w:tc>
        <w:tc>
          <w:tcPr>
            <w:tcW w:w="52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w w:val="98"/>
              </w:rPr>
              <w:t>2022</w:t>
            </w:r>
          </w:p>
        </w:tc>
      </w:tr>
      <w:tr>
        <w:trPr>
          <w:trHeight w:val="122"/>
        </w:trPr>
        <w:tc>
          <w:tcPr>
            <w:tcW w:w="956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Postretirement benefits other than pensions</w:t>
            </w:r>
          </w:p>
        </w:tc>
        <w:tc>
          <w:tcPr>
            <w:tcW w:w="16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55</w:t>
            </w:r>
          </w:p>
        </w:tc>
        <w:tc>
          <w:tcPr>
            <w:tcW w:w="360" w:type="dxa"/>
            <w:vAlign w:val="bottom"/>
            <w:tcBorders>
              <w:bottom w:val="single" w:sz="8" w:color="61656A"/>
            </w:tcBorders>
          </w:tcPr>
          <w:p>
            <w:pPr>
              <w:jc w:val="right"/>
              <w:ind w:right="13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59</w:t>
            </w:r>
          </w:p>
        </w:tc>
      </w:tr>
      <w:tr>
        <w:trPr>
          <w:trHeight w:val="124"/>
        </w:trPr>
        <w:tc>
          <w:tcPr>
            <w:tcW w:w="956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Asbestos and environmental</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405</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545</w:t>
            </w:r>
          </w:p>
        </w:tc>
      </w:tr>
      <w:tr>
        <w:trPr>
          <w:trHeight w:val="124"/>
        </w:trPr>
        <w:tc>
          <w:tcPr>
            <w:tcW w:w="956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Capitalized research and development</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582</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956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Employee compensation and benefits</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148</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142</w:t>
            </w:r>
          </w:p>
        </w:tc>
      </w:tr>
      <w:tr>
        <w:trPr>
          <w:trHeight w:val="124"/>
        </w:trPr>
        <w:tc>
          <w:tcPr>
            <w:tcW w:w="956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Lease liabilities</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258</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233</w:t>
            </w:r>
          </w:p>
        </w:tc>
      </w:tr>
      <w:tr>
        <w:trPr>
          <w:trHeight w:val="124"/>
        </w:trPr>
        <w:tc>
          <w:tcPr>
            <w:tcW w:w="956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Other accruals and reserves</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196</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363</w:t>
            </w:r>
          </w:p>
        </w:tc>
      </w:tr>
      <w:tr>
        <w:trPr>
          <w:trHeight w:val="124"/>
        </w:trPr>
        <w:tc>
          <w:tcPr>
            <w:tcW w:w="956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Net operating losses</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687</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695</w:t>
            </w:r>
          </w:p>
        </w:tc>
      </w:tr>
      <w:tr>
        <w:trPr>
          <w:trHeight w:val="124"/>
        </w:trPr>
        <w:tc>
          <w:tcPr>
            <w:tcW w:w="956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Capital loss limitation and carryover</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385</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126</w:t>
            </w:r>
          </w:p>
        </w:tc>
      </w:tr>
      <w:tr>
        <w:trPr>
          <w:trHeight w:val="124"/>
        </w:trPr>
        <w:tc>
          <w:tcPr>
            <w:tcW w:w="956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Tax credit carryforwards and other attributes</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420</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163</w:t>
            </w:r>
          </w:p>
        </w:tc>
      </w:tr>
      <w:tr>
        <w:trPr>
          <w:trHeight w:val="126"/>
        </w:trPr>
        <w:tc>
          <w:tcPr>
            <w:tcW w:w="956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Gross deferred tax assets</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3,136</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2,326</w:t>
            </w:r>
          </w:p>
        </w:tc>
      </w:tr>
      <w:tr>
        <w:trPr>
          <w:trHeight w:val="122"/>
        </w:trPr>
        <w:tc>
          <w:tcPr>
            <w:tcW w:w="956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Valuation allowance</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(1,292)</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(812)</w:t>
            </w:r>
          </w:p>
        </w:tc>
      </w:tr>
      <w:tr>
        <w:trPr>
          <w:trHeight w:val="126"/>
        </w:trPr>
        <w:tc>
          <w:tcPr>
            <w:tcW w:w="9560" w:type="dxa"/>
            <w:vAlign w:val="bottom"/>
            <w:tcBorders>
              <w:bottom w:val="single" w:sz="8" w:color="D7282F"/>
            </w:tcBorders>
          </w:tcPr>
          <w:p>
            <w:pPr>
              <w:ind w:left="220"/>
              <w:spacing w:after="0"/>
              <w:rPr>
                <w:sz w:val="20"/>
                <w:szCs w:val="20"/>
                <w:color w:val="auto"/>
              </w:rPr>
            </w:pPr>
            <w:r>
              <w:rPr>
                <w:rFonts w:ascii="Arial" w:cs="Arial" w:eastAsia="Arial" w:hAnsi="Arial"/>
                <w:sz w:val="10"/>
                <w:szCs w:val="10"/>
                <w:b w:val="1"/>
                <w:bCs w:val="1"/>
                <w:color w:val="auto"/>
              </w:rPr>
              <w:t>Total deferred tax assets</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1,844</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1,514</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Deferred tax liabilities</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spacing w:after="0"/>
              <w:rPr>
                <w:sz w:val="10"/>
                <w:szCs w:val="10"/>
                <w:color w:val="auto"/>
              </w:rPr>
            </w:pPr>
          </w:p>
        </w:tc>
      </w:tr>
      <w:tr>
        <w:trPr>
          <w:trHeight w:val="122"/>
        </w:trPr>
        <w:tc>
          <w:tcPr>
            <w:tcW w:w="956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Pension</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(1,132)</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(1,088)</w:t>
            </w:r>
          </w:p>
        </w:tc>
      </w:tr>
      <w:tr>
        <w:trPr>
          <w:trHeight w:val="124"/>
        </w:trPr>
        <w:tc>
          <w:tcPr>
            <w:tcW w:w="956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Property, plant and equipment</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(441)</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(233)</w:t>
            </w:r>
          </w:p>
        </w:tc>
      </w:tr>
      <w:tr>
        <w:trPr>
          <w:trHeight w:val="124"/>
        </w:trPr>
        <w:tc>
          <w:tcPr>
            <w:tcW w:w="956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Right-of-use asset</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(240)</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(212)</w:t>
            </w:r>
          </w:p>
        </w:tc>
      </w:tr>
      <w:tr>
        <w:trPr>
          <w:trHeight w:val="124"/>
        </w:trPr>
        <w:tc>
          <w:tcPr>
            <w:tcW w:w="956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Intangibles</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(817)</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(818)</w:t>
            </w:r>
          </w:p>
        </w:tc>
      </w:tr>
      <w:tr>
        <w:trPr>
          <w:trHeight w:val="124"/>
        </w:trPr>
        <w:tc>
          <w:tcPr>
            <w:tcW w:w="956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Unremitted earnings of foreign subsidiaries</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(542)</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(517)</w:t>
            </w:r>
          </w:p>
        </w:tc>
      </w:tr>
      <w:tr>
        <w:trPr>
          <w:trHeight w:val="124"/>
        </w:trPr>
        <w:tc>
          <w:tcPr>
            <w:tcW w:w="956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Other asset basis differences</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(369)</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(317)</w:t>
            </w:r>
          </w:p>
        </w:tc>
      </w:tr>
      <w:tr>
        <w:trPr>
          <w:trHeight w:val="124"/>
        </w:trPr>
        <w:tc>
          <w:tcPr>
            <w:tcW w:w="956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Other</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(5)</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w:t>
            </w:r>
          </w:p>
        </w:tc>
      </w:tr>
      <w:tr>
        <w:trPr>
          <w:trHeight w:val="126"/>
        </w:trPr>
        <w:tc>
          <w:tcPr>
            <w:tcW w:w="9560" w:type="dxa"/>
            <w:vAlign w:val="bottom"/>
            <w:tcBorders>
              <w:bottom w:val="single" w:sz="8" w:color="D7282F"/>
            </w:tcBorders>
          </w:tcPr>
          <w:p>
            <w:pPr>
              <w:ind w:left="220"/>
              <w:spacing w:after="0"/>
              <w:rPr>
                <w:sz w:val="20"/>
                <w:szCs w:val="20"/>
                <w:color w:val="auto"/>
              </w:rPr>
            </w:pPr>
            <w:r>
              <w:rPr>
                <w:rFonts w:ascii="Arial" w:cs="Arial" w:eastAsia="Arial" w:hAnsi="Arial"/>
                <w:sz w:val="10"/>
                <w:szCs w:val="10"/>
                <w:b w:val="1"/>
                <w:bCs w:val="1"/>
                <w:color w:val="auto"/>
              </w:rPr>
              <w:t>Total deferred tax liabilities</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(3,546)</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(3,186)</w:t>
            </w:r>
          </w:p>
        </w:tc>
      </w:tr>
      <w:tr>
        <w:trPr>
          <w:trHeight w:val="124"/>
        </w:trPr>
        <w:tc>
          <w:tcPr>
            <w:tcW w:w="9560" w:type="dxa"/>
            <w:vAlign w:val="bottom"/>
            <w:tcBorders>
              <w:bottom w:val="single" w:sz="8" w:color="D7282F"/>
            </w:tcBorders>
          </w:tcPr>
          <w:p>
            <w:pPr>
              <w:ind w:left="300"/>
              <w:spacing w:after="0"/>
              <w:rPr>
                <w:sz w:val="20"/>
                <w:szCs w:val="20"/>
                <w:color w:val="auto"/>
              </w:rPr>
            </w:pPr>
            <w:r>
              <w:rPr>
                <w:rFonts w:ascii="Arial" w:cs="Arial" w:eastAsia="Arial" w:hAnsi="Arial"/>
                <w:sz w:val="10"/>
                <w:szCs w:val="10"/>
                <w:b w:val="1"/>
                <w:bCs w:val="1"/>
                <w:color w:val="auto"/>
              </w:rPr>
              <w:t>Net deferred tax liability</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(1,702)</w:t>
            </w:r>
          </w:p>
        </w:tc>
        <w:tc>
          <w:tcPr>
            <w:tcW w:w="36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(1,672)</w:t>
            </w:r>
          </w:p>
        </w:tc>
      </w:tr>
    </w:tbl>
    <w:p>
      <w:pPr>
        <w:spacing w:after="0" w:line="126"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color w:val="auto"/>
        </w:rPr>
        <w:t>The Company's gross deferred tax assets include $1,378 million related to non-U.S. operations comprised primarily of net operating losses and other tax attribute carryforwards in Canada, France, Germany, Luxembourg, Switzerland, and the United Kingdom. The Company maintains a valuation allowance of $1,176 million against a portion of the non-U.S. gross deferred tax assets and a valuation allowance of $116 million against the U.S. gross deferred tax asset, primarily related to capital loss carryovers. The change in the valuation allowance resulted in an increase of $458 million, a decrease of $8 million, and an increase of $124 million to income tax expense in 2023, 2022, and 2021, respectively. The majority of the $458 million increase in 2023 tax expense relates to a $257 million valuation allowance resulting from uncertainty regarding the realizability of a $257 million deferred tax asset established as a result of a non-U.S. tax legislative change. The remaining $201 million relates to other tax attribute carryforwards. If the Company determines that the likelihood of realization of existing deferred tax assets changes, a corresponding increase or decrease to valuation allowances will be recognized as an increase or reduction to income tax expense in the period that determination is made.</w:t>
      </w:r>
    </w:p>
    <w:p>
      <w:pPr>
        <w:spacing w:after="0" w:line="52" w:lineRule="exact"/>
        <w:rPr>
          <w:sz w:val="20"/>
          <w:szCs w:val="20"/>
          <w:color w:val="auto"/>
        </w:rPr>
      </w:pPr>
    </w:p>
    <w:p>
      <w:pPr>
        <w:ind w:left="8"/>
        <w:spacing w:after="0"/>
        <w:rPr>
          <w:sz w:val="20"/>
          <w:szCs w:val="20"/>
          <w:color w:val="auto"/>
        </w:rPr>
      </w:pPr>
      <w:r>
        <w:rPr>
          <w:rFonts w:ascii="Arial" w:cs="Arial" w:eastAsia="Arial" w:hAnsi="Arial"/>
          <w:sz w:val="11"/>
          <w:szCs w:val="11"/>
          <w:color w:val="auto"/>
        </w:rPr>
        <w:t>As of December 31, 2023, the Company recorded a $542 million deferred tax liability on all unremitted foreign earnings based on estimated earnings and profits of approximately $15 billion as of the balance sheet date.</w:t>
      </w:r>
    </w:p>
    <w:p>
      <w:pPr>
        <w:spacing w:after="0" w:line="305" w:lineRule="exact"/>
        <w:rPr>
          <w:sz w:val="20"/>
          <w:szCs w:val="20"/>
          <w:color w:val="auto"/>
        </w:rPr>
      </w:pPr>
    </w:p>
    <w:p>
      <w:pPr>
        <w:ind w:left="268" w:hanging="268"/>
        <w:spacing w:after="0"/>
        <w:tabs>
          <w:tab w:leader="none" w:pos="268" w:val="left"/>
        </w:tabs>
        <w:numPr>
          <w:ilvl w:val="0"/>
          <w:numId w:val="120"/>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76" w:name="page77"/>
    <w:bookmarkEnd w:id="76"/>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ind w:left="8"/>
        <w:spacing w:after="0"/>
        <w:rPr>
          <w:sz w:val="20"/>
          <w:szCs w:val="20"/>
          <w:color w:val="auto"/>
        </w:rPr>
      </w:pPr>
      <w:r>
        <w:rPr>
          <w:rFonts w:ascii="Arial" w:cs="Arial" w:eastAsia="Arial" w:hAnsi="Arial"/>
          <w:sz w:val="11"/>
          <w:szCs w:val="11"/>
          <w:color w:val="auto"/>
        </w:rPr>
        <w:t>As of December 31, 2023, the Company's net operating loss, capital loss, tax credit carryforwards, and other attributes were as follows:</w:t>
      </w:r>
    </w:p>
    <w:p>
      <w:pPr>
        <w:spacing w:after="0" w:line="84"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880" w:type="dxa"/>
            <w:vAlign w:val="bottom"/>
          </w:tcPr>
          <w:p>
            <w:pPr>
              <w:spacing w:after="0"/>
              <w:rPr>
                <w:sz w:val="10"/>
                <w:szCs w:val="10"/>
                <w:color w:val="auto"/>
              </w:rPr>
            </w:pPr>
          </w:p>
        </w:tc>
        <w:tc>
          <w:tcPr>
            <w:tcW w:w="4820" w:type="dxa"/>
            <w:vAlign w:val="bottom"/>
          </w:tcPr>
          <w:p>
            <w:pPr>
              <w:jc w:val="center"/>
              <w:ind w:left="3692"/>
              <w:spacing w:after="0"/>
              <w:rPr>
                <w:sz w:val="20"/>
                <w:szCs w:val="20"/>
                <w:color w:val="auto"/>
              </w:rPr>
            </w:pPr>
            <w:r>
              <w:rPr>
                <w:rFonts w:ascii="Arial" w:cs="Arial" w:eastAsia="Arial" w:hAnsi="Arial"/>
                <w:sz w:val="10"/>
                <w:szCs w:val="10"/>
                <w:b w:val="1"/>
                <w:bCs w:val="1"/>
                <w:color w:val="auto"/>
                <w:w w:val="96"/>
              </w:rPr>
              <w:t>Net Operating</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40" w:type="dxa"/>
            <w:vAlign w:val="bottom"/>
            <w:vMerge w:val="restart"/>
          </w:tcPr>
          <w:p>
            <w:pPr>
              <w:jc w:val="right"/>
              <w:ind w:right="692"/>
              <w:spacing w:after="0"/>
              <w:rPr>
                <w:sz w:val="20"/>
                <w:szCs w:val="20"/>
                <w:color w:val="auto"/>
              </w:rPr>
            </w:pPr>
            <w:r>
              <w:rPr>
                <w:rFonts w:ascii="Arial" w:cs="Arial" w:eastAsia="Arial" w:hAnsi="Arial"/>
                <w:sz w:val="10"/>
                <w:szCs w:val="10"/>
                <w:b w:val="1"/>
                <w:bCs w:val="1"/>
                <w:color w:val="auto"/>
              </w:rPr>
              <w:t>Tax Credit</w:t>
            </w:r>
          </w:p>
        </w:tc>
        <w:tc>
          <w:tcPr>
            <w:tcW w:w="0" w:type="dxa"/>
            <w:vAlign w:val="bottom"/>
          </w:tcPr>
          <w:p>
            <w:pPr>
              <w:spacing w:after="0"/>
              <w:rPr>
                <w:sz w:val="1"/>
                <w:szCs w:val="1"/>
                <w:color w:val="auto"/>
              </w:rPr>
            </w:pPr>
          </w:p>
        </w:tc>
      </w:tr>
      <w:tr>
        <w:trPr>
          <w:trHeight w:val="99"/>
        </w:trPr>
        <w:tc>
          <w:tcPr>
            <w:tcW w:w="3880" w:type="dxa"/>
            <w:vAlign w:val="bottom"/>
            <w:vMerge w:val="restart"/>
          </w:tcPr>
          <w:p>
            <w:pPr>
              <w:spacing w:after="0"/>
              <w:rPr>
                <w:sz w:val="20"/>
                <w:szCs w:val="20"/>
                <w:color w:val="auto"/>
              </w:rPr>
            </w:pPr>
            <w:r>
              <w:rPr>
                <w:rFonts w:ascii="Arial" w:cs="Arial" w:eastAsia="Arial" w:hAnsi="Arial"/>
                <w:sz w:val="10"/>
                <w:szCs w:val="10"/>
                <w:b w:val="1"/>
                <w:bCs w:val="1"/>
                <w:color w:val="auto"/>
              </w:rPr>
              <w:t>Jurisdiction</w:t>
            </w:r>
          </w:p>
        </w:tc>
        <w:tc>
          <w:tcPr>
            <w:tcW w:w="4820" w:type="dxa"/>
            <w:vAlign w:val="bottom"/>
          </w:tcPr>
          <w:p>
            <w:pPr>
              <w:jc w:val="center"/>
              <w:ind w:left="3692"/>
              <w:spacing w:after="0" w:line="99" w:lineRule="exact"/>
              <w:rPr>
                <w:sz w:val="20"/>
                <w:szCs w:val="20"/>
                <w:color w:val="auto"/>
              </w:rPr>
            </w:pPr>
            <w:r>
              <w:rPr>
                <w:rFonts w:ascii="Arial" w:cs="Arial" w:eastAsia="Arial" w:hAnsi="Arial"/>
                <w:sz w:val="10"/>
                <w:szCs w:val="10"/>
                <w:b w:val="1"/>
                <w:bCs w:val="1"/>
                <w:color w:val="auto"/>
                <w:w w:val="94"/>
              </w:rPr>
              <w:t>and Capital Loss</w:t>
            </w: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3880" w:type="dxa"/>
            <w:vAlign w:val="bottom"/>
            <w:tcBorders>
              <w:bottom w:val="single" w:sz="8" w:color="D7282F"/>
            </w:tcBorders>
            <w:vMerge w:val="continue"/>
          </w:tcPr>
          <w:p>
            <w:pPr>
              <w:spacing w:after="0"/>
              <w:rPr>
                <w:sz w:val="10"/>
                <w:szCs w:val="10"/>
                <w:color w:val="auto"/>
              </w:rPr>
            </w:pPr>
          </w:p>
        </w:tc>
        <w:tc>
          <w:tcPr>
            <w:tcW w:w="4820" w:type="dxa"/>
            <w:vAlign w:val="bottom"/>
            <w:tcBorders>
              <w:bottom w:val="single" w:sz="8" w:color="D7282F"/>
            </w:tcBorders>
          </w:tcPr>
          <w:p>
            <w:pPr>
              <w:jc w:val="center"/>
              <w:ind w:left="3712"/>
              <w:spacing w:after="0"/>
              <w:rPr>
                <w:sz w:val="20"/>
                <w:szCs w:val="20"/>
                <w:color w:val="auto"/>
              </w:rPr>
            </w:pPr>
            <w:r>
              <w:rPr>
                <w:rFonts w:ascii="Arial" w:cs="Arial" w:eastAsia="Arial" w:hAnsi="Arial"/>
                <w:sz w:val="10"/>
                <w:szCs w:val="10"/>
                <w:b w:val="1"/>
                <w:bCs w:val="1"/>
                <w:color w:val="auto"/>
                <w:w w:val="96"/>
              </w:rPr>
              <w:t>Carryforwards</w:t>
            </w:r>
          </w:p>
        </w:tc>
        <w:tc>
          <w:tcPr>
            <w:tcW w:w="52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18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w w:val="98"/>
              </w:rPr>
              <w:t>Carryforwards and Other Attributes</w:t>
            </w:r>
          </w:p>
        </w:tc>
        <w:tc>
          <w:tcPr>
            <w:tcW w:w="0" w:type="dxa"/>
            <w:vAlign w:val="bottom"/>
          </w:tcPr>
          <w:p>
            <w:pPr>
              <w:spacing w:after="0"/>
              <w:rPr>
                <w:sz w:val="1"/>
                <w:szCs w:val="1"/>
                <w:color w:val="auto"/>
              </w:rPr>
            </w:pPr>
          </w:p>
        </w:tc>
      </w:tr>
      <w:tr>
        <w:trPr>
          <w:trHeight w:val="121"/>
        </w:trPr>
        <w:tc>
          <w:tcPr>
            <w:tcW w:w="38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U.S. Federal</w:t>
            </w:r>
          </w:p>
        </w:tc>
        <w:tc>
          <w:tcPr>
            <w:tcW w:w="4820" w:type="dxa"/>
            <w:vAlign w:val="bottom"/>
            <w:tcBorders>
              <w:bottom w:val="single" w:sz="8" w:color="888B8D"/>
            </w:tcBorders>
          </w:tcPr>
          <w:p>
            <w:pPr>
              <w:jc w:val="right"/>
              <w:ind w:right="139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532</w:t>
            </w: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18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96</w:t>
            </w:r>
          </w:p>
        </w:tc>
        <w:tc>
          <w:tcPr>
            <w:tcW w:w="0" w:type="dxa"/>
            <w:vAlign w:val="bottom"/>
          </w:tcPr>
          <w:p>
            <w:pPr>
              <w:spacing w:after="0"/>
              <w:rPr>
                <w:sz w:val="1"/>
                <w:szCs w:val="1"/>
                <w:color w:val="auto"/>
              </w:rPr>
            </w:pPr>
          </w:p>
        </w:tc>
      </w:tr>
      <w:tr>
        <w:trPr>
          <w:trHeight w:val="124"/>
        </w:trPr>
        <w:tc>
          <w:tcPr>
            <w:tcW w:w="38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U.S. State</w:t>
            </w:r>
          </w:p>
        </w:tc>
        <w:tc>
          <w:tcPr>
            <w:tcW w:w="482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675</w:t>
            </w:r>
          </w:p>
        </w:tc>
        <w:tc>
          <w:tcPr>
            <w:tcW w:w="240" w:type="dxa"/>
            <w:vAlign w:val="bottom"/>
            <w:tcBorders>
              <w:bottom w:val="single" w:sz="8" w:color="888B8D"/>
            </w:tcBorders>
          </w:tcPr>
          <w:p>
            <w:pPr>
              <w:spacing w:after="0"/>
              <w:rPr>
                <w:sz w:val="10"/>
                <w:szCs w:val="10"/>
                <w:color w:val="auto"/>
              </w:rPr>
            </w:pPr>
          </w:p>
        </w:tc>
        <w:tc>
          <w:tcPr>
            <w:tcW w:w="18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25</w:t>
            </w:r>
          </w:p>
        </w:tc>
        <w:tc>
          <w:tcPr>
            <w:tcW w:w="0" w:type="dxa"/>
            <w:vAlign w:val="bottom"/>
          </w:tcPr>
          <w:p>
            <w:pPr>
              <w:spacing w:after="0"/>
              <w:rPr>
                <w:sz w:val="1"/>
                <w:szCs w:val="1"/>
                <w:color w:val="auto"/>
              </w:rPr>
            </w:pPr>
          </w:p>
        </w:tc>
      </w:tr>
      <w:tr>
        <w:trPr>
          <w:trHeight w:val="124"/>
        </w:trPr>
        <w:tc>
          <w:tcPr>
            <w:tcW w:w="38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Non-U.S.</w:t>
            </w:r>
          </w:p>
        </w:tc>
        <w:tc>
          <w:tcPr>
            <w:tcW w:w="482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3,720</w:t>
            </w:r>
          </w:p>
        </w:tc>
        <w:tc>
          <w:tcPr>
            <w:tcW w:w="240" w:type="dxa"/>
            <w:vAlign w:val="bottom"/>
            <w:tcBorders>
              <w:bottom w:val="single" w:sz="8" w:color="D7282F"/>
            </w:tcBorders>
          </w:tcPr>
          <w:p>
            <w:pPr>
              <w:spacing w:after="0"/>
              <w:rPr>
                <w:sz w:val="10"/>
                <w:szCs w:val="10"/>
                <w:color w:val="auto"/>
              </w:rPr>
            </w:pPr>
          </w:p>
        </w:tc>
        <w:tc>
          <w:tcPr>
            <w:tcW w:w="18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304</w:t>
            </w:r>
          </w:p>
        </w:tc>
        <w:tc>
          <w:tcPr>
            <w:tcW w:w="0" w:type="dxa"/>
            <w:vAlign w:val="bottom"/>
          </w:tcPr>
          <w:p>
            <w:pPr>
              <w:spacing w:after="0"/>
              <w:rPr>
                <w:sz w:val="1"/>
                <w:szCs w:val="1"/>
                <w:color w:val="auto"/>
              </w:rPr>
            </w:pPr>
          </w:p>
        </w:tc>
      </w:tr>
      <w:tr>
        <w:trPr>
          <w:trHeight w:val="126"/>
        </w:trPr>
        <w:tc>
          <w:tcPr>
            <w:tcW w:w="388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w:t>
            </w:r>
          </w:p>
        </w:tc>
        <w:tc>
          <w:tcPr>
            <w:tcW w:w="4820" w:type="dxa"/>
            <w:vAlign w:val="bottom"/>
            <w:tcBorders>
              <w:bottom w:val="single" w:sz="8" w:color="D7282F"/>
            </w:tcBorders>
          </w:tcPr>
          <w:p>
            <w:pPr>
              <w:jc w:val="right"/>
              <w:ind w:right="1392"/>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4,927</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18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425</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Many jurisdictions impose limitations on the timing and utilization of net operating loss and tax credit carryforwards. Approximately $3,140 million of the non-U.S. net operating loss has no expiration period. The U.S. federal capital loss carryforward of $502 million expires in 2026. The remaining net operating loss, capital loss and credit carryforwards, and other tax attributes have expiration periods through 2043.</w:t>
      </w:r>
    </w:p>
    <w:p>
      <w:pPr>
        <w:spacing w:after="0" w:line="79"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8580" w:type="dxa"/>
            <w:vAlign w:val="bottom"/>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580" w:type="dxa"/>
            <w:vAlign w:val="bottom"/>
            <w:tcBorders>
              <w:bottom w:val="single" w:sz="8" w:color="D7282F"/>
            </w:tcBorders>
          </w:tcPr>
          <w:p>
            <w:pPr>
              <w:spacing w:after="0"/>
              <w:rPr>
                <w:sz w:val="11"/>
                <w:szCs w:val="11"/>
                <w:color w:val="auto"/>
              </w:rPr>
            </w:pPr>
          </w:p>
        </w:tc>
        <w:tc>
          <w:tcPr>
            <w:tcW w:w="1380" w:type="dxa"/>
            <w:vAlign w:val="bottom"/>
            <w:tcBorders>
              <w:bottom w:val="single" w:sz="8" w:color="D7282F"/>
            </w:tcBorders>
            <w:gridSpan w:val="3"/>
          </w:tcPr>
          <w:p>
            <w:pPr>
              <w:jc w:val="right"/>
              <w:ind w:right="92"/>
              <w:spacing w:after="0"/>
              <w:rPr>
                <w:sz w:val="20"/>
                <w:szCs w:val="20"/>
                <w:color w:val="auto"/>
              </w:rPr>
            </w:pPr>
            <w:r>
              <w:rPr>
                <w:rFonts w:ascii="Arial" w:cs="Arial" w:eastAsia="Arial" w:hAnsi="Arial"/>
                <w:sz w:val="10"/>
                <w:szCs w:val="10"/>
                <w:b w:val="1"/>
                <w:bCs w:val="1"/>
                <w:color w:val="auto"/>
                <w:w w:val="94"/>
              </w:rPr>
              <w:t>Years Ended December 31,</w:t>
            </w:r>
          </w:p>
        </w:tc>
        <w:tc>
          <w:tcPr>
            <w:tcW w:w="600" w:type="dxa"/>
            <w:vAlign w:val="bottom"/>
            <w:tcBorders>
              <w:bottom w:val="single" w:sz="8" w:color="D7282F"/>
            </w:tcBorders>
          </w:tcPr>
          <w:p>
            <w:pPr>
              <w:spacing w:after="0"/>
              <w:rPr>
                <w:sz w:val="11"/>
                <w:szCs w:val="11"/>
                <w:color w:val="auto"/>
              </w:rPr>
            </w:pPr>
          </w:p>
        </w:tc>
      </w:tr>
      <w:tr>
        <w:trPr>
          <w:trHeight w:val="124"/>
        </w:trPr>
        <w:tc>
          <w:tcPr>
            <w:tcW w:w="858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b w:val="1"/>
                <w:bCs w:val="1"/>
                <w:color w:val="auto"/>
              </w:rPr>
              <w:t>2023</w:t>
            </w:r>
          </w:p>
        </w:tc>
        <w:tc>
          <w:tcPr>
            <w:tcW w:w="40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2022</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2021</w:t>
            </w:r>
          </w:p>
        </w:tc>
      </w:tr>
      <w:tr>
        <w:trPr>
          <w:trHeight w:val="122"/>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Change in unrecognized tax benefits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spacing w:after="0"/>
              <w:rPr>
                <w:sz w:val="10"/>
                <w:szCs w:val="10"/>
                <w:color w:val="auto"/>
              </w:rPr>
            </w:pP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spacing w:after="0"/>
              <w:rPr>
                <w:sz w:val="10"/>
                <w:szCs w:val="10"/>
                <w:color w:val="auto"/>
              </w:rPr>
            </w:pPr>
          </w:p>
        </w:tc>
      </w:tr>
      <w:tr>
        <w:trPr>
          <w:trHeight w:val="124"/>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Balance at beginning of year</w:t>
            </w:r>
          </w:p>
        </w:tc>
        <w:tc>
          <w:tcPr>
            <w:tcW w:w="16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1,086</w:t>
            </w:r>
          </w:p>
        </w:tc>
        <w:tc>
          <w:tcPr>
            <w:tcW w:w="40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1,061</w:t>
            </w:r>
          </w:p>
        </w:tc>
        <w:tc>
          <w:tcPr>
            <w:tcW w:w="2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991</w:t>
            </w:r>
          </w:p>
        </w:tc>
      </w:tr>
      <w:tr>
        <w:trPr>
          <w:trHeight w:val="124"/>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Gross increases related to current period tax positions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89</w:t>
            </w: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64</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93</w:t>
            </w:r>
          </w:p>
        </w:tc>
      </w:tr>
      <w:tr>
        <w:trPr>
          <w:trHeight w:val="124"/>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Gross increases related to prior periods tax positions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181</w:t>
            </w: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31</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39</w:t>
            </w:r>
          </w:p>
        </w:tc>
      </w:tr>
      <w:tr>
        <w:trPr>
          <w:trHeight w:val="124"/>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Gross decreases related to prior periods tax positions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(19)</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(27)</w:t>
            </w:r>
          </w:p>
        </w:tc>
      </w:tr>
      <w:tr>
        <w:trPr>
          <w:trHeight w:val="124"/>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Decrease related to resolutions of audits with tax authorities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(132)</w:t>
            </w: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w:t>
            </w:r>
          </w:p>
        </w:tc>
      </w:tr>
      <w:tr>
        <w:trPr>
          <w:trHeight w:val="124"/>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Expiration of the statute of limitations for the assessment of taxes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w:t>
            </w: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(8)</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(12)</w:t>
            </w:r>
          </w:p>
        </w:tc>
      </w:tr>
      <w:tr>
        <w:trPr>
          <w:trHeight w:val="124"/>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Foreign currency translation</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w:t>
            </w:r>
          </w:p>
        </w:tc>
        <w:tc>
          <w:tcPr>
            <w:tcW w:w="40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(40)</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(22)</w:t>
            </w:r>
          </w:p>
        </w:tc>
      </w:tr>
      <w:tr>
        <w:trPr>
          <w:trHeight w:val="126"/>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Balance at end of year</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1,225</w:t>
            </w:r>
          </w:p>
        </w:tc>
        <w:tc>
          <w:tcPr>
            <w:tcW w:w="4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1,086</w:t>
            </w:r>
          </w:p>
        </w:tc>
        <w:tc>
          <w:tcPr>
            <w:tcW w:w="2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1,061</w:t>
            </w:r>
          </w:p>
        </w:tc>
      </w:tr>
    </w:tbl>
    <w:p>
      <w:pPr>
        <w:spacing w:after="0" w:line="117" w:lineRule="exact"/>
        <w:rPr>
          <w:sz w:val="20"/>
          <w:szCs w:val="20"/>
          <w:color w:val="auto"/>
        </w:rPr>
      </w:pPr>
    </w:p>
    <w:p>
      <w:pPr>
        <w:ind w:left="8"/>
        <w:spacing w:after="0"/>
        <w:rPr>
          <w:sz w:val="20"/>
          <w:szCs w:val="20"/>
          <w:color w:val="auto"/>
        </w:rPr>
      </w:pPr>
      <w:r>
        <w:rPr>
          <w:rFonts w:ascii="Arial" w:cs="Arial" w:eastAsia="Arial" w:hAnsi="Arial"/>
          <w:sz w:val="11"/>
          <w:szCs w:val="11"/>
          <w:color w:val="auto"/>
        </w:rPr>
        <w:t>As of December 31, 2023, 2022, and 2021, there were $1,225 million, $1,086 million, and $1,061 million, respectively, of unrecognized tax benefits that if recognized would be recorded as a component of Tax expense.</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summarizes tax years that remain subject to examination by major tax jurisdictions as of December 31, 2023:</w:t>
      </w:r>
    </w:p>
    <w:p>
      <w:pPr>
        <w:spacing w:after="0" w:line="136"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6440" w:type="dxa"/>
            <w:vAlign w:val="bottom"/>
          </w:tcPr>
          <w:p>
            <w:pPr>
              <w:spacing w:after="0"/>
              <w:rPr>
                <w:sz w:val="11"/>
                <w:szCs w:val="11"/>
                <w:color w:val="auto"/>
              </w:rPr>
            </w:pPr>
          </w:p>
        </w:tc>
        <w:tc>
          <w:tcPr>
            <w:tcW w:w="1880" w:type="dxa"/>
            <w:vAlign w:val="bottom"/>
            <w:tcBorders>
              <w:bottom w:val="single" w:sz="8" w:color="D7282F"/>
            </w:tcBorders>
          </w:tcPr>
          <w:p>
            <w:pPr>
              <w:spacing w:after="0"/>
              <w:rPr>
                <w:sz w:val="11"/>
                <w:szCs w:val="11"/>
                <w:color w:val="auto"/>
              </w:rPr>
            </w:pPr>
          </w:p>
        </w:tc>
        <w:tc>
          <w:tcPr>
            <w:tcW w:w="2980" w:type="dxa"/>
            <w:vAlign w:val="bottom"/>
            <w:tcBorders>
              <w:bottom w:val="single" w:sz="8" w:color="D7282F"/>
            </w:tcBorders>
          </w:tcPr>
          <w:p>
            <w:pPr>
              <w:ind w:left="180"/>
              <w:spacing w:after="0"/>
              <w:rPr>
                <w:sz w:val="20"/>
                <w:szCs w:val="20"/>
                <w:color w:val="auto"/>
              </w:rPr>
            </w:pPr>
            <w:r>
              <w:rPr>
                <w:rFonts w:ascii="Arial" w:cs="Arial" w:eastAsia="Arial" w:hAnsi="Arial"/>
                <w:sz w:val="10"/>
                <w:szCs w:val="10"/>
                <w:b w:val="1"/>
                <w:bCs w:val="1"/>
                <w:color w:val="auto"/>
              </w:rPr>
              <w:t>Open Tax Years</w:t>
            </w:r>
          </w:p>
        </w:tc>
      </w:tr>
      <w:tr>
        <w:trPr>
          <w:trHeight w:val="151"/>
        </w:trPr>
        <w:tc>
          <w:tcPr>
            <w:tcW w:w="64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Jurisdiction</w:t>
            </w:r>
          </w:p>
        </w:tc>
        <w:tc>
          <w:tcPr>
            <w:tcW w:w="1880" w:type="dxa"/>
            <w:vAlign w:val="bottom"/>
            <w:tcBorders>
              <w:bottom w:val="single" w:sz="8" w:color="D7282F"/>
            </w:tcBorders>
          </w:tcPr>
          <w:p>
            <w:pPr>
              <w:jc w:val="center"/>
              <w:ind w:left="312"/>
              <w:spacing w:after="0"/>
              <w:rPr>
                <w:sz w:val="20"/>
                <w:szCs w:val="20"/>
                <w:color w:val="auto"/>
              </w:rPr>
            </w:pPr>
            <w:r>
              <w:rPr>
                <w:rFonts w:ascii="Arial" w:cs="Arial" w:eastAsia="Arial" w:hAnsi="Arial"/>
                <w:sz w:val="10"/>
                <w:szCs w:val="10"/>
                <w:b w:val="1"/>
                <w:bCs w:val="1"/>
                <w:color w:val="auto"/>
                <w:w w:val="95"/>
              </w:rPr>
              <w:t>Examination in progress</w:t>
            </w:r>
          </w:p>
        </w:tc>
        <w:tc>
          <w:tcPr>
            <w:tcW w:w="2980" w:type="dxa"/>
            <w:vAlign w:val="bottom"/>
            <w:tcBorders>
              <w:bottom w:val="single" w:sz="8" w:color="D7282F"/>
            </w:tcBorders>
          </w:tcPr>
          <w:p>
            <w:pPr>
              <w:ind w:left="1020"/>
              <w:spacing w:after="0"/>
              <w:rPr>
                <w:sz w:val="20"/>
                <w:szCs w:val="20"/>
                <w:color w:val="auto"/>
              </w:rPr>
            </w:pPr>
            <w:r>
              <w:rPr>
                <w:rFonts w:ascii="Arial" w:cs="Arial" w:eastAsia="Arial" w:hAnsi="Arial"/>
                <w:sz w:val="10"/>
                <w:szCs w:val="10"/>
                <w:b w:val="1"/>
                <w:bCs w:val="1"/>
                <w:color w:val="auto"/>
              </w:rPr>
              <w:t>Examination not yet initiated</w:t>
            </w:r>
          </w:p>
        </w:tc>
      </w:tr>
      <w:tr>
        <w:trPr>
          <w:trHeight w:val="122"/>
        </w:trPr>
        <w:tc>
          <w:tcPr>
            <w:tcW w:w="64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U.S. Federal</w:t>
            </w:r>
          </w:p>
        </w:tc>
        <w:tc>
          <w:tcPr>
            <w:tcW w:w="1880" w:type="dxa"/>
            <w:vAlign w:val="bottom"/>
            <w:tcBorders>
              <w:bottom w:val="single" w:sz="8" w:color="888B8D"/>
            </w:tcBorders>
          </w:tcPr>
          <w:p>
            <w:pPr>
              <w:jc w:val="center"/>
              <w:ind w:left="332"/>
              <w:spacing w:after="0"/>
              <w:rPr>
                <w:sz w:val="20"/>
                <w:szCs w:val="20"/>
                <w:color w:val="auto"/>
              </w:rPr>
            </w:pPr>
            <w:r>
              <w:rPr>
                <w:rFonts w:ascii="Arial" w:cs="Arial" w:eastAsia="Arial" w:hAnsi="Arial"/>
                <w:sz w:val="10"/>
                <w:szCs w:val="10"/>
                <w:color w:val="auto"/>
                <w:w w:val="96"/>
              </w:rPr>
              <w:t>2017-2021</w:t>
            </w:r>
          </w:p>
        </w:tc>
        <w:tc>
          <w:tcPr>
            <w:tcW w:w="2980" w:type="dxa"/>
            <w:vAlign w:val="bottom"/>
            <w:tcBorders>
              <w:bottom w:val="single" w:sz="8" w:color="888B8D"/>
            </w:tcBorders>
          </w:tcPr>
          <w:p>
            <w:pPr>
              <w:jc w:val="center"/>
              <w:ind w:left="312"/>
              <w:spacing w:after="0"/>
              <w:rPr>
                <w:sz w:val="20"/>
                <w:szCs w:val="20"/>
                <w:color w:val="auto"/>
              </w:rPr>
            </w:pPr>
            <w:r>
              <w:rPr>
                <w:rFonts w:ascii="Arial" w:cs="Arial" w:eastAsia="Arial" w:hAnsi="Arial"/>
                <w:sz w:val="10"/>
                <w:szCs w:val="10"/>
                <w:color w:val="auto"/>
                <w:w w:val="96"/>
              </w:rPr>
              <w:t>2022-2023</w:t>
            </w:r>
          </w:p>
        </w:tc>
      </w:tr>
      <w:tr>
        <w:trPr>
          <w:trHeight w:val="124"/>
        </w:trPr>
        <w:tc>
          <w:tcPr>
            <w:tcW w:w="64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U.S. State</w:t>
            </w:r>
          </w:p>
        </w:tc>
        <w:tc>
          <w:tcPr>
            <w:tcW w:w="1880" w:type="dxa"/>
            <w:vAlign w:val="bottom"/>
            <w:tcBorders>
              <w:bottom w:val="single" w:sz="8" w:color="888B8D"/>
            </w:tcBorders>
          </w:tcPr>
          <w:p>
            <w:pPr>
              <w:jc w:val="center"/>
              <w:ind w:left="332"/>
              <w:spacing w:after="0"/>
              <w:rPr>
                <w:sz w:val="20"/>
                <w:szCs w:val="20"/>
                <w:color w:val="auto"/>
              </w:rPr>
            </w:pPr>
            <w:r>
              <w:rPr>
                <w:rFonts w:ascii="Arial" w:cs="Arial" w:eastAsia="Arial" w:hAnsi="Arial"/>
                <w:sz w:val="10"/>
                <w:szCs w:val="10"/>
                <w:color w:val="auto"/>
                <w:w w:val="96"/>
              </w:rPr>
              <w:t>2013-2021</w:t>
            </w:r>
          </w:p>
        </w:tc>
        <w:tc>
          <w:tcPr>
            <w:tcW w:w="2980" w:type="dxa"/>
            <w:vAlign w:val="bottom"/>
            <w:tcBorders>
              <w:bottom w:val="single" w:sz="8" w:color="888B8D"/>
            </w:tcBorders>
          </w:tcPr>
          <w:p>
            <w:pPr>
              <w:jc w:val="center"/>
              <w:ind w:left="312"/>
              <w:spacing w:after="0"/>
              <w:rPr>
                <w:sz w:val="20"/>
                <w:szCs w:val="20"/>
                <w:color w:val="auto"/>
              </w:rPr>
            </w:pPr>
            <w:r>
              <w:rPr>
                <w:rFonts w:ascii="Arial" w:cs="Arial" w:eastAsia="Arial" w:hAnsi="Arial"/>
                <w:sz w:val="10"/>
                <w:szCs w:val="10"/>
                <w:color w:val="auto"/>
                <w:w w:val="96"/>
              </w:rPr>
              <w:t>2022-2023</w:t>
            </w:r>
          </w:p>
        </w:tc>
      </w:tr>
      <w:tr>
        <w:trPr>
          <w:trHeight w:val="124"/>
        </w:trPr>
        <w:tc>
          <w:tcPr>
            <w:tcW w:w="64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China</w:t>
            </w:r>
          </w:p>
        </w:tc>
        <w:tc>
          <w:tcPr>
            <w:tcW w:w="1880" w:type="dxa"/>
            <w:vAlign w:val="bottom"/>
            <w:tcBorders>
              <w:bottom w:val="single" w:sz="8" w:color="888B8D"/>
            </w:tcBorders>
          </w:tcPr>
          <w:p>
            <w:pPr>
              <w:jc w:val="center"/>
              <w:ind w:left="332"/>
              <w:spacing w:after="0"/>
              <w:rPr>
                <w:sz w:val="20"/>
                <w:szCs w:val="20"/>
                <w:color w:val="auto"/>
              </w:rPr>
            </w:pPr>
            <w:r>
              <w:rPr>
                <w:rFonts w:ascii="Arial" w:cs="Arial" w:eastAsia="Arial" w:hAnsi="Arial"/>
                <w:sz w:val="10"/>
                <w:szCs w:val="10"/>
                <w:color w:val="auto"/>
                <w:w w:val="96"/>
              </w:rPr>
              <w:t>2013-2022</w:t>
            </w:r>
          </w:p>
        </w:tc>
        <w:tc>
          <w:tcPr>
            <w:tcW w:w="2980" w:type="dxa"/>
            <w:vAlign w:val="bottom"/>
            <w:tcBorders>
              <w:bottom w:val="single" w:sz="8" w:color="888B8D"/>
            </w:tcBorders>
          </w:tcPr>
          <w:p>
            <w:pPr>
              <w:jc w:val="center"/>
              <w:ind w:left="312"/>
              <w:spacing w:after="0"/>
              <w:rPr>
                <w:sz w:val="20"/>
                <w:szCs w:val="20"/>
                <w:color w:val="auto"/>
              </w:rPr>
            </w:pPr>
            <w:r>
              <w:rPr>
                <w:rFonts w:ascii="Arial" w:cs="Arial" w:eastAsia="Arial" w:hAnsi="Arial"/>
                <w:sz w:val="10"/>
                <w:szCs w:val="10"/>
                <w:color w:val="auto"/>
                <w:w w:val="98"/>
              </w:rPr>
              <w:t>2023</w:t>
            </w:r>
          </w:p>
        </w:tc>
      </w:tr>
      <w:tr>
        <w:trPr>
          <w:trHeight w:val="124"/>
        </w:trPr>
        <w:tc>
          <w:tcPr>
            <w:tcW w:w="64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Germany</w:t>
            </w:r>
          </w:p>
        </w:tc>
        <w:tc>
          <w:tcPr>
            <w:tcW w:w="1880" w:type="dxa"/>
            <w:vAlign w:val="bottom"/>
            <w:tcBorders>
              <w:bottom w:val="single" w:sz="8" w:color="888B8D"/>
            </w:tcBorders>
          </w:tcPr>
          <w:p>
            <w:pPr>
              <w:jc w:val="center"/>
              <w:ind w:left="332"/>
              <w:spacing w:after="0"/>
              <w:rPr>
                <w:sz w:val="20"/>
                <w:szCs w:val="20"/>
                <w:color w:val="auto"/>
              </w:rPr>
            </w:pPr>
            <w:r>
              <w:rPr>
                <w:rFonts w:ascii="Arial" w:cs="Arial" w:eastAsia="Arial" w:hAnsi="Arial"/>
                <w:sz w:val="10"/>
                <w:szCs w:val="10"/>
                <w:color w:val="auto"/>
                <w:w w:val="96"/>
              </w:rPr>
              <w:t>2013-2020</w:t>
            </w:r>
          </w:p>
        </w:tc>
        <w:tc>
          <w:tcPr>
            <w:tcW w:w="2980" w:type="dxa"/>
            <w:vAlign w:val="bottom"/>
            <w:tcBorders>
              <w:bottom w:val="single" w:sz="8" w:color="888B8D"/>
            </w:tcBorders>
          </w:tcPr>
          <w:p>
            <w:pPr>
              <w:jc w:val="center"/>
              <w:ind w:left="312"/>
              <w:spacing w:after="0"/>
              <w:rPr>
                <w:sz w:val="20"/>
                <w:szCs w:val="20"/>
                <w:color w:val="auto"/>
              </w:rPr>
            </w:pPr>
            <w:r>
              <w:rPr>
                <w:rFonts w:ascii="Arial" w:cs="Arial" w:eastAsia="Arial" w:hAnsi="Arial"/>
                <w:sz w:val="10"/>
                <w:szCs w:val="10"/>
                <w:color w:val="auto"/>
                <w:w w:val="96"/>
              </w:rPr>
              <w:t>2021-2023</w:t>
            </w:r>
          </w:p>
        </w:tc>
      </w:tr>
      <w:tr>
        <w:trPr>
          <w:trHeight w:val="124"/>
        </w:trPr>
        <w:tc>
          <w:tcPr>
            <w:tcW w:w="64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India</w:t>
            </w:r>
          </w:p>
        </w:tc>
        <w:tc>
          <w:tcPr>
            <w:tcW w:w="1880" w:type="dxa"/>
            <w:vAlign w:val="bottom"/>
            <w:tcBorders>
              <w:bottom w:val="single" w:sz="8" w:color="888B8D"/>
            </w:tcBorders>
          </w:tcPr>
          <w:p>
            <w:pPr>
              <w:jc w:val="center"/>
              <w:ind w:left="332"/>
              <w:spacing w:after="0"/>
              <w:rPr>
                <w:sz w:val="20"/>
                <w:szCs w:val="20"/>
                <w:color w:val="auto"/>
              </w:rPr>
            </w:pPr>
            <w:r>
              <w:rPr>
                <w:rFonts w:ascii="Arial" w:cs="Arial" w:eastAsia="Arial" w:hAnsi="Arial"/>
                <w:sz w:val="10"/>
                <w:szCs w:val="10"/>
                <w:color w:val="auto"/>
                <w:w w:val="96"/>
              </w:rPr>
              <w:t>2013-2020</w:t>
            </w:r>
          </w:p>
        </w:tc>
        <w:tc>
          <w:tcPr>
            <w:tcW w:w="2980" w:type="dxa"/>
            <w:vAlign w:val="bottom"/>
            <w:tcBorders>
              <w:bottom w:val="single" w:sz="8" w:color="888B8D"/>
            </w:tcBorders>
          </w:tcPr>
          <w:p>
            <w:pPr>
              <w:jc w:val="center"/>
              <w:ind w:left="312"/>
              <w:spacing w:after="0"/>
              <w:rPr>
                <w:sz w:val="20"/>
                <w:szCs w:val="20"/>
                <w:color w:val="auto"/>
              </w:rPr>
            </w:pPr>
            <w:r>
              <w:rPr>
                <w:rFonts w:ascii="Arial" w:cs="Arial" w:eastAsia="Arial" w:hAnsi="Arial"/>
                <w:sz w:val="10"/>
                <w:szCs w:val="10"/>
                <w:color w:val="auto"/>
                <w:w w:val="96"/>
              </w:rPr>
              <w:t>2021-2023</w:t>
            </w:r>
          </w:p>
        </w:tc>
      </w:tr>
      <w:tr>
        <w:trPr>
          <w:trHeight w:val="124"/>
        </w:trPr>
        <w:tc>
          <w:tcPr>
            <w:tcW w:w="64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Puerto Rico</w:t>
            </w:r>
          </w:p>
        </w:tc>
        <w:tc>
          <w:tcPr>
            <w:tcW w:w="1880" w:type="dxa"/>
            <w:vAlign w:val="bottom"/>
            <w:tcBorders>
              <w:bottom w:val="single" w:sz="8" w:color="888B8D"/>
            </w:tcBorders>
          </w:tcPr>
          <w:p>
            <w:pPr>
              <w:jc w:val="center"/>
              <w:ind w:left="312"/>
              <w:spacing w:after="0"/>
              <w:rPr>
                <w:sz w:val="20"/>
                <w:szCs w:val="20"/>
                <w:color w:val="auto"/>
              </w:rPr>
            </w:pPr>
            <w:r>
              <w:rPr>
                <w:rFonts w:ascii="Arial" w:cs="Arial" w:eastAsia="Arial" w:hAnsi="Arial"/>
                <w:sz w:val="10"/>
                <w:szCs w:val="10"/>
                <w:color w:val="auto"/>
                <w:w w:val="95"/>
              </w:rPr>
              <w:t>N/A</w:t>
            </w:r>
          </w:p>
        </w:tc>
        <w:tc>
          <w:tcPr>
            <w:tcW w:w="2980" w:type="dxa"/>
            <w:vAlign w:val="bottom"/>
            <w:tcBorders>
              <w:bottom w:val="single" w:sz="8" w:color="888B8D"/>
            </w:tcBorders>
          </w:tcPr>
          <w:p>
            <w:pPr>
              <w:jc w:val="center"/>
              <w:ind w:left="312"/>
              <w:spacing w:after="0"/>
              <w:rPr>
                <w:sz w:val="20"/>
                <w:szCs w:val="20"/>
                <w:color w:val="auto"/>
              </w:rPr>
            </w:pPr>
            <w:r>
              <w:rPr>
                <w:rFonts w:ascii="Arial" w:cs="Arial" w:eastAsia="Arial" w:hAnsi="Arial"/>
                <w:sz w:val="10"/>
                <w:szCs w:val="10"/>
                <w:color w:val="auto"/>
                <w:w w:val="96"/>
              </w:rPr>
              <w:t>2020-2023</w:t>
            </w:r>
          </w:p>
        </w:tc>
      </w:tr>
      <w:tr>
        <w:trPr>
          <w:trHeight w:val="124"/>
        </w:trPr>
        <w:tc>
          <w:tcPr>
            <w:tcW w:w="64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Switzerland</w:t>
            </w:r>
          </w:p>
        </w:tc>
        <w:tc>
          <w:tcPr>
            <w:tcW w:w="1880" w:type="dxa"/>
            <w:vAlign w:val="bottom"/>
            <w:tcBorders>
              <w:bottom w:val="single" w:sz="8" w:color="888B8D"/>
            </w:tcBorders>
          </w:tcPr>
          <w:p>
            <w:pPr>
              <w:jc w:val="center"/>
              <w:ind w:left="332"/>
              <w:spacing w:after="0"/>
              <w:rPr>
                <w:sz w:val="20"/>
                <w:szCs w:val="20"/>
                <w:color w:val="auto"/>
              </w:rPr>
            </w:pPr>
            <w:r>
              <w:rPr>
                <w:rFonts w:ascii="Arial" w:cs="Arial" w:eastAsia="Arial" w:hAnsi="Arial"/>
                <w:sz w:val="10"/>
                <w:szCs w:val="10"/>
                <w:color w:val="auto"/>
                <w:w w:val="96"/>
              </w:rPr>
              <w:t>2019-2020</w:t>
            </w:r>
          </w:p>
        </w:tc>
        <w:tc>
          <w:tcPr>
            <w:tcW w:w="2980" w:type="dxa"/>
            <w:vAlign w:val="bottom"/>
            <w:tcBorders>
              <w:bottom w:val="single" w:sz="8" w:color="888B8D"/>
            </w:tcBorders>
          </w:tcPr>
          <w:p>
            <w:pPr>
              <w:jc w:val="center"/>
              <w:ind w:left="312"/>
              <w:spacing w:after="0"/>
              <w:rPr>
                <w:sz w:val="20"/>
                <w:szCs w:val="20"/>
                <w:color w:val="auto"/>
              </w:rPr>
            </w:pPr>
            <w:r>
              <w:rPr>
                <w:rFonts w:ascii="Arial" w:cs="Arial" w:eastAsia="Arial" w:hAnsi="Arial"/>
                <w:sz w:val="10"/>
                <w:szCs w:val="10"/>
                <w:color w:val="auto"/>
                <w:w w:val="96"/>
              </w:rPr>
              <w:t>2021-2023</w:t>
            </w:r>
          </w:p>
        </w:tc>
      </w:tr>
      <w:tr>
        <w:trPr>
          <w:trHeight w:val="124"/>
        </w:trPr>
        <w:tc>
          <w:tcPr>
            <w:tcW w:w="64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United Kingdom</w:t>
            </w:r>
          </w:p>
        </w:tc>
        <w:tc>
          <w:tcPr>
            <w:tcW w:w="1880" w:type="dxa"/>
            <w:vAlign w:val="bottom"/>
            <w:tcBorders>
              <w:bottom w:val="single" w:sz="8" w:color="D7282F"/>
            </w:tcBorders>
          </w:tcPr>
          <w:p>
            <w:pPr>
              <w:jc w:val="center"/>
              <w:ind w:left="332"/>
              <w:spacing w:after="0"/>
              <w:rPr>
                <w:sz w:val="20"/>
                <w:szCs w:val="20"/>
                <w:color w:val="auto"/>
              </w:rPr>
            </w:pPr>
            <w:r>
              <w:rPr>
                <w:rFonts w:ascii="Arial" w:cs="Arial" w:eastAsia="Arial" w:hAnsi="Arial"/>
                <w:sz w:val="10"/>
                <w:szCs w:val="10"/>
                <w:color w:val="auto"/>
                <w:w w:val="96"/>
              </w:rPr>
              <w:t>2013-2021</w:t>
            </w:r>
          </w:p>
        </w:tc>
        <w:tc>
          <w:tcPr>
            <w:tcW w:w="2980" w:type="dxa"/>
            <w:vAlign w:val="bottom"/>
            <w:tcBorders>
              <w:bottom w:val="single" w:sz="8" w:color="D7282F"/>
            </w:tcBorders>
          </w:tcPr>
          <w:p>
            <w:pPr>
              <w:jc w:val="center"/>
              <w:ind w:left="312"/>
              <w:spacing w:after="0"/>
              <w:rPr>
                <w:sz w:val="20"/>
                <w:szCs w:val="20"/>
                <w:color w:val="auto"/>
              </w:rPr>
            </w:pPr>
            <w:r>
              <w:rPr>
                <w:rFonts w:ascii="Arial" w:cs="Arial" w:eastAsia="Arial" w:hAnsi="Arial"/>
                <w:sz w:val="10"/>
                <w:szCs w:val="10"/>
                <w:color w:val="auto"/>
                <w:w w:val="96"/>
              </w:rPr>
              <w:t>2022-2023</w:t>
            </w:r>
          </w:p>
        </w:tc>
      </w:tr>
    </w:tbl>
    <w:p>
      <w:pPr>
        <w:spacing w:after="0" w:line="126"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Based on the outcome of these examinations, or as a result of the expiration of statute of limitations for specific jurisdictions, it is reasonably possible that certain unrecognized tax benefits for tax positions taken on previously filed tax returns will materially change from those recorded as liabilities in the Company's financial statements. In addition, the outcome of these examinations may impact the valuation of certain deferred tax assets (such as net operating losses) in future periods.</w:t>
      </w:r>
    </w:p>
    <w:p>
      <w:pPr>
        <w:spacing w:after="0" w:line="45"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Unrecognized tax benefits for examinations in progress were $803 million, $640 million, and $592 million as of December 31, 2023, 2022, and 2021, respectively. Estimated interest and penalties related to the underpayment of income taxes are classified as a component of Tax expense in the Consolidated Statement of Operations and totaled $74 million, $5 million, and $79 million for the years ended December 31, 2023, 2022, and 2021, respectively. Accrued interest and penalties were $612 million, $557 million, and $580 million as of December 31, 2023, 2022, and 2021, respectively.</w:t>
      </w:r>
    </w:p>
    <w:p>
      <w:pPr>
        <w:spacing w:after="0" w:line="270" w:lineRule="exact"/>
        <w:rPr>
          <w:sz w:val="20"/>
          <w:szCs w:val="20"/>
          <w:color w:val="auto"/>
        </w:rPr>
      </w:pPr>
    </w:p>
    <w:p>
      <w:pPr>
        <w:ind w:left="268" w:hanging="268"/>
        <w:spacing w:after="0"/>
        <w:tabs>
          <w:tab w:leader="none" w:pos="268" w:val="left"/>
        </w:tabs>
        <w:numPr>
          <w:ilvl w:val="0"/>
          <w:numId w:val="121"/>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77" w:name="page78"/>
    <w:bookmarkEnd w:id="77"/>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92" w:lineRule="exact"/>
        <w:rPr>
          <w:sz w:val="20"/>
          <w:szCs w:val="20"/>
          <w:color w:val="auto"/>
        </w:rPr>
      </w:pPr>
    </w:p>
    <w:p>
      <w:pPr>
        <w:spacing w:after="0"/>
        <w:rPr>
          <w:sz w:val="20"/>
          <w:szCs w:val="20"/>
          <w:color w:val="auto"/>
        </w:rPr>
      </w:pPr>
      <w:r>
        <w:rPr>
          <w:rFonts w:ascii="Arial" w:cs="Arial" w:eastAsia="Arial" w:hAnsi="Arial"/>
          <w:sz w:val="19"/>
          <w:szCs w:val="19"/>
          <w:color w:val="D7282F"/>
        </w:rPr>
        <w:t>NOTE 6. INVENTORIES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9560" w:type="dxa"/>
            <w:vAlign w:val="bottom"/>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1060" w:type="dxa"/>
            <w:vAlign w:val="bottom"/>
            <w:tcBorders>
              <w:bottom w:val="single" w:sz="8" w:color="D7282F"/>
            </w:tcBorders>
            <w:gridSpan w:val="2"/>
          </w:tcPr>
          <w:p>
            <w:pPr>
              <w:jc w:val="right"/>
              <w:spacing w:after="0"/>
              <w:rPr>
                <w:sz w:val="20"/>
                <w:szCs w:val="20"/>
                <w:color w:val="auto"/>
              </w:rPr>
            </w:pPr>
            <w:r>
              <w:rPr>
                <w:rFonts w:ascii="Arial" w:cs="Arial" w:eastAsia="Arial" w:hAnsi="Arial"/>
                <w:sz w:val="10"/>
                <w:szCs w:val="10"/>
                <w:b w:val="1"/>
                <w:bCs w:val="1"/>
                <w:color w:val="auto"/>
              </w:rPr>
              <w:t>December 31,</w:t>
            </w:r>
          </w:p>
        </w:tc>
        <w:tc>
          <w:tcPr>
            <w:tcW w:w="520" w:type="dxa"/>
            <w:vAlign w:val="bottom"/>
            <w:tcBorders>
              <w:bottom w:val="single" w:sz="8" w:color="D7282F"/>
            </w:tcBorders>
          </w:tcPr>
          <w:p>
            <w:pPr>
              <w:spacing w:after="0"/>
              <w:rPr>
                <w:sz w:val="11"/>
                <w:szCs w:val="11"/>
                <w:color w:val="auto"/>
              </w:rPr>
            </w:pPr>
          </w:p>
        </w:tc>
      </w:tr>
      <w:tr>
        <w:trPr>
          <w:trHeight w:val="151"/>
        </w:trPr>
        <w:tc>
          <w:tcPr>
            <w:tcW w:w="9560" w:type="dxa"/>
            <w:vAlign w:val="bottom"/>
            <w:tcBorders>
              <w:bottom w:val="single" w:sz="8" w:color="D7282F"/>
            </w:tcBorders>
          </w:tcPr>
          <w:p>
            <w:pPr>
              <w:spacing w:after="0"/>
              <w:rPr>
                <w:sz w:val="13"/>
                <w:szCs w:val="13"/>
                <w:color w:val="auto"/>
              </w:rPr>
            </w:pPr>
          </w:p>
        </w:tc>
        <w:tc>
          <w:tcPr>
            <w:tcW w:w="16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2023</w:t>
            </w:r>
          </w:p>
        </w:tc>
        <w:tc>
          <w:tcPr>
            <w:tcW w:w="380" w:type="dxa"/>
            <w:vAlign w:val="bottom"/>
            <w:tcBorders>
              <w:bottom w:val="single" w:sz="8" w:color="D7282F"/>
            </w:tcBorders>
          </w:tcPr>
          <w:p>
            <w:pPr>
              <w:spacing w:after="0"/>
              <w:rPr>
                <w:sz w:val="13"/>
                <w:szCs w:val="13"/>
                <w:color w:val="auto"/>
              </w:rPr>
            </w:pPr>
          </w:p>
        </w:tc>
        <w:tc>
          <w:tcPr>
            <w:tcW w:w="52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w w:val="98"/>
              </w:rPr>
              <w:t>2022</w:t>
            </w:r>
          </w:p>
        </w:tc>
      </w:tr>
      <w:tr>
        <w:trPr>
          <w:trHeight w:val="122"/>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Raw materials</w:t>
            </w:r>
          </w:p>
        </w:tc>
        <w:tc>
          <w:tcPr>
            <w:tcW w:w="16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1,704</w:t>
            </w:r>
          </w:p>
        </w:tc>
        <w:tc>
          <w:tcPr>
            <w:tcW w:w="38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1,407</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Work in process</w:t>
            </w:r>
          </w:p>
        </w:tc>
        <w:tc>
          <w:tcPr>
            <w:tcW w:w="16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1,217</w:t>
            </w:r>
          </w:p>
        </w:tc>
        <w:tc>
          <w:tcPr>
            <w:tcW w:w="38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1,049</w:t>
            </w:r>
          </w:p>
        </w:tc>
      </w:tr>
      <w:tr>
        <w:trPr>
          <w:trHeight w:val="124"/>
        </w:trPr>
        <w:tc>
          <w:tcPr>
            <w:tcW w:w="95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Finished products</w:t>
            </w:r>
          </w:p>
        </w:tc>
        <w:tc>
          <w:tcPr>
            <w:tcW w:w="16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3,257</w:t>
            </w:r>
          </w:p>
        </w:tc>
        <w:tc>
          <w:tcPr>
            <w:tcW w:w="38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3,082</w:t>
            </w:r>
          </w:p>
        </w:tc>
      </w:tr>
      <w:tr>
        <w:trPr>
          <w:trHeight w:val="126"/>
        </w:trPr>
        <w:tc>
          <w:tcPr>
            <w:tcW w:w="956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Inventories</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6,178</w:t>
            </w:r>
          </w:p>
        </w:tc>
        <w:tc>
          <w:tcPr>
            <w:tcW w:w="38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5,538</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D7282F"/>
        </w:rPr>
        <w:t>NOTE 7. PROPERTY, PLANT AND EQUIPMENT—NET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9560" w:type="dxa"/>
            <w:vAlign w:val="bottom"/>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1060" w:type="dxa"/>
            <w:vAlign w:val="bottom"/>
            <w:tcBorders>
              <w:bottom w:val="single" w:sz="8" w:color="D7282F"/>
            </w:tcBorders>
            <w:gridSpan w:val="2"/>
          </w:tcPr>
          <w:p>
            <w:pPr>
              <w:jc w:val="right"/>
              <w:spacing w:after="0"/>
              <w:rPr>
                <w:sz w:val="20"/>
                <w:szCs w:val="20"/>
                <w:color w:val="auto"/>
              </w:rPr>
            </w:pPr>
            <w:r>
              <w:rPr>
                <w:rFonts w:ascii="Arial" w:cs="Arial" w:eastAsia="Arial" w:hAnsi="Arial"/>
                <w:sz w:val="10"/>
                <w:szCs w:val="10"/>
                <w:b w:val="1"/>
                <w:bCs w:val="1"/>
                <w:color w:val="auto"/>
              </w:rPr>
              <w:t>December 31,</w:t>
            </w:r>
          </w:p>
        </w:tc>
        <w:tc>
          <w:tcPr>
            <w:tcW w:w="520" w:type="dxa"/>
            <w:vAlign w:val="bottom"/>
            <w:tcBorders>
              <w:bottom w:val="single" w:sz="8" w:color="D7282F"/>
            </w:tcBorders>
          </w:tcPr>
          <w:p>
            <w:pPr>
              <w:spacing w:after="0"/>
              <w:rPr>
                <w:sz w:val="11"/>
                <w:szCs w:val="11"/>
                <w:color w:val="auto"/>
              </w:rPr>
            </w:pPr>
          </w:p>
        </w:tc>
      </w:tr>
      <w:tr>
        <w:trPr>
          <w:trHeight w:val="151"/>
        </w:trPr>
        <w:tc>
          <w:tcPr>
            <w:tcW w:w="9560" w:type="dxa"/>
            <w:vAlign w:val="bottom"/>
            <w:tcBorders>
              <w:bottom w:val="single" w:sz="8" w:color="D7282F"/>
            </w:tcBorders>
          </w:tcPr>
          <w:p>
            <w:pPr>
              <w:spacing w:after="0"/>
              <w:rPr>
                <w:sz w:val="13"/>
                <w:szCs w:val="13"/>
                <w:color w:val="auto"/>
              </w:rPr>
            </w:pPr>
          </w:p>
        </w:tc>
        <w:tc>
          <w:tcPr>
            <w:tcW w:w="160" w:type="dxa"/>
            <w:vAlign w:val="bottom"/>
            <w:tcBorders>
              <w:bottom w:val="single" w:sz="8" w:color="D7282F"/>
            </w:tcBorders>
          </w:tcPr>
          <w:p>
            <w:pPr>
              <w:spacing w:after="0"/>
              <w:rPr>
                <w:sz w:val="13"/>
                <w:szCs w:val="13"/>
                <w:color w:val="auto"/>
              </w:rPr>
            </w:pPr>
          </w:p>
        </w:tc>
        <w:tc>
          <w:tcPr>
            <w:tcW w:w="70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2023</w:t>
            </w:r>
          </w:p>
        </w:tc>
        <w:tc>
          <w:tcPr>
            <w:tcW w:w="360" w:type="dxa"/>
            <w:vAlign w:val="bottom"/>
            <w:tcBorders>
              <w:bottom w:val="single" w:sz="8" w:color="D7282F"/>
            </w:tcBorders>
          </w:tcPr>
          <w:p>
            <w:pPr>
              <w:spacing w:after="0"/>
              <w:rPr>
                <w:sz w:val="13"/>
                <w:szCs w:val="13"/>
                <w:color w:val="auto"/>
              </w:rPr>
            </w:pPr>
          </w:p>
        </w:tc>
        <w:tc>
          <w:tcPr>
            <w:tcW w:w="52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w w:val="98"/>
              </w:rPr>
              <w:t>2022</w:t>
            </w:r>
          </w:p>
        </w:tc>
      </w:tr>
      <w:tr>
        <w:trPr>
          <w:trHeight w:val="122"/>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Land and improvements</w:t>
            </w:r>
          </w:p>
        </w:tc>
        <w:tc>
          <w:tcPr>
            <w:tcW w:w="16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211</w:t>
            </w:r>
          </w:p>
        </w:tc>
        <w:tc>
          <w:tcPr>
            <w:tcW w:w="360" w:type="dxa"/>
            <w:vAlign w:val="bottom"/>
            <w:tcBorders>
              <w:bottom w:val="single" w:sz="8" w:color="61656A"/>
            </w:tcBorders>
          </w:tcPr>
          <w:p>
            <w:pPr>
              <w:jc w:val="right"/>
              <w:ind w:right="13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216</w:t>
            </w:r>
          </w:p>
        </w:tc>
      </w:tr>
      <w:tr>
        <w:trPr>
          <w:trHeight w:val="124"/>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Machinery and equipment</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10,717</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10,383</w:t>
            </w:r>
          </w:p>
        </w:tc>
      </w:tr>
      <w:tr>
        <w:trPr>
          <w:trHeight w:val="124"/>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Buildings and improvements</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3,528</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3,394</w:t>
            </w:r>
          </w:p>
        </w:tc>
      </w:tr>
      <w:tr>
        <w:trPr>
          <w:trHeight w:val="124"/>
        </w:trPr>
        <w:tc>
          <w:tcPr>
            <w:tcW w:w="95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Construction in progress</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878</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769</w:t>
            </w:r>
          </w:p>
        </w:tc>
      </w:tr>
      <w:tr>
        <w:trPr>
          <w:trHeight w:val="126"/>
        </w:trPr>
        <w:tc>
          <w:tcPr>
            <w:tcW w:w="956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Property, plant and equipment</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15,334</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14,762</w:t>
            </w:r>
          </w:p>
        </w:tc>
      </w:tr>
      <w:tr>
        <w:trPr>
          <w:trHeight w:val="122"/>
        </w:trPr>
        <w:tc>
          <w:tcPr>
            <w:tcW w:w="95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Less—Accumulated depreciation</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(9,674)</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(9,291)</w:t>
            </w:r>
          </w:p>
        </w:tc>
      </w:tr>
      <w:tr>
        <w:trPr>
          <w:trHeight w:val="126"/>
        </w:trPr>
        <w:tc>
          <w:tcPr>
            <w:tcW w:w="956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Property, plant and equipment—net</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5,660</w:t>
            </w:r>
          </w:p>
        </w:tc>
        <w:tc>
          <w:tcPr>
            <w:tcW w:w="36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5,471</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1"/>
          <w:szCs w:val="11"/>
          <w:color w:val="auto"/>
        </w:rPr>
        <w:t>Depreciation expense was $659 million, $657 million, and $674 million for the years ended December 31, 2023, 2022, and 2021,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D7282F"/>
        </w:rPr>
        <w:t>NOTE 8. GOODWILL AND OTHER INTANGIBLE ASSETS—NET</w:t>
      </w:r>
    </w:p>
    <w:p>
      <w:pPr>
        <w:spacing w:after="0" w:line="163"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summarizes the change in the carrying amount of goodwill for the years ended December 31, 2023, and 2022, by reportable business segment:</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9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vMerge w:val="restart"/>
          </w:tcPr>
          <w:p>
            <w:pPr>
              <w:jc w:val="right"/>
              <w:ind w:right="332"/>
              <w:spacing w:after="0"/>
              <w:rPr>
                <w:sz w:val="20"/>
                <w:szCs w:val="20"/>
                <w:color w:val="auto"/>
              </w:rPr>
            </w:pPr>
            <w:r>
              <w:rPr>
                <w:rFonts w:ascii="Arial" w:cs="Arial" w:eastAsia="Arial" w:hAnsi="Arial"/>
                <w:sz w:val="10"/>
                <w:szCs w:val="10"/>
                <w:b w:val="1"/>
                <w:bCs w:val="1"/>
                <w:color w:val="auto"/>
              </w:rPr>
              <w:t>Acquisitions/</w:t>
            </w:r>
          </w:p>
        </w:tc>
        <w:tc>
          <w:tcPr>
            <w:tcW w:w="340" w:type="dxa"/>
            <w:vAlign w:val="bottom"/>
          </w:tcPr>
          <w:p>
            <w:pPr>
              <w:spacing w:after="0"/>
              <w:rPr>
                <w:sz w:val="10"/>
                <w:szCs w:val="10"/>
                <w:color w:val="auto"/>
              </w:rPr>
            </w:pPr>
          </w:p>
        </w:tc>
        <w:tc>
          <w:tcPr>
            <w:tcW w:w="1120" w:type="dxa"/>
            <w:vAlign w:val="bottom"/>
          </w:tcPr>
          <w:p>
            <w:pPr>
              <w:jc w:val="center"/>
              <w:ind w:right="252"/>
              <w:spacing w:after="0"/>
              <w:rPr>
                <w:sz w:val="20"/>
                <w:szCs w:val="20"/>
                <w:color w:val="auto"/>
              </w:rPr>
            </w:pPr>
            <w:r>
              <w:rPr>
                <w:rFonts w:ascii="Arial" w:cs="Arial" w:eastAsia="Arial" w:hAnsi="Arial"/>
                <w:sz w:val="10"/>
                <w:szCs w:val="10"/>
                <w:b w:val="1"/>
                <w:bCs w:val="1"/>
                <w:color w:val="auto"/>
                <w:w w:val="95"/>
              </w:rPr>
              <w:t>Currency</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9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100" w:type="dxa"/>
            <w:vAlign w:val="bottom"/>
            <w:vMerge w:val="restart"/>
          </w:tcPr>
          <w:p>
            <w:pPr>
              <w:jc w:val="right"/>
              <w:ind w:right="152"/>
              <w:spacing w:after="0"/>
              <w:rPr>
                <w:sz w:val="20"/>
                <w:szCs w:val="20"/>
                <w:color w:val="auto"/>
              </w:rPr>
            </w:pPr>
            <w:r>
              <w:rPr>
                <w:rFonts w:ascii="Arial" w:cs="Arial" w:eastAsia="Arial" w:hAnsi="Arial"/>
                <w:sz w:val="10"/>
                <w:szCs w:val="10"/>
                <w:b w:val="1"/>
                <w:bCs w:val="1"/>
                <w:color w:val="auto"/>
                <w:w w:val="97"/>
              </w:rPr>
              <w:t>December 31, 2022</w:t>
            </w:r>
          </w:p>
        </w:tc>
        <w:tc>
          <w:tcPr>
            <w:tcW w:w="3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jc w:val="center"/>
              <w:ind w:right="272"/>
              <w:spacing w:after="0" w:line="97" w:lineRule="exact"/>
              <w:rPr>
                <w:sz w:val="20"/>
                <w:szCs w:val="20"/>
                <w:color w:val="auto"/>
              </w:rPr>
            </w:pPr>
            <w:r>
              <w:rPr>
                <w:rFonts w:ascii="Arial" w:cs="Arial" w:eastAsia="Arial" w:hAnsi="Arial"/>
                <w:sz w:val="10"/>
                <w:szCs w:val="10"/>
                <w:b w:val="1"/>
                <w:bCs w:val="1"/>
                <w:color w:val="auto"/>
                <w:w w:val="96"/>
              </w:rPr>
              <w:t>Translation</w:t>
            </w:r>
          </w:p>
        </w:tc>
        <w:tc>
          <w:tcPr>
            <w:tcW w:w="180" w:type="dxa"/>
            <w:vAlign w:val="bottom"/>
          </w:tcPr>
          <w:p>
            <w:pPr>
              <w:spacing w:after="0"/>
              <w:rPr>
                <w:sz w:val="8"/>
                <w:szCs w:val="8"/>
                <w:color w:val="auto"/>
              </w:rPr>
            </w:pPr>
          </w:p>
        </w:tc>
        <w:tc>
          <w:tcPr>
            <w:tcW w:w="1000" w:type="dxa"/>
            <w:vAlign w:val="bottom"/>
            <w:vMerge w:val="restart"/>
          </w:tcPr>
          <w:p>
            <w:pPr>
              <w:jc w:val="right"/>
              <w:ind w:right="52"/>
              <w:spacing w:after="0"/>
              <w:rPr>
                <w:sz w:val="20"/>
                <w:szCs w:val="20"/>
                <w:color w:val="auto"/>
              </w:rPr>
            </w:pPr>
            <w:r>
              <w:rPr>
                <w:rFonts w:ascii="Arial" w:cs="Arial" w:eastAsia="Arial" w:hAnsi="Arial"/>
                <w:sz w:val="10"/>
                <w:szCs w:val="10"/>
                <w:b w:val="1"/>
                <w:bCs w:val="1"/>
                <w:color w:val="auto"/>
                <w:w w:val="97"/>
              </w:rPr>
              <w:t>December 31, 2023</w:t>
            </w:r>
          </w:p>
        </w:tc>
        <w:tc>
          <w:tcPr>
            <w:tcW w:w="0" w:type="dxa"/>
            <w:vAlign w:val="bottom"/>
          </w:tcPr>
          <w:p>
            <w:pPr>
              <w:spacing w:after="0"/>
              <w:rPr>
                <w:sz w:val="1"/>
                <w:szCs w:val="1"/>
                <w:color w:val="auto"/>
              </w:rPr>
            </w:pPr>
          </w:p>
        </w:tc>
      </w:tr>
      <w:tr>
        <w:trPr>
          <w:trHeight w:val="126"/>
        </w:trPr>
        <w:tc>
          <w:tcPr>
            <w:tcW w:w="3900" w:type="dxa"/>
            <w:vAlign w:val="bottom"/>
            <w:tcBorders>
              <w:bottom w:val="single" w:sz="8" w:color="D7282F"/>
            </w:tcBorders>
          </w:tcPr>
          <w:p>
            <w:pPr>
              <w:spacing w:after="0"/>
              <w:rPr>
                <w:sz w:val="10"/>
                <w:szCs w:val="10"/>
                <w:color w:val="auto"/>
              </w:rPr>
            </w:pPr>
          </w:p>
        </w:tc>
        <w:tc>
          <w:tcPr>
            <w:tcW w:w="2240" w:type="dxa"/>
            <w:vAlign w:val="bottom"/>
            <w:tcBorders>
              <w:bottom w:val="single" w:sz="8" w:color="D7282F"/>
            </w:tcBorders>
          </w:tcPr>
          <w:p>
            <w:pPr>
              <w:spacing w:after="0"/>
              <w:rPr>
                <w:sz w:val="10"/>
                <w:szCs w:val="10"/>
                <w:color w:val="auto"/>
              </w:rPr>
            </w:pPr>
          </w:p>
        </w:tc>
        <w:tc>
          <w:tcPr>
            <w:tcW w:w="1100" w:type="dxa"/>
            <w:vAlign w:val="bottom"/>
            <w:tcBorders>
              <w:bottom w:val="single" w:sz="8" w:color="D7282F"/>
            </w:tcBorders>
            <w:vMerge w:val="continue"/>
          </w:tcPr>
          <w:p>
            <w:pPr>
              <w:spacing w:after="0"/>
              <w:rPr>
                <w:sz w:val="10"/>
                <w:szCs w:val="10"/>
                <w:color w:val="auto"/>
              </w:rPr>
            </w:pPr>
          </w:p>
        </w:tc>
        <w:tc>
          <w:tcPr>
            <w:tcW w:w="300" w:type="dxa"/>
            <w:vAlign w:val="bottom"/>
            <w:tcBorders>
              <w:bottom w:val="single" w:sz="8" w:color="D7282F"/>
            </w:tcBorders>
          </w:tcPr>
          <w:p>
            <w:pPr>
              <w:spacing w:after="0"/>
              <w:rPr>
                <w:sz w:val="10"/>
                <w:szCs w:val="10"/>
                <w:color w:val="auto"/>
              </w:rPr>
            </w:pPr>
          </w:p>
        </w:tc>
        <w:tc>
          <w:tcPr>
            <w:tcW w:w="1120" w:type="dxa"/>
            <w:vAlign w:val="bottom"/>
            <w:tcBorders>
              <w:bottom w:val="single" w:sz="8" w:color="D7282F"/>
            </w:tcBorders>
          </w:tcPr>
          <w:p>
            <w:pPr>
              <w:jc w:val="right"/>
              <w:ind w:right="372"/>
              <w:spacing w:after="0"/>
              <w:rPr>
                <w:sz w:val="20"/>
                <w:szCs w:val="20"/>
                <w:color w:val="auto"/>
              </w:rPr>
            </w:pPr>
            <w:r>
              <w:rPr>
                <w:rFonts w:ascii="Arial" w:cs="Arial" w:eastAsia="Arial" w:hAnsi="Arial"/>
                <w:sz w:val="10"/>
                <w:szCs w:val="10"/>
                <w:b w:val="1"/>
                <w:bCs w:val="1"/>
                <w:color w:val="auto"/>
              </w:rPr>
              <w:t>Divestitures</w:t>
            </w:r>
          </w:p>
        </w:tc>
        <w:tc>
          <w:tcPr>
            <w:tcW w:w="340" w:type="dxa"/>
            <w:vAlign w:val="bottom"/>
            <w:tcBorders>
              <w:bottom w:val="single" w:sz="8" w:color="D7282F"/>
            </w:tcBorders>
          </w:tcPr>
          <w:p>
            <w:pPr>
              <w:spacing w:after="0"/>
              <w:rPr>
                <w:sz w:val="10"/>
                <w:szCs w:val="10"/>
                <w:color w:val="auto"/>
              </w:rPr>
            </w:pPr>
          </w:p>
        </w:tc>
        <w:tc>
          <w:tcPr>
            <w:tcW w:w="1120" w:type="dxa"/>
            <w:vAlign w:val="bottom"/>
            <w:tcBorders>
              <w:bottom w:val="single" w:sz="8" w:color="D7282F"/>
            </w:tcBorders>
          </w:tcPr>
          <w:p>
            <w:pPr>
              <w:jc w:val="center"/>
              <w:ind w:right="272"/>
              <w:spacing w:after="0"/>
              <w:rPr>
                <w:sz w:val="20"/>
                <w:szCs w:val="20"/>
                <w:color w:val="auto"/>
              </w:rPr>
            </w:pPr>
            <w:r>
              <w:rPr>
                <w:rFonts w:ascii="Arial" w:cs="Arial" w:eastAsia="Arial" w:hAnsi="Arial"/>
                <w:sz w:val="10"/>
                <w:szCs w:val="10"/>
                <w:b w:val="1"/>
                <w:bCs w:val="1"/>
                <w:color w:val="auto"/>
                <w:w w:val="94"/>
              </w:rPr>
              <w:t>Adjustment</w:t>
            </w:r>
          </w:p>
        </w:tc>
        <w:tc>
          <w:tcPr>
            <w:tcW w:w="18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9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Aerospace</w:t>
            </w:r>
          </w:p>
        </w:tc>
        <w:tc>
          <w:tcPr>
            <w:tcW w:w="22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2,376</w:t>
            </w:r>
          </w:p>
        </w:tc>
        <w:tc>
          <w:tcPr>
            <w:tcW w:w="3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10</w:t>
            </w:r>
          </w:p>
        </w:tc>
        <w:tc>
          <w:tcPr>
            <w:tcW w:w="1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2,386</w:t>
            </w:r>
          </w:p>
        </w:tc>
        <w:tc>
          <w:tcPr>
            <w:tcW w:w="0" w:type="dxa"/>
            <w:vAlign w:val="bottom"/>
          </w:tcPr>
          <w:p>
            <w:pPr>
              <w:spacing w:after="0"/>
              <w:rPr>
                <w:sz w:val="1"/>
                <w:szCs w:val="1"/>
                <w:color w:val="auto"/>
              </w:rPr>
            </w:pPr>
          </w:p>
        </w:tc>
      </w:tr>
      <w:tr>
        <w:trPr>
          <w:trHeight w:val="124"/>
        </w:trPr>
        <w:tc>
          <w:tcPr>
            <w:tcW w:w="39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Honeywell Building Technologies</w:t>
            </w:r>
          </w:p>
        </w:tc>
        <w:tc>
          <w:tcPr>
            <w:tcW w:w="224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3,338</w:t>
            </w:r>
          </w:p>
        </w:tc>
        <w:tc>
          <w:tcPr>
            <w:tcW w:w="300" w:type="dxa"/>
            <w:vAlign w:val="bottom"/>
            <w:tcBorders>
              <w:bottom w:val="single" w:sz="8" w:color="888B8D"/>
            </w:tcBorders>
          </w:tcPr>
          <w:p>
            <w:pPr>
              <w:spacing w:after="0"/>
              <w:rPr>
                <w:sz w:val="10"/>
                <w:szCs w:val="10"/>
                <w:color w:val="auto"/>
              </w:rPr>
            </w:pPr>
          </w:p>
        </w:tc>
        <w:tc>
          <w:tcPr>
            <w:tcW w:w="112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888B8D"/>
            </w:tcBorders>
          </w:tcPr>
          <w:p>
            <w:pPr>
              <w:spacing w:after="0"/>
              <w:rPr>
                <w:sz w:val="10"/>
                <w:szCs w:val="10"/>
                <w:color w:val="auto"/>
              </w:rPr>
            </w:pPr>
          </w:p>
        </w:tc>
        <w:tc>
          <w:tcPr>
            <w:tcW w:w="112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42</w:t>
            </w:r>
          </w:p>
        </w:tc>
        <w:tc>
          <w:tcPr>
            <w:tcW w:w="180" w:type="dxa"/>
            <w:vAlign w:val="bottom"/>
            <w:tcBorders>
              <w:bottom w:val="single" w:sz="8" w:color="888B8D"/>
            </w:tcBorders>
          </w:tcPr>
          <w:p>
            <w:pPr>
              <w:spacing w:after="0"/>
              <w:rPr>
                <w:sz w:val="10"/>
                <w:szCs w:val="10"/>
                <w:color w:val="auto"/>
              </w:rPr>
            </w:pPr>
          </w:p>
        </w:tc>
        <w:tc>
          <w:tcPr>
            <w:tcW w:w="10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3,380</w:t>
            </w:r>
          </w:p>
        </w:tc>
        <w:tc>
          <w:tcPr>
            <w:tcW w:w="0" w:type="dxa"/>
            <w:vAlign w:val="bottom"/>
          </w:tcPr>
          <w:p>
            <w:pPr>
              <w:spacing w:after="0"/>
              <w:rPr>
                <w:sz w:val="1"/>
                <w:szCs w:val="1"/>
                <w:color w:val="auto"/>
              </w:rPr>
            </w:pPr>
          </w:p>
        </w:tc>
      </w:tr>
      <w:tr>
        <w:trPr>
          <w:trHeight w:val="124"/>
        </w:trPr>
        <w:tc>
          <w:tcPr>
            <w:tcW w:w="39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Performance Materials and Technologies</w:t>
            </w:r>
          </w:p>
        </w:tc>
        <w:tc>
          <w:tcPr>
            <w:tcW w:w="224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6,013</w:t>
            </w:r>
          </w:p>
        </w:tc>
        <w:tc>
          <w:tcPr>
            <w:tcW w:w="300" w:type="dxa"/>
            <w:vAlign w:val="bottom"/>
            <w:tcBorders>
              <w:bottom w:val="single" w:sz="8" w:color="888B8D"/>
            </w:tcBorders>
          </w:tcPr>
          <w:p>
            <w:pPr>
              <w:spacing w:after="0"/>
              <w:rPr>
                <w:sz w:val="10"/>
                <w:szCs w:val="10"/>
                <w:color w:val="auto"/>
              </w:rPr>
            </w:pPr>
          </w:p>
        </w:tc>
        <w:tc>
          <w:tcPr>
            <w:tcW w:w="112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392</w:t>
            </w:r>
          </w:p>
        </w:tc>
        <w:tc>
          <w:tcPr>
            <w:tcW w:w="340" w:type="dxa"/>
            <w:vAlign w:val="bottom"/>
            <w:tcBorders>
              <w:bottom w:val="single" w:sz="8" w:color="888B8D"/>
            </w:tcBorders>
          </w:tcPr>
          <w:p>
            <w:pPr>
              <w:spacing w:after="0"/>
              <w:rPr>
                <w:sz w:val="10"/>
                <w:szCs w:val="10"/>
                <w:color w:val="auto"/>
              </w:rPr>
            </w:pPr>
          </w:p>
        </w:tc>
        <w:tc>
          <w:tcPr>
            <w:tcW w:w="112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80</w:t>
            </w:r>
          </w:p>
        </w:tc>
        <w:tc>
          <w:tcPr>
            <w:tcW w:w="180" w:type="dxa"/>
            <w:vAlign w:val="bottom"/>
            <w:tcBorders>
              <w:bottom w:val="single" w:sz="8" w:color="888B8D"/>
            </w:tcBorders>
          </w:tcPr>
          <w:p>
            <w:pPr>
              <w:spacing w:after="0"/>
              <w:rPr>
                <w:sz w:val="10"/>
                <w:szCs w:val="10"/>
                <w:color w:val="auto"/>
              </w:rPr>
            </w:pPr>
          </w:p>
        </w:tc>
        <w:tc>
          <w:tcPr>
            <w:tcW w:w="10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6,485</w:t>
            </w:r>
          </w:p>
        </w:tc>
        <w:tc>
          <w:tcPr>
            <w:tcW w:w="0" w:type="dxa"/>
            <w:vAlign w:val="bottom"/>
          </w:tcPr>
          <w:p>
            <w:pPr>
              <w:spacing w:after="0"/>
              <w:rPr>
                <w:sz w:val="1"/>
                <w:szCs w:val="1"/>
                <w:color w:val="auto"/>
              </w:rPr>
            </w:pPr>
          </w:p>
        </w:tc>
      </w:tr>
      <w:tr>
        <w:trPr>
          <w:trHeight w:val="124"/>
        </w:trPr>
        <w:tc>
          <w:tcPr>
            <w:tcW w:w="39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Safety and Productivity Solutions</w:t>
            </w:r>
          </w:p>
        </w:tc>
        <w:tc>
          <w:tcPr>
            <w:tcW w:w="224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4,896</w:t>
            </w:r>
          </w:p>
        </w:tc>
        <w:tc>
          <w:tcPr>
            <w:tcW w:w="300" w:type="dxa"/>
            <w:vAlign w:val="bottom"/>
            <w:tcBorders>
              <w:bottom w:val="single" w:sz="8" w:color="888B8D"/>
            </w:tcBorders>
          </w:tcPr>
          <w:p>
            <w:pPr>
              <w:spacing w:after="0"/>
              <w:rPr>
                <w:sz w:val="10"/>
                <w:szCs w:val="10"/>
                <w:color w:val="auto"/>
              </w:rPr>
            </w:pPr>
          </w:p>
        </w:tc>
        <w:tc>
          <w:tcPr>
            <w:tcW w:w="112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888B8D"/>
            </w:tcBorders>
          </w:tcPr>
          <w:p>
            <w:pPr>
              <w:spacing w:after="0"/>
              <w:rPr>
                <w:sz w:val="10"/>
                <w:szCs w:val="10"/>
                <w:color w:val="auto"/>
              </w:rPr>
            </w:pPr>
          </w:p>
        </w:tc>
        <w:tc>
          <w:tcPr>
            <w:tcW w:w="112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(4)</w:t>
            </w:r>
          </w:p>
        </w:tc>
        <w:tc>
          <w:tcPr>
            <w:tcW w:w="180" w:type="dxa"/>
            <w:vAlign w:val="bottom"/>
            <w:tcBorders>
              <w:bottom w:val="single" w:sz="8" w:color="888B8D"/>
            </w:tcBorders>
          </w:tcPr>
          <w:p>
            <w:pPr>
              <w:spacing w:after="0"/>
              <w:rPr>
                <w:sz w:val="10"/>
                <w:szCs w:val="10"/>
                <w:color w:val="auto"/>
              </w:rPr>
            </w:pPr>
          </w:p>
        </w:tc>
        <w:tc>
          <w:tcPr>
            <w:tcW w:w="10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4,892</w:t>
            </w:r>
          </w:p>
        </w:tc>
        <w:tc>
          <w:tcPr>
            <w:tcW w:w="0" w:type="dxa"/>
            <w:vAlign w:val="bottom"/>
          </w:tcPr>
          <w:p>
            <w:pPr>
              <w:spacing w:after="0"/>
              <w:rPr>
                <w:sz w:val="1"/>
                <w:szCs w:val="1"/>
                <w:color w:val="auto"/>
              </w:rPr>
            </w:pPr>
          </w:p>
        </w:tc>
      </w:tr>
      <w:tr>
        <w:trPr>
          <w:trHeight w:val="124"/>
        </w:trPr>
        <w:tc>
          <w:tcPr>
            <w:tcW w:w="390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Corporate and All Other</w:t>
            </w:r>
          </w:p>
        </w:tc>
        <w:tc>
          <w:tcPr>
            <w:tcW w:w="2240" w:type="dxa"/>
            <w:vAlign w:val="bottom"/>
            <w:tcBorders>
              <w:bottom w:val="single" w:sz="8" w:color="D7282F"/>
            </w:tcBorders>
          </w:tcPr>
          <w:p>
            <w:pPr>
              <w:spacing w:after="0"/>
              <w:rPr>
                <w:sz w:val="10"/>
                <w:szCs w:val="10"/>
                <w:color w:val="auto"/>
              </w:rPr>
            </w:pPr>
          </w:p>
        </w:tc>
        <w:tc>
          <w:tcPr>
            <w:tcW w:w="11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874</w:t>
            </w:r>
          </w:p>
        </w:tc>
        <w:tc>
          <w:tcPr>
            <w:tcW w:w="300" w:type="dxa"/>
            <w:vAlign w:val="bottom"/>
            <w:tcBorders>
              <w:bottom w:val="single" w:sz="8" w:color="D7282F"/>
            </w:tcBorders>
          </w:tcPr>
          <w:p>
            <w:pPr>
              <w:spacing w:after="0"/>
              <w:rPr>
                <w:sz w:val="10"/>
                <w:szCs w:val="10"/>
                <w:color w:val="auto"/>
              </w:rPr>
            </w:pPr>
          </w:p>
        </w:tc>
        <w:tc>
          <w:tcPr>
            <w:tcW w:w="11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D7282F"/>
            </w:tcBorders>
          </w:tcPr>
          <w:p>
            <w:pPr>
              <w:spacing w:after="0"/>
              <w:rPr>
                <w:sz w:val="10"/>
                <w:szCs w:val="10"/>
                <w:color w:val="auto"/>
              </w:rPr>
            </w:pPr>
          </w:p>
        </w:tc>
        <w:tc>
          <w:tcPr>
            <w:tcW w:w="112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32</w:t>
            </w:r>
          </w:p>
        </w:tc>
        <w:tc>
          <w:tcPr>
            <w:tcW w:w="18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906</w:t>
            </w:r>
          </w:p>
        </w:tc>
        <w:tc>
          <w:tcPr>
            <w:tcW w:w="0" w:type="dxa"/>
            <w:vAlign w:val="bottom"/>
          </w:tcPr>
          <w:p>
            <w:pPr>
              <w:spacing w:after="0"/>
              <w:rPr>
                <w:sz w:val="1"/>
                <w:szCs w:val="1"/>
                <w:color w:val="auto"/>
              </w:rPr>
            </w:pPr>
          </w:p>
        </w:tc>
      </w:tr>
      <w:tr>
        <w:trPr>
          <w:trHeight w:val="126"/>
        </w:trPr>
        <w:tc>
          <w:tcPr>
            <w:tcW w:w="390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Goodwill</w:t>
            </w:r>
          </w:p>
        </w:tc>
        <w:tc>
          <w:tcPr>
            <w:tcW w:w="2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11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17,497</w:t>
            </w:r>
          </w:p>
        </w:tc>
        <w:tc>
          <w:tcPr>
            <w:tcW w:w="3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11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392</w:t>
            </w:r>
          </w:p>
        </w:tc>
        <w:tc>
          <w:tcPr>
            <w:tcW w:w="3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112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160</w:t>
            </w: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18,049</w:t>
            </w:r>
          </w:p>
        </w:tc>
        <w:tc>
          <w:tcPr>
            <w:tcW w:w="0" w:type="dxa"/>
            <w:vAlign w:val="bottom"/>
          </w:tcPr>
          <w:p>
            <w:pPr>
              <w:spacing w:after="0"/>
              <w:rPr>
                <w:sz w:val="1"/>
                <w:szCs w:val="1"/>
                <w:color w:val="auto"/>
              </w:rPr>
            </w:pPr>
          </w:p>
        </w:tc>
      </w:tr>
    </w:tbl>
    <w:p>
      <w:pPr>
        <w:spacing w:after="0" w:line="338"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D7282F"/>
        </w:rPr>
        <w:t>76</w:t>
      </w:r>
      <w:r>
        <w:rPr>
          <w:sz w:val="20"/>
          <w:szCs w:val="20"/>
          <w:color w:val="auto"/>
        </w:rPr>
        <w:tab/>
      </w:r>
      <w:r>
        <w:rPr>
          <w:rFonts w:ascii="Arial" w:cs="Arial" w:eastAsia="Arial" w:hAnsi="Arial"/>
          <w:sz w:val="8"/>
          <w:szCs w:val="8"/>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90805</wp:posOffset>
            </wp:positionV>
            <wp:extent cx="7203440"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78" w:name="page79"/>
    <w:bookmarkEnd w:id="78"/>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ind w:left="8"/>
        <w:spacing w:after="0"/>
        <w:rPr>
          <w:sz w:val="20"/>
          <w:szCs w:val="20"/>
          <w:color w:val="auto"/>
        </w:rPr>
      </w:pPr>
      <w:r>
        <w:rPr>
          <w:rFonts w:ascii="Arial" w:cs="Arial" w:eastAsia="Arial" w:hAnsi="Arial"/>
          <w:sz w:val="11"/>
          <w:szCs w:val="11"/>
          <w:color w:val="auto"/>
        </w:rPr>
        <w:t>Other intangible assets are comprised of:</w:t>
      </w:r>
    </w:p>
    <w:p>
      <w:pPr>
        <w:spacing w:after="0" w:line="136"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4020" w:type="dxa"/>
            <w:vAlign w:val="bottom"/>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840" w:type="dxa"/>
            <w:vAlign w:val="bottom"/>
            <w:tcBorders>
              <w:bottom w:val="single" w:sz="8" w:color="D7282F"/>
            </w:tcBorders>
          </w:tcPr>
          <w:p>
            <w:pPr>
              <w:spacing w:after="0"/>
              <w:rPr>
                <w:sz w:val="11"/>
                <w:szCs w:val="11"/>
                <w:color w:val="auto"/>
              </w:rPr>
            </w:pPr>
          </w:p>
        </w:tc>
        <w:tc>
          <w:tcPr>
            <w:tcW w:w="260" w:type="dxa"/>
            <w:vAlign w:val="bottom"/>
            <w:tcBorders>
              <w:bottom w:val="single" w:sz="8" w:color="D7282F"/>
            </w:tcBorders>
          </w:tcPr>
          <w:p>
            <w:pPr>
              <w:spacing w:after="0"/>
              <w:rPr>
                <w:sz w:val="11"/>
                <w:szCs w:val="11"/>
                <w:color w:val="auto"/>
              </w:rPr>
            </w:pPr>
          </w:p>
        </w:tc>
        <w:tc>
          <w:tcPr>
            <w:tcW w:w="1260" w:type="dxa"/>
            <w:vAlign w:val="bottom"/>
            <w:tcBorders>
              <w:bottom w:val="single" w:sz="8" w:color="D7282F"/>
            </w:tcBorders>
          </w:tcPr>
          <w:p>
            <w:pPr>
              <w:jc w:val="center"/>
              <w:ind w:right="192"/>
              <w:spacing w:after="0"/>
              <w:rPr>
                <w:sz w:val="20"/>
                <w:szCs w:val="20"/>
                <w:color w:val="auto"/>
              </w:rPr>
            </w:pPr>
            <w:r>
              <w:rPr>
                <w:rFonts w:ascii="Arial" w:cs="Arial" w:eastAsia="Arial" w:hAnsi="Arial"/>
                <w:sz w:val="10"/>
                <w:szCs w:val="10"/>
                <w:b w:val="1"/>
                <w:bCs w:val="1"/>
                <w:color w:val="auto"/>
                <w:w w:val="95"/>
              </w:rPr>
              <w:t>December 31, 2023</w:t>
            </w:r>
          </w:p>
        </w:tc>
        <w:tc>
          <w:tcPr>
            <w:tcW w:w="260" w:type="dxa"/>
            <w:vAlign w:val="bottom"/>
            <w:tcBorders>
              <w:bottom w:val="single" w:sz="8" w:color="D7282F"/>
            </w:tcBorders>
          </w:tcPr>
          <w:p>
            <w:pPr>
              <w:spacing w:after="0"/>
              <w:rPr>
                <w:sz w:val="11"/>
                <w:szCs w:val="11"/>
                <w:color w:val="auto"/>
              </w:rPr>
            </w:pPr>
          </w:p>
        </w:tc>
        <w:tc>
          <w:tcPr>
            <w:tcW w:w="760" w:type="dxa"/>
            <w:vAlign w:val="bottom"/>
            <w:tcBorders>
              <w:bottom w:val="single" w:sz="8" w:color="D7282F"/>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840" w:type="dxa"/>
            <w:vAlign w:val="bottom"/>
            <w:tcBorders>
              <w:bottom w:val="single" w:sz="8" w:color="D7282F"/>
            </w:tcBorders>
          </w:tcPr>
          <w:p>
            <w:pPr>
              <w:spacing w:after="0"/>
              <w:rPr>
                <w:sz w:val="11"/>
                <w:szCs w:val="11"/>
                <w:color w:val="auto"/>
              </w:rPr>
            </w:pPr>
          </w:p>
        </w:tc>
        <w:tc>
          <w:tcPr>
            <w:tcW w:w="260" w:type="dxa"/>
            <w:vAlign w:val="bottom"/>
            <w:tcBorders>
              <w:bottom w:val="single" w:sz="8" w:color="D7282F"/>
            </w:tcBorders>
          </w:tcPr>
          <w:p>
            <w:pPr>
              <w:spacing w:after="0"/>
              <w:rPr>
                <w:sz w:val="11"/>
                <w:szCs w:val="11"/>
                <w:color w:val="auto"/>
              </w:rPr>
            </w:pPr>
          </w:p>
        </w:tc>
        <w:tc>
          <w:tcPr>
            <w:tcW w:w="126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rPr>
              <w:t>December 31, 2022</w:t>
            </w:r>
          </w:p>
        </w:tc>
        <w:tc>
          <w:tcPr>
            <w:tcW w:w="260" w:type="dxa"/>
            <w:vAlign w:val="bottom"/>
            <w:tcBorders>
              <w:bottom w:val="single" w:sz="8" w:color="D7282F"/>
            </w:tcBorders>
          </w:tcPr>
          <w:p>
            <w:pPr>
              <w:spacing w:after="0"/>
              <w:rPr>
                <w:sz w:val="11"/>
                <w:szCs w:val="11"/>
                <w:color w:val="auto"/>
              </w:rPr>
            </w:pPr>
          </w:p>
        </w:tc>
        <w:tc>
          <w:tcPr>
            <w:tcW w:w="760" w:type="dxa"/>
            <w:vAlign w:val="bottom"/>
            <w:tcBorders>
              <w:bottom w:val="single" w:sz="8" w:color="D7282F"/>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192"/>
              <w:spacing w:after="0"/>
              <w:rPr>
                <w:sz w:val="20"/>
                <w:szCs w:val="20"/>
                <w:color w:val="auto"/>
              </w:rPr>
            </w:pPr>
            <w:r>
              <w:rPr>
                <w:rFonts w:ascii="Arial" w:cs="Arial" w:eastAsia="Arial" w:hAnsi="Arial"/>
                <w:sz w:val="10"/>
                <w:szCs w:val="10"/>
                <w:b w:val="1"/>
                <w:bCs w:val="1"/>
                <w:color w:val="auto"/>
                <w:w w:val="96"/>
              </w:rPr>
              <w:t>Gross</w:t>
            </w:r>
          </w:p>
        </w:tc>
        <w:tc>
          <w:tcPr>
            <w:tcW w:w="260" w:type="dxa"/>
            <w:vAlign w:val="bottom"/>
          </w:tcPr>
          <w:p>
            <w:pPr>
              <w:spacing w:after="0"/>
              <w:rPr>
                <w:sz w:val="15"/>
                <w:szCs w:val="15"/>
                <w:color w:val="auto"/>
              </w:rPr>
            </w:pPr>
          </w:p>
        </w:tc>
        <w:tc>
          <w:tcPr>
            <w:tcW w:w="1260" w:type="dxa"/>
            <w:vAlign w:val="bottom"/>
            <w:vMerge w:val="restart"/>
          </w:tcPr>
          <w:p>
            <w:pPr>
              <w:jc w:val="center"/>
              <w:ind w:right="212"/>
              <w:spacing w:after="0"/>
              <w:rPr>
                <w:sz w:val="20"/>
                <w:szCs w:val="20"/>
                <w:color w:val="auto"/>
              </w:rPr>
            </w:pPr>
            <w:r>
              <w:rPr>
                <w:rFonts w:ascii="Arial" w:cs="Arial" w:eastAsia="Arial" w:hAnsi="Arial"/>
                <w:sz w:val="10"/>
                <w:szCs w:val="10"/>
                <w:b w:val="1"/>
                <w:bCs w:val="1"/>
                <w:color w:val="auto"/>
                <w:w w:val="95"/>
              </w:rPr>
              <w:t>Accumulated</w:t>
            </w:r>
          </w:p>
        </w:tc>
        <w:tc>
          <w:tcPr>
            <w:tcW w:w="260" w:type="dxa"/>
            <w:vAlign w:val="bottom"/>
          </w:tcPr>
          <w:p>
            <w:pPr>
              <w:spacing w:after="0"/>
              <w:rPr>
                <w:sz w:val="15"/>
                <w:szCs w:val="15"/>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9"/>
              </w:rPr>
              <w:t>Net</w:t>
            </w:r>
          </w:p>
        </w:tc>
        <w:tc>
          <w:tcPr>
            <w:tcW w:w="160" w:type="dxa"/>
            <w:vAlign w:val="bottom"/>
          </w:tcPr>
          <w:p>
            <w:pPr>
              <w:spacing w:after="0"/>
              <w:rPr>
                <w:sz w:val="15"/>
                <w:szCs w:val="15"/>
                <w:color w:val="auto"/>
              </w:rPr>
            </w:pPr>
          </w:p>
        </w:tc>
        <w:tc>
          <w:tcPr>
            <w:tcW w:w="840" w:type="dxa"/>
            <w:vAlign w:val="bottom"/>
          </w:tcPr>
          <w:p>
            <w:pPr>
              <w:jc w:val="center"/>
              <w:ind w:right="192"/>
              <w:spacing w:after="0"/>
              <w:rPr>
                <w:sz w:val="20"/>
                <w:szCs w:val="20"/>
                <w:color w:val="auto"/>
              </w:rPr>
            </w:pPr>
            <w:r>
              <w:rPr>
                <w:rFonts w:ascii="Arial" w:cs="Arial" w:eastAsia="Arial" w:hAnsi="Arial"/>
                <w:sz w:val="10"/>
                <w:szCs w:val="10"/>
                <w:b w:val="1"/>
                <w:bCs w:val="1"/>
                <w:color w:val="auto"/>
                <w:w w:val="96"/>
              </w:rPr>
              <w:t>Gross</w:t>
            </w:r>
          </w:p>
        </w:tc>
        <w:tc>
          <w:tcPr>
            <w:tcW w:w="260" w:type="dxa"/>
            <w:vAlign w:val="bottom"/>
          </w:tcPr>
          <w:p>
            <w:pPr>
              <w:spacing w:after="0"/>
              <w:rPr>
                <w:sz w:val="15"/>
                <w:szCs w:val="15"/>
                <w:color w:val="auto"/>
              </w:rPr>
            </w:pPr>
          </w:p>
        </w:tc>
        <w:tc>
          <w:tcPr>
            <w:tcW w:w="1260" w:type="dxa"/>
            <w:vAlign w:val="bottom"/>
            <w:vMerge w:val="restart"/>
          </w:tcPr>
          <w:p>
            <w:pPr>
              <w:jc w:val="right"/>
              <w:ind w:right="72"/>
              <w:spacing w:after="0"/>
              <w:rPr>
                <w:sz w:val="20"/>
                <w:szCs w:val="20"/>
                <w:color w:val="auto"/>
              </w:rPr>
            </w:pPr>
            <w:r>
              <w:rPr>
                <w:rFonts w:ascii="Arial" w:cs="Arial" w:eastAsia="Arial" w:hAnsi="Arial"/>
                <w:sz w:val="10"/>
                <w:szCs w:val="10"/>
                <w:b w:val="1"/>
                <w:bCs w:val="1"/>
                <w:color w:val="auto"/>
              </w:rPr>
              <w:t>Accumulated</w:t>
            </w:r>
          </w:p>
        </w:tc>
        <w:tc>
          <w:tcPr>
            <w:tcW w:w="260" w:type="dxa"/>
            <w:vAlign w:val="bottom"/>
          </w:tcPr>
          <w:p>
            <w:pPr>
              <w:spacing w:after="0"/>
              <w:rPr>
                <w:sz w:val="15"/>
                <w:szCs w:val="15"/>
                <w:color w:val="auto"/>
              </w:rPr>
            </w:pPr>
          </w:p>
        </w:tc>
        <w:tc>
          <w:tcPr>
            <w:tcW w:w="760" w:type="dxa"/>
            <w:vAlign w:val="bottom"/>
          </w:tcPr>
          <w:p>
            <w:pPr>
              <w:jc w:val="center"/>
              <w:ind w:right="112"/>
              <w:spacing w:after="0"/>
              <w:rPr>
                <w:sz w:val="20"/>
                <w:szCs w:val="20"/>
                <w:color w:val="auto"/>
              </w:rPr>
            </w:pPr>
            <w:r>
              <w:rPr>
                <w:rFonts w:ascii="Arial" w:cs="Arial" w:eastAsia="Arial" w:hAnsi="Arial"/>
                <w:sz w:val="10"/>
                <w:szCs w:val="10"/>
                <w:b w:val="1"/>
                <w:bCs w:val="1"/>
                <w:color w:val="auto"/>
                <w:w w:val="99"/>
              </w:rPr>
              <w:t>Net</w:t>
            </w:r>
          </w:p>
        </w:tc>
        <w:tc>
          <w:tcPr>
            <w:tcW w:w="0" w:type="dxa"/>
            <w:vAlign w:val="bottom"/>
          </w:tcPr>
          <w:p>
            <w:pPr>
              <w:spacing w:after="0"/>
              <w:rPr>
                <w:sz w:val="1"/>
                <w:szCs w:val="1"/>
                <w:color w:val="auto"/>
              </w:rPr>
            </w:pPr>
          </w:p>
        </w:tc>
      </w:tr>
      <w:tr>
        <w:trPr>
          <w:trHeight w:val="99"/>
        </w:trPr>
        <w:tc>
          <w:tcPr>
            <w:tcW w:w="4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jc w:val="center"/>
              <w:ind w:right="192"/>
              <w:spacing w:after="0" w:line="99" w:lineRule="exact"/>
              <w:rPr>
                <w:sz w:val="20"/>
                <w:szCs w:val="20"/>
                <w:color w:val="auto"/>
              </w:rPr>
            </w:pPr>
            <w:r>
              <w:rPr>
                <w:rFonts w:ascii="Arial" w:cs="Arial" w:eastAsia="Arial" w:hAnsi="Arial"/>
                <w:sz w:val="10"/>
                <w:szCs w:val="10"/>
                <w:b w:val="1"/>
                <w:bCs w:val="1"/>
                <w:color w:val="auto"/>
                <w:w w:val="97"/>
              </w:rPr>
              <w:t>Carrying</w:t>
            </w:r>
          </w:p>
        </w:tc>
        <w:tc>
          <w:tcPr>
            <w:tcW w:w="2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97"/>
              </w:rPr>
              <w:t>Carrying</w:t>
            </w:r>
          </w:p>
        </w:tc>
        <w:tc>
          <w:tcPr>
            <w:tcW w:w="160" w:type="dxa"/>
            <w:vAlign w:val="bottom"/>
          </w:tcPr>
          <w:p>
            <w:pPr>
              <w:spacing w:after="0"/>
              <w:rPr>
                <w:sz w:val="8"/>
                <w:szCs w:val="8"/>
                <w:color w:val="auto"/>
              </w:rPr>
            </w:pPr>
          </w:p>
        </w:tc>
        <w:tc>
          <w:tcPr>
            <w:tcW w:w="840" w:type="dxa"/>
            <w:vAlign w:val="bottom"/>
          </w:tcPr>
          <w:p>
            <w:pPr>
              <w:jc w:val="center"/>
              <w:ind w:right="192"/>
              <w:spacing w:after="0" w:line="99" w:lineRule="exact"/>
              <w:rPr>
                <w:sz w:val="20"/>
                <w:szCs w:val="20"/>
                <w:color w:val="auto"/>
              </w:rPr>
            </w:pPr>
            <w:r>
              <w:rPr>
                <w:rFonts w:ascii="Arial" w:cs="Arial" w:eastAsia="Arial" w:hAnsi="Arial"/>
                <w:sz w:val="10"/>
                <w:szCs w:val="10"/>
                <w:b w:val="1"/>
                <w:bCs w:val="1"/>
                <w:color w:val="auto"/>
                <w:w w:val="97"/>
              </w:rPr>
              <w:t>Carrying</w:t>
            </w:r>
          </w:p>
        </w:tc>
        <w:tc>
          <w:tcPr>
            <w:tcW w:w="2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jc w:val="center"/>
              <w:ind w:right="112"/>
              <w:spacing w:after="0" w:line="99" w:lineRule="exact"/>
              <w:rPr>
                <w:sz w:val="20"/>
                <w:szCs w:val="20"/>
                <w:color w:val="auto"/>
              </w:rPr>
            </w:pPr>
            <w:r>
              <w:rPr>
                <w:rFonts w:ascii="Arial" w:cs="Arial" w:eastAsia="Arial" w:hAnsi="Arial"/>
                <w:sz w:val="10"/>
                <w:szCs w:val="10"/>
                <w:b w:val="1"/>
                <w:bCs w:val="1"/>
                <w:color w:val="auto"/>
                <w:w w:val="97"/>
              </w:rPr>
              <w:t>Carrying</w:t>
            </w:r>
          </w:p>
        </w:tc>
        <w:tc>
          <w:tcPr>
            <w:tcW w:w="0" w:type="dxa"/>
            <w:vAlign w:val="bottom"/>
          </w:tcPr>
          <w:p>
            <w:pPr>
              <w:spacing w:after="0"/>
              <w:rPr>
                <w:sz w:val="1"/>
                <w:szCs w:val="1"/>
                <w:color w:val="auto"/>
              </w:rPr>
            </w:pPr>
          </w:p>
        </w:tc>
      </w:tr>
      <w:tr>
        <w:trPr>
          <w:trHeight w:val="124"/>
        </w:trPr>
        <w:tc>
          <w:tcPr>
            <w:tcW w:w="402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jc w:val="center"/>
              <w:ind w:right="192"/>
              <w:spacing w:after="0"/>
              <w:rPr>
                <w:sz w:val="20"/>
                <w:szCs w:val="20"/>
                <w:color w:val="auto"/>
              </w:rPr>
            </w:pPr>
            <w:r>
              <w:rPr>
                <w:rFonts w:ascii="Arial" w:cs="Arial" w:eastAsia="Arial" w:hAnsi="Arial"/>
                <w:sz w:val="10"/>
                <w:szCs w:val="10"/>
                <w:b w:val="1"/>
                <w:bCs w:val="1"/>
                <w:color w:val="auto"/>
                <w:w w:val="95"/>
              </w:rPr>
              <w:t>Amount</w:t>
            </w:r>
          </w:p>
        </w:tc>
        <w:tc>
          <w:tcPr>
            <w:tcW w:w="260" w:type="dxa"/>
            <w:vAlign w:val="bottom"/>
            <w:tcBorders>
              <w:bottom w:val="single" w:sz="8" w:color="D7282F"/>
            </w:tcBorders>
          </w:tcPr>
          <w:p>
            <w:pPr>
              <w:spacing w:after="0"/>
              <w:rPr>
                <w:sz w:val="10"/>
                <w:szCs w:val="10"/>
                <w:color w:val="auto"/>
              </w:rPr>
            </w:pPr>
          </w:p>
        </w:tc>
        <w:tc>
          <w:tcPr>
            <w:tcW w:w="1260" w:type="dxa"/>
            <w:vAlign w:val="bottom"/>
            <w:tcBorders>
              <w:bottom w:val="single" w:sz="8" w:color="D7282F"/>
            </w:tcBorders>
          </w:tcPr>
          <w:p>
            <w:pPr>
              <w:jc w:val="center"/>
              <w:ind w:right="192"/>
              <w:spacing w:after="0"/>
              <w:rPr>
                <w:sz w:val="20"/>
                <w:szCs w:val="20"/>
                <w:color w:val="auto"/>
              </w:rPr>
            </w:pPr>
            <w:r>
              <w:rPr>
                <w:rFonts w:ascii="Arial" w:cs="Arial" w:eastAsia="Arial" w:hAnsi="Arial"/>
                <w:sz w:val="10"/>
                <w:szCs w:val="10"/>
                <w:b w:val="1"/>
                <w:bCs w:val="1"/>
                <w:color w:val="auto"/>
                <w:w w:val="94"/>
              </w:rPr>
              <w:t>Amortization</w:t>
            </w:r>
          </w:p>
        </w:tc>
        <w:tc>
          <w:tcPr>
            <w:tcW w:w="26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gridSpan w:val="2"/>
          </w:tcPr>
          <w:p>
            <w:pPr>
              <w:jc w:val="center"/>
              <w:ind w:right="360"/>
              <w:spacing w:after="0"/>
              <w:rPr>
                <w:sz w:val="20"/>
                <w:szCs w:val="20"/>
                <w:color w:val="auto"/>
              </w:rPr>
            </w:pPr>
            <w:r>
              <w:rPr>
                <w:rFonts w:ascii="Arial" w:cs="Arial" w:eastAsia="Arial" w:hAnsi="Arial"/>
                <w:sz w:val="10"/>
                <w:szCs w:val="10"/>
                <w:b w:val="1"/>
                <w:bCs w:val="1"/>
                <w:color w:val="auto"/>
                <w:w w:val="95"/>
              </w:rPr>
              <w:t>Amount</w:t>
            </w:r>
          </w:p>
        </w:tc>
        <w:tc>
          <w:tcPr>
            <w:tcW w:w="16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jc w:val="center"/>
              <w:ind w:right="192"/>
              <w:spacing w:after="0"/>
              <w:rPr>
                <w:sz w:val="20"/>
                <w:szCs w:val="20"/>
                <w:color w:val="auto"/>
              </w:rPr>
            </w:pPr>
            <w:r>
              <w:rPr>
                <w:rFonts w:ascii="Arial" w:cs="Arial" w:eastAsia="Arial" w:hAnsi="Arial"/>
                <w:sz w:val="10"/>
                <w:szCs w:val="10"/>
                <w:b w:val="1"/>
                <w:bCs w:val="1"/>
                <w:color w:val="auto"/>
                <w:w w:val="95"/>
              </w:rPr>
              <w:t>Amount</w:t>
            </w:r>
          </w:p>
        </w:tc>
        <w:tc>
          <w:tcPr>
            <w:tcW w:w="260" w:type="dxa"/>
            <w:vAlign w:val="bottom"/>
            <w:tcBorders>
              <w:bottom w:val="single" w:sz="8" w:color="D7282F"/>
            </w:tcBorders>
          </w:tcPr>
          <w:p>
            <w:pPr>
              <w:spacing w:after="0"/>
              <w:rPr>
                <w:sz w:val="10"/>
                <w:szCs w:val="10"/>
                <w:color w:val="auto"/>
              </w:rPr>
            </w:pPr>
          </w:p>
        </w:tc>
        <w:tc>
          <w:tcPr>
            <w:tcW w:w="12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Amortization</w:t>
            </w:r>
          </w:p>
        </w:tc>
        <w:tc>
          <w:tcPr>
            <w:tcW w:w="26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center"/>
              <w:ind w:right="112"/>
              <w:spacing w:after="0"/>
              <w:rPr>
                <w:sz w:val="20"/>
                <w:szCs w:val="20"/>
                <w:color w:val="auto"/>
              </w:rPr>
            </w:pPr>
            <w:r>
              <w:rPr>
                <w:rFonts w:ascii="Arial" w:cs="Arial" w:eastAsia="Arial" w:hAnsi="Arial"/>
                <w:sz w:val="10"/>
                <w:szCs w:val="10"/>
                <w:b w:val="1"/>
                <w:bCs w:val="1"/>
                <w:color w:val="auto"/>
                <w:w w:val="95"/>
              </w:rPr>
              <w:t>Amount</w:t>
            </w:r>
          </w:p>
        </w:tc>
        <w:tc>
          <w:tcPr>
            <w:tcW w:w="0" w:type="dxa"/>
            <w:vAlign w:val="bottom"/>
          </w:tcPr>
          <w:p>
            <w:pPr>
              <w:spacing w:after="0"/>
              <w:rPr>
                <w:sz w:val="1"/>
                <w:szCs w:val="1"/>
                <w:color w:val="auto"/>
              </w:rPr>
            </w:pPr>
          </w:p>
        </w:tc>
      </w:tr>
      <w:tr>
        <w:trPr>
          <w:trHeight w:val="123"/>
        </w:trPr>
        <w:tc>
          <w:tcPr>
            <w:tcW w:w="402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Definite-life intangibles</w:t>
            </w:r>
          </w:p>
        </w:tc>
        <w:tc>
          <w:tcPr>
            <w:tcW w:w="16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spacing w:after="0"/>
              <w:rPr>
                <w:sz w:val="10"/>
                <w:szCs w:val="10"/>
                <w:color w:val="auto"/>
              </w:rPr>
            </w:pPr>
          </w:p>
        </w:tc>
        <w:tc>
          <w:tcPr>
            <w:tcW w:w="126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spacing w:after="0"/>
              <w:rPr>
                <w:sz w:val="10"/>
                <w:szCs w:val="10"/>
                <w:color w:val="auto"/>
              </w:rPr>
            </w:pPr>
          </w:p>
        </w:tc>
        <w:tc>
          <w:tcPr>
            <w:tcW w:w="760" w:type="dxa"/>
            <w:vAlign w:val="bottom"/>
            <w:tcBorders>
              <w:bottom w:val="single" w:sz="8" w:color="61656A"/>
            </w:tcBorders>
          </w:tcPr>
          <w:p>
            <w:pPr>
              <w:spacing w:after="0"/>
              <w:rPr>
                <w:sz w:val="10"/>
                <w:szCs w:val="10"/>
                <w:color w:val="auto"/>
              </w:rPr>
            </w:pPr>
          </w:p>
        </w:tc>
        <w:tc>
          <w:tcPr>
            <w:tcW w:w="200" w:type="dxa"/>
            <w:vAlign w:val="bottom"/>
            <w:tcBorders>
              <w:bottom w:val="single" w:sz="8" w:color="61656A"/>
            </w:tcBorders>
          </w:tcPr>
          <w:p>
            <w:pPr>
              <w:spacing w:after="0"/>
              <w:rPr>
                <w:sz w:val="10"/>
                <w:szCs w:val="10"/>
                <w:color w:val="auto"/>
              </w:rPr>
            </w:pPr>
          </w:p>
        </w:tc>
        <w:tc>
          <w:tcPr>
            <w:tcW w:w="16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spacing w:after="0"/>
              <w:rPr>
                <w:sz w:val="10"/>
                <w:szCs w:val="10"/>
                <w:color w:val="auto"/>
              </w:rPr>
            </w:pPr>
          </w:p>
        </w:tc>
        <w:tc>
          <w:tcPr>
            <w:tcW w:w="126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spacing w:after="0"/>
              <w:rPr>
                <w:sz w:val="10"/>
                <w:szCs w:val="10"/>
                <w:color w:val="auto"/>
              </w:rPr>
            </w:pPr>
          </w:p>
        </w:tc>
        <w:tc>
          <w:tcPr>
            <w:tcW w:w="760" w:type="dxa"/>
            <w:vAlign w:val="bottom"/>
            <w:tcBorders>
              <w:bottom w:val="single" w:sz="8" w:color="61656A"/>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2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Patents and technology</w:t>
            </w:r>
          </w:p>
        </w:tc>
        <w:tc>
          <w:tcPr>
            <w:tcW w:w="16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2,399</w:t>
            </w:r>
          </w:p>
        </w:tc>
        <w:tc>
          <w:tcPr>
            <w:tcW w:w="26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12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(1,837)</w:t>
            </w:r>
          </w:p>
        </w:tc>
        <w:tc>
          <w:tcPr>
            <w:tcW w:w="26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562</w:t>
            </w:r>
          </w:p>
        </w:tc>
        <w:tc>
          <w:tcPr>
            <w:tcW w:w="200" w:type="dxa"/>
            <w:vAlign w:val="bottom"/>
            <w:tcBorders>
              <w:bottom w:val="single" w:sz="8" w:color="61656A"/>
            </w:tcBorders>
          </w:tcPr>
          <w:p>
            <w:pPr>
              <w:spacing w:after="0"/>
              <w:rPr>
                <w:sz w:val="10"/>
                <w:szCs w:val="10"/>
                <w:color w:val="auto"/>
              </w:rPr>
            </w:pPr>
          </w:p>
        </w:tc>
        <w:tc>
          <w:tcPr>
            <w:tcW w:w="160" w:type="dxa"/>
            <w:vAlign w:val="bottom"/>
            <w:tcBorders>
              <w:bottom w:val="single" w:sz="8" w:color="61656A"/>
            </w:tcBorders>
          </w:tcPr>
          <w:p>
            <w:pPr>
              <w:jc w:val="right"/>
              <w:ind w:right="3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2,313</w:t>
            </w:r>
          </w:p>
        </w:tc>
        <w:tc>
          <w:tcPr>
            <w:tcW w:w="26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12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(1,759)</w:t>
            </w:r>
          </w:p>
        </w:tc>
        <w:tc>
          <w:tcPr>
            <w:tcW w:w="260" w:type="dxa"/>
            <w:vAlign w:val="bottom"/>
            <w:tcBorders>
              <w:bottom w:val="single" w:sz="8" w:color="61656A"/>
            </w:tcBorders>
          </w:tcPr>
          <w:p>
            <w:pPr>
              <w:jc w:val="right"/>
              <w:ind w:right="32"/>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554</w:t>
            </w:r>
          </w:p>
        </w:tc>
        <w:tc>
          <w:tcPr>
            <w:tcW w:w="0" w:type="dxa"/>
            <w:vAlign w:val="bottom"/>
          </w:tcPr>
          <w:p>
            <w:pPr>
              <w:spacing w:after="0"/>
              <w:rPr>
                <w:sz w:val="1"/>
                <w:szCs w:val="1"/>
                <w:color w:val="auto"/>
              </w:rPr>
            </w:pPr>
          </w:p>
        </w:tc>
      </w:tr>
      <w:tr>
        <w:trPr>
          <w:trHeight w:val="124"/>
        </w:trPr>
        <w:tc>
          <w:tcPr>
            <w:tcW w:w="402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Customer relationships</w:t>
            </w:r>
          </w:p>
        </w:tc>
        <w:tc>
          <w:tcPr>
            <w:tcW w:w="16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4,199</w:t>
            </w:r>
          </w:p>
        </w:tc>
        <w:tc>
          <w:tcPr>
            <w:tcW w:w="260" w:type="dxa"/>
            <w:vAlign w:val="bottom"/>
            <w:tcBorders>
              <w:bottom w:val="single" w:sz="8" w:color="61656A"/>
            </w:tcBorders>
          </w:tcPr>
          <w:p>
            <w:pPr>
              <w:spacing w:after="0"/>
              <w:rPr>
                <w:sz w:val="10"/>
                <w:szCs w:val="10"/>
                <w:color w:val="auto"/>
              </w:rPr>
            </w:pPr>
          </w:p>
        </w:tc>
        <w:tc>
          <w:tcPr>
            <w:tcW w:w="12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(2,601)</w:t>
            </w:r>
          </w:p>
        </w:tc>
        <w:tc>
          <w:tcPr>
            <w:tcW w:w="260" w:type="dxa"/>
            <w:vAlign w:val="bottom"/>
            <w:tcBorders>
              <w:bottom w:val="single" w:sz="8" w:color="61656A"/>
            </w:tcBorders>
          </w:tcPr>
          <w:p>
            <w:pPr>
              <w:spacing w:after="0"/>
              <w:rPr>
                <w:sz w:val="10"/>
                <w:szCs w:val="10"/>
                <w:color w:val="auto"/>
              </w:rPr>
            </w:pPr>
          </w:p>
        </w:tc>
        <w:tc>
          <w:tcPr>
            <w:tcW w:w="76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1,598</w:t>
            </w:r>
          </w:p>
        </w:tc>
        <w:tc>
          <w:tcPr>
            <w:tcW w:w="200" w:type="dxa"/>
            <w:vAlign w:val="bottom"/>
            <w:tcBorders>
              <w:bottom w:val="single" w:sz="8" w:color="61656A"/>
            </w:tcBorders>
          </w:tcPr>
          <w:p>
            <w:pPr>
              <w:spacing w:after="0"/>
              <w:rPr>
                <w:sz w:val="10"/>
                <w:szCs w:val="10"/>
                <w:color w:val="auto"/>
              </w:rPr>
            </w:pPr>
          </w:p>
        </w:tc>
        <w:tc>
          <w:tcPr>
            <w:tcW w:w="16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3,989</w:t>
            </w:r>
          </w:p>
        </w:tc>
        <w:tc>
          <w:tcPr>
            <w:tcW w:w="260" w:type="dxa"/>
            <w:vAlign w:val="bottom"/>
            <w:tcBorders>
              <w:bottom w:val="single" w:sz="8" w:color="61656A"/>
            </w:tcBorders>
          </w:tcPr>
          <w:p>
            <w:pPr>
              <w:spacing w:after="0"/>
              <w:rPr>
                <w:sz w:val="10"/>
                <w:szCs w:val="10"/>
                <w:color w:val="auto"/>
              </w:rPr>
            </w:pPr>
          </w:p>
        </w:tc>
        <w:tc>
          <w:tcPr>
            <w:tcW w:w="12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(2,397)</w:t>
            </w:r>
          </w:p>
        </w:tc>
        <w:tc>
          <w:tcPr>
            <w:tcW w:w="260" w:type="dxa"/>
            <w:vAlign w:val="bottom"/>
            <w:tcBorders>
              <w:bottom w:val="single" w:sz="8" w:color="61656A"/>
            </w:tcBorders>
          </w:tcPr>
          <w:p>
            <w:pPr>
              <w:spacing w:after="0"/>
              <w:rPr>
                <w:sz w:val="10"/>
                <w:szCs w:val="10"/>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1,592</w:t>
            </w:r>
          </w:p>
        </w:tc>
        <w:tc>
          <w:tcPr>
            <w:tcW w:w="0" w:type="dxa"/>
            <w:vAlign w:val="bottom"/>
          </w:tcPr>
          <w:p>
            <w:pPr>
              <w:spacing w:after="0"/>
              <w:rPr>
                <w:sz w:val="1"/>
                <w:szCs w:val="1"/>
                <w:color w:val="auto"/>
              </w:rPr>
            </w:pPr>
          </w:p>
        </w:tc>
      </w:tr>
      <w:tr>
        <w:trPr>
          <w:trHeight w:val="124"/>
        </w:trPr>
        <w:tc>
          <w:tcPr>
            <w:tcW w:w="402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Trademarks</w:t>
            </w:r>
          </w:p>
        </w:tc>
        <w:tc>
          <w:tcPr>
            <w:tcW w:w="16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362</w:t>
            </w:r>
          </w:p>
        </w:tc>
        <w:tc>
          <w:tcPr>
            <w:tcW w:w="260" w:type="dxa"/>
            <w:vAlign w:val="bottom"/>
            <w:tcBorders>
              <w:bottom w:val="single" w:sz="8" w:color="61656A"/>
            </w:tcBorders>
          </w:tcPr>
          <w:p>
            <w:pPr>
              <w:spacing w:after="0"/>
              <w:rPr>
                <w:sz w:val="10"/>
                <w:szCs w:val="10"/>
                <w:color w:val="auto"/>
              </w:rPr>
            </w:pPr>
          </w:p>
        </w:tc>
        <w:tc>
          <w:tcPr>
            <w:tcW w:w="12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(284)</w:t>
            </w:r>
          </w:p>
        </w:tc>
        <w:tc>
          <w:tcPr>
            <w:tcW w:w="260" w:type="dxa"/>
            <w:vAlign w:val="bottom"/>
            <w:tcBorders>
              <w:bottom w:val="single" w:sz="8" w:color="61656A"/>
            </w:tcBorders>
          </w:tcPr>
          <w:p>
            <w:pPr>
              <w:spacing w:after="0"/>
              <w:rPr>
                <w:sz w:val="10"/>
                <w:szCs w:val="10"/>
                <w:color w:val="auto"/>
              </w:rPr>
            </w:pPr>
          </w:p>
        </w:tc>
        <w:tc>
          <w:tcPr>
            <w:tcW w:w="76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78</w:t>
            </w:r>
          </w:p>
        </w:tc>
        <w:tc>
          <w:tcPr>
            <w:tcW w:w="200" w:type="dxa"/>
            <w:vAlign w:val="bottom"/>
            <w:tcBorders>
              <w:bottom w:val="single" w:sz="8" w:color="61656A"/>
            </w:tcBorders>
          </w:tcPr>
          <w:p>
            <w:pPr>
              <w:spacing w:after="0"/>
              <w:rPr>
                <w:sz w:val="10"/>
                <w:szCs w:val="10"/>
                <w:color w:val="auto"/>
              </w:rPr>
            </w:pPr>
          </w:p>
        </w:tc>
        <w:tc>
          <w:tcPr>
            <w:tcW w:w="16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371</w:t>
            </w:r>
          </w:p>
        </w:tc>
        <w:tc>
          <w:tcPr>
            <w:tcW w:w="260" w:type="dxa"/>
            <w:vAlign w:val="bottom"/>
            <w:tcBorders>
              <w:bottom w:val="single" w:sz="8" w:color="61656A"/>
            </w:tcBorders>
          </w:tcPr>
          <w:p>
            <w:pPr>
              <w:spacing w:after="0"/>
              <w:rPr>
                <w:sz w:val="10"/>
                <w:szCs w:val="10"/>
                <w:color w:val="auto"/>
              </w:rPr>
            </w:pPr>
          </w:p>
        </w:tc>
        <w:tc>
          <w:tcPr>
            <w:tcW w:w="12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(273)</w:t>
            </w:r>
          </w:p>
        </w:tc>
        <w:tc>
          <w:tcPr>
            <w:tcW w:w="260" w:type="dxa"/>
            <w:vAlign w:val="bottom"/>
            <w:tcBorders>
              <w:bottom w:val="single" w:sz="8" w:color="61656A"/>
            </w:tcBorders>
          </w:tcPr>
          <w:p>
            <w:pPr>
              <w:spacing w:after="0"/>
              <w:rPr>
                <w:sz w:val="10"/>
                <w:szCs w:val="10"/>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98</w:t>
            </w:r>
          </w:p>
        </w:tc>
        <w:tc>
          <w:tcPr>
            <w:tcW w:w="0" w:type="dxa"/>
            <w:vAlign w:val="bottom"/>
          </w:tcPr>
          <w:p>
            <w:pPr>
              <w:spacing w:after="0"/>
              <w:rPr>
                <w:sz w:val="1"/>
                <w:szCs w:val="1"/>
                <w:color w:val="auto"/>
              </w:rPr>
            </w:pPr>
          </w:p>
        </w:tc>
      </w:tr>
      <w:tr>
        <w:trPr>
          <w:trHeight w:val="124"/>
        </w:trPr>
        <w:tc>
          <w:tcPr>
            <w:tcW w:w="402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Other</w:t>
            </w:r>
          </w:p>
        </w:tc>
        <w:tc>
          <w:tcPr>
            <w:tcW w:w="16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299</w:t>
            </w:r>
          </w:p>
        </w:tc>
        <w:tc>
          <w:tcPr>
            <w:tcW w:w="260" w:type="dxa"/>
            <w:vAlign w:val="bottom"/>
            <w:tcBorders>
              <w:bottom w:val="single" w:sz="8" w:color="D7282F"/>
            </w:tcBorders>
          </w:tcPr>
          <w:p>
            <w:pPr>
              <w:spacing w:after="0"/>
              <w:rPr>
                <w:sz w:val="10"/>
                <w:szCs w:val="10"/>
                <w:color w:val="auto"/>
              </w:rPr>
            </w:pPr>
          </w:p>
        </w:tc>
        <w:tc>
          <w:tcPr>
            <w:tcW w:w="12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(277)</w:t>
            </w:r>
          </w:p>
        </w:tc>
        <w:tc>
          <w:tcPr>
            <w:tcW w:w="26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22</w:t>
            </w:r>
          </w:p>
        </w:tc>
        <w:tc>
          <w:tcPr>
            <w:tcW w:w="20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299</w:t>
            </w:r>
          </w:p>
        </w:tc>
        <w:tc>
          <w:tcPr>
            <w:tcW w:w="260" w:type="dxa"/>
            <w:vAlign w:val="bottom"/>
            <w:tcBorders>
              <w:bottom w:val="single" w:sz="8" w:color="D7282F"/>
            </w:tcBorders>
          </w:tcPr>
          <w:p>
            <w:pPr>
              <w:spacing w:after="0"/>
              <w:rPr>
                <w:sz w:val="10"/>
                <w:szCs w:val="10"/>
                <w:color w:val="auto"/>
              </w:rPr>
            </w:pPr>
          </w:p>
        </w:tc>
        <w:tc>
          <w:tcPr>
            <w:tcW w:w="12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(274)</w:t>
            </w:r>
          </w:p>
        </w:tc>
        <w:tc>
          <w:tcPr>
            <w:tcW w:w="26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25</w:t>
            </w:r>
          </w:p>
        </w:tc>
        <w:tc>
          <w:tcPr>
            <w:tcW w:w="0" w:type="dxa"/>
            <w:vAlign w:val="bottom"/>
          </w:tcPr>
          <w:p>
            <w:pPr>
              <w:spacing w:after="0"/>
              <w:rPr>
                <w:sz w:val="1"/>
                <w:szCs w:val="1"/>
                <w:color w:val="auto"/>
              </w:rPr>
            </w:pPr>
          </w:p>
        </w:tc>
      </w:tr>
      <w:tr>
        <w:trPr>
          <w:trHeight w:val="126"/>
        </w:trPr>
        <w:tc>
          <w:tcPr>
            <w:tcW w:w="402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definite-life intangibles—net</w:t>
            </w:r>
          </w:p>
        </w:tc>
        <w:tc>
          <w:tcPr>
            <w:tcW w:w="16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7,259</w:t>
            </w:r>
          </w:p>
        </w:tc>
        <w:tc>
          <w:tcPr>
            <w:tcW w:w="260" w:type="dxa"/>
            <w:vAlign w:val="bottom"/>
            <w:tcBorders>
              <w:bottom w:val="single" w:sz="8" w:color="D7282F"/>
            </w:tcBorders>
          </w:tcPr>
          <w:p>
            <w:pPr>
              <w:spacing w:after="0"/>
              <w:rPr>
                <w:sz w:val="10"/>
                <w:szCs w:val="10"/>
                <w:color w:val="auto"/>
              </w:rPr>
            </w:pPr>
          </w:p>
        </w:tc>
        <w:tc>
          <w:tcPr>
            <w:tcW w:w="12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(4,999)</w:t>
            </w:r>
          </w:p>
        </w:tc>
        <w:tc>
          <w:tcPr>
            <w:tcW w:w="26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2,260</w:t>
            </w:r>
          </w:p>
        </w:tc>
        <w:tc>
          <w:tcPr>
            <w:tcW w:w="20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6,972</w:t>
            </w:r>
          </w:p>
        </w:tc>
        <w:tc>
          <w:tcPr>
            <w:tcW w:w="260" w:type="dxa"/>
            <w:vAlign w:val="bottom"/>
            <w:tcBorders>
              <w:bottom w:val="single" w:sz="8" w:color="D7282F"/>
            </w:tcBorders>
          </w:tcPr>
          <w:p>
            <w:pPr>
              <w:spacing w:after="0"/>
              <w:rPr>
                <w:sz w:val="10"/>
                <w:szCs w:val="10"/>
                <w:color w:val="auto"/>
              </w:rPr>
            </w:pPr>
          </w:p>
        </w:tc>
        <w:tc>
          <w:tcPr>
            <w:tcW w:w="12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(4,703)</w:t>
            </w:r>
          </w:p>
        </w:tc>
        <w:tc>
          <w:tcPr>
            <w:tcW w:w="26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2,269</w:t>
            </w:r>
          </w:p>
        </w:tc>
        <w:tc>
          <w:tcPr>
            <w:tcW w:w="0" w:type="dxa"/>
            <w:vAlign w:val="bottom"/>
          </w:tcPr>
          <w:p>
            <w:pPr>
              <w:spacing w:after="0"/>
              <w:rPr>
                <w:sz w:val="1"/>
                <w:szCs w:val="1"/>
                <w:color w:val="auto"/>
              </w:rPr>
            </w:pPr>
          </w:p>
        </w:tc>
      </w:tr>
      <w:tr>
        <w:trPr>
          <w:trHeight w:val="124"/>
        </w:trPr>
        <w:tc>
          <w:tcPr>
            <w:tcW w:w="402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Indefinite-life intangibles</w:t>
            </w:r>
          </w:p>
        </w:tc>
        <w:tc>
          <w:tcPr>
            <w:tcW w:w="16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spacing w:after="0"/>
              <w:rPr>
                <w:sz w:val="10"/>
                <w:szCs w:val="10"/>
                <w:color w:val="auto"/>
              </w:rPr>
            </w:pPr>
          </w:p>
        </w:tc>
        <w:tc>
          <w:tcPr>
            <w:tcW w:w="126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spacing w:after="0"/>
              <w:rPr>
                <w:sz w:val="10"/>
                <w:szCs w:val="10"/>
                <w:color w:val="auto"/>
              </w:rPr>
            </w:pPr>
          </w:p>
        </w:tc>
        <w:tc>
          <w:tcPr>
            <w:tcW w:w="760" w:type="dxa"/>
            <w:vAlign w:val="bottom"/>
            <w:tcBorders>
              <w:bottom w:val="single" w:sz="8" w:color="61656A"/>
            </w:tcBorders>
          </w:tcPr>
          <w:p>
            <w:pPr>
              <w:spacing w:after="0"/>
              <w:rPr>
                <w:sz w:val="10"/>
                <w:szCs w:val="10"/>
                <w:color w:val="auto"/>
              </w:rPr>
            </w:pPr>
          </w:p>
        </w:tc>
        <w:tc>
          <w:tcPr>
            <w:tcW w:w="200" w:type="dxa"/>
            <w:vAlign w:val="bottom"/>
            <w:tcBorders>
              <w:bottom w:val="single" w:sz="8" w:color="61656A"/>
            </w:tcBorders>
          </w:tcPr>
          <w:p>
            <w:pPr>
              <w:spacing w:after="0"/>
              <w:rPr>
                <w:sz w:val="10"/>
                <w:szCs w:val="10"/>
                <w:color w:val="auto"/>
              </w:rPr>
            </w:pPr>
          </w:p>
        </w:tc>
        <w:tc>
          <w:tcPr>
            <w:tcW w:w="16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spacing w:after="0"/>
              <w:rPr>
                <w:sz w:val="10"/>
                <w:szCs w:val="10"/>
                <w:color w:val="auto"/>
              </w:rPr>
            </w:pPr>
          </w:p>
        </w:tc>
        <w:tc>
          <w:tcPr>
            <w:tcW w:w="126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spacing w:after="0"/>
              <w:rPr>
                <w:sz w:val="10"/>
                <w:szCs w:val="10"/>
                <w:color w:val="auto"/>
              </w:rPr>
            </w:pPr>
          </w:p>
        </w:tc>
        <w:tc>
          <w:tcPr>
            <w:tcW w:w="760" w:type="dxa"/>
            <w:vAlign w:val="bottom"/>
            <w:tcBorders>
              <w:bottom w:val="single" w:sz="8" w:color="61656A"/>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2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Trademarks</w:t>
            </w:r>
          </w:p>
        </w:tc>
        <w:tc>
          <w:tcPr>
            <w:tcW w:w="16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971</w:t>
            </w:r>
          </w:p>
        </w:tc>
        <w:tc>
          <w:tcPr>
            <w:tcW w:w="260" w:type="dxa"/>
            <w:vAlign w:val="bottom"/>
            <w:tcBorders>
              <w:bottom w:val="single" w:sz="8" w:color="D7282F"/>
            </w:tcBorders>
          </w:tcPr>
          <w:p>
            <w:pPr>
              <w:spacing w:after="0"/>
              <w:rPr>
                <w:sz w:val="10"/>
                <w:szCs w:val="10"/>
                <w:color w:val="auto"/>
              </w:rPr>
            </w:pPr>
          </w:p>
        </w:tc>
        <w:tc>
          <w:tcPr>
            <w:tcW w:w="12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971</w:t>
            </w:r>
          </w:p>
        </w:tc>
        <w:tc>
          <w:tcPr>
            <w:tcW w:w="20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953</w:t>
            </w:r>
          </w:p>
        </w:tc>
        <w:tc>
          <w:tcPr>
            <w:tcW w:w="260" w:type="dxa"/>
            <w:vAlign w:val="bottom"/>
            <w:tcBorders>
              <w:bottom w:val="single" w:sz="8" w:color="D7282F"/>
            </w:tcBorders>
          </w:tcPr>
          <w:p>
            <w:pPr>
              <w:spacing w:after="0"/>
              <w:rPr>
                <w:sz w:val="10"/>
                <w:szCs w:val="10"/>
                <w:color w:val="auto"/>
              </w:rPr>
            </w:pPr>
          </w:p>
        </w:tc>
        <w:tc>
          <w:tcPr>
            <w:tcW w:w="12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953</w:t>
            </w:r>
          </w:p>
        </w:tc>
        <w:tc>
          <w:tcPr>
            <w:tcW w:w="0" w:type="dxa"/>
            <w:vAlign w:val="bottom"/>
          </w:tcPr>
          <w:p>
            <w:pPr>
              <w:spacing w:after="0"/>
              <w:rPr>
                <w:sz w:val="1"/>
                <w:szCs w:val="1"/>
                <w:color w:val="auto"/>
              </w:rPr>
            </w:pPr>
          </w:p>
        </w:tc>
      </w:tr>
      <w:tr>
        <w:trPr>
          <w:trHeight w:val="126"/>
        </w:trPr>
        <w:tc>
          <w:tcPr>
            <w:tcW w:w="4020" w:type="dxa"/>
            <w:vAlign w:val="bottom"/>
            <w:tcBorders>
              <w:bottom w:val="single" w:sz="8" w:color="D7282F"/>
            </w:tcBorders>
          </w:tcPr>
          <w:p>
            <w:pPr>
              <w:ind w:left="220"/>
              <w:spacing w:after="0"/>
              <w:rPr>
                <w:sz w:val="20"/>
                <w:szCs w:val="20"/>
                <w:color w:val="auto"/>
              </w:rPr>
            </w:pPr>
            <w:r>
              <w:rPr>
                <w:rFonts w:ascii="Arial" w:cs="Arial" w:eastAsia="Arial" w:hAnsi="Arial"/>
                <w:sz w:val="10"/>
                <w:szCs w:val="10"/>
                <w:b w:val="1"/>
                <w:bCs w:val="1"/>
                <w:color w:val="auto"/>
              </w:rPr>
              <w:t>Total Other intangible assets—net</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8,230</w:t>
            </w:r>
          </w:p>
        </w:tc>
        <w:tc>
          <w:tcPr>
            <w:tcW w:w="2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12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(4,999)</w:t>
            </w:r>
          </w:p>
        </w:tc>
        <w:tc>
          <w:tcPr>
            <w:tcW w:w="2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3,231</w:t>
            </w:r>
          </w:p>
        </w:tc>
        <w:tc>
          <w:tcPr>
            <w:tcW w:w="20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7,925</w:t>
            </w:r>
          </w:p>
        </w:tc>
        <w:tc>
          <w:tcPr>
            <w:tcW w:w="2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12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(4,703)</w:t>
            </w:r>
          </w:p>
        </w:tc>
        <w:tc>
          <w:tcPr>
            <w:tcW w:w="26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3,222</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8" w:right="20"/>
        <w:spacing w:after="0" w:line="268" w:lineRule="auto"/>
        <w:rPr>
          <w:sz w:val="20"/>
          <w:szCs w:val="20"/>
          <w:color w:val="auto"/>
        </w:rPr>
      </w:pPr>
      <w:r>
        <w:rPr>
          <w:rFonts w:ascii="Arial" w:cs="Arial" w:eastAsia="Arial" w:hAnsi="Arial"/>
          <w:sz w:val="11"/>
          <w:szCs w:val="11"/>
          <w:color w:val="auto"/>
        </w:rPr>
        <w:t>Intangible assets amortization expense was $292 million, $333 million, and $465 million for the years ended December 31, 2023, 2022, and 2021, respectively. Estimated intangible asset amortization expense for each of the next five years approximates $287 million in 2024, $262 million in 2025, $257 million in 2026, $247 million in 2027, and $249 million in 2028.</w:t>
      </w:r>
    </w:p>
    <w:p>
      <w:pPr>
        <w:spacing w:after="0" w:line="275" w:lineRule="exact"/>
        <w:rPr>
          <w:sz w:val="20"/>
          <w:szCs w:val="20"/>
          <w:color w:val="auto"/>
        </w:rPr>
      </w:pPr>
    </w:p>
    <w:p>
      <w:pPr>
        <w:ind w:left="268" w:hanging="268"/>
        <w:spacing w:after="0"/>
        <w:tabs>
          <w:tab w:leader="none" w:pos="268" w:val="left"/>
        </w:tabs>
        <w:numPr>
          <w:ilvl w:val="0"/>
          <w:numId w:val="122"/>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79" w:name="page80"/>
    <w:bookmarkEnd w:id="79"/>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92" w:lineRule="exact"/>
        <w:rPr>
          <w:sz w:val="20"/>
          <w:szCs w:val="20"/>
          <w:color w:val="auto"/>
        </w:rPr>
      </w:pPr>
    </w:p>
    <w:p>
      <w:pPr>
        <w:spacing w:after="0"/>
        <w:rPr>
          <w:sz w:val="20"/>
          <w:szCs w:val="20"/>
          <w:color w:val="auto"/>
        </w:rPr>
      </w:pPr>
      <w:r>
        <w:rPr>
          <w:rFonts w:ascii="Arial" w:cs="Arial" w:eastAsia="Arial" w:hAnsi="Arial"/>
          <w:sz w:val="19"/>
          <w:szCs w:val="19"/>
          <w:color w:val="D7282F"/>
        </w:rPr>
        <w:t>NOTE 9. LONG-TERM DEBT AND CREDIT AGREEMENTS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9560" w:type="dxa"/>
            <w:vAlign w:val="bottom"/>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1060" w:type="dxa"/>
            <w:vAlign w:val="bottom"/>
            <w:tcBorders>
              <w:bottom w:val="single" w:sz="8" w:color="D7282F"/>
            </w:tcBorders>
            <w:gridSpan w:val="2"/>
          </w:tcPr>
          <w:p>
            <w:pPr>
              <w:jc w:val="right"/>
              <w:spacing w:after="0"/>
              <w:rPr>
                <w:sz w:val="20"/>
                <w:szCs w:val="20"/>
                <w:color w:val="auto"/>
              </w:rPr>
            </w:pPr>
            <w:r>
              <w:rPr>
                <w:rFonts w:ascii="Arial" w:cs="Arial" w:eastAsia="Arial" w:hAnsi="Arial"/>
                <w:sz w:val="10"/>
                <w:szCs w:val="10"/>
                <w:b w:val="1"/>
                <w:bCs w:val="1"/>
                <w:color w:val="auto"/>
              </w:rPr>
              <w:t>December 31,</w:t>
            </w:r>
          </w:p>
        </w:tc>
        <w:tc>
          <w:tcPr>
            <w:tcW w:w="520" w:type="dxa"/>
            <w:vAlign w:val="bottom"/>
            <w:tcBorders>
              <w:bottom w:val="single" w:sz="8" w:color="D7282F"/>
            </w:tcBorders>
          </w:tcPr>
          <w:p>
            <w:pPr>
              <w:spacing w:after="0"/>
              <w:rPr>
                <w:sz w:val="11"/>
                <w:szCs w:val="11"/>
                <w:color w:val="auto"/>
              </w:rPr>
            </w:pPr>
          </w:p>
        </w:tc>
      </w:tr>
      <w:tr>
        <w:trPr>
          <w:trHeight w:val="151"/>
        </w:trPr>
        <w:tc>
          <w:tcPr>
            <w:tcW w:w="9560" w:type="dxa"/>
            <w:vAlign w:val="bottom"/>
            <w:tcBorders>
              <w:bottom w:val="single" w:sz="8" w:color="D7282F"/>
            </w:tcBorders>
          </w:tcPr>
          <w:p>
            <w:pPr>
              <w:spacing w:after="0"/>
              <w:rPr>
                <w:sz w:val="13"/>
                <w:szCs w:val="13"/>
                <w:color w:val="auto"/>
              </w:rPr>
            </w:pPr>
          </w:p>
        </w:tc>
        <w:tc>
          <w:tcPr>
            <w:tcW w:w="160" w:type="dxa"/>
            <w:vAlign w:val="bottom"/>
            <w:tcBorders>
              <w:bottom w:val="single" w:sz="8" w:color="D7282F"/>
            </w:tcBorders>
          </w:tcPr>
          <w:p>
            <w:pPr>
              <w:spacing w:after="0"/>
              <w:rPr>
                <w:sz w:val="13"/>
                <w:szCs w:val="13"/>
                <w:color w:val="auto"/>
              </w:rPr>
            </w:pPr>
          </w:p>
        </w:tc>
        <w:tc>
          <w:tcPr>
            <w:tcW w:w="70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2023</w:t>
            </w:r>
          </w:p>
        </w:tc>
        <w:tc>
          <w:tcPr>
            <w:tcW w:w="360" w:type="dxa"/>
            <w:vAlign w:val="bottom"/>
            <w:tcBorders>
              <w:bottom w:val="single" w:sz="8" w:color="D7282F"/>
            </w:tcBorders>
          </w:tcPr>
          <w:p>
            <w:pPr>
              <w:spacing w:after="0"/>
              <w:rPr>
                <w:sz w:val="13"/>
                <w:szCs w:val="13"/>
                <w:color w:val="auto"/>
              </w:rPr>
            </w:pPr>
          </w:p>
        </w:tc>
        <w:tc>
          <w:tcPr>
            <w:tcW w:w="52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w w:val="98"/>
              </w:rPr>
              <w:t>2022</w:t>
            </w:r>
          </w:p>
        </w:tc>
      </w:tr>
      <w:tr>
        <w:trPr>
          <w:trHeight w:val="126"/>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1.30% Euro notes due 2023</w:t>
            </w:r>
          </w:p>
        </w:tc>
        <w:tc>
          <w:tcPr>
            <w:tcW w:w="16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1,334</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3.35% notes due 2023</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300</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0.00% Euro notes due 2024</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547</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534</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2.30% notes due 2024</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750</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750</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4.85% notes due 2024</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400</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400</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1.35% notes due 2025</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1,250</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1,250</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2.50% notes due 2026</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1,500</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1,500</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1.10% notes due 2027</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1,000</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1,000</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3.50% Euro notes due 2027</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711</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4.95% notes due 2028</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500</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500</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2.25% Euro notes due 2028</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820</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800</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4.25% notes due 2029</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750</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2.70% notes due 2029</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750</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750</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1.95% notes due 2030</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1,000</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1,000</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1.75% notes due 2031</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1,500</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1,500</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0.75% Euro notes due 2032</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547</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534</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3.75% Euro notes due 2032</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547</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5.00% notes due 2033</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1,100</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1,100</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4.50% notes due 2034</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1,000</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4.125% Euro notes due 2034</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1,094</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1,067</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5.70% notes due 2036</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441</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441</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5.70% notes due 2037</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462</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462</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5.375% notes due 2041</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417</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417</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3.812% notes due 2047</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442</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445</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2.80% notes due 2050</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750</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750</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Industrial development bond obligations, floating rate maturing at various dates through 2037</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22</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22</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6.625% debentures due 2028</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201</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201</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9.065% debentures due 2033</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51</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51</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Other (including capitalized leases), 7.0% weighted average interest rate maturing at various dates through 2029</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217</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265</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Fair value of hedging instruments</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(166)</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(287)</w:t>
            </w:r>
          </w:p>
        </w:tc>
      </w:tr>
      <w:tr>
        <w:trPr>
          <w:trHeight w:val="124"/>
        </w:trPr>
        <w:tc>
          <w:tcPr>
            <w:tcW w:w="95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Debt issuance costs</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(245)</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(233)</w:t>
            </w:r>
          </w:p>
        </w:tc>
      </w:tr>
      <w:tr>
        <w:trPr>
          <w:trHeight w:val="126"/>
        </w:trPr>
        <w:tc>
          <w:tcPr>
            <w:tcW w:w="956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Long-term debt and current related maturities</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18,358</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16,853</w:t>
            </w:r>
          </w:p>
        </w:tc>
      </w:tr>
      <w:tr>
        <w:trPr>
          <w:trHeight w:val="122"/>
        </w:trPr>
        <w:tc>
          <w:tcPr>
            <w:tcW w:w="95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Less: Current maturities of long-term debt</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1,796</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1,730</w:t>
            </w:r>
          </w:p>
        </w:tc>
      </w:tr>
      <w:tr>
        <w:trPr>
          <w:trHeight w:val="126"/>
        </w:trPr>
        <w:tc>
          <w:tcPr>
            <w:tcW w:w="956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Long-term debt</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16,562</w:t>
            </w:r>
          </w:p>
        </w:tc>
        <w:tc>
          <w:tcPr>
            <w:tcW w:w="36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15,123</w:t>
            </w:r>
          </w:p>
        </w:tc>
      </w:tr>
    </w:tbl>
    <w:p>
      <w:pPr>
        <w:spacing w:after="0" w:line="338"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D7282F"/>
        </w:rPr>
        <w:t>78</w:t>
      </w:r>
      <w:r>
        <w:rPr>
          <w:sz w:val="20"/>
          <w:szCs w:val="20"/>
          <w:color w:val="auto"/>
        </w:rPr>
        <w:tab/>
      </w:r>
      <w:r>
        <w:rPr>
          <w:rFonts w:ascii="Arial" w:cs="Arial" w:eastAsia="Arial" w:hAnsi="Arial"/>
          <w:sz w:val="8"/>
          <w:szCs w:val="8"/>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90805</wp:posOffset>
            </wp:positionV>
            <wp:extent cx="7203440"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80" w:name="page81"/>
    <w:bookmarkEnd w:id="80"/>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tbl>
      <w:tblPr>
        <w:tblLayout w:type="fixed"/>
        <w:tblInd w:w="8" w:type="dxa"/>
        <w:tblCellMar>
          <w:top w:w="0" w:type="dxa"/>
          <w:left w:w="0" w:type="dxa"/>
          <w:bottom w:w="0" w:type="dxa"/>
          <w:right w:w="0" w:type="dxa"/>
        </w:tblCellMar>
      </w:tblPr>
      <w:tr>
        <w:trPr>
          <w:trHeight w:val="135"/>
        </w:trPr>
        <w:tc>
          <w:tcPr>
            <w:tcW w:w="3540" w:type="dxa"/>
            <w:vAlign w:val="bottom"/>
          </w:tcPr>
          <w:p>
            <w:pPr>
              <w:spacing w:after="0"/>
              <w:rPr>
                <w:sz w:val="11"/>
                <w:szCs w:val="11"/>
                <w:color w:val="auto"/>
              </w:rPr>
            </w:pPr>
          </w:p>
        </w:tc>
        <w:tc>
          <w:tcPr>
            <w:tcW w:w="6320" w:type="dxa"/>
            <w:vAlign w:val="bottom"/>
          </w:tcPr>
          <w:p>
            <w:pPr>
              <w:jc w:val="center"/>
              <w:ind w:right="2068"/>
              <w:spacing w:after="0"/>
              <w:rPr>
                <w:sz w:val="20"/>
                <w:szCs w:val="20"/>
                <w:color w:val="auto"/>
              </w:rPr>
            </w:pPr>
            <w:r>
              <w:rPr>
                <w:rFonts w:ascii="Arial" w:cs="Arial" w:eastAsia="Arial" w:hAnsi="Arial"/>
                <w:sz w:val="11"/>
                <w:szCs w:val="11"/>
                <w:b w:val="1"/>
                <w:bCs w:val="1"/>
                <w:color w:val="auto"/>
                <w:w w:val="97"/>
              </w:rPr>
              <w:t>HONEYWELL INTERNATIONAL INC.</w:t>
            </w:r>
          </w:p>
        </w:tc>
        <w:tc>
          <w:tcPr>
            <w:tcW w:w="1440" w:type="dxa"/>
            <w:vAlign w:val="bottom"/>
          </w:tcPr>
          <w:p>
            <w:pPr>
              <w:spacing w:after="0"/>
              <w:rPr>
                <w:sz w:val="11"/>
                <w:szCs w:val="11"/>
                <w:color w:val="auto"/>
              </w:rPr>
            </w:pPr>
          </w:p>
        </w:tc>
      </w:tr>
      <w:tr>
        <w:trPr>
          <w:trHeight w:val="126"/>
        </w:trPr>
        <w:tc>
          <w:tcPr>
            <w:tcW w:w="3540" w:type="dxa"/>
            <w:vAlign w:val="bottom"/>
          </w:tcPr>
          <w:p>
            <w:pPr>
              <w:spacing w:after="0"/>
              <w:rPr>
                <w:sz w:val="10"/>
                <w:szCs w:val="10"/>
                <w:color w:val="auto"/>
              </w:rPr>
            </w:pPr>
          </w:p>
        </w:tc>
        <w:tc>
          <w:tcPr>
            <w:tcW w:w="6320" w:type="dxa"/>
            <w:vAlign w:val="bottom"/>
          </w:tcPr>
          <w:p>
            <w:pPr>
              <w:jc w:val="center"/>
              <w:ind w:right="2048"/>
              <w:spacing w:after="0"/>
              <w:rPr>
                <w:sz w:val="20"/>
                <w:szCs w:val="20"/>
                <w:color w:val="auto"/>
              </w:rPr>
            </w:pPr>
            <w:r>
              <w:rPr>
                <w:rFonts w:ascii="Arial" w:cs="Arial" w:eastAsia="Arial" w:hAnsi="Arial"/>
                <w:sz w:val="11"/>
                <w:szCs w:val="11"/>
                <w:b w:val="1"/>
                <w:bCs w:val="1"/>
                <w:color w:val="auto"/>
                <w:w w:val="97"/>
              </w:rPr>
              <w:t>NOTES TO CONSOLIDATED FINANCIAL STATEMENTS—(Continued)</w:t>
            </w:r>
          </w:p>
        </w:tc>
        <w:tc>
          <w:tcPr>
            <w:tcW w:w="1440" w:type="dxa"/>
            <w:vAlign w:val="bottom"/>
          </w:tcPr>
          <w:p>
            <w:pPr>
              <w:spacing w:after="0"/>
              <w:rPr>
                <w:sz w:val="10"/>
                <w:szCs w:val="10"/>
                <w:color w:val="auto"/>
              </w:rPr>
            </w:pPr>
          </w:p>
        </w:tc>
      </w:tr>
      <w:tr>
        <w:trPr>
          <w:trHeight w:val="148"/>
        </w:trPr>
        <w:tc>
          <w:tcPr>
            <w:tcW w:w="3540" w:type="dxa"/>
            <w:vAlign w:val="bottom"/>
          </w:tcPr>
          <w:p>
            <w:pPr>
              <w:spacing w:after="0"/>
              <w:rPr>
                <w:sz w:val="12"/>
                <w:szCs w:val="12"/>
                <w:color w:val="auto"/>
              </w:rPr>
            </w:pPr>
          </w:p>
        </w:tc>
        <w:tc>
          <w:tcPr>
            <w:tcW w:w="6320" w:type="dxa"/>
            <w:vAlign w:val="bottom"/>
          </w:tcPr>
          <w:p>
            <w:pPr>
              <w:jc w:val="center"/>
              <w:ind w:right="2068"/>
              <w:spacing w:after="0"/>
              <w:rPr>
                <w:sz w:val="20"/>
                <w:szCs w:val="20"/>
                <w:color w:val="auto"/>
              </w:rPr>
            </w:pPr>
            <w:r>
              <w:rPr>
                <w:rFonts w:ascii="Arial" w:cs="Arial" w:eastAsia="Arial" w:hAnsi="Arial"/>
                <w:sz w:val="11"/>
                <w:szCs w:val="11"/>
                <w:b w:val="1"/>
                <w:bCs w:val="1"/>
                <w:color w:val="auto"/>
                <w:w w:val="98"/>
              </w:rPr>
              <w:t>(Dollars in tables in millions, except per share amounts)</w:t>
            </w:r>
          </w:p>
        </w:tc>
        <w:tc>
          <w:tcPr>
            <w:tcW w:w="1440" w:type="dxa"/>
            <w:vAlign w:val="bottom"/>
          </w:tcPr>
          <w:p>
            <w:pPr>
              <w:spacing w:after="0"/>
              <w:rPr>
                <w:sz w:val="12"/>
                <w:szCs w:val="12"/>
                <w:color w:val="auto"/>
              </w:rPr>
            </w:pPr>
          </w:p>
        </w:tc>
      </w:tr>
      <w:tr>
        <w:trPr>
          <w:trHeight w:val="417"/>
        </w:trPr>
        <w:tc>
          <w:tcPr>
            <w:tcW w:w="3540" w:type="dxa"/>
            <w:vAlign w:val="bottom"/>
          </w:tcPr>
          <w:p>
            <w:pPr>
              <w:spacing w:after="0"/>
              <w:rPr>
                <w:sz w:val="20"/>
                <w:szCs w:val="20"/>
                <w:color w:val="auto"/>
              </w:rPr>
            </w:pPr>
            <w:r>
              <w:rPr>
                <w:rFonts w:ascii="Arial" w:cs="Arial" w:eastAsia="Arial" w:hAnsi="Arial"/>
                <w:sz w:val="11"/>
                <w:szCs w:val="11"/>
                <w:color w:val="auto"/>
              </w:rPr>
              <w:t>The schedule of principal payments on long-term debt is as follows:</w:t>
            </w:r>
          </w:p>
        </w:tc>
        <w:tc>
          <w:tcPr>
            <w:tcW w:w="63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7"/>
        </w:trPr>
        <w:tc>
          <w:tcPr>
            <w:tcW w:w="3540" w:type="dxa"/>
            <w:vAlign w:val="bottom"/>
            <w:tcBorders>
              <w:bottom w:val="single" w:sz="8" w:color="D7282F"/>
            </w:tcBorders>
          </w:tcPr>
          <w:p>
            <w:pPr>
              <w:spacing w:after="0"/>
              <w:rPr>
                <w:sz w:val="18"/>
                <w:szCs w:val="18"/>
                <w:color w:val="auto"/>
              </w:rPr>
            </w:pPr>
          </w:p>
        </w:tc>
        <w:tc>
          <w:tcPr>
            <w:tcW w:w="6320" w:type="dxa"/>
            <w:vAlign w:val="bottom"/>
            <w:tcBorders>
              <w:bottom w:val="single" w:sz="8" w:color="D7282F"/>
            </w:tcBorders>
          </w:tcPr>
          <w:p>
            <w:pPr>
              <w:spacing w:after="0"/>
              <w:rPr>
                <w:sz w:val="18"/>
                <w:szCs w:val="18"/>
                <w:color w:val="auto"/>
              </w:rPr>
            </w:pPr>
          </w:p>
        </w:tc>
        <w:tc>
          <w:tcPr>
            <w:tcW w:w="1440" w:type="dxa"/>
            <w:vAlign w:val="bottom"/>
            <w:tcBorders>
              <w:bottom w:val="single" w:sz="8" w:color="D7282F"/>
            </w:tcBorders>
          </w:tcPr>
          <w:p>
            <w:pPr>
              <w:jc w:val="right"/>
              <w:ind w:right="352"/>
              <w:spacing w:after="0"/>
              <w:rPr>
                <w:sz w:val="20"/>
                <w:szCs w:val="20"/>
                <w:color w:val="auto"/>
              </w:rPr>
            </w:pPr>
            <w:r>
              <w:rPr>
                <w:rFonts w:ascii="Arial" w:cs="Arial" w:eastAsia="Arial" w:hAnsi="Arial"/>
                <w:sz w:val="10"/>
                <w:szCs w:val="10"/>
                <w:b w:val="1"/>
                <w:bCs w:val="1"/>
                <w:color w:val="auto"/>
              </w:rPr>
              <w:t>December 31, 2023</w:t>
            </w:r>
          </w:p>
        </w:tc>
      </w:tr>
      <w:tr>
        <w:trPr>
          <w:trHeight w:val="122"/>
        </w:trPr>
        <w:tc>
          <w:tcPr>
            <w:tcW w:w="35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2024</w:t>
            </w:r>
          </w:p>
        </w:tc>
        <w:tc>
          <w:tcPr>
            <w:tcW w:w="6320" w:type="dxa"/>
            <w:vAlign w:val="bottom"/>
            <w:tcBorders>
              <w:bottom w:val="single" w:sz="8" w:color="61656A"/>
            </w:tcBorders>
          </w:tcPr>
          <w:p>
            <w:pPr>
              <w:jc w:val="right"/>
              <w:ind w:right="128"/>
              <w:spacing w:after="0"/>
              <w:rPr>
                <w:sz w:val="20"/>
                <w:szCs w:val="20"/>
                <w:color w:val="auto"/>
              </w:rPr>
            </w:pPr>
            <w:r>
              <w:rPr>
                <w:rFonts w:ascii="Arial" w:cs="Arial" w:eastAsia="Arial" w:hAnsi="Arial"/>
                <w:sz w:val="10"/>
                <w:szCs w:val="10"/>
                <w:color w:val="auto"/>
              </w:rPr>
              <w:t>$</w:t>
            </w:r>
          </w:p>
        </w:tc>
        <w:tc>
          <w:tcPr>
            <w:tcW w:w="14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1,796</w:t>
            </w:r>
          </w:p>
        </w:tc>
      </w:tr>
      <w:tr>
        <w:trPr>
          <w:trHeight w:val="124"/>
        </w:trPr>
        <w:tc>
          <w:tcPr>
            <w:tcW w:w="35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2025</w:t>
            </w:r>
          </w:p>
        </w:tc>
        <w:tc>
          <w:tcPr>
            <w:tcW w:w="6320" w:type="dxa"/>
            <w:vAlign w:val="bottom"/>
            <w:tcBorders>
              <w:bottom w:val="single" w:sz="8" w:color="61656A"/>
            </w:tcBorders>
          </w:tcPr>
          <w:p>
            <w:pPr>
              <w:spacing w:after="0"/>
              <w:rPr>
                <w:sz w:val="10"/>
                <w:szCs w:val="10"/>
                <w:color w:val="auto"/>
              </w:rPr>
            </w:pPr>
          </w:p>
        </w:tc>
        <w:tc>
          <w:tcPr>
            <w:tcW w:w="14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1,314</w:t>
            </w:r>
          </w:p>
        </w:tc>
      </w:tr>
      <w:tr>
        <w:trPr>
          <w:trHeight w:val="124"/>
        </w:trPr>
        <w:tc>
          <w:tcPr>
            <w:tcW w:w="35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2026</w:t>
            </w:r>
          </w:p>
        </w:tc>
        <w:tc>
          <w:tcPr>
            <w:tcW w:w="6320" w:type="dxa"/>
            <w:vAlign w:val="bottom"/>
            <w:tcBorders>
              <w:bottom w:val="single" w:sz="8" w:color="61656A"/>
            </w:tcBorders>
          </w:tcPr>
          <w:p>
            <w:pPr>
              <w:spacing w:after="0"/>
              <w:rPr>
                <w:sz w:val="10"/>
                <w:szCs w:val="10"/>
                <w:color w:val="auto"/>
              </w:rPr>
            </w:pPr>
          </w:p>
        </w:tc>
        <w:tc>
          <w:tcPr>
            <w:tcW w:w="14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1,528</w:t>
            </w:r>
          </w:p>
        </w:tc>
      </w:tr>
      <w:tr>
        <w:trPr>
          <w:trHeight w:val="124"/>
        </w:trPr>
        <w:tc>
          <w:tcPr>
            <w:tcW w:w="35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2027</w:t>
            </w:r>
          </w:p>
        </w:tc>
        <w:tc>
          <w:tcPr>
            <w:tcW w:w="6320" w:type="dxa"/>
            <w:vAlign w:val="bottom"/>
            <w:tcBorders>
              <w:bottom w:val="single" w:sz="8" w:color="61656A"/>
            </w:tcBorders>
          </w:tcPr>
          <w:p>
            <w:pPr>
              <w:spacing w:after="0"/>
              <w:rPr>
                <w:sz w:val="10"/>
                <w:szCs w:val="10"/>
                <w:color w:val="auto"/>
              </w:rPr>
            </w:pPr>
          </w:p>
        </w:tc>
        <w:tc>
          <w:tcPr>
            <w:tcW w:w="14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1,718</w:t>
            </w:r>
          </w:p>
        </w:tc>
      </w:tr>
      <w:tr>
        <w:trPr>
          <w:trHeight w:val="124"/>
        </w:trPr>
        <w:tc>
          <w:tcPr>
            <w:tcW w:w="35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2028</w:t>
            </w:r>
          </w:p>
        </w:tc>
        <w:tc>
          <w:tcPr>
            <w:tcW w:w="6320" w:type="dxa"/>
            <w:vAlign w:val="bottom"/>
            <w:tcBorders>
              <w:bottom w:val="single" w:sz="8" w:color="61656A"/>
            </w:tcBorders>
          </w:tcPr>
          <w:p>
            <w:pPr>
              <w:spacing w:after="0"/>
              <w:rPr>
                <w:sz w:val="10"/>
                <w:szCs w:val="10"/>
                <w:color w:val="auto"/>
              </w:rPr>
            </w:pPr>
          </w:p>
        </w:tc>
        <w:tc>
          <w:tcPr>
            <w:tcW w:w="14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1,527</w:t>
            </w:r>
          </w:p>
        </w:tc>
      </w:tr>
      <w:tr>
        <w:trPr>
          <w:trHeight w:val="124"/>
        </w:trPr>
        <w:tc>
          <w:tcPr>
            <w:tcW w:w="35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Thereafter</w:t>
            </w:r>
          </w:p>
        </w:tc>
        <w:tc>
          <w:tcPr>
            <w:tcW w:w="6320" w:type="dxa"/>
            <w:vAlign w:val="bottom"/>
            <w:tcBorders>
              <w:bottom w:val="single" w:sz="8" w:color="D7282F"/>
            </w:tcBorders>
          </w:tcPr>
          <w:p>
            <w:pPr>
              <w:spacing w:after="0"/>
              <w:rPr>
                <w:sz w:val="10"/>
                <w:szCs w:val="10"/>
                <w:color w:val="auto"/>
              </w:rPr>
            </w:pPr>
          </w:p>
        </w:tc>
        <w:tc>
          <w:tcPr>
            <w:tcW w:w="14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10,475</w:t>
            </w:r>
          </w:p>
        </w:tc>
      </w:tr>
      <w:tr>
        <w:trPr>
          <w:trHeight w:val="126"/>
        </w:trPr>
        <w:tc>
          <w:tcPr>
            <w:tcW w:w="354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Long-term debt and current related maturities</w:t>
            </w:r>
          </w:p>
        </w:tc>
        <w:tc>
          <w:tcPr>
            <w:tcW w:w="6320" w:type="dxa"/>
            <w:vAlign w:val="bottom"/>
            <w:tcBorders>
              <w:bottom w:val="single" w:sz="8" w:color="D7282F"/>
            </w:tcBorders>
          </w:tcPr>
          <w:p>
            <w:pPr>
              <w:spacing w:after="0"/>
              <w:rPr>
                <w:sz w:val="10"/>
                <w:szCs w:val="10"/>
                <w:color w:val="auto"/>
              </w:rPr>
            </w:pPr>
          </w:p>
        </w:tc>
        <w:tc>
          <w:tcPr>
            <w:tcW w:w="14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18,358</w:t>
            </w:r>
          </w:p>
        </w:tc>
      </w:tr>
      <w:tr>
        <w:trPr>
          <w:trHeight w:val="122"/>
        </w:trPr>
        <w:tc>
          <w:tcPr>
            <w:tcW w:w="35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Less: Current maturities of long-term debt</w:t>
            </w:r>
          </w:p>
        </w:tc>
        <w:tc>
          <w:tcPr>
            <w:tcW w:w="6320" w:type="dxa"/>
            <w:vAlign w:val="bottom"/>
            <w:tcBorders>
              <w:bottom w:val="single" w:sz="8" w:color="D7282F"/>
            </w:tcBorders>
          </w:tcPr>
          <w:p>
            <w:pPr>
              <w:spacing w:after="0"/>
              <w:rPr>
                <w:sz w:val="10"/>
                <w:szCs w:val="10"/>
                <w:color w:val="auto"/>
              </w:rPr>
            </w:pPr>
          </w:p>
        </w:tc>
        <w:tc>
          <w:tcPr>
            <w:tcW w:w="14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1,796</w:t>
            </w:r>
          </w:p>
        </w:tc>
      </w:tr>
      <w:tr>
        <w:trPr>
          <w:trHeight w:val="126"/>
        </w:trPr>
        <w:tc>
          <w:tcPr>
            <w:tcW w:w="354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Long-term debt</w:t>
            </w:r>
          </w:p>
        </w:tc>
        <w:tc>
          <w:tcPr>
            <w:tcW w:w="6320" w:type="dxa"/>
            <w:vAlign w:val="bottom"/>
            <w:tcBorders>
              <w:bottom w:val="single" w:sz="8" w:color="D7282F"/>
            </w:tcBorders>
          </w:tcPr>
          <w:p>
            <w:pPr>
              <w:jc w:val="right"/>
              <w:ind w:right="128"/>
              <w:spacing w:after="0"/>
              <w:rPr>
                <w:sz w:val="20"/>
                <w:szCs w:val="20"/>
                <w:color w:val="auto"/>
              </w:rPr>
            </w:pPr>
            <w:r>
              <w:rPr>
                <w:rFonts w:ascii="Arial" w:cs="Arial" w:eastAsia="Arial" w:hAnsi="Arial"/>
                <w:sz w:val="10"/>
                <w:szCs w:val="10"/>
                <w:b w:val="1"/>
                <w:bCs w:val="1"/>
                <w:color w:val="auto"/>
              </w:rPr>
              <w:t>$</w:t>
            </w:r>
          </w:p>
        </w:tc>
        <w:tc>
          <w:tcPr>
            <w:tcW w:w="14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16,562</w:t>
            </w:r>
          </w:p>
        </w:tc>
      </w:tr>
    </w:tbl>
    <w:p>
      <w:pPr>
        <w:spacing w:after="0" w:line="126" w:lineRule="exact"/>
        <w:rPr>
          <w:sz w:val="20"/>
          <w:szCs w:val="20"/>
          <w:color w:val="auto"/>
        </w:rPr>
      </w:pPr>
    </w:p>
    <w:p>
      <w:pPr>
        <w:ind w:left="8"/>
        <w:spacing w:after="0"/>
        <w:rPr>
          <w:sz w:val="20"/>
          <w:szCs w:val="20"/>
          <w:color w:val="auto"/>
        </w:rPr>
      </w:pPr>
      <w:r>
        <w:rPr>
          <w:rFonts w:ascii="Arial" w:cs="Arial" w:eastAsia="Arial" w:hAnsi="Arial"/>
          <w:sz w:val="11"/>
          <w:szCs w:val="11"/>
          <w:color w:val="auto"/>
        </w:rPr>
        <w:t>On December 1, 2023, the Company repaid its 3.35% notes due 2023.</w:t>
      </w:r>
    </w:p>
    <w:p>
      <w:pPr>
        <w:spacing w:after="0" w:line="72" w:lineRule="exact"/>
        <w:rPr>
          <w:sz w:val="20"/>
          <w:szCs w:val="20"/>
          <w:color w:val="auto"/>
        </w:rPr>
      </w:pPr>
    </w:p>
    <w:p>
      <w:pPr>
        <w:jc w:val="both"/>
        <w:ind w:left="8" w:right="20"/>
        <w:spacing w:after="0" w:line="285" w:lineRule="auto"/>
        <w:rPr>
          <w:sz w:val="20"/>
          <w:szCs w:val="20"/>
          <w:color w:val="auto"/>
        </w:rPr>
      </w:pPr>
      <w:r>
        <w:rPr>
          <w:rFonts w:ascii="Arial" w:cs="Arial" w:eastAsia="Arial" w:hAnsi="Arial"/>
          <w:sz w:val="11"/>
          <w:szCs w:val="11"/>
          <w:color w:val="auto"/>
        </w:rPr>
        <w:t>On May 17, 2023, the Company issued $750 million 4.25% Senior Notes due 2029 and $1.0 billion 4.50% Senior Notes due 2034 (collectively, the 2023 USD Notes). The Company may redeem the 2023 USD Notes at any time, and from time to time, in whole or in part, at the Company's option at the applicable redemption price. The offering provided gross proceeds of $1.8 billion, offset by $20 million in discount and closing costs related to the offering.</w:t>
      </w:r>
    </w:p>
    <w:p>
      <w:pPr>
        <w:spacing w:after="0" w:line="33"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On May 17, 2023, the Company issued €650 million 3.50% Senior Notes due 2027 and €500 million 3.75% Senior Notes due 2032 (collectively, the 2023 Euro Notes). The Company may redeem the 2023 Euro Notes at any time, and from time to time, in whole or in part, at the Company's option at the applicable redemption price. The offering provided gross proceeds of $1.2 billion, offset by $12 million in discount and closing costs related to the offering.</w:t>
      </w:r>
    </w:p>
    <w:p>
      <w:pPr>
        <w:spacing w:after="0" w:line="33"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The 2023 USD Notes and 2023 Euro Notes are senior unsecured and unsubordinated obligations of the Company and rank equally with each other and with all of the Company's existing and future senior unsecured debt and senior to all of the Company's subordinated debt. The Company intends to use the proceeds from the issuances for the repayment of commercial paper and general corporate purposes.</w:t>
      </w:r>
    </w:p>
    <w:p>
      <w:pPr>
        <w:spacing w:after="0" w:line="51" w:lineRule="exact"/>
        <w:rPr>
          <w:sz w:val="20"/>
          <w:szCs w:val="20"/>
          <w:color w:val="auto"/>
        </w:rPr>
      </w:pPr>
    </w:p>
    <w:p>
      <w:pPr>
        <w:ind w:left="8"/>
        <w:spacing w:after="0"/>
        <w:rPr>
          <w:sz w:val="20"/>
          <w:szCs w:val="20"/>
          <w:color w:val="auto"/>
        </w:rPr>
      </w:pPr>
      <w:r>
        <w:rPr>
          <w:rFonts w:ascii="Arial" w:cs="Arial" w:eastAsia="Arial" w:hAnsi="Arial"/>
          <w:sz w:val="11"/>
          <w:szCs w:val="11"/>
          <w:color w:val="auto"/>
        </w:rPr>
        <w:t>On February 22, 2023, the Company repaid its 1.30% Euro notes due 2023.</w:t>
      </w:r>
    </w:p>
    <w:p>
      <w:pPr>
        <w:spacing w:after="0" w:line="72"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color w:val="auto"/>
        </w:rPr>
        <w:t>On March 20, 2023, the Company entered into a $1.5 billion 364-day credit agreement (the 364-Day Credit Agreement) and a $4.0 billion amended and restated five-year credit agreement (the 5-Year Credit Agreement). The 364-Day Credit Agreement replaced the $1.5 billion 364-day credit agreement dated as of March 24, 2022, which was terminated in accordance with its terms effective March 20, 2023. Amounts borrowed under the 364-Day Credit Agreement are required to be repaid no later than March 18, 2024, unless (i) Honeywell elects to convert all then outstanding amounts into a term loan, upon which such amounts shall be repaid in full on March 18, 2025, or (ii) the 364-Day Credit Agreement is terminated earlier pursuant to its terms. The 5-Year Credit Agreement amended and restated the previously reported $4.0 billion amended and restated five-year credit agreement dated as of March 24, 2022. Commitments under the 5-Year Credit Agreement can be increased pursuant to the terms of the 5-Year Credit Agreement to an aggregate amount not to exceed $4.5 billion. The 364-Day Credit Agreement and 5-Year Credit Agreement are maintained for general corporate purposes.</w:t>
      </w:r>
    </w:p>
    <w:p>
      <w:pPr>
        <w:spacing w:after="0" w:line="61" w:lineRule="exact"/>
        <w:rPr>
          <w:sz w:val="20"/>
          <w:szCs w:val="20"/>
          <w:color w:val="auto"/>
        </w:rPr>
      </w:pPr>
    </w:p>
    <w:p>
      <w:pPr>
        <w:ind w:left="8"/>
        <w:spacing w:after="0"/>
        <w:rPr>
          <w:sz w:val="20"/>
          <w:szCs w:val="20"/>
          <w:color w:val="auto"/>
        </w:rPr>
      </w:pPr>
      <w:r>
        <w:rPr>
          <w:rFonts w:ascii="Arial" w:cs="Arial" w:eastAsia="Arial" w:hAnsi="Arial"/>
          <w:sz w:val="11"/>
          <w:szCs w:val="11"/>
          <w:color w:val="auto"/>
        </w:rPr>
        <w:t>As of December 31, 2023, there were no outstanding borrowings under the 364-Day Credit Agreement or 5-Year Credit Agreement.</w:t>
      </w:r>
    </w:p>
    <w:p>
      <w:pPr>
        <w:spacing w:after="0" w:line="72"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On November 2, 2022, the Company issued $400 million 4.85% Senior Notes due 2024, $500 million 4.95% Senior Notes due 2028, and $1.1 billion 5.00% Senior Notes due 2033 (collectively, the 2022 USD Notes). The Company may redeem the 2022 USD Notes at any time, and from time to time, in whole or in part, at the Company's option at the applicable redemption price. The offering provided gross proceeds of $2.0 billion, offset by $22 million in discount and closing costs related to the offering.</w:t>
      </w:r>
    </w:p>
    <w:p>
      <w:pPr>
        <w:spacing w:after="0" w:line="45" w:lineRule="exact"/>
        <w:rPr>
          <w:sz w:val="20"/>
          <w:szCs w:val="20"/>
          <w:color w:val="auto"/>
        </w:rPr>
      </w:pPr>
    </w:p>
    <w:p>
      <w:pPr>
        <w:jc w:val="both"/>
        <w:ind w:left="8" w:right="20"/>
        <w:spacing w:after="0" w:line="268" w:lineRule="auto"/>
        <w:rPr>
          <w:sz w:val="20"/>
          <w:szCs w:val="20"/>
          <w:color w:val="auto"/>
        </w:rPr>
      </w:pPr>
      <w:r>
        <w:rPr>
          <w:rFonts w:ascii="Arial" w:cs="Arial" w:eastAsia="Arial" w:hAnsi="Arial"/>
          <w:sz w:val="11"/>
          <w:szCs w:val="11"/>
          <w:color w:val="auto"/>
        </w:rPr>
        <w:t>On November 2, 2022, the Company issued €1.0 billion 4.125% Senior Notes due 2034 (the 2022 Euro Notes). The Company may redeem the 2022 Euro Notes at any time, and from time to time, in whole or in part, at the Company's option at the applicable redemption price. The offering provided gross proceeds of $990 million, offset by $17 million in discount and closing costs related to the offering.</w:t>
      </w:r>
    </w:p>
    <w:p>
      <w:pPr>
        <w:spacing w:after="0" w:line="51"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The 2022 USD Notes and 2022 Euro Notes are senior unsecured and unsubordinated obligations of the Company and rank equally with each other and with all of the Company's existing and future senior unsecured debt and senior to all of the Company's subordinated debt. The Company intends to use the proceeds from the issuance for general corporate purposes.</w:t>
      </w:r>
    </w:p>
    <w:p>
      <w:pPr>
        <w:spacing w:after="0" w:line="51" w:lineRule="exact"/>
        <w:rPr>
          <w:sz w:val="20"/>
          <w:szCs w:val="20"/>
          <w:color w:val="auto"/>
        </w:rPr>
      </w:pPr>
    </w:p>
    <w:p>
      <w:pPr>
        <w:ind w:left="8"/>
        <w:spacing w:after="0"/>
        <w:rPr>
          <w:sz w:val="20"/>
          <w:szCs w:val="20"/>
          <w:color w:val="auto"/>
        </w:rPr>
      </w:pPr>
      <w:r>
        <w:rPr>
          <w:rFonts w:ascii="Arial" w:cs="Arial" w:eastAsia="Arial" w:hAnsi="Arial"/>
          <w:sz w:val="11"/>
          <w:szCs w:val="11"/>
          <w:color w:val="auto"/>
        </w:rPr>
        <w:t>On August 8, 2022, the Company repaid its 2.15% and its Floating rate notes due 2022. On August 19, 2022, the Company repaid its 0.483% notes due 2022.</w:t>
      </w:r>
    </w:p>
    <w:p>
      <w:pPr>
        <w:spacing w:after="0" w:line="200" w:lineRule="exact"/>
        <w:rPr>
          <w:sz w:val="20"/>
          <w:szCs w:val="20"/>
          <w:color w:val="auto"/>
        </w:rPr>
      </w:pPr>
    </w:p>
    <w:p>
      <w:pPr>
        <w:spacing w:after="0" w:line="330" w:lineRule="exact"/>
        <w:rPr>
          <w:sz w:val="20"/>
          <w:szCs w:val="20"/>
          <w:color w:val="auto"/>
        </w:rPr>
      </w:pPr>
    </w:p>
    <w:p>
      <w:pPr>
        <w:ind w:left="268" w:hanging="268"/>
        <w:spacing w:after="0"/>
        <w:tabs>
          <w:tab w:leader="none" w:pos="268" w:val="left"/>
        </w:tabs>
        <w:numPr>
          <w:ilvl w:val="0"/>
          <w:numId w:val="123"/>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81" w:name="page82"/>
    <w:bookmarkEnd w:id="81"/>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92" w:lineRule="exact"/>
        <w:rPr>
          <w:sz w:val="20"/>
          <w:szCs w:val="20"/>
          <w:color w:val="auto"/>
        </w:rPr>
      </w:pPr>
    </w:p>
    <w:p>
      <w:pPr>
        <w:spacing w:after="0"/>
        <w:rPr>
          <w:sz w:val="20"/>
          <w:szCs w:val="20"/>
          <w:color w:val="auto"/>
        </w:rPr>
      </w:pPr>
      <w:r>
        <w:rPr>
          <w:rFonts w:ascii="Arial" w:cs="Arial" w:eastAsia="Arial" w:hAnsi="Arial"/>
          <w:sz w:val="19"/>
          <w:szCs w:val="19"/>
          <w:color w:val="D7282F"/>
        </w:rPr>
        <w:t>NOTE 10. LEASES</w:t>
      </w:r>
    </w:p>
    <w:p>
      <w:pPr>
        <w:spacing w:after="0" w:line="172" w:lineRule="exact"/>
        <w:rPr>
          <w:sz w:val="20"/>
          <w:szCs w:val="20"/>
          <w:color w:val="auto"/>
        </w:rPr>
      </w:pPr>
    </w:p>
    <w:p>
      <w:pPr>
        <w:jc w:val="both"/>
        <w:ind w:right="20"/>
        <w:spacing w:after="0" w:line="287" w:lineRule="auto"/>
        <w:rPr>
          <w:sz w:val="20"/>
          <w:szCs w:val="20"/>
          <w:color w:val="auto"/>
        </w:rPr>
      </w:pPr>
      <w:r>
        <w:rPr>
          <w:rFonts w:ascii="Arial" w:cs="Arial" w:eastAsia="Arial" w:hAnsi="Arial"/>
          <w:sz w:val="10"/>
          <w:szCs w:val="10"/>
          <w:color w:val="auto"/>
        </w:rPr>
        <w:t>A significant portion of the Company's operating and finance lease portfolio includes corporate offices, research and development facilities, manufacturing sites, information technology equipment, and automobiles. The majority of the Company's leases have remaining lease terms of 1 year to 20 years, some of which include options to extend the leases for 5 years or more. Operating lease ROU assets are included in Other assets. The current portion of operating lease liabilities are included in Accrued liabilities, and the non-current portion of operating lease liabilities are included in Other liabilities in the Consolidated Balance Sheet. Finance lease ROU assets are included in Property, plant and equipment—net. The current portion of finance lease liabilities are included in Current maturities of long-term debt, and the non-current portion of finance lease liabilities are included in Long-term debt in the Consolidated Balance Sheet.</w:t>
      </w:r>
    </w:p>
    <w:p>
      <w:pPr>
        <w:spacing w:after="0" w:line="35"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A portion of the Company's real estate leases are generally subject to annual changes in the Consumer Price Index (CPI). The changes to the CPI are treated as variable lease payments and recognized in the period in which the obligation for those payments was incurred. In addition, a subset of the Company's automobile leases are considered variable. The variable lease payments for such automobile leases are based on actual mileage incurred at the stated contractual rate and recognized in the period in which the obligation for those payments was incurred.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900" w:type="dxa"/>
            <w:vAlign w:val="bottom"/>
          </w:tcPr>
          <w:p>
            <w:pPr>
              <w:spacing w:after="0"/>
              <w:rPr>
                <w:sz w:val="11"/>
                <w:szCs w:val="11"/>
                <w:color w:val="auto"/>
              </w:rPr>
            </w:pPr>
          </w:p>
        </w:tc>
        <w:tc>
          <w:tcPr>
            <w:tcW w:w="2080" w:type="dxa"/>
            <w:vAlign w:val="bottom"/>
            <w:tcBorders>
              <w:bottom w:val="single" w:sz="8" w:color="D7282F"/>
            </w:tcBorders>
            <w:gridSpan w:val="3"/>
          </w:tcPr>
          <w:p>
            <w:pPr>
              <w:jc w:val="right"/>
              <w:ind w:right="212"/>
              <w:spacing w:after="0"/>
              <w:rPr>
                <w:sz w:val="20"/>
                <w:szCs w:val="20"/>
                <w:color w:val="auto"/>
              </w:rPr>
            </w:pPr>
            <w:r>
              <w:rPr>
                <w:rFonts w:ascii="Arial" w:cs="Arial" w:eastAsia="Arial" w:hAnsi="Arial"/>
                <w:sz w:val="10"/>
                <w:szCs w:val="10"/>
                <w:b w:val="1"/>
                <w:bCs w:val="1"/>
                <w:color w:val="auto"/>
              </w:rPr>
              <w:t>Years Ended December 31,</w:t>
            </w:r>
          </w:p>
        </w:tc>
        <w:tc>
          <w:tcPr>
            <w:tcW w:w="320" w:type="dxa"/>
            <w:vAlign w:val="bottom"/>
            <w:tcBorders>
              <w:bottom w:val="single" w:sz="8" w:color="D7282F"/>
            </w:tcBorders>
          </w:tcPr>
          <w:p>
            <w:pPr>
              <w:spacing w:after="0"/>
              <w:rPr>
                <w:sz w:val="11"/>
                <w:szCs w:val="11"/>
                <w:color w:val="auto"/>
              </w:rPr>
            </w:pPr>
          </w:p>
        </w:tc>
      </w:tr>
      <w:tr>
        <w:trPr>
          <w:trHeight w:val="124"/>
        </w:trPr>
        <w:tc>
          <w:tcPr>
            <w:tcW w:w="890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2023</w:t>
            </w:r>
          </w:p>
        </w:tc>
        <w:tc>
          <w:tcPr>
            <w:tcW w:w="420" w:type="dxa"/>
            <w:vAlign w:val="bottom"/>
            <w:tcBorders>
              <w:bottom w:val="single" w:sz="8" w:color="D7282F"/>
            </w:tcBorders>
          </w:tcPr>
          <w:p>
            <w:pPr>
              <w:spacing w:after="0"/>
              <w:rPr>
                <w:sz w:val="10"/>
                <w:szCs w:val="10"/>
                <w:color w:val="auto"/>
              </w:rPr>
            </w:pPr>
          </w:p>
        </w:tc>
        <w:tc>
          <w:tcPr>
            <w:tcW w:w="9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2022</w:t>
            </w:r>
          </w:p>
        </w:tc>
        <w:tc>
          <w:tcPr>
            <w:tcW w:w="320" w:type="dxa"/>
            <w:vAlign w:val="bottom"/>
            <w:tcBorders>
              <w:bottom w:val="single" w:sz="8" w:color="D7282F"/>
            </w:tcBorders>
          </w:tcPr>
          <w:p>
            <w:pPr>
              <w:spacing w:after="0"/>
              <w:rPr>
                <w:sz w:val="10"/>
                <w:szCs w:val="10"/>
                <w:color w:val="auto"/>
              </w:rPr>
            </w:pPr>
          </w:p>
        </w:tc>
      </w:tr>
      <w:tr>
        <w:trPr>
          <w:trHeight w:val="122"/>
        </w:trPr>
        <w:tc>
          <w:tcPr>
            <w:tcW w:w="89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Operating lease cost</w:t>
            </w:r>
          </w:p>
        </w:tc>
        <w:tc>
          <w:tcPr>
            <w:tcW w:w="760" w:type="dxa"/>
            <w:vAlign w:val="bottom"/>
            <w:tcBorders>
              <w:bottom w:val="single" w:sz="8" w:color="61656A"/>
            </w:tcBorders>
          </w:tcPr>
          <w:p>
            <w:pPr>
              <w:jc w:val="right"/>
              <w:ind w:right="652"/>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239</w:t>
            </w:r>
          </w:p>
        </w:tc>
        <w:tc>
          <w:tcPr>
            <w:tcW w:w="900" w:type="dxa"/>
            <w:vAlign w:val="bottom"/>
            <w:tcBorders>
              <w:bottom w:val="single" w:sz="8" w:color="61656A"/>
            </w:tcBorders>
          </w:tcPr>
          <w:p>
            <w:pPr>
              <w:jc w:val="right"/>
              <w:ind w:right="652"/>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224</w:t>
            </w:r>
          </w:p>
        </w:tc>
      </w:tr>
      <w:tr>
        <w:trPr>
          <w:trHeight w:val="124"/>
        </w:trPr>
        <w:tc>
          <w:tcPr>
            <w:tcW w:w="89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Variable lease cost</w:t>
            </w:r>
          </w:p>
        </w:tc>
        <w:tc>
          <w:tcPr>
            <w:tcW w:w="76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4</w:t>
            </w:r>
          </w:p>
        </w:tc>
        <w:tc>
          <w:tcPr>
            <w:tcW w:w="90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8</w:t>
            </w:r>
          </w:p>
        </w:tc>
      </w:tr>
      <w:tr>
        <w:trPr>
          <w:trHeight w:val="124"/>
        </w:trPr>
        <w:tc>
          <w:tcPr>
            <w:tcW w:w="89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Short-term lease cost</w:t>
            </w:r>
          </w:p>
        </w:tc>
        <w:tc>
          <w:tcPr>
            <w:tcW w:w="76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13</w:t>
            </w:r>
          </w:p>
        </w:tc>
        <w:tc>
          <w:tcPr>
            <w:tcW w:w="90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18</w:t>
            </w:r>
          </w:p>
        </w:tc>
      </w:tr>
      <w:tr>
        <w:trPr>
          <w:trHeight w:val="126"/>
        </w:trPr>
        <w:tc>
          <w:tcPr>
            <w:tcW w:w="890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Finance lease cost</w:t>
            </w:r>
          </w:p>
        </w:tc>
        <w:tc>
          <w:tcPr>
            <w:tcW w:w="76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spacing w:after="0"/>
              <w:rPr>
                <w:sz w:val="10"/>
                <w:szCs w:val="10"/>
                <w:color w:val="auto"/>
              </w:rPr>
            </w:pPr>
          </w:p>
        </w:tc>
        <w:tc>
          <w:tcPr>
            <w:tcW w:w="90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spacing w:after="0"/>
              <w:rPr>
                <w:sz w:val="10"/>
                <w:szCs w:val="10"/>
                <w:color w:val="auto"/>
              </w:rPr>
            </w:pPr>
          </w:p>
        </w:tc>
      </w:tr>
      <w:tr>
        <w:trPr>
          <w:trHeight w:val="122"/>
        </w:trPr>
        <w:tc>
          <w:tcPr>
            <w:tcW w:w="89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Amortization of right-of-use assets</w:t>
            </w:r>
          </w:p>
        </w:tc>
        <w:tc>
          <w:tcPr>
            <w:tcW w:w="76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74</w:t>
            </w:r>
          </w:p>
        </w:tc>
        <w:tc>
          <w:tcPr>
            <w:tcW w:w="90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72</w:t>
            </w:r>
          </w:p>
        </w:tc>
      </w:tr>
      <w:tr>
        <w:trPr>
          <w:trHeight w:val="124"/>
        </w:trPr>
        <w:tc>
          <w:tcPr>
            <w:tcW w:w="890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Interest on lease liability</w:t>
            </w:r>
          </w:p>
        </w:tc>
        <w:tc>
          <w:tcPr>
            <w:tcW w:w="76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19</w:t>
            </w:r>
          </w:p>
        </w:tc>
        <w:tc>
          <w:tcPr>
            <w:tcW w:w="90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21</w:t>
            </w:r>
          </w:p>
        </w:tc>
      </w:tr>
      <w:tr>
        <w:trPr>
          <w:trHeight w:val="126"/>
        </w:trPr>
        <w:tc>
          <w:tcPr>
            <w:tcW w:w="890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finance lease cost</w:t>
            </w:r>
          </w:p>
        </w:tc>
        <w:tc>
          <w:tcPr>
            <w:tcW w:w="76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93</w:t>
            </w:r>
          </w:p>
        </w:tc>
        <w:tc>
          <w:tcPr>
            <w:tcW w:w="90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93</w:t>
            </w:r>
          </w:p>
        </w:tc>
      </w:tr>
      <w:tr>
        <w:trPr>
          <w:trHeight w:val="124"/>
        </w:trPr>
        <w:tc>
          <w:tcPr>
            <w:tcW w:w="8900" w:type="dxa"/>
            <w:vAlign w:val="bottom"/>
            <w:tcBorders>
              <w:bottom w:val="single" w:sz="8" w:color="D7282F"/>
            </w:tcBorders>
          </w:tcPr>
          <w:p>
            <w:pPr>
              <w:ind w:left="220"/>
              <w:spacing w:after="0"/>
              <w:rPr>
                <w:sz w:val="20"/>
                <w:szCs w:val="20"/>
                <w:color w:val="auto"/>
              </w:rPr>
            </w:pPr>
            <w:r>
              <w:rPr>
                <w:rFonts w:ascii="Arial" w:cs="Arial" w:eastAsia="Arial" w:hAnsi="Arial"/>
                <w:sz w:val="10"/>
                <w:szCs w:val="10"/>
                <w:b w:val="1"/>
                <w:bCs w:val="1"/>
                <w:color w:val="auto"/>
              </w:rPr>
              <w:t>Total lease cost</w:t>
            </w:r>
          </w:p>
        </w:tc>
        <w:tc>
          <w:tcPr>
            <w:tcW w:w="760" w:type="dxa"/>
            <w:vAlign w:val="bottom"/>
            <w:tcBorders>
              <w:bottom w:val="single" w:sz="8" w:color="D7282F"/>
            </w:tcBorders>
          </w:tcPr>
          <w:p>
            <w:pPr>
              <w:jc w:val="right"/>
              <w:ind w:right="652"/>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349</w:t>
            </w:r>
          </w:p>
        </w:tc>
        <w:tc>
          <w:tcPr>
            <w:tcW w:w="900" w:type="dxa"/>
            <w:vAlign w:val="bottom"/>
            <w:tcBorders>
              <w:bottom w:val="single" w:sz="8" w:color="D7282F"/>
            </w:tcBorders>
          </w:tcPr>
          <w:p>
            <w:pPr>
              <w:jc w:val="right"/>
              <w:ind w:right="652"/>
              <w:spacing w:after="0"/>
              <w:rPr>
                <w:sz w:val="20"/>
                <w:szCs w:val="20"/>
                <w:color w:val="auto"/>
              </w:rPr>
            </w:pPr>
            <w:r>
              <w:rPr>
                <w:rFonts w:ascii="Arial" w:cs="Arial" w:eastAsia="Arial" w:hAnsi="Arial"/>
                <w:sz w:val="10"/>
                <w:szCs w:val="10"/>
                <w:b w:val="1"/>
                <w:bCs w:val="1"/>
                <w:color w:val="auto"/>
              </w:rPr>
              <w:t>$</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343</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1"/>
          <w:szCs w:val="11"/>
          <w:color w:val="auto"/>
        </w:rPr>
        <w:t>Supplemental cash flow information related to leases was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900" w:type="dxa"/>
            <w:vAlign w:val="bottom"/>
          </w:tcPr>
          <w:p>
            <w:pPr>
              <w:spacing w:after="0"/>
              <w:rPr>
                <w:sz w:val="11"/>
                <w:szCs w:val="11"/>
                <w:color w:val="auto"/>
              </w:rPr>
            </w:pPr>
          </w:p>
        </w:tc>
        <w:tc>
          <w:tcPr>
            <w:tcW w:w="2080" w:type="dxa"/>
            <w:vAlign w:val="bottom"/>
            <w:tcBorders>
              <w:bottom w:val="single" w:sz="8" w:color="D7282F"/>
            </w:tcBorders>
            <w:gridSpan w:val="3"/>
          </w:tcPr>
          <w:p>
            <w:pPr>
              <w:jc w:val="right"/>
              <w:ind w:right="212"/>
              <w:spacing w:after="0"/>
              <w:rPr>
                <w:sz w:val="20"/>
                <w:szCs w:val="20"/>
                <w:color w:val="auto"/>
              </w:rPr>
            </w:pPr>
            <w:r>
              <w:rPr>
                <w:rFonts w:ascii="Arial" w:cs="Arial" w:eastAsia="Arial" w:hAnsi="Arial"/>
                <w:sz w:val="10"/>
                <w:szCs w:val="10"/>
                <w:b w:val="1"/>
                <w:bCs w:val="1"/>
                <w:color w:val="auto"/>
              </w:rPr>
              <w:t>Years Ended December 31,</w:t>
            </w:r>
          </w:p>
        </w:tc>
        <w:tc>
          <w:tcPr>
            <w:tcW w:w="320" w:type="dxa"/>
            <w:vAlign w:val="bottom"/>
            <w:tcBorders>
              <w:bottom w:val="single" w:sz="8" w:color="D7282F"/>
            </w:tcBorders>
          </w:tcPr>
          <w:p>
            <w:pPr>
              <w:spacing w:after="0"/>
              <w:rPr>
                <w:sz w:val="11"/>
                <w:szCs w:val="11"/>
                <w:color w:val="auto"/>
              </w:rPr>
            </w:pPr>
          </w:p>
        </w:tc>
      </w:tr>
      <w:tr>
        <w:trPr>
          <w:trHeight w:val="124"/>
        </w:trPr>
        <w:tc>
          <w:tcPr>
            <w:tcW w:w="890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2023</w:t>
            </w:r>
          </w:p>
        </w:tc>
        <w:tc>
          <w:tcPr>
            <w:tcW w:w="420" w:type="dxa"/>
            <w:vAlign w:val="bottom"/>
            <w:tcBorders>
              <w:bottom w:val="single" w:sz="8" w:color="D7282F"/>
            </w:tcBorders>
          </w:tcPr>
          <w:p>
            <w:pPr>
              <w:spacing w:after="0"/>
              <w:rPr>
                <w:sz w:val="10"/>
                <w:szCs w:val="10"/>
                <w:color w:val="auto"/>
              </w:rPr>
            </w:pPr>
          </w:p>
        </w:tc>
        <w:tc>
          <w:tcPr>
            <w:tcW w:w="9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2022</w:t>
            </w:r>
          </w:p>
        </w:tc>
        <w:tc>
          <w:tcPr>
            <w:tcW w:w="320" w:type="dxa"/>
            <w:vAlign w:val="bottom"/>
            <w:tcBorders>
              <w:bottom w:val="single" w:sz="8" w:color="D7282F"/>
            </w:tcBorders>
          </w:tcPr>
          <w:p>
            <w:pPr>
              <w:spacing w:after="0"/>
              <w:rPr>
                <w:sz w:val="10"/>
                <w:szCs w:val="10"/>
                <w:color w:val="auto"/>
              </w:rPr>
            </w:pPr>
          </w:p>
        </w:tc>
      </w:tr>
      <w:tr>
        <w:trPr>
          <w:trHeight w:val="124"/>
        </w:trPr>
        <w:tc>
          <w:tcPr>
            <w:tcW w:w="890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Cash paid for amounts included in the measurement of lease liabilities</w:t>
            </w:r>
          </w:p>
        </w:tc>
        <w:tc>
          <w:tcPr>
            <w:tcW w:w="76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spacing w:after="0"/>
              <w:rPr>
                <w:sz w:val="10"/>
                <w:szCs w:val="10"/>
                <w:color w:val="auto"/>
              </w:rPr>
            </w:pPr>
          </w:p>
        </w:tc>
        <w:tc>
          <w:tcPr>
            <w:tcW w:w="90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spacing w:after="0"/>
              <w:rPr>
                <w:sz w:val="10"/>
                <w:szCs w:val="10"/>
                <w:color w:val="auto"/>
              </w:rPr>
            </w:pPr>
          </w:p>
        </w:tc>
      </w:tr>
      <w:tr>
        <w:trPr>
          <w:trHeight w:val="122"/>
        </w:trPr>
        <w:tc>
          <w:tcPr>
            <w:tcW w:w="89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Operating cash flows for operating leases</w:t>
            </w:r>
          </w:p>
        </w:tc>
        <w:tc>
          <w:tcPr>
            <w:tcW w:w="760" w:type="dxa"/>
            <w:vAlign w:val="bottom"/>
            <w:tcBorders>
              <w:bottom w:val="single" w:sz="8" w:color="61656A"/>
            </w:tcBorders>
          </w:tcPr>
          <w:p>
            <w:pPr>
              <w:jc w:val="right"/>
              <w:ind w:right="652"/>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237</w:t>
            </w:r>
          </w:p>
        </w:tc>
        <w:tc>
          <w:tcPr>
            <w:tcW w:w="900" w:type="dxa"/>
            <w:vAlign w:val="bottom"/>
            <w:tcBorders>
              <w:bottom w:val="single" w:sz="8" w:color="61656A"/>
            </w:tcBorders>
          </w:tcPr>
          <w:p>
            <w:pPr>
              <w:jc w:val="right"/>
              <w:ind w:right="652"/>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225</w:t>
            </w:r>
          </w:p>
        </w:tc>
      </w:tr>
      <w:tr>
        <w:trPr>
          <w:trHeight w:val="124"/>
        </w:trPr>
        <w:tc>
          <w:tcPr>
            <w:tcW w:w="89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Operating cash flows for finance leases</w:t>
            </w:r>
          </w:p>
        </w:tc>
        <w:tc>
          <w:tcPr>
            <w:tcW w:w="76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19</w:t>
            </w:r>
          </w:p>
        </w:tc>
        <w:tc>
          <w:tcPr>
            <w:tcW w:w="90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21</w:t>
            </w:r>
          </w:p>
        </w:tc>
      </w:tr>
      <w:tr>
        <w:trPr>
          <w:trHeight w:val="124"/>
        </w:trPr>
        <w:tc>
          <w:tcPr>
            <w:tcW w:w="89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Financing cash flows for finance leases</w:t>
            </w:r>
          </w:p>
        </w:tc>
        <w:tc>
          <w:tcPr>
            <w:tcW w:w="76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87</w:t>
            </w:r>
          </w:p>
        </w:tc>
        <w:tc>
          <w:tcPr>
            <w:tcW w:w="90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79</w:t>
            </w:r>
          </w:p>
        </w:tc>
      </w:tr>
      <w:tr>
        <w:trPr>
          <w:trHeight w:val="126"/>
        </w:trPr>
        <w:tc>
          <w:tcPr>
            <w:tcW w:w="890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Right-of-use assets obtained in exchange for lease obligations</w:t>
            </w:r>
          </w:p>
        </w:tc>
        <w:tc>
          <w:tcPr>
            <w:tcW w:w="76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spacing w:after="0"/>
              <w:rPr>
                <w:sz w:val="10"/>
                <w:szCs w:val="10"/>
                <w:color w:val="auto"/>
              </w:rPr>
            </w:pPr>
          </w:p>
        </w:tc>
        <w:tc>
          <w:tcPr>
            <w:tcW w:w="90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spacing w:after="0"/>
              <w:rPr>
                <w:sz w:val="10"/>
                <w:szCs w:val="10"/>
                <w:color w:val="auto"/>
              </w:rPr>
            </w:pPr>
          </w:p>
        </w:tc>
      </w:tr>
      <w:tr>
        <w:trPr>
          <w:trHeight w:val="122"/>
        </w:trPr>
        <w:tc>
          <w:tcPr>
            <w:tcW w:w="89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Operating leases</w:t>
            </w:r>
          </w:p>
        </w:tc>
        <w:tc>
          <w:tcPr>
            <w:tcW w:w="760" w:type="dxa"/>
            <w:vAlign w:val="bottom"/>
            <w:tcBorders>
              <w:bottom w:val="single" w:sz="8" w:color="61656A"/>
            </w:tcBorders>
          </w:tcPr>
          <w:p>
            <w:pPr>
              <w:jc w:val="right"/>
              <w:ind w:right="652"/>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339</w:t>
            </w:r>
          </w:p>
        </w:tc>
        <w:tc>
          <w:tcPr>
            <w:tcW w:w="900" w:type="dxa"/>
            <w:vAlign w:val="bottom"/>
            <w:tcBorders>
              <w:bottom w:val="single" w:sz="8" w:color="61656A"/>
            </w:tcBorders>
          </w:tcPr>
          <w:p>
            <w:pPr>
              <w:jc w:val="right"/>
              <w:ind w:right="652"/>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251</w:t>
            </w:r>
          </w:p>
        </w:tc>
      </w:tr>
      <w:tr>
        <w:trPr>
          <w:trHeight w:val="124"/>
        </w:trPr>
        <w:tc>
          <w:tcPr>
            <w:tcW w:w="890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Finance leases</w:t>
            </w:r>
          </w:p>
        </w:tc>
        <w:tc>
          <w:tcPr>
            <w:tcW w:w="76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42</w:t>
            </w:r>
          </w:p>
        </w:tc>
        <w:tc>
          <w:tcPr>
            <w:tcW w:w="90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61</w:t>
            </w:r>
          </w:p>
        </w:tc>
      </w:tr>
    </w:tbl>
    <w:p>
      <w:pPr>
        <w:spacing w:after="0" w:line="329"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D7282F"/>
        </w:rPr>
        <w:t>80</w:t>
      </w:r>
      <w:r>
        <w:rPr>
          <w:sz w:val="20"/>
          <w:szCs w:val="20"/>
          <w:color w:val="auto"/>
        </w:rPr>
        <w:tab/>
      </w:r>
      <w:r>
        <w:rPr>
          <w:rFonts w:ascii="Arial" w:cs="Arial" w:eastAsia="Arial" w:hAnsi="Arial"/>
          <w:sz w:val="8"/>
          <w:szCs w:val="8"/>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90805</wp:posOffset>
            </wp:positionV>
            <wp:extent cx="7203440"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82" w:name="page83"/>
    <w:bookmarkEnd w:id="82"/>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spacing w:after="0"/>
        <w:rPr>
          <w:sz w:val="20"/>
          <w:szCs w:val="20"/>
          <w:color w:val="auto"/>
        </w:rPr>
      </w:pPr>
      <w:r>
        <w:rPr>
          <w:rFonts w:ascii="Arial" w:cs="Arial" w:eastAsia="Arial" w:hAnsi="Arial"/>
          <w:sz w:val="11"/>
          <w:szCs w:val="11"/>
          <w:color w:val="auto"/>
        </w:rPr>
        <w:t>Supplemental balance sheet information related to leases was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760" w:type="dxa"/>
            <w:vAlign w:val="bottom"/>
          </w:tcPr>
          <w:p>
            <w:pPr>
              <w:spacing w:after="0"/>
              <w:rPr>
                <w:sz w:val="11"/>
                <w:szCs w:val="11"/>
                <w:color w:val="auto"/>
              </w:rPr>
            </w:pPr>
          </w:p>
        </w:tc>
        <w:tc>
          <w:tcPr>
            <w:tcW w:w="740" w:type="dxa"/>
            <w:vAlign w:val="bottom"/>
            <w:tcBorders>
              <w:bottom w:val="single" w:sz="8" w:color="D7282F"/>
            </w:tcBorders>
          </w:tcPr>
          <w:p>
            <w:pPr>
              <w:spacing w:after="0"/>
              <w:rPr>
                <w:sz w:val="11"/>
                <w:szCs w:val="11"/>
                <w:color w:val="auto"/>
              </w:rPr>
            </w:pPr>
          </w:p>
        </w:tc>
        <w:tc>
          <w:tcPr>
            <w:tcW w:w="980" w:type="dxa"/>
            <w:vAlign w:val="bottom"/>
            <w:tcBorders>
              <w:bottom w:val="single" w:sz="8" w:color="D7282F"/>
            </w:tcBorders>
            <w:gridSpan w:val="2"/>
          </w:tcPr>
          <w:p>
            <w:pPr>
              <w:jc w:val="right"/>
              <w:ind w:right="92"/>
              <w:spacing w:after="0"/>
              <w:rPr>
                <w:sz w:val="20"/>
                <w:szCs w:val="20"/>
                <w:color w:val="auto"/>
              </w:rPr>
            </w:pPr>
            <w:r>
              <w:rPr>
                <w:rFonts w:ascii="Arial" w:cs="Arial" w:eastAsia="Arial" w:hAnsi="Arial"/>
                <w:sz w:val="10"/>
                <w:szCs w:val="10"/>
                <w:b w:val="1"/>
                <w:bCs w:val="1"/>
                <w:color w:val="auto"/>
              </w:rPr>
              <w:t>December 31,</w:t>
            </w:r>
          </w:p>
        </w:tc>
        <w:tc>
          <w:tcPr>
            <w:tcW w:w="820" w:type="dxa"/>
            <w:vAlign w:val="bottom"/>
            <w:tcBorders>
              <w:bottom w:val="single" w:sz="8" w:color="D7282F"/>
            </w:tcBorders>
          </w:tcPr>
          <w:p>
            <w:pPr>
              <w:spacing w:after="0"/>
              <w:rPr>
                <w:sz w:val="11"/>
                <w:szCs w:val="11"/>
                <w:color w:val="auto"/>
              </w:rPr>
            </w:pPr>
          </w:p>
        </w:tc>
      </w:tr>
      <w:tr>
        <w:trPr>
          <w:trHeight w:val="124"/>
        </w:trPr>
        <w:tc>
          <w:tcPr>
            <w:tcW w:w="876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2023</w:t>
            </w:r>
          </w:p>
        </w:tc>
        <w:tc>
          <w:tcPr>
            <w:tcW w:w="42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432"/>
              <w:spacing w:after="0"/>
              <w:rPr>
                <w:sz w:val="20"/>
                <w:szCs w:val="20"/>
                <w:color w:val="auto"/>
              </w:rPr>
            </w:pPr>
            <w:r>
              <w:rPr>
                <w:rFonts w:ascii="Arial" w:cs="Arial" w:eastAsia="Arial" w:hAnsi="Arial"/>
                <w:sz w:val="10"/>
                <w:szCs w:val="10"/>
                <w:b w:val="1"/>
                <w:bCs w:val="1"/>
                <w:color w:val="auto"/>
              </w:rPr>
              <w:t>2022</w:t>
            </w:r>
          </w:p>
        </w:tc>
      </w:tr>
      <w:tr>
        <w:trPr>
          <w:trHeight w:val="124"/>
        </w:trPr>
        <w:tc>
          <w:tcPr>
            <w:tcW w:w="876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Operating leases</w:t>
            </w:r>
          </w:p>
        </w:tc>
        <w:tc>
          <w:tcPr>
            <w:tcW w:w="74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spacing w:after="0"/>
              <w:rPr>
                <w:sz w:val="10"/>
                <w:szCs w:val="10"/>
                <w:color w:val="auto"/>
              </w:rPr>
            </w:pPr>
          </w:p>
        </w:tc>
      </w:tr>
      <w:tr>
        <w:trPr>
          <w:trHeight w:val="122"/>
        </w:trPr>
        <w:tc>
          <w:tcPr>
            <w:tcW w:w="876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Other assets</w:t>
            </w:r>
          </w:p>
        </w:tc>
        <w:tc>
          <w:tcPr>
            <w:tcW w:w="740" w:type="dxa"/>
            <w:vAlign w:val="bottom"/>
            <w:tcBorders>
              <w:bottom w:val="single" w:sz="8" w:color="61656A"/>
            </w:tcBorders>
          </w:tcPr>
          <w:p>
            <w:pPr>
              <w:jc w:val="right"/>
              <w:ind w:right="632"/>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1,004</w:t>
            </w:r>
          </w:p>
        </w:tc>
        <w:tc>
          <w:tcPr>
            <w:tcW w:w="56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881</w:t>
            </w:r>
          </w:p>
        </w:tc>
      </w:tr>
      <w:tr>
        <w:trPr>
          <w:trHeight w:val="124"/>
        </w:trPr>
        <w:tc>
          <w:tcPr>
            <w:tcW w:w="876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Accrued liabilities</w:t>
            </w:r>
          </w:p>
        </w:tc>
        <w:tc>
          <w:tcPr>
            <w:tcW w:w="7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196</w:t>
            </w:r>
          </w:p>
        </w:tc>
        <w:tc>
          <w:tcPr>
            <w:tcW w:w="56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192</w:t>
            </w:r>
          </w:p>
        </w:tc>
      </w:tr>
      <w:tr>
        <w:trPr>
          <w:trHeight w:val="121"/>
        </w:trPr>
        <w:tc>
          <w:tcPr>
            <w:tcW w:w="8760" w:type="dxa"/>
            <w:vAlign w:val="bottom"/>
          </w:tcPr>
          <w:p>
            <w:pPr>
              <w:ind w:left="80"/>
              <w:spacing w:after="0"/>
              <w:rPr>
                <w:sz w:val="20"/>
                <w:szCs w:val="20"/>
                <w:color w:val="auto"/>
              </w:rPr>
            </w:pPr>
            <w:r>
              <w:rPr>
                <w:rFonts w:ascii="Arial" w:cs="Arial" w:eastAsia="Arial" w:hAnsi="Arial"/>
                <w:sz w:val="10"/>
                <w:szCs w:val="10"/>
                <w:color w:val="auto"/>
              </w:rPr>
              <w:t>Other liabilities</w:t>
            </w:r>
          </w:p>
        </w:tc>
        <w:tc>
          <w:tcPr>
            <w:tcW w:w="74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Arial" w:cs="Arial" w:eastAsia="Arial" w:hAnsi="Arial"/>
                <w:sz w:val="10"/>
                <w:szCs w:val="10"/>
                <w:color w:val="auto"/>
              </w:rPr>
              <w:t>897</w:t>
            </w:r>
          </w:p>
        </w:tc>
        <w:tc>
          <w:tcPr>
            <w:tcW w:w="560" w:type="dxa"/>
            <w:vAlign w:val="bottom"/>
          </w:tcPr>
          <w:p>
            <w:pPr>
              <w:spacing w:after="0"/>
              <w:rPr>
                <w:sz w:val="10"/>
                <w:szCs w:val="10"/>
                <w:color w:val="auto"/>
              </w:rPr>
            </w:pPr>
          </w:p>
        </w:tc>
        <w:tc>
          <w:tcPr>
            <w:tcW w:w="820" w:type="dxa"/>
            <w:vAlign w:val="bottom"/>
          </w:tcPr>
          <w:p>
            <w:pPr>
              <w:jc w:val="right"/>
              <w:ind w:right="72"/>
              <w:spacing w:after="0"/>
              <w:rPr>
                <w:sz w:val="20"/>
                <w:szCs w:val="20"/>
                <w:color w:val="auto"/>
              </w:rPr>
            </w:pPr>
            <w:r>
              <w:rPr>
                <w:rFonts w:ascii="Arial" w:cs="Arial" w:eastAsia="Arial" w:hAnsi="Arial"/>
                <w:sz w:val="10"/>
                <w:szCs w:val="10"/>
                <w:color w:val="auto"/>
              </w:rPr>
              <w:t>775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5280" w:type="dxa"/>
            <w:vAlign w:val="bottom"/>
            <w:tcBorders>
              <w:top w:val="single" w:sz="8" w:color="D7282F"/>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operating lease liabilities</w:t>
            </w:r>
          </w:p>
        </w:tc>
        <w:tc>
          <w:tcPr>
            <w:tcW w:w="3900" w:type="dxa"/>
            <w:vAlign w:val="bottom"/>
            <w:tcBorders>
              <w:top w:val="single" w:sz="8" w:color="D7282F"/>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840" w:type="dxa"/>
            <w:vAlign w:val="bottom"/>
            <w:tcBorders>
              <w:top w:val="single" w:sz="8" w:color="D7282F"/>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1,093</w:t>
            </w:r>
          </w:p>
        </w:tc>
        <w:tc>
          <w:tcPr>
            <w:tcW w:w="560" w:type="dxa"/>
            <w:vAlign w:val="bottom"/>
            <w:tcBorders>
              <w:top w:val="single" w:sz="8" w:color="D7282F"/>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w:t>
            </w:r>
          </w:p>
        </w:tc>
        <w:tc>
          <w:tcPr>
            <w:tcW w:w="720" w:type="dxa"/>
            <w:vAlign w:val="bottom"/>
            <w:tcBorders>
              <w:top w:val="single" w:sz="8" w:color="D7282F"/>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967</w:t>
            </w:r>
          </w:p>
        </w:tc>
      </w:tr>
      <w:tr>
        <w:trPr>
          <w:trHeight w:val="123"/>
        </w:trPr>
        <w:tc>
          <w:tcPr>
            <w:tcW w:w="528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Finance leases</w:t>
            </w:r>
          </w:p>
        </w:tc>
        <w:tc>
          <w:tcPr>
            <w:tcW w:w="3900" w:type="dxa"/>
            <w:vAlign w:val="bottom"/>
            <w:tcBorders>
              <w:bottom w:val="single" w:sz="8" w:color="888B8D"/>
            </w:tcBorders>
          </w:tcPr>
          <w:p>
            <w:pPr>
              <w:spacing w:after="0"/>
              <w:rPr>
                <w:sz w:val="10"/>
                <w:szCs w:val="10"/>
                <w:color w:val="auto"/>
              </w:rPr>
            </w:pPr>
          </w:p>
        </w:tc>
        <w:tc>
          <w:tcPr>
            <w:tcW w:w="84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720" w:type="dxa"/>
            <w:vAlign w:val="bottom"/>
            <w:tcBorders>
              <w:bottom w:val="single" w:sz="8" w:color="888B8D"/>
            </w:tcBorders>
          </w:tcPr>
          <w:p>
            <w:pPr>
              <w:spacing w:after="0"/>
              <w:rPr>
                <w:sz w:val="10"/>
                <w:szCs w:val="10"/>
                <w:color w:val="auto"/>
              </w:rPr>
            </w:pPr>
          </w:p>
        </w:tc>
      </w:tr>
      <w:tr>
        <w:trPr>
          <w:trHeight w:val="122"/>
        </w:trPr>
        <w:tc>
          <w:tcPr>
            <w:tcW w:w="52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Property, plant and equipment</w:t>
            </w:r>
          </w:p>
        </w:tc>
        <w:tc>
          <w:tcPr>
            <w:tcW w:w="3900" w:type="dxa"/>
            <w:vAlign w:val="bottom"/>
            <w:tcBorders>
              <w:bottom w:val="single" w:sz="8" w:color="888B8D"/>
            </w:tcBorders>
          </w:tcPr>
          <w:p>
            <w:pPr>
              <w:jc w:val="right"/>
              <w:ind w:right="3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402</w:t>
            </w:r>
          </w:p>
        </w:tc>
        <w:tc>
          <w:tcPr>
            <w:tcW w:w="560" w:type="dxa"/>
            <w:vAlign w:val="bottom"/>
            <w:tcBorders>
              <w:bottom w:val="single" w:sz="8" w:color="888B8D"/>
            </w:tcBorders>
          </w:tcPr>
          <w:p>
            <w:pPr>
              <w:jc w:val="right"/>
              <w:ind w:right="332"/>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383</w:t>
            </w:r>
          </w:p>
        </w:tc>
      </w:tr>
      <w:tr>
        <w:trPr>
          <w:trHeight w:val="124"/>
        </w:trPr>
        <w:tc>
          <w:tcPr>
            <w:tcW w:w="52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Accumulated depreciation</w:t>
            </w:r>
          </w:p>
        </w:tc>
        <w:tc>
          <w:tcPr>
            <w:tcW w:w="390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(204)</w:t>
            </w:r>
          </w:p>
        </w:tc>
        <w:tc>
          <w:tcPr>
            <w:tcW w:w="560" w:type="dxa"/>
            <w:vAlign w:val="bottom"/>
            <w:tcBorders>
              <w:bottom w:val="single" w:sz="8" w:color="D7282F"/>
            </w:tcBorders>
          </w:tcPr>
          <w:p>
            <w:pPr>
              <w:spacing w:after="0"/>
              <w:rPr>
                <w:sz w:val="10"/>
                <w:szCs w:val="10"/>
                <w:color w:val="auto"/>
              </w:rPr>
            </w:pPr>
          </w:p>
        </w:tc>
        <w:tc>
          <w:tcPr>
            <w:tcW w:w="72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color w:val="auto"/>
              </w:rPr>
              <w:t>(161)</w:t>
            </w:r>
          </w:p>
        </w:tc>
      </w:tr>
      <w:tr>
        <w:trPr>
          <w:trHeight w:val="126"/>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Property, plant and equipment—net</w:t>
            </w:r>
          </w:p>
        </w:tc>
        <w:tc>
          <w:tcPr>
            <w:tcW w:w="390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198</w:t>
            </w:r>
          </w:p>
        </w:tc>
        <w:tc>
          <w:tcPr>
            <w:tcW w:w="5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w:t>
            </w:r>
          </w:p>
        </w:tc>
        <w:tc>
          <w:tcPr>
            <w:tcW w:w="7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222</w:t>
            </w:r>
          </w:p>
        </w:tc>
      </w:tr>
      <w:tr>
        <w:trPr>
          <w:trHeight w:val="122"/>
        </w:trPr>
        <w:tc>
          <w:tcPr>
            <w:tcW w:w="5280" w:type="dxa"/>
            <w:vAlign w:val="bottom"/>
            <w:tcBorders>
              <w:bottom w:val="single" w:sz="8" w:color="888B8D"/>
            </w:tcBorders>
          </w:tcPr>
          <w:p>
            <w:pPr>
              <w:ind w:left="60"/>
              <w:spacing w:after="0"/>
              <w:rPr>
                <w:sz w:val="20"/>
                <w:szCs w:val="20"/>
                <w:color w:val="auto"/>
              </w:rPr>
            </w:pPr>
            <w:r>
              <w:rPr>
                <w:rFonts w:ascii="Arial" w:cs="Arial" w:eastAsia="Arial" w:hAnsi="Arial"/>
                <w:sz w:val="10"/>
                <w:szCs w:val="10"/>
                <w:color w:val="auto"/>
              </w:rPr>
              <w:t>Current maturities of long-term debt</w:t>
            </w:r>
          </w:p>
        </w:tc>
        <w:tc>
          <w:tcPr>
            <w:tcW w:w="3900" w:type="dxa"/>
            <w:vAlign w:val="bottom"/>
            <w:tcBorders>
              <w:bottom w:val="single" w:sz="8" w:color="888B8D"/>
            </w:tcBorders>
          </w:tcPr>
          <w:p>
            <w:pPr>
              <w:jc w:val="right"/>
              <w:ind w:right="3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86</w:t>
            </w:r>
          </w:p>
        </w:tc>
        <w:tc>
          <w:tcPr>
            <w:tcW w:w="560" w:type="dxa"/>
            <w:vAlign w:val="bottom"/>
            <w:tcBorders>
              <w:bottom w:val="single" w:sz="8" w:color="888B8D"/>
            </w:tcBorders>
          </w:tcPr>
          <w:p>
            <w:pPr>
              <w:jc w:val="right"/>
              <w:ind w:right="332"/>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77</w:t>
            </w:r>
          </w:p>
        </w:tc>
      </w:tr>
      <w:tr>
        <w:trPr>
          <w:trHeight w:val="124"/>
        </w:trPr>
        <w:tc>
          <w:tcPr>
            <w:tcW w:w="5280" w:type="dxa"/>
            <w:vAlign w:val="bottom"/>
            <w:tcBorders>
              <w:bottom w:val="single" w:sz="8" w:color="D7282F"/>
            </w:tcBorders>
          </w:tcPr>
          <w:p>
            <w:pPr>
              <w:ind w:left="60"/>
              <w:spacing w:after="0"/>
              <w:rPr>
                <w:sz w:val="20"/>
                <w:szCs w:val="20"/>
                <w:color w:val="auto"/>
              </w:rPr>
            </w:pPr>
            <w:r>
              <w:rPr>
                <w:rFonts w:ascii="Arial" w:cs="Arial" w:eastAsia="Arial" w:hAnsi="Arial"/>
                <w:sz w:val="10"/>
                <w:szCs w:val="10"/>
                <w:color w:val="auto"/>
              </w:rPr>
              <w:t>Long-term debt</w:t>
            </w:r>
          </w:p>
        </w:tc>
        <w:tc>
          <w:tcPr>
            <w:tcW w:w="390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99</w:t>
            </w:r>
          </w:p>
        </w:tc>
        <w:tc>
          <w:tcPr>
            <w:tcW w:w="560" w:type="dxa"/>
            <w:vAlign w:val="bottom"/>
            <w:tcBorders>
              <w:bottom w:val="single" w:sz="8" w:color="D7282F"/>
            </w:tcBorders>
          </w:tcPr>
          <w:p>
            <w:pPr>
              <w:spacing w:after="0"/>
              <w:rPr>
                <w:sz w:val="10"/>
                <w:szCs w:val="10"/>
                <w:color w:val="auto"/>
              </w:rPr>
            </w:pPr>
          </w:p>
        </w:tc>
        <w:tc>
          <w:tcPr>
            <w:tcW w:w="7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145</w:t>
            </w:r>
          </w:p>
        </w:tc>
      </w:tr>
      <w:tr>
        <w:trPr>
          <w:trHeight w:val="126"/>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finance lease liabilities</w:t>
            </w:r>
          </w:p>
        </w:tc>
        <w:tc>
          <w:tcPr>
            <w:tcW w:w="390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185</w:t>
            </w:r>
          </w:p>
        </w:tc>
        <w:tc>
          <w:tcPr>
            <w:tcW w:w="5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w:t>
            </w:r>
          </w:p>
        </w:tc>
        <w:tc>
          <w:tcPr>
            <w:tcW w:w="7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222</w:t>
            </w:r>
          </w:p>
        </w:tc>
      </w:tr>
      <w:tr>
        <w:trPr>
          <w:trHeight w:val="124"/>
        </w:trPr>
        <w:tc>
          <w:tcPr>
            <w:tcW w:w="528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Weighted average remaining lease term</w:t>
            </w:r>
          </w:p>
        </w:tc>
        <w:tc>
          <w:tcPr>
            <w:tcW w:w="390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spacing w:after="0"/>
              <w:rPr>
                <w:sz w:val="10"/>
                <w:szCs w:val="10"/>
                <w:color w:val="auto"/>
              </w:rPr>
            </w:pPr>
          </w:p>
        </w:tc>
        <w:tc>
          <w:tcPr>
            <w:tcW w:w="560" w:type="dxa"/>
            <w:vAlign w:val="bottom"/>
            <w:tcBorders>
              <w:bottom w:val="single" w:sz="8" w:color="61656A"/>
            </w:tcBorders>
          </w:tcPr>
          <w:p>
            <w:pPr>
              <w:spacing w:after="0"/>
              <w:rPr>
                <w:sz w:val="10"/>
                <w:szCs w:val="10"/>
                <w:color w:val="auto"/>
              </w:rPr>
            </w:pPr>
          </w:p>
        </w:tc>
        <w:tc>
          <w:tcPr>
            <w:tcW w:w="720" w:type="dxa"/>
            <w:vAlign w:val="bottom"/>
            <w:tcBorders>
              <w:bottom w:val="single" w:sz="8" w:color="61656A"/>
            </w:tcBorders>
          </w:tcPr>
          <w:p>
            <w:pPr>
              <w:spacing w:after="0"/>
              <w:rPr>
                <w:sz w:val="10"/>
                <w:szCs w:val="10"/>
                <w:color w:val="auto"/>
              </w:rPr>
            </w:pPr>
          </w:p>
        </w:tc>
      </w:tr>
      <w:tr>
        <w:trPr>
          <w:trHeight w:val="122"/>
        </w:trPr>
        <w:tc>
          <w:tcPr>
            <w:tcW w:w="528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Operating leases</w:t>
            </w:r>
          </w:p>
        </w:tc>
        <w:tc>
          <w:tcPr>
            <w:tcW w:w="390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9 years</w:t>
            </w:r>
          </w:p>
        </w:tc>
        <w:tc>
          <w:tcPr>
            <w:tcW w:w="560" w:type="dxa"/>
            <w:vAlign w:val="bottom"/>
            <w:tcBorders>
              <w:bottom w:val="single" w:sz="8" w:color="61656A"/>
            </w:tcBorders>
          </w:tcPr>
          <w:p>
            <w:pPr>
              <w:spacing w:after="0"/>
              <w:rPr>
                <w:sz w:val="10"/>
                <w:szCs w:val="10"/>
                <w:color w:val="auto"/>
              </w:rPr>
            </w:pPr>
          </w:p>
        </w:tc>
        <w:tc>
          <w:tcPr>
            <w:tcW w:w="7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8 years</w:t>
            </w:r>
          </w:p>
        </w:tc>
      </w:tr>
      <w:tr>
        <w:trPr>
          <w:trHeight w:val="124"/>
        </w:trPr>
        <w:tc>
          <w:tcPr>
            <w:tcW w:w="528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Finance leases</w:t>
            </w:r>
          </w:p>
        </w:tc>
        <w:tc>
          <w:tcPr>
            <w:tcW w:w="390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3 years</w:t>
            </w:r>
          </w:p>
        </w:tc>
        <w:tc>
          <w:tcPr>
            <w:tcW w:w="560" w:type="dxa"/>
            <w:vAlign w:val="bottom"/>
            <w:tcBorders>
              <w:bottom w:val="single" w:sz="8" w:color="61656A"/>
            </w:tcBorders>
          </w:tcPr>
          <w:p>
            <w:pPr>
              <w:spacing w:after="0"/>
              <w:rPr>
                <w:sz w:val="10"/>
                <w:szCs w:val="10"/>
                <w:color w:val="auto"/>
              </w:rPr>
            </w:pPr>
          </w:p>
        </w:tc>
        <w:tc>
          <w:tcPr>
            <w:tcW w:w="7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4 years</w:t>
            </w:r>
          </w:p>
        </w:tc>
      </w:tr>
      <w:tr>
        <w:trPr>
          <w:trHeight w:val="126"/>
        </w:trPr>
        <w:tc>
          <w:tcPr>
            <w:tcW w:w="528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Weighted average discount rate</w:t>
            </w:r>
          </w:p>
        </w:tc>
        <w:tc>
          <w:tcPr>
            <w:tcW w:w="3900" w:type="dxa"/>
            <w:vAlign w:val="bottom"/>
            <w:tcBorders>
              <w:bottom w:val="single" w:sz="8" w:color="888B8D"/>
            </w:tcBorders>
          </w:tcPr>
          <w:p>
            <w:pPr>
              <w:spacing w:after="0"/>
              <w:rPr>
                <w:sz w:val="10"/>
                <w:szCs w:val="10"/>
                <w:color w:val="auto"/>
              </w:rPr>
            </w:pPr>
          </w:p>
        </w:tc>
        <w:tc>
          <w:tcPr>
            <w:tcW w:w="84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720" w:type="dxa"/>
            <w:vAlign w:val="bottom"/>
            <w:tcBorders>
              <w:bottom w:val="single" w:sz="8" w:color="888B8D"/>
            </w:tcBorders>
          </w:tcPr>
          <w:p>
            <w:pPr>
              <w:spacing w:after="0"/>
              <w:rPr>
                <w:sz w:val="10"/>
                <w:szCs w:val="10"/>
                <w:color w:val="auto"/>
              </w:rPr>
            </w:pPr>
          </w:p>
        </w:tc>
      </w:tr>
      <w:tr>
        <w:trPr>
          <w:trHeight w:val="122"/>
        </w:trPr>
        <w:tc>
          <w:tcPr>
            <w:tcW w:w="52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Operating leases</w:t>
            </w:r>
          </w:p>
        </w:tc>
        <w:tc>
          <w:tcPr>
            <w:tcW w:w="3900" w:type="dxa"/>
            <w:vAlign w:val="bottom"/>
            <w:tcBorders>
              <w:bottom w:val="single" w:sz="8" w:color="888B8D"/>
            </w:tcBorders>
          </w:tcPr>
          <w:p>
            <w:pPr>
              <w:spacing w:after="0"/>
              <w:rPr>
                <w:sz w:val="10"/>
                <w:szCs w:val="10"/>
                <w:color w:val="auto"/>
              </w:rPr>
            </w:pPr>
          </w:p>
        </w:tc>
        <w:tc>
          <w:tcPr>
            <w:tcW w:w="8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3.0 %</w:t>
            </w:r>
          </w:p>
        </w:tc>
        <w:tc>
          <w:tcPr>
            <w:tcW w:w="560" w:type="dxa"/>
            <w:vAlign w:val="bottom"/>
            <w:tcBorders>
              <w:bottom w:val="single" w:sz="8" w:color="888B8D"/>
            </w:tcBorders>
          </w:tcPr>
          <w:p>
            <w:pPr>
              <w:spacing w:after="0"/>
              <w:rPr>
                <w:sz w:val="10"/>
                <w:szCs w:val="10"/>
                <w:color w:val="auto"/>
              </w:rPr>
            </w:pPr>
          </w:p>
        </w:tc>
        <w:tc>
          <w:tcPr>
            <w:tcW w:w="7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2.1 %</w:t>
            </w:r>
          </w:p>
        </w:tc>
      </w:tr>
      <w:tr>
        <w:trPr>
          <w:trHeight w:val="124"/>
        </w:trPr>
        <w:tc>
          <w:tcPr>
            <w:tcW w:w="52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Finance leases</w:t>
            </w:r>
          </w:p>
        </w:tc>
        <w:tc>
          <w:tcPr>
            <w:tcW w:w="390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8.5 %</w:t>
            </w:r>
          </w:p>
        </w:tc>
        <w:tc>
          <w:tcPr>
            <w:tcW w:w="560" w:type="dxa"/>
            <w:vAlign w:val="bottom"/>
            <w:tcBorders>
              <w:bottom w:val="single" w:sz="8" w:color="D7282F"/>
            </w:tcBorders>
          </w:tcPr>
          <w:p>
            <w:pPr>
              <w:spacing w:after="0"/>
              <w:rPr>
                <w:sz w:val="10"/>
                <w:szCs w:val="10"/>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7.8 %</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As of December 31, 2023, maturities of lease liabilities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300" w:type="dxa"/>
            <w:vAlign w:val="bottom"/>
            <w:tcBorders>
              <w:bottom w:val="single" w:sz="8" w:color="D7282F"/>
            </w:tcBorders>
          </w:tcPr>
          <w:p>
            <w:pPr>
              <w:spacing w:after="0"/>
              <w:rPr>
                <w:sz w:val="11"/>
                <w:szCs w:val="11"/>
                <w:color w:val="auto"/>
              </w:rPr>
            </w:pPr>
          </w:p>
        </w:tc>
        <w:tc>
          <w:tcPr>
            <w:tcW w:w="3700" w:type="dxa"/>
            <w:vAlign w:val="bottom"/>
            <w:tcBorders>
              <w:bottom w:val="single" w:sz="8" w:color="D7282F"/>
            </w:tcBorders>
          </w:tcPr>
          <w:p>
            <w:pPr>
              <w:spacing w:after="0"/>
              <w:rPr>
                <w:sz w:val="11"/>
                <w:szCs w:val="11"/>
                <w:color w:val="auto"/>
              </w:rPr>
            </w:pPr>
          </w:p>
        </w:tc>
        <w:tc>
          <w:tcPr>
            <w:tcW w:w="1080" w:type="dxa"/>
            <w:vAlign w:val="bottom"/>
            <w:tcBorders>
              <w:bottom w:val="single" w:sz="8" w:color="D7282F"/>
            </w:tcBorders>
          </w:tcPr>
          <w:p>
            <w:pPr>
              <w:jc w:val="right"/>
              <w:ind w:right="192"/>
              <w:spacing w:after="0"/>
              <w:rPr>
                <w:sz w:val="20"/>
                <w:szCs w:val="20"/>
                <w:color w:val="auto"/>
              </w:rPr>
            </w:pPr>
            <w:r>
              <w:rPr>
                <w:rFonts w:ascii="Arial" w:cs="Arial" w:eastAsia="Arial" w:hAnsi="Arial"/>
                <w:sz w:val="10"/>
                <w:szCs w:val="10"/>
                <w:b w:val="1"/>
                <w:bCs w:val="1"/>
                <w:color w:val="auto"/>
                <w:w w:val="97"/>
              </w:rPr>
              <w:t>Operating Leases</w:t>
            </w:r>
          </w:p>
        </w:tc>
        <w:tc>
          <w:tcPr>
            <w:tcW w:w="260" w:type="dxa"/>
            <w:vAlign w:val="bottom"/>
            <w:tcBorders>
              <w:bottom w:val="single" w:sz="8" w:color="D7282F"/>
            </w:tcBorders>
          </w:tcPr>
          <w:p>
            <w:pPr>
              <w:spacing w:after="0"/>
              <w:rPr>
                <w:sz w:val="11"/>
                <w:szCs w:val="11"/>
                <w:color w:val="auto"/>
              </w:rPr>
            </w:pPr>
          </w:p>
        </w:tc>
        <w:tc>
          <w:tcPr>
            <w:tcW w:w="96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w w:val="99"/>
              </w:rPr>
              <w:t>Finance Leases</w:t>
            </w:r>
          </w:p>
        </w:tc>
      </w:tr>
      <w:tr>
        <w:trPr>
          <w:trHeight w:val="122"/>
        </w:trPr>
        <w:tc>
          <w:tcPr>
            <w:tcW w:w="53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2024</w:t>
            </w:r>
          </w:p>
        </w:tc>
        <w:tc>
          <w:tcPr>
            <w:tcW w:w="37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222</w:t>
            </w:r>
          </w:p>
        </w:tc>
        <w:tc>
          <w:tcPr>
            <w:tcW w:w="26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98</w:t>
            </w:r>
          </w:p>
        </w:tc>
      </w:tr>
      <w:tr>
        <w:trPr>
          <w:trHeight w:val="124"/>
        </w:trPr>
        <w:tc>
          <w:tcPr>
            <w:tcW w:w="53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2025</w:t>
            </w:r>
          </w:p>
        </w:tc>
        <w:tc>
          <w:tcPr>
            <w:tcW w:w="3700" w:type="dxa"/>
            <w:vAlign w:val="bottom"/>
            <w:tcBorders>
              <w:bottom w:val="single" w:sz="8" w:color="61656A"/>
            </w:tcBorders>
          </w:tcPr>
          <w:p>
            <w:pPr>
              <w:spacing w:after="0"/>
              <w:rPr>
                <w:sz w:val="10"/>
                <w:szCs w:val="10"/>
                <w:color w:val="auto"/>
              </w:rPr>
            </w:pPr>
          </w:p>
        </w:tc>
        <w:tc>
          <w:tcPr>
            <w:tcW w:w="10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185</w:t>
            </w:r>
          </w:p>
        </w:tc>
        <w:tc>
          <w:tcPr>
            <w:tcW w:w="260" w:type="dxa"/>
            <w:vAlign w:val="bottom"/>
            <w:tcBorders>
              <w:bottom w:val="single" w:sz="8" w:color="61656A"/>
            </w:tcBorders>
          </w:tcPr>
          <w:p>
            <w:pPr>
              <w:spacing w:after="0"/>
              <w:rPr>
                <w:sz w:val="10"/>
                <w:szCs w:val="10"/>
                <w:color w:val="auto"/>
              </w:rPr>
            </w:pP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53</w:t>
            </w:r>
          </w:p>
        </w:tc>
      </w:tr>
      <w:tr>
        <w:trPr>
          <w:trHeight w:val="124"/>
        </w:trPr>
        <w:tc>
          <w:tcPr>
            <w:tcW w:w="53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2026</w:t>
            </w:r>
          </w:p>
        </w:tc>
        <w:tc>
          <w:tcPr>
            <w:tcW w:w="3700" w:type="dxa"/>
            <w:vAlign w:val="bottom"/>
            <w:tcBorders>
              <w:bottom w:val="single" w:sz="8" w:color="61656A"/>
            </w:tcBorders>
          </w:tcPr>
          <w:p>
            <w:pPr>
              <w:spacing w:after="0"/>
              <w:rPr>
                <w:sz w:val="10"/>
                <w:szCs w:val="10"/>
                <w:color w:val="auto"/>
              </w:rPr>
            </w:pPr>
          </w:p>
        </w:tc>
        <w:tc>
          <w:tcPr>
            <w:tcW w:w="10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155</w:t>
            </w:r>
          </w:p>
        </w:tc>
        <w:tc>
          <w:tcPr>
            <w:tcW w:w="260" w:type="dxa"/>
            <w:vAlign w:val="bottom"/>
            <w:tcBorders>
              <w:bottom w:val="single" w:sz="8" w:color="61656A"/>
            </w:tcBorders>
          </w:tcPr>
          <w:p>
            <w:pPr>
              <w:spacing w:after="0"/>
              <w:rPr>
                <w:sz w:val="10"/>
                <w:szCs w:val="10"/>
                <w:color w:val="auto"/>
              </w:rPr>
            </w:pP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24</w:t>
            </w:r>
          </w:p>
        </w:tc>
      </w:tr>
      <w:tr>
        <w:trPr>
          <w:trHeight w:val="124"/>
        </w:trPr>
        <w:tc>
          <w:tcPr>
            <w:tcW w:w="53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2027</w:t>
            </w:r>
          </w:p>
        </w:tc>
        <w:tc>
          <w:tcPr>
            <w:tcW w:w="3700" w:type="dxa"/>
            <w:vAlign w:val="bottom"/>
            <w:tcBorders>
              <w:bottom w:val="single" w:sz="8" w:color="61656A"/>
            </w:tcBorders>
          </w:tcPr>
          <w:p>
            <w:pPr>
              <w:spacing w:after="0"/>
              <w:rPr>
                <w:sz w:val="10"/>
                <w:szCs w:val="10"/>
                <w:color w:val="auto"/>
              </w:rPr>
            </w:pPr>
          </w:p>
        </w:tc>
        <w:tc>
          <w:tcPr>
            <w:tcW w:w="10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131</w:t>
            </w:r>
          </w:p>
        </w:tc>
        <w:tc>
          <w:tcPr>
            <w:tcW w:w="260" w:type="dxa"/>
            <w:vAlign w:val="bottom"/>
            <w:tcBorders>
              <w:bottom w:val="single" w:sz="8" w:color="61656A"/>
            </w:tcBorders>
          </w:tcPr>
          <w:p>
            <w:pPr>
              <w:spacing w:after="0"/>
              <w:rPr>
                <w:sz w:val="10"/>
                <w:szCs w:val="10"/>
                <w:color w:val="auto"/>
              </w:rPr>
            </w:pP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12</w:t>
            </w:r>
          </w:p>
        </w:tc>
      </w:tr>
      <w:tr>
        <w:trPr>
          <w:trHeight w:val="124"/>
        </w:trPr>
        <w:tc>
          <w:tcPr>
            <w:tcW w:w="53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2028</w:t>
            </w:r>
          </w:p>
        </w:tc>
        <w:tc>
          <w:tcPr>
            <w:tcW w:w="3700" w:type="dxa"/>
            <w:vAlign w:val="bottom"/>
            <w:tcBorders>
              <w:bottom w:val="single" w:sz="8" w:color="61656A"/>
            </w:tcBorders>
          </w:tcPr>
          <w:p>
            <w:pPr>
              <w:spacing w:after="0"/>
              <w:rPr>
                <w:sz w:val="10"/>
                <w:szCs w:val="10"/>
                <w:color w:val="auto"/>
              </w:rPr>
            </w:pPr>
          </w:p>
        </w:tc>
        <w:tc>
          <w:tcPr>
            <w:tcW w:w="10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105</w:t>
            </w:r>
          </w:p>
        </w:tc>
        <w:tc>
          <w:tcPr>
            <w:tcW w:w="260" w:type="dxa"/>
            <w:vAlign w:val="bottom"/>
            <w:tcBorders>
              <w:bottom w:val="single" w:sz="8" w:color="61656A"/>
            </w:tcBorders>
          </w:tcPr>
          <w:p>
            <w:pPr>
              <w:spacing w:after="0"/>
              <w:rPr>
                <w:sz w:val="10"/>
                <w:szCs w:val="10"/>
                <w:color w:val="auto"/>
              </w:rPr>
            </w:pP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11</w:t>
            </w:r>
          </w:p>
        </w:tc>
      </w:tr>
      <w:tr>
        <w:trPr>
          <w:trHeight w:val="124"/>
        </w:trPr>
        <w:tc>
          <w:tcPr>
            <w:tcW w:w="530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Thereafter</w:t>
            </w:r>
          </w:p>
        </w:tc>
        <w:tc>
          <w:tcPr>
            <w:tcW w:w="3700" w:type="dxa"/>
            <w:vAlign w:val="bottom"/>
            <w:tcBorders>
              <w:bottom w:val="single" w:sz="8" w:color="D7282F"/>
            </w:tcBorders>
          </w:tcPr>
          <w:p>
            <w:pPr>
              <w:spacing w:after="0"/>
              <w:rPr>
                <w:sz w:val="10"/>
                <w:szCs w:val="10"/>
                <w:color w:val="auto"/>
              </w:rPr>
            </w:pPr>
          </w:p>
        </w:tc>
        <w:tc>
          <w:tcPr>
            <w:tcW w:w="10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443</w:t>
            </w:r>
          </w:p>
        </w:tc>
        <w:tc>
          <w:tcPr>
            <w:tcW w:w="26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7</w:t>
            </w:r>
          </w:p>
        </w:tc>
      </w:tr>
      <w:tr>
        <w:trPr>
          <w:trHeight w:val="126"/>
        </w:trPr>
        <w:tc>
          <w:tcPr>
            <w:tcW w:w="530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lease payments</w:t>
            </w:r>
          </w:p>
        </w:tc>
        <w:tc>
          <w:tcPr>
            <w:tcW w:w="3700" w:type="dxa"/>
            <w:vAlign w:val="bottom"/>
            <w:tcBorders>
              <w:bottom w:val="single" w:sz="8" w:color="D7282F"/>
            </w:tcBorders>
          </w:tcPr>
          <w:p>
            <w:pPr>
              <w:spacing w:after="0"/>
              <w:rPr>
                <w:sz w:val="10"/>
                <w:szCs w:val="10"/>
                <w:color w:val="auto"/>
              </w:rPr>
            </w:pPr>
          </w:p>
        </w:tc>
        <w:tc>
          <w:tcPr>
            <w:tcW w:w="10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1,241</w:t>
            </w:r>
          </w:p>
        </w:tc>
        <w:tc>
          <w:tcPr>
            <w:tcW w:w="26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205</w:t>
            </w:r>
          </w:p>
        </w:tc>
      </w:tr>
      <w:tr>
        <w:trPr>
          <w:trHeight w:val="122"/>
        </w:trPr>
        <w:tc>
          <w:tcPr>
            <w:tcW w:w="530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Less: Interest</w:t>
            </w:r>
          </w:p>
        </w:tc>
        <w:tc>
          <w:tcPr>
            <w:tcW w:w="3700" w:type="dxa"/>
            <w:vAlign w:val="bottom"/>
            <w:tcBorders>
              <w:bottom w:val="single" w:sz="8" w:color="D7282F"/>
            </w:tcBorders>
          </w:tcPr>
          <w:p>
            <w:pPr>
              <w:spacing w:after="0"/>
              <w:rPr>
                <w:sz w:val="10"/>
                <w:szCs w:val="10"/>
                <w:color w:val="auto"/>
              </w:rPr>
            </w:pPr>
          </w:p>
        </w:tc>
        <w:tc>
          <w:tcPr>
            <w:tcW w:w="10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148</w:t>
            </w:r>
          </w:p>
        </w:tc>
        <w:tc>
          <w:tcPr>
            <w:tcW w:w="26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20</w:t>
            </w:r>
          </w:p>
        </w:tc>
      </w:tr>
      <w:tr>
        <w:trPr>
          <w:trHeight w:val="126"/>
        </w:trPr>
        <w:tc>
          <w:tcPr>
            <w:tcW w:w="530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maturities of lease liabilities</w:t>
            </w:r>
          </w:p>
        </w:tc>
        <w:tc>
          <w:tcPr>
            <w:tcW w:w="37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10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1,093</w:t>
            </w:r>
          </w:p>
        </w:tc>
        <w:tc>
          <w:tcPr>
            <w:tcW w:w="2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185</w:t>
            </w:r>
          </w:p>
        </w:tc>
      </w:tr>
    </w:tbl>
    <w:p>
      <w:pPr>
        <w:spacing w:after="0" w:line="338"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D7282F"/>
        </w:rPr>
        <w:t>81</w:t>
      </w:r>
      <w:r>
        <w:rPr>
          <w:sz w:val="20"/>
          <w:szCs w:val="20"/>
          <w:color w:val="auto"/>
        </w:rPr>
        <w:tab/>
      </w:r>
      <w:r>
        <w:rPr>
          <w:rFonts w:ascii="Arial" w:cs="Arial" w:eastAsia="Arial" w:hAnsi="Arial"/>
          <w:sz w:val="8"/>
          <w:szCs w:val="8"/>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90805</wp:posOffset>
            </wp:positionV>
            <wp:extent cx="7203440"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83" w:name="page84"/>
    <w:bookmarkEnd w:id="83"/>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92" w:lineRule="exact"/>
        <w:rPr>
          <w:sz w:val="20"/>
          <w:szCs w:val="20"/>
          <w:color w:val="auto"/>
        </w:rPr>
      </w:pPr>
    </w:p>
    <w:p>
      <w:pPr>
        <w:ind w:left="8"/>
        <w:spacing w:after="0"/>
        <w:rPr>
          <w:sz w:val="20"/>
          <w:szCs w:val="20"/>
          <w:color w:val="auto"/>
        </w:rPr>
      </w:pPr>
      <w:r>
        <w:rPr>
          <w:rFonts w:ascii="Arial" w:cs="Arial" w:eastAsia="Arial" w:hAnsi="Arial"/>
          <w:sz w:val="19"/>
          <w:szCs w:val="19"/>
          <w:color w:val="D7282F"/>
        </w:rPr>
        <w:t>NOTE 11. DERIVATIVE INSTRUMENTS AND HEDGING TRANSACTIONS</w:t>
      </w:r>
    </w:p>
    <w:p>
      <w:pPr>
        <w:spacing w:after="0" w:line="192"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DERIVATIVES AND HEDGING ACTIVITIES</w:t>
      </w:r>
    </w:p>
    <w:p>
      <w:pPr>
        <w:spacing w:after="0" w:line="81"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The Company uses derivative financial instruments to manage its risks related to interest rates, foreign currency exchange rates, and commodity prices. Derivative financial instruments are not used for trading or other speculative purposes. To qualify as a hedge, derivative financial instruments must be evaluated for hedge effectiveness at the inception of the contract and designated as a hedge. Changes in fair value of the derivative contract must be highly correlated with changes in fair value of the underlying hedged item at inception and over the life of the hedge contract.</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FOREIGN CURRENCY RISK MANAGEMENT</w:t>
      </w:r>
    </w:p>
    <w:p>
      <w:pPr>
        <w:spacing w:after="0" w:line="81"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The Company operates a global business in a wide variety of foreign currencies. The Company's exposure to market risk for changes in foreign currency exchange rates arises from international financing activities between subsidiaries, foreign currency denominated monetary assets and liabilities, and transactions arising from international trade. The Company's objective is to preserve the U.S. Dollar value of foreign currency denominated cash flows and earnings. The Company monitors its collective foreign currency exposure and enters into foreign currency exchange forward and option contracts (foreign currency exchange contracts) with third parties, when necessary, to minimize the impact of changes in foreign currency exchange rates.</w:t>
      </w:r>
    </w:p>
    <w:p>
      <w:pPr>
        <w:spacing w:after="0" w:line="59"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The Company has monetary assets and liabilities denominated in non-functional currencies. Prior to conversion into U.S. Dollars, these assets and liabilities are remeasured at spot exchange rates as of the balance sheet date. The Company recognizes effects of changes in spot rates in Other (income) expense.</w:t>
      </w:r>
    </w:p>
    <w:p>
      <w:pPr>
        <w:spacing w:after="0" w:line="51"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The Company uses foreign currency exchange contracts to hedge foreign currency exposure. These contracts are marked-to-market in net income and offset gains and losses on the non-functional currency denominated monetary assets and liabilities being hedged. The Company also uses foreign currency contracts to hedge forecasted sales and purchases, which are denominated in non-functional currencies. Changes in the forecasted non-functional currency cash flows due to movements in exchange rates are substantially offset by changes in the fair value of these foreign currency exchange contracts designated as hedges. Market value gains and losses on these contracts are recognized in earnings when the hedged transaction is recognized. As of December 31, 2023, and 2022, the Company held contracts with notional amounts of $8,910 million and $10,545 million, respectively, to exchange foreign currencies, principally the U.S. Dollar, Euro, Canadian Dollar, British Pound, Mexican Peso, Chinese Renminbi, and Indian Rupee.</w:t>
      </w:r>
    </w:p>
    <w:p>
      <w:pPr>
        <w:spacing w:after="0" w:line="52"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The Company also designates certain foreign currency debt and derivative contracts as hedges against portions of its net investment in foreign operations. Gains or losses of the foreign currency debt and derivative contracts designated as net investment hedges are recorded in the same manner as foreign currency translation adjustments.</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INTEREST RATE RISK MANAGEMENT</w:t>
      </w:r>
    </w:p>
    <w:p>
      <w:pPr>
        <w:spacing w:after="0" w:line="81"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Financial instruments, including derivatives, expose the Company to market risk related to changes in interest rates. The Company uses a combination of financial instruments, including long-term, medium-term, and short-term financing, variable-rate commercial paper, and interest rate swaps to convert the interest rate mix of the Company's total debt portfolio and related overall cost of borrowing.</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CREDIT RISK MANAGEMENT</w:t>
      </w:r>
    </w:p>
    <w:p>
      <w:pPr>
        <w:spacing w:after="0" w:line="81"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The Company continues to monitor the creditworthiness of its counterparties to mitigate the risk of nonperformance. Financial instruments, including derivatives, expose the Company to counterparty credit risk. In addition, the Company grants credit terms to its customers in the normal course of business. The terms and conditions of the Company's credit sales are designed to mitigate or eliminate concentrations of credit risk with any single customer. The Company's sales are not materially dependent on a single customer or a small group of customers.</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COMMODITY PRICE RISK MANAGEMENT</w:t>
      </w:r>
    </w:p>
    <w:p>
      <w:pPr>
        <w:spacing w:after="0" w:line="81"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The Company's operations subject the Company to risk related to the price volatility of certain commodities. To mitigate the commodity price risk associated with the Company's operations, the Company may enter into commodity derivative instruments. In both 2023 and 2022, the Company entered into various contracts to mitigate commodity price volatility. The Company elected to apply hedge accounting to these contracts.</w:t>
      </w:r>
    </w:p>
    <w:p>
      <w:pPr>
        <w:spacing w:after="0" w:line="257" w:lineRule="exact"/>
        <w:rPr>
          <w:sz w:val="20"/>
          <w:szCs w:val="20"/>
          <w:color w:val="auto"/>
        </w:rPr>
      </w:pPr>
    </w:p>
    <w:p>
      <w:pPr>
        <w:ind w:left="268" w:hanging="268"/>
        <w:spacing w:after="0"/>
        <w:tabs>
          <w:tab w:leader="none" w:pos="268" w:val="left"/>
        </w:tabs>
        <w:numPr>
          <w:ilvl w:val="0"/>
          <w:numId w:val="124"/>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84" w:name="page85"/>
    <w:bookmarkEnd w:id="84"/>
    <w:tbl>
      <w:tblPr>
        <w:tblLayout w:type="fixed"/>
        <w:tblInd w:w="8" w:type="dxa"/>
        <w:tblCellMar>
          <w:top w:w="0" w:type="dxa"/>
          <w:left w:w="0" w:type="dxa"/>
          <w:bottom w:w="0" w:type="dxa"/>
          <w:right w:w="0" w:type="dxa"/>
        </w:tblCellMar>
      </w:tblPr>
      <w:tr>
        <w:trPr>
          <w:trHeight w:val="93"/>
        </w:trPr>
        <w:tc>
          <w:tcPr>
            <w:tcW w:w="2400" w:type="dxa"/>
            <w:vAlign w:val="bottom"/>
            <w:gridSpan w:val="2"/>
          </w:tcPr>
          <w:p>
            <w:pPr>
              <w:spacing w:after="0"/>
              <w:rPr>
                <w:sz w:val="20"/>
                <w:szCs w:val="20"/>
                <w:color w:val="auto"/>
              </w:rPr>
            </w:pPr>
            <w:r>
              <w:rPr>
                <w:rFonts w:ascii="Arial" w:cs="Arial" w:eastAsia="Arial" w:hAnsi="Arial"/>
                <w:sz w:val="8"/>
                <w:szCs w:val="8"/>
                <w:b w:val="1"/>
                <w:bCs w:val="1"/>
                <w:color w:val="0000FF"/>
              </w:rPr>
              <w:t>TABLE OF CONTENTS</w:t>
            </w:r>
          </w:p>
        </w:tc>
        <w:tc>
          <w:tcPr>
            <w:tcW w:w="8880" w:type="dxa"/>
            <w:vAlign w:val="bottom"/>
          </w:tcPr>
          <w:p>
            <w:pPr>
              <w:ind w:left="6640"/>
              <w:spacing w:after="0"/>
              <w:rPr>
                <w:sz w:val="20"/>
                <w:szCs w:val="20"/>
                <w:color w:val="auto"/>
              </w:rPr>
            </w:pPr>
            <w:r>
              <w:rPr>
                <w:rFonts w:ascii="Arial" w:cs="Arial" w:eastAsia="Arial" w:hAnsi="Arial"/>
                <w:sz w:val="8"/>
                <w:szCs w:val="8"/>
                <w:b w:val="1"/>
                <w:bCs w:val="1"/>
                <w:color w:val="D7282F"/>
              </w:rPr>
              <w:t>FINANCIAL STATEMENTS AND SUPPLEMENTARY DATA</w:t>
            </w:r>
          </w:p>
        </w:tc>
      </w:tr>
      <w:tr>
        <w:trPr>
          <w:trHeight w:val="250"/>
        </w:trPr>
        <w:tc>
          <w:tcPr>
            <w:tcW w:w="900" w:type="dxa"/>
            <w:vAlign w:val="bottom"/>
            <w:tcBorders>
              <w:top w:val="single" w:sz="8" w:color="0000FF"/>
            </w:tcBorders>
          </w:tcPr>
          <w:p>
            <w:pPr>
              <w:spacing w:after="0"/>
              <w:rPr>
                <w:sz w:val="21"/>
                <w:szCs w:val="21"/>
                <w:color w:val="auto"/>
              </w:rPr>
            </w:pPr>
          </w:p>
        </w:tc>
        <w:tc>
          <w:tcPr>
            <w:tcW w:w="1500" w:type="dxa"/>
            <w:vAlign w:val="bottom"/>
          </w:tcPr>
          <w:p>
            <w:pPr>
              <w:spacing w:after="0"/>
              <w:rPr>
                <w:sz w:val="21"/>
                <w:szCs w:val="21"/>
                <w:color w:val="auto"/>
              </w:rPr>
            </w:pPr>
          </w:p>
        </w:tc>
        <w:tc>
          <w:tcPr>
            <w:tcW w:w="8880" w:type="dxa"/>
            <w:vAlign w:val="bottom"/>
          </w:tcPr>
          <w:p>
            <w:pPr>
              <w:jc w:val="center"/>
              <w:ind w:right="2349"/>
              <w:spacing w:after="0"/>
              <w:rPr>
                <w:sz w:val="20"/>
                <w:szCs w:val="20"/>
                <w:color w:val="auto"/>
              </w:rPr>
            </w:pPr>
            <w:r>
              <w:rPr>
                <w:rFonts w:ascii="Arial" w:cs="Arial" w:eastAsia="Arial" w:hAnsi="Arial"/>
                <w:sz w:val="11"/>
                <w:szCs w:val="11"/>
                <w:b w:val="1"/>
                <w:bCs w:val="1"/>
                <w:color w:val="auto"/>
                <w:w w:val="97"/>
              </w:rPr>
              <w:t>HONEYWELL INTERNATIONAL INC.</w:t>
            </w:r>
          </w:p>
        </w:tc>
      </w:tr>
      <w:tr>
        <w:trPr>
          <w:trHeight w:val="126"/>
        </w:trPr>
        <w:tc>
          <w:tcPr>
            <w:tcW w:w="9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880" w:type="dxa"/>
            <w:vAlign w:val="bottom"/>
          </w:tcPr>
          <w:p>
            <w:pPr>
              <w:jc w:val="center"/>
              <w:ind w:right="2329"/>
              <w:spacing w:after="0"/>
              <w:rPr>
                <w:sz w:val="20"/>
                <w:szCs w:val="20"/>
                <w:color w:val="auto"/>
              </w:rPr>
            </w:pPr>
            <w:r>
              <w:rPr>
                <w:rFonts w:ascii="Arial" w:cs="Arial" w:eastAsia="Arial" w:hAnsi="Arial"/>
                <w:sz w:val="11"/>
                <w:szCs w:val="11"/>
                <w:b w:val="1"/>
                <w:bCs w:val="1"/>
                <w:color w:val="auto"/>
                <w:w w:val="97"/>
              </w:rPr>
              <w:t>NOTES TO CONSOLIDATED FINANCIAL STATEMENTS—(Continued)</w:t>
            </w:r>
          </w:p>
        </w:tc>
      </w:tr>
      <w:tr>
        <w:trPr>
          <w:trHeight w:val="148"/>
        </w:trPr>
        <w:tc>
          <w:tcPr>
            <w:tcW w:w="9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80" w:type="dxa"/>
            <w:vAlign w:val="bottom"/>
          </w:tcPr>
          <w:p>
            <w:pPr>
              <w:jc w:val="center"/>
              <w:ind w:right="2349"/>
              <w:spacing w:after="0"/>
              <w:rPr>
                <w:sz w:val="20"/>
                <w:szCs w:val="20"/>
                <w:color w:val="auto"/>
              </w:rPr>
            </w:pPr>
            <w:r>
              <w:rPr>
                <w:rFonts w:ascii="Arial" w:cs="Arial" w:eastAsia="Arial" w:hAnsi="Arial"/>
                <w:sz w:val="11"/>
                <w:szCs w:val="11"/>
                <w:b w:val="1"/>
                <w:bCs w:val="1"/>
                <w:color w:val="auto"/>
                <w:w w:val="98"/>
              </w:rPr>
              <w:t>(Dollars in tables in millions, except per share amounts)</w:t>
            </w:r>
          </w:p>
        </w:tc>
      </w:tr>
    </w:tbl>
    <w:p>
      <w:pPr>
        <w:spacing w:after="0" w:line="368"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DERIVATIVE AND HEDGING INSTRUMENTS</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summarizes the notional amounts and fair values of the Company’s outstanding derivatives by risk category and instrument type within the Consolidated Balance Sheet:</w:t>
      </w:r>
    </w:p>
    <w:p>
      <w:pPr>
        <w:spacing w:after="0" w:line="136"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4500" w:type="dxa"/>
            <w:vAlign w:val="bottom"/>
          </w:tcPr>
          <w:p>
            <w:pPr>
              <w:spacing w:after="0"/>
              <w:rPr>
                <w:sz w:val="11"/>
                <w:szCs w:val="11"/>
                <w:color w:val="auto"/>
              </w:rPr>
            </w:pPr>
          </w:p>
        </w:tc>
        <w:tc>
          <w:tcPr>
            <w:tcW w:w="340" w:type="dxa"/>
            <w:vAlign w:val="bottom"/>
            <w:tcBorders>
              <w:bottom w:val="single" w:sz="8" w:color="D7282F"/>
            </w:tcBorders>
          </w:tcPr>
          <w:p>
            <w:pPr>
              <w:spacing w:after="0"/>
              <w:rPr>
                <w:sz w:val="11"/>
                <w:szCs w:val="11"/>
                <w:color w:val="auto"/>
              </w:rPr>
            </w:pPr>
          </w:p>
        </w:tc>
        <w:tc>
          <w:tcPr>
            <w:tcW w:w="1180" w:type="dxa"/>
            <w:vAlign w:val="bottom"/>
            <w:tcBorders>
              <w:bottom w:val="single" w:sz="8" w:color="D7282F"/>
            </w:tcBorders>
            <w:gridSpan w:val="2"/>
          </w:tcPr>
          <w:p>
            <w:pPr>
              <w:jc w:val="right"/>
              <w:ind w:right="232"/>
              <w:spacing w:after="0"/>
              <w:rPr>
                <w:sz w:val="20"/>
                <w:szCs w:val="20"/>
                <w:color w:val="auto"/>
              </w:rPr>
            </w:pPr>
            <w:r>
              <w:rPr>
                <w:rFonts w:ascii="Arial" w:cs="Arial" w:eastAsia="Arial" w:hAnsi="Arial"/>
                <w:sz w:val="10"/>
                <w:szCs w:val="10"/>
                <w:b w:val="1"/>
                <w:bCs w:val="1"/>
                <w:color w:val="auto"/>
              </w:rPr>
              <w:t>Notional</w:t>
            </w:r>
          </w:p>
        </w:tc>
        <w:tc>
          <w:tcPr>
            <w:tcW w:w="680" w:type="dxa"/>
            <w:vAlign w:val="bottom"/>
            <w:tcBorders>
              <w:bottom w:val="single" w:sz="8" w:color="D7282F"/>
            </w:tcBorders>
          </w:tcPr>
          <w:p>
            <w:pPr>
              <w:spacing w:after="0"/>
              <w:rPr>
                <w:sz w:val="11"/>
                <w:szCs w:val="11"/>
                <w:color w:val="auto"/>
              </w:rPr>
            </w:pPr>
          </w:p>
        </w:tc>
        <w:tc>
          <w:tcPr>
            <w:tcW w:w="520" w:type="dxa"/>
            <w:vAlign w:val="bottom"/>
            <w:tcBorders>
              <w:bottom w:val="single" w:sz="8" w:color="D7282F"/>
            </w:tcBorders>
          </w:tcPr>
          <w:p>
            <w:pPr>
              <w:spacing w:after="0"/>
              <w:rPr>
                <w:sz w:val="11"/>
                <w:szCs w:val="11"/>
                <w:color w:val="auto"/>
              </w:rPr>
            </w:pPr>
          </w:p>
        </w:tc>
        <w:tc>
          <w:tcPr>
            <w:tcW w:w="1280" w:type="dxa"/>
            <w:vAlign w:val="bottom"/>
            <w:tcBorders>
              <w:bottom w:val="single" w:sz="8" w:color="D7282F"/>
            </w:tcBorders>
            <w:gridSpan w:val="2"/>
          </w:tcPr>
          <w:p>
            <w:pPr>
              <w:jc w:val="right"/>
              <w:ind w:right="192"/>
              <w:spacing w:after="0"/>
              <w:rPr>
                <w:sz w:val="20"/>
                <w:szCs w:val="20"/>
                <w:color w:val="auto"/>
              </w:rPr>
            </w:pPr>
            <w:r>
              <w:rPr>
                <w:rFonts w:ascii="Arial" w:cs="Arial" w:eastAsia="Arial" w:hAnsi="Arial"/>
                <w:sz w:val="10"/>
                <w:szCs w:val="10"/>
                <w:b w:val="1"/>
                <w:bCs w:val="1"/>
                <w:color w:val="auto"/>
              </w:rPr>
              <w:t>Fair Value Asset</w:t>
            </w:r>
          </w:p>
        </w:tc>
        <w:tc>
          <w:tcPr>
            <w:tcW w:w="540" w:type="dxa"/>
            <w:vAlign w:val="bottom"/>
            <w:tcBorders>
              <w:bottom w:val="single" w:sz="8" w:color="D7282F"/>
            </w:tcBorders>
          </w:tcPr>
          <w:p>
            <w:pPr>
              <w:spacing w:after="0"/>
              <w:rPr>
                <w:sz w:val="11"/>
                <w:szCs w:val="11"/>
                <w:color w:val="auto"/>
              </w:rPr>
            </w:pPr>
          </w:p>
        </w:tc>
        <w:tc>
          <w:tcPr>
            <w:tcW w:w="460" w:type="dxa"/>
            <w:vAlign w:val="bottom"/>
            <w:tcBorders>
              <w:bottom w:val="single" w:sz="8" w:color="D7282F"/>
            </w:tcBorders>
          </w:tcPr>
          <w:p>
            <w:pPr>
              <w:spacing w:after="0"/>
              <w:rPr>
                <w:sz w:val="11"/>
                <w:szCs w:val="11"/>
                <w:color w:val="auto"/>
              </w:rPr>
            </w:pPr>
          </w:p>
        </w:tc>
        <w:tc>
          <w:tcPr>
            <w:tcW w:w="1380" w:type="dxa"/>
            <w:vAlign w:val="bottom"/>
            <w:tcBorders>
              <w:bottom w:val="single" w:sz="8" w:color="D7282F"/>
            </w:tcBorders>
            <w:gridSpan w:val="2"/>
          </w:tcPr>
          <w:p>
            <w:pPr>
              <w:jc w:val="right"/>
              <w:ind w:right="152"/>
              <w:spacing w:after="0"/>
              <w:rPr>
                <w:sz w:val="20"/>
                <w:szCs w:val="20"/>
                <w:color w:val="auto"/>
              </w:rPr>
            </w:pPr>
            <w:r>
              <w:rPr>
                <w:rFonts w:ascii="Arial" w:cs="Arial" w:eastAsia="Arial" w:hAnsi="Arial"/>
                <w:sz w:val="10"/>
                <w:szCs w:val="10"/>
                <w:b w:val="1"/>
                <w:bCs w:val="1"/>
                <w:color w:val="auto"/>
              </w:rPr>
              <w:t>Fair Value (Liability)</w:t>
            </w:r>
          </w:p>
        </w:tc>
        <w:tc>
          <w:tcPr>
            <w:tcW w:w="420" w:type="dxa"/>
            <w:vAlign w:val="bottom"/>
            <w:tcBorders>
              <w:bottom w:val="single" w:sz="8" w:color="D7282F"/>
            </w:tcBorders>
          </w:tcPr>
          <w:p>
            <w:pPr>
              <w:spacing w:after="0"/>
              <w:rPr>
                <w:sz w:val="11"/>
                <w:szCs w:val="11"/>
                <w:color w:val="auto"/>
              </w:rPr>
            </w:pPr>
          </w:p>
        </w:tc>
      </w:tr>
      <w:tr>
        <w:trPr>
          <w:trHeight w:val="232"/>
        </w:trPr>
        <w:tc>
          <w:tcPr>
            <w:tcW w:w="4500" w:type="dxa"/>
            <w:vAlign w:val="bottom"/>
            <w:tcBorders>
              <w:bottom w:val="single" w:sz="8" w:color="D7282F"/>
            </w:tcBorders>
          </w:tcPr>
          <w:p>
            <w:pPr>
              <w:spacing w:after="0"/>
              <w:rPr>
                <w:sz w:val="20"/>
                <w:szCs w:val="20"/>
                <w:color w:val="auto"/>
              </w:rPr>
            </w:pPr>
          </w:p>
        </w:tc>
        <w:tc>
          <w:tcPr>
            <w:tcW w:w="1040" w:type="dxa"/>
            <w:vAlign w:val="bottom"/>
            <w:tcBorders>
              <w:bottom w:val="single" w:sz="8" w:color="D7282F"/>
            </w:tcBorders>
            <w:gridSpan w:val="2"/>
          </w:tcPr>
          <w:p>
            <w:pPr>
              <w:jc w:val="right"/>
              <w:ind w:right="92"/>
              <w:spacing w:after="0"/>
              <w:rPr>
                <w:sz w:val="20"/>
                <w:szCs w:val="20"/>
                <w:color w:val="auto"/>
              </w:rPr>
            </w:pPr>
            <w:r>
              <w:rPr>
                <w:rFonts w:ascii="Arial" w:cs="Arial" w:eastAsia="Arial" w:hAnsi="Arial"/>
                <w:sz w:val="10"/>
                <w:szCs w:val="10"/>
                <w:b w:val="1"/>
                <w:bCs w:val="1"/>
                <w:color w:val="auto"/>
                <w:w w:val="97"/>
              </w:rPr>
              <w:t>December 31, 2023</w:t>
            </w:r>
          </w:p>
        </w:tc>
        <w:tc>
          <w:tcPr>
            <w:tcW w:w="1160" w:type="dxa"/>
            <w:vAlign w:val="bottom"/>
            <w:tcBorders>
              <w:bottom w:val="single" w:sz="8" w:color="D7282F"/>
            </w:tcBorders>
            <w:gridSpan w:val="2"/>
          </w:tcPr>
          <w:p>
            <w:pPr>
              <w:jc w:val="right"/>
              <w:ind w:right="72"/>
              <w:spacing w:after="0"/>
              <w:rPr>
                <w:sz w:val="20"/>
                <w:szCs w:val="20"/>
                <w:color w:val="auto"/>
              </w:rPr>
            </w:pPr>
            <w:r>
              <w:rPr>
                <w:rFonts w:ascii="Arial" w:cs="Arial" w:eastAsia="Arial" w:hAnsi="Arial"/>
                <w:sz w:val="10"/>
                <w:szCs w:val="10"/>
                <w:b w:val="1"/>
                <w:bCs w:val="1"/>
                <w:color w:val="auto"/>
              </w:rPr>
              <w:t>December 31, 2022</w:t>
            </w:r>
          </w:p>
        </w:tc>
        <w:tc>
          <w:tcPr>
            <w:tcW w:w="1180" w:type="dxa"/>
            <w:vAlign w:val="bottom"/>
            <w:tcBorders>
              <w:bottom w:val="single" w:sz="8" w:color="D7282F"/>
            </w:tcBorders>
            <w:gridSpan w:val="2"/>
          </w:tcPr>
          <w:p>
            <w:pPr>
              <w:jc w:val="right"/>
              <w:ind w:right="92"/>
              <w:spacing w:after="0"/>
              <w:rPr>
                <w:sz w:val="20"/>
                <w:szCs w:val="20"/>
                <w:color w:val="auto"/>
              </w:rPr>
            </w:pPr>
            <w:r>
              <w:rPr>
                <w:rFonts w:ascii="Arial" w:cs="Arial" w:eastAsia="Arial" w:hAnsi="Arial"/>
                <w:sz w:val="10"/>
                <w:szCs w:val="10"/>
                <w:b w:val="1"/>
                <w:bCs w:val="1"/>
                <w:color w:val="auto"/>
              </w:rPr>
              <w:t>December 31, 2023</w:t>
            </w:r>
          </w:p>
        </w:tc>
        <w:tc>
          <w:tcPr>
            <w:tcW w:w="1160" w:type="dxa"/>
            <w:vAlign w:val="bottom"/>
            <w:tcBorders>
              <w:bottom w:val="single" w:sz="8" w:color="D7282F"/>
            </w:tcBorders>
            <w:gridSpan w:val="2"/>
          </w:tcPr>
          <w:p>
            <w:pPr>
              <w:jc w:val="right"/>
              <w:ind w:right="72"/>
              <w:spacing w:after="0"/>
              <w:rPr>
                <w:sz w:val="20"/>
                <w:szCs w:val="20"/>
                <w:color w:val="auto"/>
              </w:rPr>
            </w:pPr>
            <w:r>
              <w:rPr>
                <w:rFonts w:ascii="Arial" w:cs="Arial" w:eastAsia="Arial" w:hAnsi="Arial"/>
                <w:sz w:val="10"/>
                <w:szCs w:val="10"/>
                <w:b w:val="1"/>
                <w:bCs w:val="1"/>
                <w:color w:val="auto"/>
              </w:rPr>
              <w:t>December 31, 2022</w:t>
            </w:r>
          </w:p>
        </w:tc>
        <w:tc>
          <w:tcPr>
            <w:tcW w:w="1200" w:type="dxa"/>
            <w:vAlign w:val="bottom"/>
            <w:tcBorders>
              <w:bottom w:val="single" w:sz="8" w:color="D7282F"/>
            </w:tcBorders>
            <w:gridSpan w:val="2"/>
          </w:tcPr>
          <w:p>
            <w:pPr>
              <w:jc w:val="right"/>
              <w:ind w:right="112"/>
              <w:spacing w:after="0"/>
              <w:rPr>
                <w:sz w:val="20"/>
                <w:szCs w:val="20"/>
                <w:color w:val="auto"/>
              </w:rPr>
            </w:pPr>
            <w:r>
              <w:rPr>
                <w:rFonts w:ascii="Arial" w:cs="Arial" w:eastAsia="Arial" w:hAnsi="Arial"/>
                <w:sz w:val="10"/>
                <w:szCs w:val="10"/>
                <w:b w:val="1"/>
                <w:bCs w:val="1"/>
                <w:color w:val="auto"/>
              </w:rPr>
              <w:t>December 31, 2023</w:t>
            </w:r>
          </w:p>
        </w:tc>
        <w:tc>
          <w:tcPr>
            <w:tcW w:w="1060" w:type="dxa"/>
            <w:vAlign w:val="bottom"/>
            <w:tcBorders>
              <w:bottom w:val="single" w:sz="8" w:color="D7282F"/>
            </w:tcBorders>
            <w:gridSpan w:val="2"/>
          </w:tcPr>
          <w:p>
            <w:pPr>
              <w:jc w:val="right"/>
              <w:spacing w:after="0"/>
              <w:rPr>
                <w:sz w:val="20"/>
                <w:szCs w:val="20"/>
                <w:color w:val="auto"/>
              </w:rPr>
            </w:pPr>
            <w:r>
              <w:rPr>
                <w:rFonts w:ascii="Arial" w:cs="Arial" w:eastAsia="Arial" w:hAnsi="Arial"/>
                <w:sz w:val="10"/>
                <w:szCs w:val="10"/>
                <w:b w:val="1"/>
                <w:bCs w:val="1"/>
                <w:color w:val="auto"/>
              </w:rPr>
              <w:t>December 31, 2022</w:t>
            </w:r>
          </w:p>
        </w:tc>
      </w:tr>
      <w:tr>
        <w:trPr>
          <w:trHeight w:val="124"/>
        </w:trPr>
        <w:tc>
          <w:tcPr>
            <w:tcW w:w="450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Derivatives in fair value hedging relationships</w:t>
            </w:r>
          </w:p>
        </w:tc>
        <w:tc>
          <w:tcPr>
            <w:tcW w:w="34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spacing w:after="0"/>
              <w:rPr>
                <w:sz w:val="10"/>
                <w:szCs w:val="10"/>
                <w:color w:val="auto"/>
              </w:rPr>
            </w:pPr>
          </w:p>
        </w:tc>
        <w:tc>
          <w:tcPr>
            <w:tcW w:w="48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spacing w:after="0"/>
              <w:rPr>
                <w:sz w:val="10"/>
                <w:szCs w:val="10"/>
                <w:color w:val="auto"/>
              </w:rPr>
            </w:pPr>
          </w:p>
        </w:tc>
        <w:tc>
          <w:tcPr>
            <w:tcW w:w="54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spacing w:after="0"/>
              <w:rPr>
                <w:sz w:val="10"/>
                <w:szCs w:val="10"/>
                <w:color w:val="auto"/>
              </w:rPr>
            </w:pPr>
          </w:p>
        </w:tc>
      </w:tr>
      <w:tr>
        <w:trPr>
          <w:trHeight w:val="122"/>
        </w:trPr>
        <w:tc>
          <w:tcPr>
            <w:tcW w:w="45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Interest rate swap agreements</w:t>
            </w:r>
          </w:p>
        </w:tc>
        <w:tc>
          <w:tcPr>
            <w:tcW w:w="34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4,717</w:t>
            </w:r>
          </w:p>
        </w:tc>
        <w:tc>
          <w:tcPr>
            <w:tcW w:w="480" w:type="dxa"/>
            <w:vAlign w:val="bottom"/>
            <w:tcBorders>
              <w:bottom w:val="single" w:sz="8" w:color="888B8D"/>
            </w:tcBorders>
          </w:tcPr>
          <w:p>
            <w:pPr>
              <w:jc w:val="right"/>
              <w:ind w:right="25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4,984</w:t>
            </w:r>
          </w:p>
        </w:tc>
        <w:tc>
          <w:tcPr>
            <w:tcW w:w="520" w:type="dxa"/>
            <w:vAlign w:val="bottom"/>
            <w:tcBorders>
              <w:bottom w:val="single" w:sz="8" w:color="888B8D"/>
            </w:tcBorders>
          </w:tcPr>
          <w:p>
            <w:pPr>
              <w:jc w:val="right"/>
              <w:ind w:right="27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18</w:t>
            </w:r>
          </w:p>
        </w:tc>
        <w:tc>
          <w:tcPr>
            <w:tcW w:w="620" w:type="dxa"/>
            <w:vAlign w:val="bottom"/>
            <w:tcBorders>
              <w:bottom w:val="single" w:sz="8" w:color="888B8D"/>
            </w:tcBorders>
          </w:tcPr>
          <w:p>
            <w:pPr>
              <w:jc w:val="right"/>
              <w:ind w:right="39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16</w:t>
            </w:r>
          </w:p>
        </w:tc>
        <w:tc>
          <w:tcPr>
            <w:tcW w:w="46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(184)</w:t>
            </w:r>
          </w:p>
        </w:tc>
        <w:tc>
          <w:tcPr>
            <w:tcW w:w="640" w:type="dxa"/>
            <w:vAlign w:val="bottom"/>
            <w:tcBorders>
              <w:bottom w:val="single" w:sz="8" w:color="888B8D"/>
            </w:tcBorders>
          </w:tcPr>
          <w:p>
            <w:pPr>
              <w:jc w:val="right"/>
              <w:ind w:right="43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(303)</w:t>
            </w:r>
          </w:p>
        </w:tc>
      </w:tr>
      <w:tr>
        <w:trPr>
          <w:trHeight w:val="126"/>
        </w:trPr>
        <w:tc>
          <w:tcPr>
            <w:tcW w:w="450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Derivatives in cash flow hedging relationships</w:t>
            </w:r>
          </w:p>
        </w:tc>
        <w:tc>
          <w:tcPr>
            <w:tcW w:w="34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spacing w:after="0"/>
              <w:rPr>
                <w:sz w:val="10"/>
                <w:szCs w:val="10"/>
                <w:color w:val="auto"/>
              </w:rPr>
            </w:pPr>
          </w:p>
        </w:tc>
        <w:tc>
          <w:tcPr>
            <w:tcW w:w="48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spacing w:after="0"/>
              <w:rPr>
                <w:sz w:val="10"/>
                <w:szCs w:val="10"/>
                <w:color w:val="auto"/>
              </w:rPr>
            </w:pPr>
          </w:p>
        </w:tc>
        <w:tc>
          <w:tcPr>
            <w:tcW w:w="54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spacing w:after="0"/>
              <w:rPr>
                <w:sz w:val="10"/>
                <w:szCs w:val="10"/>
                <w:color w:val="auto"/>
              </w:rPr>
            </w:pPr>
          </w:p>
        </w:tc>
      </w:tr>
      <w:tr>
        <w:trPr>
          <w:trHeight w:val="122"/>
        </w:trPr>
        <w:tc>
          <w:tcPr>
            <w:tcW w:w="45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Foreign currency exchange contracts</w:t>
            </w:r>
          </w:p>
        </w:tc>
        <w:tc>
          <w:tcPr>
            <w:tcW w:w="34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712</w:t>
            </w:r>
          </w:p>
        </w:tc>
        <w:tc>
          <w:tcPr>
            <w:tcW w:w="48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866</w:t>
            </w:r>
          </w:p>
        </w:tc>
        <w:tc>
          <w:tcPr>
            <w:tcW w:w="52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28</w:t>
            </w:r>
          </w:p>
        </w:tc>
        <w:tc>
          <w:tcPr>
            <w:tcW w:w="620" w:type="dxa"/>
            <w:vAlign w:val="bottom"/>
            <w:tcBorders>
              <w:bottom w:val="single" w:sz="8" w:color="888B8D"/>
            </w:tcBorders>
          </w:tcPr>
          <w:p>
            <w:pPr>
              <w:spacing w:after="0"/>
              <w:rPr>
                <w:sz w:val="10"/>
                <w:szCs w:val="10"/>
                <w:color w:val="auto"/>
              </w:rPr>
            </w:pPr>
          </w:p>
        </w:tc>
        <w:tc>
          <w:tcPr>
            <w:tcW w:w="5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19</w:t>
            </w:r>
          </w:p>
        </w:tc>
        <w:tc>
          <w:tcPr>
            <w:tcW w:w="4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w:t>
            </w:r>
          </w:p>
        </w:tc>
        <w:tc>
          <w:tcPr>
            <w:tcW w:w="64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w:t>
            </w:r>
          </w:p>
        </w:tc>
      </w:tr>
      <w:tr>
        <w:trPr>
          <w:trHeight w:val="124"/>
        </w:trPr>
        <w:tc>
          <w:tcPr>
            <w:tcW w:w="45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Commodity contracts</w:t>
            </w:r>
          </w:p>
        </w:tc>
        <w:tc>
          <w:tcPr>
            <w:tcW w:w="34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6</w:t>
            </w:r>
          </w:p>
        </w:tc>
        <w:tc>
          <w:tcPr>
            <w:tcW w:w="48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9</w:t>
            </w:r>
          </w:p>
        </w:tc>
        <w:tc>
          <w:tcPr>
            <w:tcW w:w="52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888B8D"/>
            </w:tcBorders>
          </w:tcPr>
          <w:p>
            <w:pPr>
              <w:spacing w:after="0"/>
              <w:rPr>
                <w:sz w:val="10"/>
                <w:szCs w:val="10"/>
                <w:color w:val="auto"/>
              </w:rPr>
            </w:pPr>
          </w:p>
        </w:tc>
        <w:tc>
          <w:tcPr>
            <w:tcW w:w="5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w:t>
            </w:r>
          </w:p>
        </w:tc>
        <w:tc>
          <w:tcPr>
            <w:tcW w:w="64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w:t>
            </w:r>
          </w:p>
        </w:tc>
      </w:tr>
      <w:tr>
        <w:trPr>
          <w:trHeight w:val="126"/>
        </w:trPr>
        <w:tc>
          <w:tcPr>
            <w:tcW w:w="450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Derivatives in net investment hedging relationships</w:t>
            </w:r>
          </w:p>
        </w:tc>
        <w:tc>
          <w:tcPr>
            <w:tcW w:w="34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spacing w:after="0"/>
              <w:rPr>
                <w:sz w:val="10"/>
                <w:szCs w:val="10"/>
                <w:color w:val="auto"/>
              </w:rPr>
            </w:pPr>
          </w:p>
        </w:tc>
        <w:tc>
          <w:tcPr>
            <w:tcW w:w="48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spacing w:after="0"/>
              <w:rPr>
                <w:sz w:val="10"/>
                <w:szCs w:val="10"/>
                <w:color w:val="auto"/>
              </w:rPr>
            </w:pPr>
          </w:p>
        </w:tc>
        <w:tc>
          <w:tcPr>
            <w:tcW w:w="54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spacing w:after="0"/>
              <w:rPr>
                <w:sz w:val="10"/>
                <w:szCs w:val="10"/>
                <w:color w:val="auto"/>
              </w:rPr>
            </w:pPr>
          </w:p>
        </w:tc>
      </w:tr>
      <w:tr>
        <w:trPr>
          <w:trHeight w:val="122"/>
        </w:trPr>
        <w:tc>
          <w:tcPr>
            <w:tcW w:w="450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Cross currency swap agreements</w:t>
            </w:r>
          </w:p>
        </w:tc>
        <w:tc>
          <w:tcPr>
            <w:tcW w:w="34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4,264</w:t>
            </w:r>
          </w:p>
        </w:tc>
        <w:tc>
          <w:tcPr>
            <w:tcW w:w="48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3,189</w:t>
            </w:r>
          </w:p>
        </w:tc>
        <w:tc>
          <w:tcPr>
            <w:tcW w:w="52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D7282F"/>
            </w:tcBorders>
          </w:tcPr>
          <w:p>
            <w:pPr>
              <w:spacing w:after="0"/>
              <w:rPr>
                <w:sz w:val="10"/>
                <w:szCs w:val="10"/>
                <w:color w:val="auto"/>
              </w:rPr>
            </w:pPr>
          </w:p>
        </w:tc>
        <w:tc>
          <w:tcPr>
            <w:tcW w:w="5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90</w:t>
            </w:r>
          </w:p>
        </w:tc>
        <w:tc>
          <w:tcPr>
            <w:tcW w:w="46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(145)</w:t>
            </w:r>
          </w:p>
        </w:tc>
        <w:tc>
          <w:tcPr>
            <w:tcW w:w="64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r>
      <w:tr>
        <w:trPr>
          <w:trHeight w:val="126"/>
        </w:trPr>
        <w:tc>
          <w:tcPr>
            <w:tcW w:w="450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derivatives designated as hedging instruments</w:t>
            </w:r>
          </w:p>
        </w:tc>
        <w:tc>
          <w:tcPr>
            <w:tcW w:w="34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9,699</w:t>
            </w:r>
          </w:p>
        </w:tc>
        <w:tc>
          <w:tcPr>
            <w:tcW w:w="48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9,048</w:t>
            </w:r>
          </w:p>
        </w:tc>
        <w:tc>
          <w:tcPr>
            <w:tcW w:w="52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46</w:t>
            </w:r>
          </w:p>
        </w:tc>
        <w:tc>
          <w:tcPr>
            <w:tcW w:w="620" w:type="dxa"/>
            <w:vAlign w:val="bottom"/>
            <w:tcBorders>
              <w:bottom w:val="single" w:sz="8" w:color="D7282F"/>
            </w:tcBorders>
          </w:tcPr>
          <w:p>
            <w:pPr>
              <w:spacing w:after="0"/>
              <w:rPr>
                <w:sz w:val="10"/>
                <w:szCs w:val="10"/>
                <w:color w:val="auto"/>
              </w:rPr>
            </w:pPr>
          </w:p>
        </w:tc>
        <w:tc>
          <w:tcPr>
            <w:tcW w:w="5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125</w:t>
            </w:r>
          </w:p>
        </w:tc>
        <w:tc>
          <w:tcPr>
            <w:tcW w:w="46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(334)</w:t>
            </w:r>
          </w:p>
        </w:tc>
        <w:tc>
          <w:tcPr>
            <w:tcW w:w="64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(309)</w:t>
            </w:r>
          </w:p>
        </w:tc>
      </w:tr>
      <w:tr>
        <w:trPr>
          <w:trHeight w:val="124"/>
        </w:trPr>
        <w:tc>
          <w:tcPr>
            <w:tcW w:w="450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Derivatives not designated as hedging instruments</w:t>
            </w:r>
          </w:p>
        </w:tc>
        <w:tc>
          <w:tcPr>
            <w:tcW w:w="34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spacing w:after="0"/>
              <w:rPr>
                <w:sz w:val="10"/>
                <w:szCs w:val="10"/>
                <w:color w:val="auto"/>
              </w:rPr>
            </w:pPr>
          </w:p>
        </w:tc>
        <w:tc>
          <w:tcPr>
            <w:tcW w:w="48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spacing w:after="0"/>
              <w:rPr>
                <w:sz w:val="10"/>
                <w:szCs w:val="10"/>
                <w:color w:val="auto"/>
              </w:rPr>
            </w:pPr>
          </w:p>
        </w:tc>
        <w:tc>
          <w:tcPr>
            <w:tcW w:w="54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spacing w:after="0"/>
              <w:rPr>
                <w:sz w:val="10"/>
                <w:szCs w:val="10"/>
                <w:color w:val="auto"/>
              </w:rPr>
            </w:pPr>
          </w:p>
        </w:tc>
      </w:tr>
      <w:tr>
        <w:trPr>
          <w:trHeight w:val="122"/>
        </w:trPr>
        <w:tc>
          <w:tcPr>
            <w:tcW w:w="450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Foreign currency exchange contracts</w:t>
            </w:r>
          </w:p>
        </w:tc>
        <w:tc>
          <w:tcPr>
            <w:tcW w:w="34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8,198</w:t>
            </w:r>
          </w:p>
        </w:tc>
        <w:tc>
          <w:tcPr>
            <w:tcW w:w="48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9,679</w:t>
            </w:r>
          </w:p>
        </w:tc>
        <w:tc>
          <w:tcPr>
            <w:tcW w:w="52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7</w:t>
            </w:r>
          </w:p>
        </w:tc>
        <w:tc>
          <w:tcPr>
            <w:tcW w:w="620" w:type="dxa"/>
            <w:vAlign w:val="bottom"/>
            <w:tcBorders>
              <w:bottom w:val="single" w:sz="8" w:color="D7282F"/>
            </w:tcBorders>
          </w:tcPr>
          <w:p>
            <w:pPr>
              <w:spacing w:after="0"/>
              <w:rPr>
                <w:sz w:val="10"/>
                <w:szCs w:val="10"/>
                <w:color w:val="auto"/>
              </w:rPr>
            </w:pPr>
          </w:p>
        </w:tc>
        <w:tc>
          <w:tcPr>
            <w:tcW w:w="5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74</w:t>
            </w:r>
          </w:p>
        </w:tc>
        <w:tc>
          <w:tcPr>
            <w:tcW w:w="46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(5)</w:t>
            </w:r>
          </w:p>
        </w:tc>
        <w:tc>
          <w:tcPr>
            <w:tcW w:w="64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w:t>
            </w:r>
          </w:p>
        </w:tc>
      </w:tr>
      <w:tr>
        <w:trPr>
          <w:trHeight w:val="126"/>
        </w:trPr>
        <w:tc>
          <w:tcPr>
            <w:tcW w:w="4500" w:type="dxa"/>
            <w:vAlign w:val="bottom"/>
            <w:tcBorders>
              <w:bottom w:val="single" w:sz="8" w:color="D7282F"/>
            </w:tcBorders>
          </w:tcPr>
          <w:p>
            <w:pPr>
              <w:ind w:left="220"/>
              <w:spacing w:after="0"/>
              <w:rPr>
                <w:sz w:val="20"/>
                <w:szCs w:val="20"/>
                <w:color w:val="auto"/>
              </w:rPr>
            </w:pPr>
            <w:r>
              <w:rPr>
                <w:rFonts w:ascii="Arial" w:cs="Arial" w:eastAsia="Arial" w:hAnsi="Arial"/>
                <w:sz w:val="10"/>
                <w:szCs w:val="10"/>
                <w:b w:val="1"/>
                <w:bCs w:val="1"/>
                <w:color w:val="auto"/>
              </w:rPr>
              <w:t>Total derivatives at fair value</w:t>
            </w:r>
          </w:p>
        </w:tc>
        <w:tc>
          <w:tcPr>
            <w:tcW w:w="34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17,897</w:t>
            </w:r>
          </w:p>
        </w:tc>
        <w:tc>
          <w:tcPr>
            <w:tcW w:w="480" w:type="dxa"/>
            <w:vAlign w:val="bottom"/>
            <w:tcBorders>
              <w:bottom w:val="single" w:sz="8" w:color="D7282F"/>
            </w:tcBorders>
          </w:tcPr>
          <w:p>
            <w:pPr>
              <w:jc w:val="right"/>
              <w:ind w:right="252"/>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18,727</w:t>
            </w:r>
          </w:p>
        </w:tc>
        <w:tc>
          <w:tcPr>
            <w:tcW w:w="52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53</w:t>
            </w:r>
          </w:p>
        </w:tc>
        <w:tc>
          <w:tcPr>
            <w:tcW w:w="620" w:type="dxa"/>
            <w:vAlign w:val="bottom"/>
            <w:tcBorders>
              <w:bottom w:val="single" w:sz="8" w:color="D7282F"/>
            </w:tcBorders>
          </w:tcPr>
          <w:p>
            <w:pPr>
              <w:jc w:val="right"/>
              <w:ind w:right="392"/>
              <w:spacing w:after="0"/>
              <w:rPr>
                <w:sz w:val="20"/>
                <w:szCs w:val="20"/>
                <w:color w:val="auto"/>
              </w:rPr>
            </w:pPr>
            <w:r>
              <w:rPr>
                <w:rFonts w:ascii="Arial" w:cs="Arial" w:eastAsia="Arial" w:hAnsi="Arial"/>
                <w:sz w:val="10"/>
                <w:szCs w:val="10"/>
                <w:b w:val="1"/>
                <w:bCs w:val="1"/>
                <w:color w:val="auto"/>
              </w:rPr>
              <w:t>$</w:t>
            </w:r>
          </w:p>
        </w:tc>
        <w:tc>
          <w:tcPr>
            <w:tcW w:w="5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199</w:t>
            </w:r>
          </w:p>
        </w:tc>
        <w:tc>
          <w:tcPr>
            <w:tcW w:w="46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(339)</w:t>
            </w:r>
          </w:p>
        </w:tc>
        <w:tc>
          <w:tcPr>
            <w:tcW w:w="640" w:type="dxa"/>
            <w:vAlign w:val="bottom"/>
            <w:tcBorders>
              <w:bottom w:val="single" w:sz="8" w:color="D7282F"/>
            </w:tcBorders>
          </w:tcPr>
          <w:p>
            <w:pPr>
              <w:jc w:val="right"/>
              <w:ind w:right="43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(312)</w:t>
            </w:r>
          </w:p>
        </w:tc>
      </w:tr>
    </w:tbl>
    <w:p>
      <w:pPr>
        <w:spacing w:after="0" w:line="126" w:lineRule="exact"/>
        <w:rPr>
          <w:sz w:val="20"/>
          <w:szCs w:val="20"/>
          <w:color w:val="auto"/>
        </w:rPr>
      </w:pPr>
    </w:p>
    <w:p>
      <w:pPr>
        <w:ind w:left="8"/>
        <w:spacing w:after="0"/>
        <w:rPr>
          <w:sz w:val="20"/>
          <w:szCs w:val="20"/>
          <w:color w:val="auto"/>
        </w:rPr>
      </w:pPr>
      <w:r>
        <w:rPr>
          <w:rFonts w:ascii="Arial" w:cs="Arial" w:eastAsia="Arial" w:hAnsi="Arial"/>
          <w:sz w:val="11"/>
          <w:szCs w:val="11"/>
          <w:color w:val="auto"/>
        </w:rPr>
        <w:t>All Derivative assets are presented in Other current assets or Other assets. All Derivative liabilities are presented in Accrued liabilities or Other liabilities.</w:t>
      </w:r>
    </w:p>
    <w:p>
      <w:pPr>
        <w:spacing w:after="0" w:line="72"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In addition to the foreign currency derivative contracts designated as net investment hedges, certain of the Company's foreign currency denominated debt instruments are designated as net investment hedges. The carrying value of those debt instruments designated as net investment hedges, which includes the adjustment for the foreign currency transaction gain or loss on those instruments, was $6,099 million and $3,836 million as of December 31, 2023, and 2022, respectively.</w:t>
      </w:r>
    </w:p>
    <w:p>
      <w:pPr>
        <w:spacing w:after="0" w:line="54" w:lineRule="exact"/>
        <w:rPr>
          <w:sz w:val="20"/>
          <w:szCs w:val="20"/>
          <w:color w:val="auto"/>
        </w:rPr>
      </w:pPr>
    </w:p>
    <w:p>
      <w:pPr>
        <w:jc w:val="both"/>
        <w:ind w:left="8"/>
        <w:spacing w:after="0" w:line="253" w:lineRule="auto"/>
        <w:rPr>
          <w:sz w:val="20"/>
          <w:szCs w:val="20"/>
          <w:color w:val="auto"/>
        </w:rPr>
      </w:pPr>
      <w:r>
        <w:rPr>
          <w:rFonts w:ascii="Arial" w:cs="Arial" w:eastAsia="Arial" w:hAnsi="Arial"/>
          <w:sz w:val="11"/>
          <w:szCs w:val="11"/>
          <w:color w:val="auto"/>
        </w:rPr>
        <w:t>Interest rate swap agreements are designated as hedge relationships with gains or losses on the derivative recognized in Interest and other financial charges offsetting the gains and losses on the underlying debt being hedged. Gains and losses on interest rate swap agreements recognized in earnings were $121 million of income, $347 million of expense, and $135 million of expense for the years ended December 31, 2023, 2022, and 2021, respectively. Gains and losses are fully offset by losses and gains on the underlying debt being hedged.</w:t>
      </w:r>
    </w:p>
    <w:p>
      <w:pPr>
        <w:spacing w:after="0" w:line="59"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sets forth the amounts recorded in the Consolidated Balance Sheet related to cumulative basis adjustments for fair value hedges:</w:t>
      </w:r>
    </w:p>
    <w:p>
      <w:pPr>
        <w:spacing w:after="0" w:line="20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6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20" w:type="dxa"/>
            <w:vAlign w:val="bottom"/>
            <w:gridSpan w:val="2"/>
          </w:tcPr>
          <w:p>
            <w:pPr>
              <w:jc w:val="center"/>
              <w:ind w:left="32"/>
              <w:spacing w:after="0"/>
              <w:rPr>
                <w:sz w:val="20"/>
                <w:szCs w:val="20"/>
                <w:color w:val="auto"/>
              </w:rPr>
            </w:pPr>
            <w:r>
              <w:rPr>
                <w:rFonts w:ascii="Arial" w:cs="Arial" w:eastAsia="Arial" w:hAnsi="Arial"/>
                <w:sz w:val="10"/>
                <w:szCs w:val="10"/>
                <w:b w:val="1"/>
                <w:bCs w:val="1"/>
                <w:color w:val="auto"/>
                <w:w w:val="95"/>
              </w:rPr>
              <w:t>Cumulative Amount of</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6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80" w:type="dxa"/>
            <w:vAlign w:val="bottom"/>
            <w:gridSpan w:val="3"/>
            <w:vMerge w:val="restart"/>
          </w:tcPr>
          <w:p>
            <w:pPr>
              <w:ind w:left="320"/>
              <w:spacing w:after="0"/>
              <w:rPr>
                <w:sz w:val="20"/>
                <w:szCs w:val="20"/>
                <w:color w:val="auto"/>
              </w:rPr>
            </w:pPr>
            <w:r>
              <w:rPr>
                <w:rFonts w:ascii="Arial" w:cs="Arial" w:eastAsia="Arial" w:hAnsi="Arial"/>
                <w:sz w:val="10"/>
                <w:szCs w:val="10"/>
                <w:b w:val="1"/>
                <w:bCs w:val="1"/>
                <w:color w:val="auto"/>
              </w:rPr>
              <w:t>Carrying Amount</w:t>
            </w:r>
          </w:p>
        </w:tc>
        <w:tc>
          <w:tcPr>
            <w:tcW w:w="340" w:type="dxa"/>
            <w:vAlign w:val="bottom"/>
          </w:tcPr>
          <w:p>
            <w:pPr>
              <w:spacing w:after="0"/>
              <w:rPr>
                <w:sz w:val="8"/>
                <w:szCs w:val="8"/>
                <w:color w:val="auto"/>
              </w:rPr>
            </w:pPr>
          </w:p>
        </w:tc>
        <w:tc>
          <w:tcPr>
            <w:tcW w:w="1620" w:type="dxa"/>
            <w:vAlign w:val="bottom"/>
            <w:gridSpan w:val="2"/>
          </w:tcPr>
          <w:p>
            <w:pPr>
              <w:jc w:val="center"/>
              <w:ind w:left="32"/>
              <w:spacing w:after="0" w:line="99" w:lineRule="exact"/>
              <w:rPr>
                <w:sz w:val="20"/>
                <w:szCs w:val="20"/>
                <w:color w:val="auto"/>
              </w:rPr>
            </w:pPr>
            <w:r>
              <w:rPr>
                <w:rFonts w:ascii="Arial" w:cs="Arial" w:eastAsia="Arial" w:hAnsi="Arial"/>
                <w:sz w:val="10"/>
                <w:szCs w:val="10"/>
                <w:b w:val="1"/>
                <w:bCs w:val="1"/>
                <w:color w:val="auto"/>
                <w:w w:val="95"/>
              </w:rPr>
              <w:t>Fair Value Hedging Adjustment</w:t>
            </w: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8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620" w:type="dxa"/>
            <w:vAlign w:val="bottom"/>
            <w:gridSpan w:val="2"/>
          </w:tcPr>
          <w:p>
            <w:pPr>
              <w:jc w:val="center"/>
              <w:ind w:left="32"/>
              <w:spacing w:after="0" w:line="97" w:lineRule="exact"/>
              <w:rPr>
                <w:sz w:val="20"/>
                <w:szCs w:val="20"/>
                <w:color w:val="auto"/>
              </w:rPr>
            </w:pPr>
            <w:r>
              <w:rPr>
                <w:rFonts w:ascii="Arial" w:cs="Arial" w:eastAsia="Arial" w:hAnsi="Arial"/>
                <w:sz w:val="10"/>
                <w:szCs w:val="10"/>
                <w:b w:val="1"/>
                <w:bCs w:val="1"/>
                <w:color w:val="auto"/>
                <w:w w:val="96"/>
              </w:rPr>
              <w:t>Included in the Carrying</w:t>
            </w: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6780" w:type="dxa"/>
            <w:vAlign w:val="bottom"/>
          </w:tcPr>
          <w:p>
            <w:pPr>
              <w:spacing w:after="0"/>
              <w:rPr>
                <w:sz w:val="10"/>
                <w:szCs w:val="10"/>
                <w:color w:val="auto"/>
              </w:rPr>
            </w:pPr>
          </w:p>
        </w:tc>
        <w:tc>
          <w:tcPr>
            <w:tcW w:w="380" w:type="dxa"/>
            <w:vAlign w:val="bottom"/>
            <w:tcBorders>
              <w:bottom w:val="single" w:sz="8" w:color="D7282F"/>
            </w:tcBorders>
          </w:tcPr>
          <w:p>
            <w:pPr>
              <w:spacing w:after="0"/>
              <w:rPr>
                <w:sz w:val="10"/>
                <w:szCs w:val="10"/>
                <w:color w:val="auto"/>
              </w:rPr>
            </w:pPr>
          </w:p>
        </w:tc>
        <w:tc>
          <w:tcPr>
            <w:tcW w:w="1880" w:type="dxa"/>
            <w:vAlign w:val="bottom"/>
            <w:tcBorders>
              <w:bottom w:val="single" w:sz="8" w:color="D7282F"/>
            </w:tcBorders>
            <w:gridSpan w:val="3"/>
          </w:tcPr>
          <w:p>
            <w:pPr>
              <w:ind w:left="360"/>
              <w:spacing w:after="0"/>
              <w:rPr>
                <w:sz w:val="20"/>
                <w:szCs w:val="20"/>
                <w:color w:val="auto"/>
              </w:rPr>
            </w:pPr>
            <w:r>
              <w:rPr>
                <w:rFonts w:ascii="Arial" w:cs="Arial" w:eastAsia="Arial" w:hAnsi="Arial"/>
                <w:sz w:val="10"/>
                <w:szCs w:val="10"/>
                <w:b w:val="1"/>
                <w:bCs w:val="1"/>
                <w:color w:val="auto"/>
              </w:rPr>
              <w:t>of Hedged Item</w:t>
            </w:r>
          </w:p>
        </w:tc>
        <w:tc>
          <w:tcPr>
            <w:tcW w:w="340" w:type="dxa"/>
            <w:vAlign w:val="bottom"/>
            <w:tcBorders>
              <w:bottom w:val="single" w:sz="8" w:color="D7282F"/>
            </w:tcBorders>
          </w:tcPr>
          <w:p>
            <w:pPr>
              <w:spacing w:after="0"/>
              <w:rPr>
                <w:sz w:val="10"/>
                <w:szCs w:val="10"/>
                <w:color w:val="auto"/>
              </w:rPr>
            </w:pPr>
          </w:p>
        </w:tc>
        <w:tc>
          <w:tcPr>
            <w:tcW w:w="1620" w:type="dxa"/>
            <w:vAlign w:val="bottom"/>
            <w:tcBorders>
              <w:bottom w:val="single" w:sz="8" w:color="D7282F"/>
            </w:tcBorders>
            <w:gridSpan w:val="2"/>
          </w:tcPr>
          <w:p>
            <w:pPr>
              <w:jc w:val="center"/>
              <w:ind w:left="52"/>
              <w:spacing w:after="0"/>
              <w:rPr>
                <w:sz w:val="20"/>
                <w:szCs w:val="20"/>
                <w:color w:val="auto"/>
              </w:rPr>
            </w:pPr>
            <w:r>
              <w:rPr>
                <w:rFonts w:ascii="Arial" w:cs="Arial" w:eastAsia="Arial" w:hAnsi="Arial"/>
                <w:sz w:val="10"/>
                <w:szCs w:val="10"/>
                <w:b w:val="1"/>
                <w:bCs w:val="1"/>
                <w:color w:val="auto"/>
                <w:w w:val="95"/>
              </w:rPr>
              <w:t>Amount of Hedged Item</w:t>
            </w:r>
          </w:p>
        </w:tc>
        <w:tc>
          <w:tcPr>
            <w:tcW w:w="300" w:type="dxa"/>
            <w:vAlign w:val="bottom"/>
            <w:tcBorders>
              <w:bottom w:val="single" w:sz="8" w:color="D7282F"/>
            </w:tcBorders>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6780" w:type="dxa"/>
            <w:vAlign w:val="bottom"/>
            <w:tcBorders>
              <w:bottom w:val="single" w:sz="8" w:color="D7282F"/>
            </w:tcBorders>
          </w:tcPr>
          <w:p>
            <w:pPr>
              <w:spacing w:after="0"/>
              <w:rPr>
                <w:sz w:val="20"/>
                <w:szCs w:val="20"/>
                <w:color w:val="auto"/>
              </w:rPr>
            </w:pPr>
          </w:p>
        </w:tc>
        <w:tc>
          <w:tcPr>
            <w:tcW w:w="1060" w:type="dxa"/>
            <w:vAlign w:val="bottom"/>
            <w:tcBorders>
              <w:bottom w:val="single" w:sz="8" w:color="D7282F"/>
            </w:tcBorders>
            <w:gridSpan w:val="2"/>
          </w:tcPr>
          <w:p>
            <w:pPr>
              <w:ind w:left="60"/>
              <w:spacing w:after="0"/>
              <w:rPr>
                <w:sz w:val="20"/>
                <w:szCs w:val="20"/>
                <w:color w:val="auto"/>
              </w:rPr>
            </w:pPr>
            <w:r>
              <w:rPr>
                <w:rFonts w:ascii="Arial" w:cs="Arial" w:eastAsia="Arial" w:hAnsi="Arial"/>
                <w:sz w:val="10"/>
                <w:szCs w:val="10"/>
                <w:b w:val="1"/>
                <w:bCs w:val="1"/>
                <w:color w:val="auto"/>
              </w:rPr>
              <w:t>December 31, 2023</w:t>
            </w:r>
          </w:p>
        </w:tc>
        <w:tc>
          <w:tcPr>
            <w:tcW w:w="200" w:type="dxa"/>
            <w:vAlign w:val="bottom"/>
            <w:tcBorders>
              <w:bottom w:val="single" w:sz="8" w:color="D7282F"/>
            </w:tcBorders>
          </w:tcPr>
          <w:p>
            <w:pPr>
              <w:spacing w:after="0"/>
              <w:rPr>
                <w:sz w:val="20"/>
                <w:szCs w:val="20"/>
                <w:color w:val="auto"/>
              </w:rPr>
            </w:pPr>
          </w:p>
        </w:tc>
        <w:tc>
          <w:tcPr>
            <w:tcW w:w="10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w w:val="93"/>
              </w:rPr>
              <w:t>December 31, 2022</w:t>
            </w:r>
          </w:p>
        </w:tc>
        <w:tc>
          <w:tcPr>
            <w:tcW w:w="1200" w:type="dxa"/>
            <w:vAlign w:val="bottom"/>
            <w:tcBorders>
              <w:bottom w:val="single" w:sz="8" w:color="D7282F"/>
            </w:tcBorders>
            <w:gridSpan w:val="2"/>
          </w:tcPr>
          <w:p>
            <w:pPr>
              <w:jc w:val="right"/>
              <w:ind w:right="112"/>
              <w:spacing w:after="0"/>
              <w:rPr>
                <w:sz w:val="20"/>
                <w:szCs w:val="20"/>
                <w:color w:val="auto"/>
              </w:rPr>
            </w:pPr>
            <w:r>
              <w:rPr>
                <w:rFonts w:ascii="Arial" w:cs="Arial" w:eastAsia="Arial" w:hAnsi="Arial"/>
                <w:sz w:val="10"/>
                <w:szCs w:val="10"/>
                <w:b w:val="1"/>
                <w:bCs w:val="1"/>
                <w:color w:val="auto"/>
              </w:rPr>
              <w:t>December 31, 2023</w:t>
            </w:r>
          </w:p>
        </w:tc>
        <w:tc>
          <w:tcPr>
            <w:tcW w:w="1060" w:type="dxa"/>
            <w:vAlign w:val="bottom"/>
            <w:tcBorders>
              <w:bottom w:val="single" w:sz="8" w:color="D7282F"/>
            </w:tcBorders>
            <w:gridSpan w:val="2"/>
          </w:tcPr>
          <w:p>
            <w:pPr>
              <w:jc w:val="right"/>
              <w:spacing w:after="0"/>
              <w:rPr>
                <w:sz w:val="20"/>
                <w:szCs w:val="20"/>
                <w:color w:val="auto"/>
              </w:rPr>
            </w:pPr>
            <w:r>
              <w:rPr>
                <w:rFonts w:ascii="Arial" w:cs="Arial" w:eastAsia="Arial" w:hAnsi="Arial"/>
                <w:sz w:val="10"/>
                <w:szCs w:val="10"/>
                <w:b w:val="1"/>
                <w:bCs w:val="1"/>
                <w:color w:val="auto"/>
              </w:rPr>
              <w:t>December 31, 2022</w:t>
            </w:r>
          </w:p>
        </w:tc>
        <w:tc>
          <w:tcPr>
            <w:tcW w:w="0" w:type="dxa"/>
            <w:vAlign w:val="bottom"/>
          </w:tcPr>
          <w:p>
            <w:pPr>
              <w:spacing w:after="0"/>
              <w:rPr>
                <w:sz w:val="1"/>
                <w:szCs w:val="1"/>
                <w:color w:val="auto"/>
              </w:rPr>
            </w:pPr>
          </w:p>
        </w:tc>
      </w:tr>
      <w:tr>
        <w:trPr>
          <w:trHeight w:val="122"/>
        </w:trPr>
        <w:tc>
          <w:tcPr>
            <w:tcW w:w="67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Long-term debt</w:t>
            </w:r>
          </w:p>
        </w:tc>
        <w:tc>
          <w:tcPr>
            <w:tcW w:w="38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D7282F"/>
            </w:tcBorders>
          </w:tcPr>
          <w:p>
            <w:pPr>
              <w:ind w:left="300"/>
              <w:spacing w:after="0"/>
              <w:rPr>
                <w:sz w:val="20"/>
                <w:szCs w:val="20"/>
                <w:color w:val="auto"/>
              </w:rPr>
            </w:pPr>
            <w:r>
              <w:rPr>
                <w:rFonts w:ascii="Arial" w:cs="Arial" w:eastAsia="Arial" w:hAnsi="Arial"/>
                <w:sz w:val="10"/>
                <w:szCs w:val="10"/>
                <w:color w:val="auto"/>
              </w:rPr>
              <w:t>4,551</w:t>
            </w: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4,696</w:t>
            </w:r>
          </w:p>
        </w:tc>
        <w:tc>
          <w:tcPr>
            <w:tcW w:w="3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(166)</w:t>
            </w:r>
          </w:p>
        </w:tc>
        <w:tc>
          <w:tcPr>
            <w:tcW w:w="760" w:type="dxa"/>
            <w:vAlign w:val="bottom"/>
            <w:tcBorders>
              <w:bottom w:val="single" w:sz="8" w:color="D7282F"/>
            </w:tcBorders>
          </w:tcPr>
          <w:p>
            <w:pPr>
              <w:jc w:val="right"/>
              <w:ind w:right="552"/>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(287)</w:t>
            </w:r>
          </w:p>
        </w:tc>
        <w:tc>
          <w:tcPr>
            <w:tcW w:w="0" w:type="dxa"/>
            <w:vAlign w:val="bottom"/>
          </w:tcPr>
          <w:p>
            <w:pPr>
              <w:spacing w:after="0"/>
              <w:rPr>
                <w:sz w:val="1"/>
                <w:szCs w:val="1"/>
                <w:color w:val="auto"/>
              </w:rPr>
            </w:pPr>
          </w:p>
        </w:tc>
      </w:tr>
    </w:tbl>
    <w:p>
      <w:pPr>
        <w:spacing w:after="0" w:line="351" w:lineRule="exact"/>
        <w:rPr>
          <w:sz w:val="20"/>
          <w:szCs w:val="20"/>
          <w:color w:val="auto"/>
        </w:rPr>
      </w:pPr>
    </w:p>
    <w:p>
      <w:pPr>
        <w:ind w:left="268" w:hanging="268"/>
        <w:spacing w:after="0"/>
        <w:tabs>
          <w:tab w:leader="none" w:pos="268" w:val="left"/>
        </w:tabs>
        <w:numPr>
          <w:ilvl w:val="0"/>
          <w:numId w:val="125"/>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85" w:name="page86"/>
    <w:bookmarkEnd w:id="85"/>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tables summarize the location and impact to the Consolidated Statement of Operations related to derivative instruments: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3960" w:type="dxa"/>
            <w:vAlign w:val="bottom"/>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900" w:type="dxa"/>
            <w:vAlign w:val="bottom"/>
            <w:tcBorders>
              <w:bottom w:val="single" w:sz="8" w:color="D7282F"/>
            </w:tcBorders>
          </w:tcPr>
          <w:p>
            <w:pPr>
              <w:spacing w:after="0"/>
              <w:rPr>
                <w:sz w:val="11"/>
                <w:szCs w:val="11"/>
                <w:color w:val="auto"/>
              </w:rPr>
            </w:pPr>
          </w:p>
        </w:tc>
        <w:tc>
          <w:tcPr>
            <w:tcW w:w="240" w:type="dxa"/>
            <w:vAlign w:val="bottom"/>
            <w:tcBorders>
              <w:bottom w:val="single" w:sz="8" w:color="D7282F"/>
            </w:tcBorders>
          </w:tcPr>
          <w:p>
            <w:pPr>
              <w:spacing w:after="0"/>
              <w:rPr>
                <w:sz w:val="11"/>
                <w:szCs w:val="11"/>
                <w:color w:val="auto"/>
              </w:rPr>
            </w:pPr>
          </w:p>
        </w:tc>
        <w:tc>
          <w:tcPr>
            <w:tcW w:w="960" w:type="dxa"/>
            <w:vAlign w:val="bottom"/>
            <w:tcBorders>
              <w:bottom w:val="single" w:sz="8" w:color="D7282F"/>
            </w:tcBorders>
          </w:tcPr>
          <w:p>
            <w:pPr>
              <w:spacing w:after="0"/>
              <w:rPr>
                <w:sz w:val="11"/>
                <w:szCs w:val="11"/>
                <w:color w:val="auto"/>
              </w:rPr>
            </w:pPr>
          </w:p>
        </w:tc>
        <w:tc>
          <w:tcPr>
            <w:tcW w:w="220" w:type="dxa"/>
            <w:vAlign w:val="bottom"/>
            <w:tcBorders>
              <w:bottom w:val="single" w:sz="8" w:color="D7282F"/>
            </w:tcBorders>
          </w:tcPr>
          <w:p>
            <w:pPr>
              <w:spacing w:after="0"/>
              <w:rPr>
                <w:sz w:val="11"/>
                <w:szCs w:val="11"/>
                <w:color w:val="auto"/>
              </w:rPr>
            </w:pPr>
          </w:p>
        </w:tc>
        <w:tc>
          <w:tcPr>
            <w:tcW w:w="2500" w:type="dxa"/>
            <w:vAlign w:val="bottom"/>
            <w:tcBorders>
              <w:bottom w:val="single" w:sz="8" w:color="D7282F"/>
            </w:tcBorders>
            <w:gridSpan w:val="3"/>
          </w:tcPr>
          <w:p>
            <w:pPr>
              <w:jc w:val="right"/>
              <w:ind w:right="552"/>
              <w:spacing w:after="0"/>
              <w:rPr>
                <w:sz w:val="20"/>
                <w:szCs w:val="20"/>
                <w:color w:val="auto"/>
              </w:rPr>
            </w:pPr>
            <w:r>
              <w:rPr>
                <w:rFonts w:ascii="Arial" w:cs="Arial" w:eastAsia="Arial" w:hAnsi="Arial"/>
                <w:sz w:val="10"/>
                <w:szCs w:val="10"/>
                <w:b w:val="1"/>
                <w:bCs w:val="1"/>
                <w:color w:val="auto"/>
              </w:rPr>
              <w:t>Year Ended December 31, 2023</w:t>
            </w:r>
          </w:p>
        </w:tc>
        <w:tc>
          <w:tcPr>
            <w:tcW w:w="180" w:type="dxa"/>
            <w:vAlign w:val="bottom"/>
            <w:tcBorders>
              <w:bottom w:val="single" w:sz="8" w:color="D7282F"/>
            </w:tcBorders>
          </w:tcPr>
          <w:p>
            <w:pPr>
              <w:spacing w:after="0"/>
              <w:rPr>
                <w:sz w:val="11"/>
                <w:szCs w:val="11"/>
                <w:color w:val="auto"/>
              </w:rPr>
            </w:pPr>
          </w:p>
        </w:tc>
        <w:tc>
          <w:tcPr>
            <w:tcW w:w="104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940" w:type="dxa"/>
            <w:vAlign w:val="bottom"/>
            <w:tcBorders>
              <w:bottom w:val="single" w:sz="8" w:color="D7282F"/>
            </w:tcBorders>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3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vMerge w:val="restart"/>
          </w:tcPr>
          <w:p>
            <w:pPr>
              <w:jc w:val="right"/>
              <w:ind w:right="312"/>
              <w:spacing w:after="0"/>
              <w:rPr>
                <w:sz w:val="20"/>
                <w:szCs w:val="20"/>
                <w:color w:val="auto"/>
              </w:rPr>
            </w:pPr>
            <w:r>
              <w:rPr>
                <w:rFonts w:ascii="Arial" w:cs="Arial" w:eastAsia="Arial" w:hAnsi="Arial"/>
                <w:sz w:val="10"/>
                <w:szCs w:val="10"/>
                <w:b w:val="1"/>
                <w:bCs w:val="1"/>
                <w:color w:val="auto"/>
              </w:rPr>
              <w:t>Net Sales</w:t>
            </w:r>
          </w:p>
        </w:tc>
        <w:tc>
          <w:tcPr>
            <w:tcW w:w="240" w:type="dxa"/>
            <w:vAlign w:val="bottom"/>
          </w:tcPr>
          <w:p>
            <w:pPr>
              <w:spacing w:after="0"/>
              <w:rPr>
                <w:sz w:val="24"/>
                <w:szCs w:val="24"/>
                <w:color w:val="auto"/>
              </w:rPr>
            </w:pPr>
          </w:p>
        </w:tc>
        <w:tc>
          <w:tcPr>
            <w:tcW w:w="960" w:type="dxa"/>
            <w:vAlign w:val="bottom"/>
          </w:tcPr>
          <w:p>
            <w:pPr>
              <w:jc w:val="center"/>
              <w:ind w:right="172"/>
              <w:spacing w:after="0"/>
              <w:rPr>
                <w:sz w:val="20"/>
                <w:szCs w:val="20"/>
                <w:color w:val="auto"/>
              </w:rPr>
            </w:pPr>
            <w:r>
              <w:rPr>
                <w:rFonts w:ascii="Arial" w:cs="Arial" w:eastAsia="Arial" w:hAnsi="Arial"/>
                <w:sz w:val="10"/>
                <w:szCs w:val="10"/>
                <w:b w:val="1"/>
                <w:bCs w:val="1"/>
                <w:color w:val="auto"/>
                <w:w w:val="98"/>
              </w:rPr>
              <w:t>Cost of</w:t>
            </w:r>
          </w:p>
        </w:tc>
        <w:tc>
          <w:tcPr>
            <w:tcW w:w="220" w:type="dxa"/>
            <w:vAlign w:val="bottom"/>
          </w:tcPr>
          <w:p>
            <w:pPr>
              <w:spacing w:after="0"/>
              <w:rPr>
                <w:sz w:val="24"/>
                <w:szCs w:val="24"/>
                <w:color w:val="auto"/>
              </w:rPr>
            </w:pPr>
          </w:p>
        </w:tc>
        <w:tc>
          <w:tcPr>
            <w:tcW w:w="960" w:type="dxa"/>
            <w:vAlign w:val="bottom"/>
          </w:tcPr>
          <w:p>
            <w:pPr>
              <w:jc w:val="center"/>
              <w:ind w:right="172"/>
              <w:spacing w:after="0"/>
              <w:rPr>
                <w:sz w:val="20"/>
                <w:szCs w:val="20"/>
                <w:color w:val="auto"/>
              </w:rPr>
            </w:pPr>
            <w:r>
              <w:rPr>
                <w:rFonts w:ascii="Arial" w:cs="Arial" w:eastAsia="Arial" w:hAnsi="Arial"/>
                <w:sz w:val="10"/>
                <w:szCs w:val="10"/>
                <w:b w:val="1"/>
                <w:bCs w:val="1"/>
                <w:color w:val="auto"/>
                <w:w w:val="98"/>
              </w:rPr>
              <w:t>Cost of</w:t>
            </w:r>
          </w:p>
        </w:tc>
        <w:tc>
          <w:tcPr>
            <w:tcW w:w="200" w:type="dxa"/>
            <w:vAlign w:val="bottom"/>
          </w:tcPr>
          <w:p>
            <w:pPr>
              <w:spacing w:after="0"/>
              <w:rPr>
                <w:sz w:val="24"/>
                <w:szCs w:val="24"/>
                <w:color w:val="auto"/>
              </w:rPr>
            </w:pPr>
          </w:p>
        </w:tc>
        <w:tc>
          <w:tcPr>
            <w:tcW w:w="1340" w:type="dxa"/>
            <w:vAlign w:val="bottom"/>
          </w:tcPr>
          <w:p>
            <w:pPr>
              <w:jc w:val="center"/>
              <w:ind w:right="132"/>
              <w:spacing w:after="0"/>
              <w:rPr>
                <w:sz w:val="20"/>
                <w:szCs w:val="20"/>
                <w:color w:val="auto"/>
              </w:rPr>
            </w:pPr>
            <w:r>
              <w:rPr>
                <w:rFonts w:ascii="Arial" w:cs="Arial" w:eastAsia="Arial" w:hAnsi="Arial"/>
                <w:sz w:val="10"/>
                <w:szCs w:val="10"/>
                <w:b w:val="1"/>
                <w:bCs w:val="1"/>
                <w:color w:val="auto"/>
                <w:w w:val="95"/>
              </w:rPr>
              <w:t>Selling, General and</w:t>
            </w:r>
          </w:p>
        </w:tc>
        <w:tc>
          <w:tcPr>
            <w:tcW w:w="180" w:type="dxa"/>
            <w:vAlign w:val="bottom"/>
          </w:tcPr>
          <w:p>
            <w:pPr>
              <w:spacing w:after="0"/>
              <w:rPr>
                <w:sz w:val="24"/>
                <w:szCs w:val="24"/>
                <w:color w:val="auto"/>
              </w:rPr>
            </w:pPr>
          </w:p>
        </w:tc>
        <w:tc>
          <w:tcPr>
            <w:tcW w:w="1040" w:type="dxa"/>
            <w:vAlign w:val="bottom"/>
          </w:tcPr>
          <w:p>
            <w:pPr>
              <w:jc w:val="center"/>
              <w:ind w:right="132"/>
              <w:spacing w:after="0"/>
              <w:rPr>
                <w:sz w:val="20"/>
                <w:szCs w:val="20"/>
                <w:color w:val="auto"/>
              </w:rPr>
            </w:pPr>
            <w:r>
              <w:rPr>
                <w:rFonts w:ascii="Arial" w:cs="Arial" w:eastAsia="Arial" w:hAnsi="Arial"/>
                <w:sz w:val="10"/>
                <w:szCs w:val="10"/>
                <w:b w:val="1"/>
                <w:bCs w:val="1"/>
                <w:color w:val="auto"/>
                <w:w w:val="97"/>
              </w:rPr>
              <w:t>Other</w:t>
            </w:r>
          </w:p>
        </w:tc>
        <w:tc>
          <w:tcPr>
            <w:tcW w:w="200" w:type="dxa"/>
            <w:vAlign w:val="bottom"/>
          </w:tcPr>
          <w:p>
            <w:pPr>
              <w:spacing w:after="0"/>
              <w:rPr>
                <w:sz w:val="24"/>
                <w:szCs w:val="24"/>
                <w:color w:val="auto"/>
              </w:rPr>
            </w:pPr>
          </w:p>
        </w:tc>
        <w:tc>
          <w:tcPr>
            <w:tcW w:w="940" w:type="dxa"/>
            <w:vAlign w:val="bottom"/>
          </w:tcPr>
          <w:p>
            <w:pPr>
              <w:jc w:val="right"/>
              <w:ind w:right="52"/>
              <w:spacing w:after="0"/>
              <w:rPr>
                <w:sz w:val="20"/>
                <w:szCs w:val="20"/>
                <w:color w:val="auto"/>
              </w:rPr>
            </w:pPr>
            <w:r>
              <w:rPr>
                <w:rFonts w:ascii="Arial" w:cs="Arial" w:eastAsia="Arial" w:hAnsi="Arial"/>
                <w:sz w:val="10"/>
                <w:szCs w:val="10"/>
                <w:b w:val="1"/>
                <w:bCs w:val="1"/>
                <w:color w:val="auto"/>
                <w:w w:val="95"/>
              </w:rPr>
              <w:t>Interest and Other</w:t>
            </w:r>
          </w:p>
        </w:tc>
        <w:tc>
          <w:tcPr>
            <w:tcW w:w="0" w:type="dxa"/>
            <w:vAlign w:val="bottom"/>
          </w:tcPr>
          <w:p>
            <w:pPr>
              <w:spacing w:after="0"/>
              <w:rPr>
                <w:sz w:val="1"/>
                <w:szCs w:val="1"/>
                <w:color w:val="auto"/>
              </w:rPr>
            </w:pPr>
          </w:p>
        </w:tc>
      </w:tr>
      <w:tr>
        <w:trPr>
          <w:trHeight w:val="124"/>
        </w:trPr>
        <w:tc>
          <w:tcPr>
            <w:tcW w:w="396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900" w:type="dxa"/>
            <w:vAlign w:val="bottom"/>
            <w:tcBorders>
              <w:bottom w:val="single" w:sz="8" w:color="D7282F"/>
            </w:tcBorders>
            <w:vMerge w:val="continue"/>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jc w:val="center"/>
              <w:ind w:right="172"/>
              <w:spacing w:after="0"/>
              <w:rPr>
                <w:sz w:val="20"/>
                <w:szCs w:val="20"/>
                <w:color w:val="auto"/>
              </w:rPr>
            </w:pPr>
            <w:r>
              <w:rPr>
                <w:rFonts w:ascii="Arial" w:cs="Arial" w:eastAsia="Arial" w:hAnsi="Arial"/>
                <w:sz w:val="10"/>
                <w:szCs w:val="10"/>
                <w:b w:val="1"/>
                <w:bCs w:val="1"/>
                <w:color w:val="auto"/>
                <w:w w:val="97"/>
              </w:rPr>
              <w:t>Products Sold</w:t>
            </w:r>
          </w:p>
        </w:tc>
        <w:tc>
          <w:tcPr>
            <w:tcW w:w="22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jc w:val="center"/>
              <w:ind w:right="172"/>
              <w:spacing w:after="0"/>
              <w:rPr>
                <w:sz w:val="20"/>
                <w:szCs w:val="20"/>
                <w:color w:val="auto"/>
              </w:rPr>
            </w:pPr>
            <w:r>
              <w:rPr>
                <w:rFonts w:ascii="Arial" w:cs="Arial" w:eastAsia="Arial" w:hAnsi="Arial"/>
                <w:sz w:val="10"/>
                <w:szCs w:val="10"/>
                <w:b w:val="1"/>
                <w:bCs w:val="1"/>
                <w:color w:val="auto"/>
                <w:w w:val="94"/>
              </w:rPr>
              <w:t>Services Sold</w:t>
            </w:r>
          </w:p>
        </w:tc>
        <w:tc>
          <w:tcPr>
            <w:tcW w:w="200" w:type="dxa"/>
            <w:vAlign w:val="bottom"/>
            <w:tcBorders>
              <w:bottom w:val="single" w:sz="8" w:color="D7282F"/>
            </w:tcBorders>
          </w:tcPr>
          <w:p>
            <w:pPr>
              <w:spacing w:after="0"/>
              <w:rPr>
                <w:sz w:val="10"/>
                <w:szCs w:val="10"/>
                <w:color w:val="auto"/>
              </w:rPr>
            </w:pPr>
          </w:p>
        </w:tc>
        <w:tc>
          <w:tcPr>
            <w:tcW w:w="1340" w:type="dxa"/>
            <w:vAlign w:val="bottom"/>
            <w:tcBorders>
              <w:bottom w:val="single" w:sz="8" w:color="D7282F"/>
            </w:tcBorders>
          </w:tcPr>
          <w:p>
            <w:pPr>
              <w:jc w:val="center"/>
              <w:ind w:right="152"/>
              <w:spacing w:after="0"/>
              <w:rPr>
                <w:sz w:val="20"/>
                <w:szCs w:val="20"/>
                <w:color w:val="auto"/>
              </w:rPr>
            </w:pPr>
            <w:r>
              <w:rPr>
                <w:rFonts w:ascii="Arial" w:cs="Arial" w:eastAsia="Arial" w:hAnsi="Arial"/>
                <w:sz w:val="10"/>
                <w:szCs w:val="10"/>
                <w:b w:val="1"/>
                <w:bCs w:val="1"/>
                <w:color w:val="auto"/>
                <w:w w:val="95"/>
              </w:rPr>
              <w:t>Administrative Expenses</w:t>
            </w:r>
          </w:p>
        </w:tc>
        <w:tc>
          <w:tcPr>
            <w:tcW w:w="180" w:type="dxa"/>
            <w:vAlign w:val="bottom"/>
            <w:tcBorders>
              <w:bottom w:val="single" w:sz="8" w:color="D7282F"/>
            </w:tcBorders>
          </w:tcPr>
          <w:p>
            <w:pPr>
              <w:spacing w:after="0"/>
              <w:rPr>
                <w:sz w:val="10"/>
                <w:szCs w:val="10"/>
                <w:color w:val="auto"/>
              </w:rPr>
            </w:pPr>
          </w:p>
        </w:tc>
        <w:tc>
          <w:tcPr>
            <w:tcW w:w="1040" w:type="dxa"/>
            <w:vAlign w:val="bottom"/>
            <w:tcBorders>
              <w:bottom w:val="single" w:sz="8" w:color="D7282F"/>
            </w:tcBorders>
          </w:tcPr>
          <w:p>
            <w:pPr>
              <w:jc w:val="center"/>
              <w:ind w:right="132"/>
              <w:spacing w:after="0"/>
              <w:rPr>
                <w:sz w:val="20"/>
                <w:szCs w:val="20"/>
                <w:color w:val="auto"/>
              </w:rPr>
            </w:pPr>
            <w:r>
              <w:rPr>
                <w:rFonts w:ascii="Arial" w:cs="Arial" w:eastAsia="Arial" w:hAnsi="Arial"/>
                <w:sz w:val="10"/>
                <w:szCs w:val="10"/>
                <w:b w:val="1"/>
                <w:bCs w:val="1"/>
                <w:color w:val="auto"/>
                <w:w w:val="95"/>
              </w:rPr>
              <w:t>(Income) Expense</w:t>
            </w:r>
          </w:p>
        </w:tc>
        <w:tc>
          <w:tcPr>
            <w:tcW w:w="200" w:type="dxa"/>
            <w:vAlign w:val="bottom"/>
            <w:tcBorders>
              <w:bottom w:val="single" w:sz="8" w:color="D7282F"/>
            </w:tcBorders>
          </w:tcPr>
          <w:p>
            <w:pPr>
              <w:spacing w:after="0"/>
              <w:rPr>
                <w:sz w:val="10"/>
                <w:szCs w:val="10"/>
                <w:color w:val="auto"/>
              </w:rPr>
            </w:pPr>
          </w:p>
        </w:tc>
        <w:tc>
          <w:tcPr>
            <w:tcW w:w="94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95"/>
              </w:rPr>
              <w:t>Financial Charges</w:t>
            </w:r>
          </w:p>
        </w:tc>
        <w:tc>
          <w:tcPr>
            <w:tcW w:w="0" w:type="dxa"/>
            <w:vAlign w:val="bottom"/>
          </w:tcPr>
          <w:p>
            <w:pPr>
              <w:spacing w:after="0"/>
              <w:rPr>
                <w:sz w:val="1"/>
                <w:szCs w:val="1"/>
                <w:color w:val="auto"/>
              </w:rPr>
            </w:pPr>
          </w:p>
        </w:tc>
      </w:tr>
      <w:tr>
        <w:trPr>
          <w:trHeight w:val="121"/>
        </w:trPr>
        <w:tc>
          <w:tcPr>
            <w:tcW w:w="4120" w:type="dxa"/>
            <w:vAlign w:val="bottom"/>
            <w:tcBorders>
              <w:bottom w:val="single" w:sz="8" w:color="888B8D"/>
            </w:tcBorders>
            <w:gridSpan w:val="2"/>
          </w:tcPr>
          <w:p>
            <w:pPr>
              <w:ind w:left="3960"/>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36,662</w:t>
            </w:r>
          </w:p>
        </w:tc>
        <w:tc>
          <w:tcPr>
            <w:tcW w:w="2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9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16,977</w:t>
            </w:r>
          </w:p>
        </w:tc>
        <w:tc>
          <w:tcPr>
            <w:tcW w:w="2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9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6,018</w:t>
            </w:r>
          </w:p>
        </w:tc>
        <w:tc>
          <w:tcPr>
            <w:tcW w:w="2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13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5,127</w:t>
            </w:r>
          </w:p>
        </w:tc>
        <w:tc>
          <w:tcPr>
            <w:tcW w:w="1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(840)</w:t>
            </w:r>
          </w:p>
        </w:tc>
        <w:tc>
          <w:tcPr>
            <w:tcW w:w="2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765</w:t>
            </w:r>
          </w:p>
        </w:tc>
        <w:tc>
          <w:tcPr>
            <w:tcW w:w="0" w:type="dxa"/>
            <w:vAlign w:val="bottom"/>
          </w:tcPr>
          <w:p>
            <w:pPr>
              <w:spacing w:after="0"/>
              <w:rPr>
                <w:sz w:val="1"/>
                <w:szCs w:val="1"/>
                <w:color w:val="auto"/>
              </w:rPr>
            </w:pPr>
          </w:p>
        </w:tc>
      </w:tr>
      <w:tr>
        <w:trPr>
          <w:trHeight w:val="126"/>
        </w:trPr>
        <w:tc>
          <w:tcPr>
            <w:tcW w:w="412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b w:val="1"/>
                <w:bCs w:val="1"/>
                <w:color w:val="auto"/>
              </w:rPr>
              <w:t>Gain or (loss) on cash flow hedges</w:t>
            </w:r>
          </w:p>
        </w:tc>
        <w:tc>
          <w:tcPr>
            <w:tcW w:w="9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34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120" w:type="dxa"/>
            <w:vAlign w:val="bottom"/>
            <w:tcBorders>
              <w:bottom w:val="single" w:sz="8" w:color="888B8D"/>
            </w:tcBorders>
            <w:gridSpan w:val="2"/>
          </w:tcPr>
          <w:p>
            <w:pPr>
              <w:ind w:left="80"/>
              <w:spacing w:after="0"/>
              <w:rPr>
                <w:sz w:val="20"/>
                <w:szCs w:val="20"/>
                <w:color w:val="auto"/>
              </w:rPr>
            </w:pPr>
            <w:r>
              <w:rPr>
                <w:rFonts w:ascii="Arial" w:cs="Arial" w:eastAsia="Arial" w:hAnsi="Arial"/>
                <w:sz w:val="10"/>
                <w:szCs w:val="10"/>
                <w:color w:val="auto"/>
              </w:rPr>
              <w:t>Foreign currency exchange contracts</w:t>
            </w:r>
          </w:p>
        </w:tc>
        <w:tc>
          <w:tcPr>
            <w:tcW w:w="9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34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120" w:type="dxa"/>
            <w:vAlign w:val="bottom"/>
            <w:tcBorders>
              <w:bottom w:val="single" w:sz="8" w:color="888B8D"/>
            </w:tcBorders>
            <w:gridSpan w:val="2"/>
          </w:tcPr>
          <w:p>
            <w:pPr>
              <w:ind w:left="140"/>
              <w:spacing w:after="0"/>
              <w:rPr>
                <w:sz w:val="20"/>
                <w:szCs w:val="20"/>
                <w:color w:val="auto"/>
              </w:rPr>
            </w:pPr>
            <w:r>
              <w:rPr>
                <w:rFonts w:ascii="Arial" w:cs="Arial" w:eastAsia="Arial" w:hAnsi="Arial"/>
                <w:sz w:val="10"/>
                <w:szCs w:val="10"/>
                <w:color w:val="auto"/>
              </w:rPr>
              <w:t>Amount reclassified from accumulated other comprehensive income (loss) into income</w:t>
            </w:r>
          </w:p>
        </w:tc>
        <w:tc>
          <w:tcPr>
            <w:tcW w:w="9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15</w:t>
            </w:r>
          </w:p>
        </w:tc>
        <w:tc>
          <w:tcPr>
            <w:tcW w:w="24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28</w:t>
            </w:r>
          </w:p>
        </w:tc>
        <w:tc>
          <w:tcPr>
            <w:tcW w:w="22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10</w:t>
            </w:r>
          </w:p>
        </w:tc>
        <w:tc>
          <w:tcPr>
            <w:tcW w:w="200" w:type="dxa"/>
            <w:vAlign w:val="bottom"/>
            <w:tcBorders>
              <w:bottom w:val="single" w:sz="8" w:color="888B8D"/>
            </w:tcBorders>
          </w:tcPr>
          <w:p>
            <w:pPr>
              <w:spacing w:after="0"/>
              <w:rPr>
                <w:sz w:val="10"/>
                <w:szCs w:val="10"/>
                <w:color w:val="auto"/>
              </w:rPr>
            </w:pPr>
          </w:p>
        </w:tc>
        <w:tc>
          <w:tcPr>
            <w:tcW w:w="13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10</w:t>
            </w:r>
          </w:p>
        </w:tc>
        <w:tc>
          <w:tcPr>
            <w:tcW w:w="18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412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b w:val="1"/>
                <w:bCs w:val="1"/>
                <w:color w:val="auto"/>
              </w:rPr>
              <w:t>Gain or (loss) on fair value hedges</w:t>
            </w:r>
          </w:p>
        </w:tc>
        <w:tc>
          <w:tcPr>
            <w:tcW w:w="9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34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120" w:type="dxa"/>
            <w:vAlign w:val="bottom"/>
            <w:tcBorders>
              <w:bottom w:val="single" w:sz="8" w:color="888B8D"/>
            </w:tcBorders>
            <w:gridSpan w:val="2"/>
          </w:tcPr>
          <w:p>
            <w:pPr>
              <w:ind w:left="80"/>
              <w:spacing w:after="0"/>
              <w:rPr>
                <w:sz w:val="20"/>
                <w:szCs w:val="20"/>
                <w:color w:val="auto"/>
              </w:rPr>
            </w:pPr>
            <w:r>
              <w:rPr>
                <w:rFonts w:ascii="Arial" w:cs="Arial" w:eastAsia="Arial" w:hAnsi="Arial"/>
                <w:sz w:val="10"/>
                <w:szCs w:val="10"/>
                <w:color w:val="auto"/>
              </w:rPr>
              <w:t>Interest rate swap agreements</w:t>
            </w:r>
          </w:p>
        </w:tc>
        <w:tc>
          <w:tcPr>
            <w:tcW w:w="9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34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120" w:type="dxa"/>
            <w:vAlign w:val="bottom"/>
            <w:tcBorders>
              <w:bottom w:val="single" w:sz="8" w:color="888B8D"/>
            </w:tcBorders>
            <w:gridSpan w:val="2"/>
          </w:tcPr>
          <w:p>
            <w:pPr>
              <w:ind w:left="140"/>
              <w:spacing w:after="0"/>
              <w:rPr>
                <w:sz w:val="20"/>
                <w:szCs w:val="20"/>
                <w:color w:val="auto"/>
              </w:rPr>
            </w:pPr>
            <w:r>
              <w:rPr>
                <w:rFonts w:ascii="Arial" w:cs="Arial" w:eastAsia="Arial" w:hAnsi="Arial"/>
                <w:sz w:val="10"/>
                <w:szCs w:val="10"/>
                <w:color w:val="auto"/>
              </w:rPr>
              <w:t>Hedged items</w:t>
            </w:r>
          </w:p>
        </w:tc>
        <w:tc>
          <w:tcPr>
            <w:tcW w:w="9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13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(121)</w:t>
            </w:r>
          </w:p>
        </w:tc>
        <w:tc>
          <w:tcPr>
            <w:tcW w:w="0" w:type="dxa"/>
            <w:vAlign w:val="bottom"/>
          </w:tcPr>
          <w:p>
            <w:pPr>
              <w:spacing w:after="0"/>
              <w:rPr>
                <w:sz w:val="1"/>
                <w:szCs w:val="1"/>
                <w:color w:val="auto"/>
              </w:rPr>
            </w:pPr>
          </w:p>
        </w:tc>
      </w:tr>
      <w:tr>
        <w:trPr>
          <w:trHeight w:val="124"/>
        </w:trPr>
        <w:tc>
          <w:tcPr>
            <w:tcW w:w="3960" w:type="dxa"/>
            <w:vAlign w:val="bottom"/>
            <w:tcBorders>
              <w:bottom w:val="single" w:sz="8" w:color="61656A"/>
            </w:tcBorders>
          </w:tcPr>
          <w:p>
            <w:pPr>
              <w:ind w:left="140"/>
              <w:spacing w:after="0"/>
              <w:rPr>
                <w:sz w:val="20"/>
                <w:szCs w:val="20"/>
                <w:color w:val="auto"/>
              </w:rPr>
            </w:pPr>
            <w:r>
              <w:rPr>
                <w:rFonts w:ascii="Arial" w:cs="Arial" w:eastAsia="Arial" w:hAnsi="Arial"/>
                <w:sz w:val="10"/>
                <w:szCs w:val="10"/>
                <w:color w:val="auto"/>
              </w:rPr>
              <w:t>Derivatives designated as hedges</w:t>
            </w:r>
          </w:p>
        </w:tc>
        <w:tc>
          <w:tcPr>
            <w:tcW w:w="160" w:type="dxa"/>
            <w:vAlign w:val="bottom"/>
            <w:tcBorders>
              <w:bottom w:val="single" w:sz="8" w:color="888B8D"/>
            </w:tcBorders>
          </w:tcPr>
          <w:p>
            <w:pPr>
              <w:spacing w:after="0"/>
              <w:rPr>
                <w:sz w:val="10"/>
                <w:szCs w:val="10"/>
                <w:color w:val="auto"/>
              </w:rPr>
            </w:pPr>
          </w:p>
        </w:tc>
        <w:tc>
          <w:tcPr>
            <w:tcW w:w="9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13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121</w:t>
            </w:r>
          </w:p>
        </w:tc>
        <w:tc>
          <w:tcPr>
            <w:tcW w:w="0" w:type="dxa"/>
            <w:vAlign w:val="bottom"/>
          </w:tcPr>
          <w:p>
            <w:pPr>
              <w:spacing w:after="0"/>
              <w:rPr>
                <w:sz w:val="1"/>
                <w:szCs w:val="1"/>
                <w:color w:val="auto"/>
              </w:rPr>
            </w:pPr>
          </w:p>
        </w:tc>
      </w:tr>
      <w:tr>
        <w:trPr>
          <w:trHeight w:val="126"/>
        </w:trPr>
        <w:tc>
          <w:tcPr>
            <w:tcW w:w="412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b w:val="1"/>
                <w:bCs w:val="1"/>
                <w:color w:val="auto"/>
              </w:rPr>
              <w:t>Gain or (loss) on derivatives not designated as hedging instruments</w:t>
            </w:r>
          </w:p>
        </w:tc>
        <w:tc>
          <w:tcPr>
            <w:tcW w:w="9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34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120" w:type="dxa"/>
            <w:vAlign w:val="bottom"/>
            <w:tcBorders>
              <w:bottom w:val="single" w:sz="8" w:color="D7282F"/>
            </w:tcBorders>
            <w:gridSpan w:val="2"/>
          </w:tcPr>
          <w:p>
            <w:pPr>
              <w:ind w:left="80"/>
              <w:spacing w:after="0"/>
              <w:rPr>
                <w:sz w:val="20"/>
                <w:szCs w:val="20"/>
                <w:color w:val="auto"/>
              </w:rPr>
            </w:pPr>
            <w:r>
              <w:rPr>
                <w:rFonts w:ascii="Arial" w:cs="Arial" w:eastAsia="Arial" w:hAnsi="Arial"/>
                <w:sz w:val="10"/>
                <w:szCs w:val="10"/>
                <w:color w:val="auto"/>
              </w:rPr>
              <w:t>Foreign currency exchange contracts</w:t>
            </w:r>
          </w:p>
        </w:tc>
        <w:tc>
          <w:tcPr>
            <w:tcW w:w="9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D7282F"/>
            </w:tcBorders>
          </w:tcPr>
          <w:p>
            <w:pPr>
              <w:spacing w:after="0"/>
              <w:rPr>
                <w:sz w:val="10"/>
                <w:szCs w:val="10"/>
                <w:color w:val="auto"/>
              </w:rPr>
            </w:pPr>
          </w:p>
        </w:tc>
        <w:tc>
          <w:tcPr>
            <w:tcW w:w="13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D7282F"/>
            </w:tcBorders>
          </w:tcPr>
          <w:p>
            <w:pPr>
              <w:spacing w:after="0"/>
              <w:rPr>
                <w:sz w:val="10"/>
                <w:szCs w:val="10"/>
                <w:color w:val="auto"/>
              </w:rPr>
            </w:pPr>
          </w:p>
        </w:tc>
        <w:tc>
          <w:tcPr>
            <w:tcW w:w="10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(116)</w:t>
            </w:r>
          </w:p>
        </w:tc>
        <w:tc>
          <w:tcPr>
            <w:tcW w:w="200" w:type="dxa"/>
            <w:vAlign w:val="bottom"/>
            <w:tcBorders>
              <w:bottom w:val="single" w:sz="8" w:color="D7282F"/>
            </w:tcBorders>
          </w:tcPr>
          <w:p>
            <w:pPr>
              <w:spacing w:after="0"/>
              <w:rPr>
                <w:sz w:val="10"/>
                <w:szCs w:val="10"/>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15"/>
        </w:trPr>
        <w:tc>
          <w:tcPr>
            <w:tcW w:w="3960" w:type="dxa"/>
            <w:vAlign w:val="bottom"/>
          </w:tcPr>
          <w:p>
            <w:pPr>
              <w:spacing w:after="0"/>
              <w:rPr>
                <w:sz w:val="24"/>
                <w:szCs w:val="24"/>
                <w:color w:val="auto"/>
              </w:rPr>
            </w:pPr>
          </w:p>
        </w:tc>
        <w:tc>
          <w:tcPr>
            <w:tcW w:w="160" w:type="dxa"/>
            <w:vAlign w:val="bottom"/>
            <w:tcBorders>
              <w:bottom w:val="single" w:sz="8" w:color="D7282F"/>
            </w:tcBorders>
          </w:tcPr>
          <w:p>
            <w:pPr>
              <w:spacing w:after="0"/>
              <w:rPr>
                <w:sz w:val="24"/>
                <w:szCs w:val="24"/>
                <w:color w:val="auto"/>
              </w:rPr>
            </w:pPr>
          </w:p>
        </w:tc>
        <w:tc>
          <w:tcPr>
            <w:tcW w:w="900" w:type="dxa"/>
            <w:vAlign w:val="bottom"/>
            <w:tcBorders>
              <w:bottom w:val="single" w:sz="8" w:color="D7282F"/>
            </w:tcBorders>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960" w:type="dxa"/>
            <w:vAlign w:val="bottom"/>
            <w:tcBorders>
              <w:bottom w:val="single" w:sz="8" w:color="D7282F"/>
            </w:tcBorders>
          </w:tcPr>
          <w:p>
            <w:pPr>
              <w:spacing w:after="0"/>
              <w:rPr>
                <w:sz w:val="24"/>
                <w:szCs w:val="24"/>
                <w:color w:val="auto"/>
              </w:rPr>
            </w:pPr>
          </w:p>
        </w:tc>
        <w:tc>
          <w:tcPr>
            <w:tcW w:w="220" w:type="dxa"/>
            <w:vAlign w:val="bottom"/>
            <w:tcBorders>
              <w:bottom w:val="single" w:sz="8" w:color="D7282F"/>
            </w:tcBorders>
          </w:tcPr>
          <w:p>
            <w:pPr>
              <w:spacing w:after="0"/>
              <w:rPr>
                <w:sz w:val="24"/>
                <w:szCs w:val="24"/>
                <w:color w:val="auto"/>
              </w:rPr>
            </w:pPr>
          </w:p>
        </w:tc>
        <w:tc>
          <w:tcPr>
            <w:tcW w:w="2500" w:type="dxa"/>
            <w:vAlign w:val="bottom"/>
            <w:tcBorders>
              <w:bottom w:val="single" w:sz="8" w:color="D7282F"/>
            </w:tcBorders>
            <w:gridSpan w:val="3"/>
          </w:tcPr>
          <w:p>
            <w:pPr>
              <w:jc w:val="right"/>
              <w:ind w:right="552"/>
              <w:spacing w:after="0"/>
              <w:rPr>
                <w:sz w:val="20"/>
                <w:szCs w:val="20"/>
                <w:color w:val="auto"/>
              </w:rPr>
            </w:pPr>
            <w:r>
              <w:rPr>
                <w:rFonts w:ascii="Arial" w:cs="Arial" w:eastAsia="Arial" w:hAnsi="Arial"/>
                <w:sz w:val="10"/>
                <w:szCs w:val="10"/>
                <w:b w:val="1"/>
                <w:bCs w:val="1"/>
                <w:color w:val="auto"/>
              </w:rPr>
              <w:t>Year Ended December 31, 2022</w:t>
            </w:r>
          </w:p>
        </w:tc>
        <w:tc>
          <w:tcPr>
            <w:tcW w:w="180" w:type="dxa"/>
            <w:vAlign w:val="bottom"/>
            <w:tcBorders>
              <w:bottom w:val="single" w:sz="8" w:color="D7282F"/>
            </w:tcBorders>
          </w:tcPr>
          <w:p>
            <w:pPr>
              <w:spacing w:after="0"/>
              <w:rPr>
                <w:sz w:val="24"/>
                <w:szCs w:val="24"/>
                <w:color w:val="auto"/>
              </w:rPr>
            </w:pPr>
          </w:p>
        </w:tc>
        <w:tc>
          <w:tcPr>
            <w:tcW w:w="1040" w:type="dxa"/>
            <w:vAlign w:val="bottom"/>
            <w:tcBorders>
              <w:bottom w:val="single" w:sz="8" w:color="D7282F"/>
            </w:tcBorders>
          </w:tcPr>
          <w:p>
            <w:pPr>
              <w:spacing w:after="0"/>
              <w:rPr>
                <w:sz w:val="24"/>
                <w:szCs w:val="24"/>
                <w:color w:val="auto"/>
              </w:rPr>
            </w:pPr>
          </w:p>
        </w:tc>
        <w:tc>
          <w:tcPr>
            <w:tcW w:w="200" w:type="dxa"/>
            <w:vAlign w:val="bottom"/>
            <w:tcBorders>
              <w:bottom w:val="single" w:sz="8" w:color="D7282F"/>
            </w:tcBorders>
          </w:tcPr>
          <w:p>
            <w:pPr>
              <w:spacing w:after="0"/>
              <w:rPr>
                <w:sz w:val="24"/>
                <w:szCs w:val="24"/>
                <w:color w:val="auto"/>
              </w:rPr>
            </w:pPr>
          </w:p>
        </w:tc>
        <w:tc>
          <w:tcPr>
            <w:tcW w:w="94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vMerge w:val="restart"/>
          </w:tcPr>
          <w:p>
            <w:pPr>
              <w:jc w:val="right"/>
              <w:ind w:right="312"/>
              <w:spacing w:after="0"/>
              <w:rPr>
                <w:sz w:val="20"/>
                <w:szCs w:val="20"/>
                <w:color w:val="auto"/>
              </w:rPr>
            </w:pPr>
            <w:r>
              <w:rPr>
                <w:rFonts w:ascii="Arial" w:cs="Arial" w:eastAsia="Arial" w:hAnsi="Arial"/>
                <w:sz w:val="10"/>
                <w:szCs w:val="10"/>
                <w:b w:val="1"/>
                <w:bCs w:val="1"/>
                <w:color w:val="auto"/>
              </w:rPr>
              <w:t>Net Sales</w:t>
            </w:r>
          </w:p>
        </w:tc>
        <w:tc>
          <w:tcPr>
            <w:tcW w:w="240" w:type="dxa"/>
            <w:vAlign w:val="bottom"/>
          </w:tcPr>
          <w:p>
            <w:pPr>
              <w:spacing w:after="0"/>
              <w:rPr>
                <w:sz w:val="24"/>
                <w:szCs w:val="24"/>
                <w:color w:val="auto"/>
              </w:rPr>
            </w:pPr>
          </w:p>
        </w:tc>
        <w:tc>
          <w:tcPr>
            <w:tcW w:w="960" w:type="dxa"/>
            <w:vAlign w:val="bottom"/>
          </w:tcPr>
          <w:p>
            <w:pPr>
              <w:jc w:val="center"/>
              <w:ind w:right="172"/>
              <w:spacing w:after="0"/>
              <w:rPr>
                <w:sz w:val="20"/>
                <w:szCs w:val="20"/>
                <w:color w:val="auto"/>
              </w:rPr>
            </w:pPr>
            <w:r>
              <w:rPr>
                <w:rFonts w:ascii="Arial" w:cs="Arial" w:eastAsia="Arial" w:hAnsi="Arial"/>
                <w:sz w:val="10"/>
                <w:szCs w:val="10"/>
                <w:b w:val="1"/>
                <w:bCs w:val="1"/>
                <w:color w:val="auto"/>
                <w:w w:val="98"/>
              </w:rPr>
              <w:t>Cost of</w:t>
            </w:r>
          </w:p>
        </w:tc>
        <w:tc>
          <w:tcPr>
            <w:tcW w:w="220" w:type="dxa"/>
            <w:vAlign w:val="bottom"/>
          </w:tcPr>
          <w:p>
            <w:pPr>
              <w:spacing w:after="0"/>
              <w:rPr>
                <w:sz w:val="24"/>
                <w:szCs w:val="24"/>
                <w:color w:val="auto"/>
              </w:rPr>
            </w:pPr>
          </w:p>
        </w:tc>
        <w:tc>
          <w:tcPr>
            <w:tcW w:w="960" w:type="dxa"/>
            <w:vAlign w:val="bottom"/>
          </w:tcPr>
          <w:p>
            <w:pPr>
              <w:jc w:val="center"/>
              <w:ind w:right="172"/>
              <w:spacing w:after="0"/>
              <w:rPr>
                <w:sz w:val="20"/>
                <w:szCs w:val="20"/>
                <w:color w:val="auto"/>
              </w:rPr>
            </w:pPr>
            <w:r>
              <w:rPr>
                <w:rFonts w:ascii="Arial" w:cs="Arial" w:eastAsia="Arial" w:hAnsi="Arial"/>
                <w:sz w:val="10"/>
                <w:szCs w:val="10"/>
                <w:b w:val="1"/>
                <w:bCs w:val="1"/>
                <w:color w:val="auto"/>
                <w:w w:val="98"/>
              </w:rPr>
              <w:t>Cost of</w:t>
            </w:r>
          </w:p>
        </w:tc>
        <w:tc>
          <w:tcPr>
            <w:tcW w:w="200" w:type="dxa"/>
            <w:vAlign w:val="bottom"/>
          </w:tcPr>
          <w:p>
            <w:pPr>
              <w:spacing w:after="0"/>
              <w:rPr>
                <w:sz w:val="24"/>
                <w:szCs w:val="24"/>
                <w:color w:val="auto"/>
              </w:rPr>
            </w:pPr>
          </w:p>
        </w:tc>
        <w:tc>
          <w:tcPr>
            <w:tcW w:w="1340" w:type="dxa"/>
            <w:vAlign w:val="bottom"/>
          </w:tcPr>
          <w:p>
            <w:pPr>
              <w:jc w:val="center"/>
              <w:ind w:right="132"/>
              <w:spacing w:after="0"/>
              <w:rPr>
                <w:sz w:val="20"/>
                <w:szCs w:val="20"/>
                <w:color w:val="auto"/>
              </w:rPr>
            </w:pPr>
            <w:r>
              <w:rPr>
                <w:rFonts w:ascii="Arial" w:cs="Arial" w:eastAsia="Arial" w:hAnsi="Arial"/>
                <w:sz w:val="10"/>
                <w:szCs w:val="10"/>
                <w:b w:val="1"/>
                <w:bCs w:val="1"/>
                <w:color w:val="auto"/>
                <w:w w:val="95"/>
              </w:rPr>
              <w:t>Selling, General and</w:t>
            </w:r>
          </w:p>
        </w:tc>
        <w:tc>
          <w:tcPr>
            <w:tcW w:w="180" w:type="dxa"/>
            <w:vAlign w:val="bottom"/>
          </w:tcPr>
          <w:p>
            <w:pPr>
              <w:spacing w:after="0"/>
              <w:rPr>
                <w:sz w:val="24"/>
                <w:szCs w:val="24"/>
                <w:color w:val="auto"/>
              </w:rPr>
            </w:pPr>
          </w:p>
        </w:tc>
        <w:tc>
          <w:tcPr>
            <w:tcW w:w="1040" w:type="dxa"/>
            <w:vAlign w:val="bottom"/>
          </w:tcPr>
          <w:p>
            <w:pPr>
              <w:jc w:val="center"/>
              <w:ind w:right="132"/>
              <w:spacing w:after="0"/>
              <w:rPr>
                <w:sz w:val="20"/>
                <w:szCs w:val="20"/>
                <w:color w:val="auto"/>
              </w:rPr>
            </w:pPr>
            <w:r>
              <w:rPr>
                <w:rFonts w:ascii="Arial" w:cs="Arial" w:eastAsia="Arial" w:hAnsi="Arial"/>
                <w:sz w:val="10"/>
                <w:szCs w:val="10"/>
                <w:b w:val="1"/>
                <w:bCs w:val="1"/>
                <w:color w:val="auto"/>
                <w:w w:val="97"/>
              </w:rPr>
              <w:t>Other</w:t>
            </w:r>
          </w:p>
        </w:tc>
        <w:tc>
          <w:tcPr>
            <w:tcW w:w="200" w:type="dxa"/>
            <w:vAlign w:val="bottom"/>
          </w:tcPr>
          <w:p>
            <w:pPr>
              <w:spacing w:after="0"/>
              <w:rPr>
                <w:sz w:val="24"/>
                <w:szCs w:val="24"/>
                <w:color w:val="auto"/>
              </w:rPr>
            </w:pPr>
          </w:p>
        </w:tc>
        <w:tc>
          <w:tcPr>
            <w:tcW w:w="940" w:type="dxa"/>
            <w:vAlign w:val="bottom"/>
          </w:tcPr>
          <w:p>
            <w:pPr>
              <w:jc w:val="right"/>
              <w:ind w:right="52"/>
              <w:spacing w:after="0"/>
              <w:rPr>
                <w:sz w:val="20"/>
                <w:szCs w:val="20"/>
                <w:color w:val="auto"/>
              </w:rPr>
            </w:pPr>
            <w:r>
              <w:rPr>
                <w:rFonts w:ascii="Arial" w:cs="Arial" w:eastAsia="Arial" w:hAnsi="Arial"/>
                <w:sz w:val="10"/>
                <w:szCs w:val="10"/>
                <w:b w:val="1"/>
                <w:bCs w:val="1"/>
                <w:color w:val="auto"/>
                <w:w w:val="95"/>
              </w:rPr>
              <w:t>Interest and Other</w:t>
            </w:r>
          </w:p>
        </w:tc>
        <w:tc>
          <w:tcPr>
            <w:tcW w:w="0" w:type="dxa"/>
            <w:vAlign w:val="bottom"/>
          </w:tcPr>
          <w:p>
            <w:pPr>
              <w:spacing w:after="0"/>
              <w:rPr>
                <w:sz w:val="1"/>
                <w:szCs w:val="1"/>
                <w:color w:val="auto"/>
              </w:rPr>
            </w:pPr>
          </w:p>
        </w:tc>
      </w:tr>
      <w:tr>
        <w:trPr>
          <w:trHeight w:val="124"/>
        </w:trPr>
        <w:tc>
          <w:tcPr>
            <w:tcW w:w="396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900" w:type="dxa"/>
            <w:vAlign w:val="bottom"/>
            <w:tcBorders>
              <w:bottom w:val="single" w:sz="8" w:color="D7282F"/>
            </w:tcBorders>
            <w:vMerge w:val="continue"/>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jc w:val="center"/>
              <w:ind w:right="172"/>
              <w:spacing w:after="0"/>
              <w:rPr>
                <w:sz w:val="20"/>
                <w:szCs w:val="20"/>
                <w:color w:val="auto"/>
              </w:rPr>
            </w:pPr>
            <w:r>
              <w:rPr>
                <w:rFonts w:ascii="Arial" w:cs="Arial" w:eastAsia="Arial" w:hAnsi="Arial"/>
                <w:sz w:val="10"/>
                <w:szCs w:val="10"/>
                <w:b w:val="1"/>
                <w:bCs w:val="1"/>
                <w:color w:val="auto"/>
                <w:w w:val="97"/>
              </w:rPr>
              <w:t>Products Sold</w:t>
            </w:r>
          </w:p>
        </w:tc>
        <w:tc>
          <w:tcPr>
            <w:tcW w:w="22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jc w:val="center"/>
              <w:ind w:right="172"/>
              <w:spacing w:after="0"/>
              <w:rPr>
                <w:sz w:val="20"/>
                <w:szCs w:val="20"/>
                <w:color w:val="auto"/>
              </w:rPr>
            </w:pPr>
            <w:r>
              <w:rPr>
                <w:rFonts w:ascii="Arial" w:cs="Arial" w:eastAsia="Arial" w:hAnsi="Arial"/>
                <w:sz w:val="10"/>
                <w:szCs w:val="10"/>
                <w:b w:val="1"/>
                <w:bCs w:val="1"/>
                <w:color w:val="auto"/>
                <w:w w:val="94"/>
              </w:rPr>
              <w:t>Services Sold</w:t>
            </w:r>
          </w:p>
        </w:tc>
        <w:tc>
          <w:tcPr>
            <w:tcW w:w="200" w:type="dxa"/>
            <w:vAlign w:val="bottom"/>
            <w:tcBorders>
              <w:bottom w:val="single" w:sz="8" w:color="D7282F"/>
            </w:tcBorders>
          </w:tcPr>
          <w:p>
            <w:pPr>
              <w:spacing w:after="0"/>
              <w:rPr>
                <w:sz w:val="10"/>
                <w:szCs w:val="10"/>
                <w:color w:val="auto"/>
              </w:rPr>
            </w:pPr>
          </w:p>
        </w:tc>
        <w:tc>
          <w:tcPr>
            <w:tcW w:w="1340" w:type="dxa"/>
            <w:vAlign w:val="bottom"/>
            <w:tcBorders>
              <w:bottom w:val="single" w:sz="8" w:color="D7282F"/>
            </w:tcBorders>
          </w:tcPr>
          <w:p>
            <w:pPr>
              <w:jc w:val="center"/>
              <w:ind w:right="152"/>
              <w:spacing w:after="0"/>
              <w:rPr>
                <w:sz w:val="20"/>
                <w:szCs w:val="20"/>
                <w:color w:val="auto"/>
              </w:rPr>
            </w:pPr>
            <w:r>
              <w:rPr>
                <w:rFonts w:ascii="Arial" w:cs="Arial" w:eastAsia="Arial" w:hAnsi="Arial"/>
                <w:sz w:val="10"/>
                <w:szCs w:val="10"/>
                <w:b w:val="1"/>
                <w:bCs w:val="1"/>
                <w:color w:val="auto"/>
                <w:w w:val="95"/>
              </w:rPr>
              <w:t>Administrative Expenses</w:t>
            </w:r>
          </w:p>
        </w:tc>
        <w:tc>
          <w:tcPr>
            <w:tcW w:w="180" w:type="dxa"/>
            <w:vAlign w:val="bottom"/>
            <w:tcBorders>
              <w:bottom w:val="single" w:sz="8" w:color="D7282F"/>
            </w:tcBorders>
          </w:tcPr>
          <w:p>
            <w:pPr>
              <w:spacing w:after="0"/>
              <w:rPr>
                <w:sz w:val="10"/>
                <w:szCs w:val="10"/>
                <w:color w:val="auto"/>
              </w:rPr>
            </w:pPr>
          </w:p>
        </w:tc>
        <w:tc>
          <w:tcPr>
            <w:tcW w:w="1040" w:type="dxa"/>
            <w:vAlign w:val="bottom"/>
            <w:tcBorders>
              <w:bottom w:val="single" w:sz="8" w:color="D7282F"/>
            </w:tcBorders>
          </w:tcPr>
          <w:p>
            <w:pPr>
              <w:jc w:val="center"/>
              <w:ind w:right="132"/>
              <w:spacing w:after="0"/>
              <w:rPr>
                <w:sz w:val="20"/>
                <w:szCs w:val="20"/>
                <w:color w:val="auto"/>
              </w:rPr>
            </w:pPr>
            <w:r>
              <w:rPr>
                <w:rFonts w:ascii="Arial" w:cs="Arial" w:eastAsia="Arial" w:hAnsi="Arial"/>
                <w:sz w:val="10"/>
                <w:szCs w:val="10"/>
                <w:b w:val="1"/>
                <w:bCs w:val="1"/>
                <w:color w:val="auto"/>
                <w:w w:val="95"/>
              </w:rPr>
              <w:t>(Income) Expense</w:t>
            </w:r>
          </w:p>
        </w:tc>
        <w:tc>
          <w:tcPr>
            <w:tcW w:w="200" w:type="dxa"/>
            <w:vAlign w:val="bottom"/>
            <w:tcBorders>
              <w:bottom w:val="single" w:sz="8" w:color="D7282F"/>
            </w:tcBorders>
          </w:tcPr>
          <w:p>
            <w:pPr>
              <w:spacing w:after="0"/>
              <w:rPr>
                <w:sz w:val="10"/>
                <w:szCs w:val="10"/>
                <w:color w:val="auto"/>
              </w:rPr>
            </w:pPr>
          </w:p>
        </w:tc>
        <w:tc>
          <w:tcPr>
            <w:tcW w:w="94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95"/>
              </w:rPr>
              <w:t>Financial Charges</w:t>
            </w:r>
          </w:p>
        </w:tc>
        <w:tc>
          <w:tcPr>
            <w:tcW w:w="0" w:type="dxa"/>
            <w:vAlign w:val="bottom"/>
          </w:tcPr>
          <w:p>
            <w:pPr>
              <w:spacing w:after="0"/>
              <w:rPr>
                <w:sz w:val="1"/>
                <w:szCs w:val="1"/>
                <w:color w:val="auto"/>
              </w:rPr>
            </w:pPr>
          </w:p>
        </w:tc>
      </w:tr>
      <w:tr>
        <w:trPr>
          <w:trHeight w:val="121"/>
        </w:trPr>
        <w:tc>
          <w:tcPr>
            <w:tcW w:w="4120" w:type="dxa"/>
            <w:vAlign w:val="bottom"/>
            <w:tcBorders>
              <w:bottom w:val="single" w:sz="8" w:color="888B8D"/>
            </w:tcBorders>
            <w:gridSpan w:val="2"/>
          </w:tcPr>
          <w:p>
            <w:pPr>
              <w:ind w:left="3960"/>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35,466</w:t>
            </w:r>
          </w:p>
        </w:tc>
        <w:tc>
          <w:tcPr>
            <w:tcW w:w="2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9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16,955</w:t>
            </w:r>
          </w:p>
        </w:tc>
        <w:tc>
          <w:tcPr>
            <w:tcW w:w="2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9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5,392</w:t>
            </w:r>
          </w:p>
        </w:tc>
        <w:tc>
          <w:tcPr>
            <w:tcW w:w="2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13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5,214</w:t>
            </w:r>
          </w:p>
        </w:tc>
        <w:tc>
          <w:tcPr>
            <w:tcW w:w="1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(366)</w:t>
            </w:r>
          </w:p>
        </w:tc>
        <w:tc>
          <w:tcPr>
            <w:tcW w:w="2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414</w:t>
            </w:r>
          </w:p>
        </w:tc>
        <w:tc>
          <w:tcPr>
            <w:tcW w:w="0" w:type="dxa"/>
            <w:vAlign w:val="bottom"/>
          </w:tcPr>
          <w:p>
            <w:pPr>
              <w:spacing w:after="0"/>
              <w:rPr>
                <w:sz w:val="1"/>
                <w:szCs w:val="1"/>
                <w:color w:val="auto"/>
              </w:rPr>
            </w:pPr>
          </w:p>
        </w:tc>
      </w:tr>
      <w:tr>
        <w:trPr>
          <w:trHeight w:val="126"/>
        </w:trPr>
        <w:tc>
          <w:tcPr>
            <w:tcW w:w="412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b w:val="1"/>
                <w:bCs w:val="1"/>
                <w:color w:val="auto"/>
              </w:rPr>
              <w:t>Gain or (loss) on cash flow hedges</w:t>
            </w:r>
          </w:p>
        </w:tc>
        <w:tc>
          <w:tcPr>
            <w:tcW w:w="9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34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120" w:type="dxa"/>
            <w:vAlign w:val="bottom"/>
            <w:tcBorders>
              <w:bottom w:val="single" w:sz="8" w:color="888B8D"/>
            </w:tcBorders>
            <w:gridSpan w:val="2"/>
          </w:tcPr>
          <w:p>
            <w:pPr>
              <w:ind w:left="80"/>
              <w:spacing w:after="0"/>
              <w:rPr>
                <w:sz w:val="20"/>
                <w:szCs w:val="20"/>
                <w:color w:val="auto"/>
              </w:rPr>
            </w:pPr>
            <w:r>
              <w:rPr>
                <w:rFonts w:ascii="Arial" w:cs="Arial" w:eastAsia="Arial" w:hAnsi="Arial"/>
                <w:sz w:val="10"/>
                <w:szCs w:val="10"/>
                <w:color w:val="auto"/>
              </w:rPr>
              <w:t>Foreign currency exchange contracts</w:t>
            </w:r>
          </w:p>
        </w:tc>
        <w:tc>
          <w:tcPr>
            <w:tcW w:w="9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34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120" w:type="dxa"/>
            <w:vAlign w:val="bottom"/>
            <w:tcBorders>
              <w:bottom w:val="single" w:sz="8" w:color="888B8D"/>
            </w:tcBorders>
            <w:gridSpan w:val="2"/>
          </w:tcPr>
          <w:p>
            <w:pPr>
              <w:ind w:left="140"/>
              <w:spacing w:after="0"/>
              <w:rPr>
                <w:sz w:val="20"/>
                <w:szCs w:val="20"/>
                <w:color w:val="auto"/>
              </w:rPr>
            </w:pPr>
            <w:r>
              <w:rPr>
                <w:rFonts w:ascii="Arial" w:cs="Arial" w:eastAsia="Arial" w:hAnsi="Arial"/>
                <w:sz w:val="10"/>
                <w:szCs w:val="10"/>
                <w:color w:val="auto"/>
              </w:rPr>
              <w:t>Amount reclassified from accumulated other comprehensive income (loss) into income</w:t>
            </w:r>
          </w:p>
        </w:tc>
        <w:tc>
          <w:tcPr>
            <w:tcW w:w="9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13</w:t>
            </w:r>
          </w:p>
        </w:tc>
        <w:tc>
          <w:tcPr>
            <w:tcW w:w="24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50</w:t>
            </w:r>
          </w:p>
        </w:tc>
        <w:tc>
          <w:tcPr>
            <w:tcW w:w="22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14</w:t>
            </w:r>
          </w:p>
        </w:tc>
        <w:tc>
          <w:tcPr>
            <w:tcW w:w="200" w:type="dxa"/>
            <w:vAlign w:val="bottom"/>
            <w:tcBorders>
              <w:bottom w:val="single" w:sz="8" w:color="888B8D"/>
            </w:tcBorders>
          </w:tcPr>
          <w:p>
            <w:pPr>
              <w:spacing w:after="0"/>
              <w:rPr>
                <w:sz w:val="10"/>
                <w:szCs w:val="10"/>
                <w:color w:val="auto"/>
              </w:rPr>
            </w:pPr>
          </w:p>
        </w:tc>
        <w:tc>
          <w:tcPr>
            <w:tcW w:w="13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(3)</w:t>
            </w:r>
          </w:p>
        </w:tc>
        <w:tc>
          <w:tcPr>
            <w:tcW w:w="18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4120" w:type="dxa"/>
            <w:vAlign w:val="bottom"/>
            <w:tcBorders>
              <w:bottom w:val="single" w:sz="8" w:color="888B8D"/>
            </w:tcBorders>
            <w:gridSpan w:val="2"/>
          </w:tcPr>
          <w:p>
            <w:pPr>
              <w:ind w:left="80"/>
              <w:spacing w:after="0"/>
              <w:rPr>
                <w:sz w:val="20"/>
                <w:szCs w:val="20"/>
                <w:color w:val="auto"/>
              </w:rPr>
            </w:pPr>
            <w:r>
              <w:rPr>
                <w:rFonts w:ascii="Arial" w:cs="Arial" w:eastAsia="Arial" w:hAnsi="Arial"/>
                <w:sz w:val="10"/>
                <w:szCs w:val="10"/>
                <w:color w:val="auto"/>
              </w:rPr>
              <w:t>Commodity Contracts</w:t>
            </w:r>
          </w:p>
        </w:tc>
        <w:tc>
          <w:tcPr>
            <w:tcW w:w="9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34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120" w:type="dxa"/>
            <w:vAlign w:val="bottom"/>
            <w:tcBorders>
              <w:bottom w:val="single" w:sz="8" w:color="888B8D"/>
            </w:tcBorders>
            <w:gridSpan w:val="2"/>
          </w:tcPr>
          <w:p>
            <w:pPr>
              <w:ind w:left="140"/>
              <w:spacing w:after="0"/>
              <w:rPr>
                <w:sz w:val="20"/>
                <w:szCs w:val="20"/>
                <w:color w:val="auto"/>
              </w:rPr>
            </w:pPr>
            <w:r>
              <w:rPr>
                <w:rFonts w:ascii="Arial" w:cs="Arial" w:eastAsia="Arial" w:hAnsi="Arial"/>
                <w:sz w:val="10"/>
                <w:szCs w:val="10"/>
                <w:color w:val="auto"/>
              </w:rPr>
              <w:t>Amount reclassified from accumulated other comprehensive income (loss) into income</w:t>
            </w:r>
          </w:p>
        </w:tc>
        <w:tc>
          <w:tcPr>
            <w:tcW w:w="9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(2)</w:t>
            </w:r>
          </w:p>
        </w:tc>
        <w:tc>
          <w:tcPr>
            <w:tcW w:w="22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13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412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b w:val="1"/>
                <w:bCs w:val="1"/>
                <w:color w:val="auto"/>
              </w:rPr>
              <w:t>Gain or (loss) on fair value hedges</w:t>
            </w:r>
          </w:p>
        </w:tc>
        <w:tc>
          <w:tcPr>
            <w:tcW w:w="9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34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120" w:type="dxa"/>
            <w:vAlign w:val="bottom"/>
            <w:tcBorders>
              <w:bottom w:val="single" w:sz="8" w:color="888B8D"/>
            </w:tcBorders>
            <w:gridSpan w:val="2"/>
          </w:tcPr>
          <w:p>
            <w:pPr>
              <w:ind w:left="80"/>
              <w:spacing w:after="0"/>
              <w:rPr>
                <w:sz w:val="20"/>
                <w:szCs w:val="20"/>
                <w:color w:val="auto"/>
              </w:rPr>
            </w:pPr>
            <w:r>
              <w:rPr>
                <w:rFonts w:ascii="Arial" w:cs="Arial" w:eastAsia="Arial" w:hAnsi="Arial"/>
                <w:sz w:val="10"/>
                <w:szCs w:val="10"/>
                <w:color w:val="auto"/>
              </w:rPr>
              <w:t>Interest rate swap agreements</w:t>
            </w:r>
          </w:p>
        </w:tc>
        <w:tc>
          <w:tcPr>
            <w:tcW w:w="9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34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120" w:type="dxa"/>
            <w:vAlign w:val="bottom"/>
            <w:tcBorders>
              <w:bottom w:val="single" w:sz="8" w:color="888B8D"/>
            </w:tcBorders>
            <w:gridSpan w:val="2"/>
          </w:tcPr>
          <w:p>
            <w:pPr>
              <w:ind w:left="140"/>
              <w:spacing w:after="0"/>
              <w:rPr>
                <w:sz w:val="20"/>
                <w:szCs w:val="20"/>
                <w:color w:val="auto"/>
              </w:rPr>
            </w:pPr>
            <w:r>
              <w:rPr>
                <w:rFonts w:ascii="Arial" w:cs="Arial" w:eastAsia="Arial" w:hAnsi="Arial"/>
                <w:sz w:val="10"/>
                <w:szCs w:val="10"/>
                <w:color w:val="auto"/>
              </w:rPr>
              <w:t>Hedged items</w:t>
            </w:r>
          </w:p>
        </w:tc>
        <w:tc>
          <w:tcPr>
            <w:tcW w:w="9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13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347</w:t>
            </w:r>
          </w:p>
        </w:tc>
        <w:tc>
          <w:tcPr>
            <w:tcW w:w="0" w:type="dxa"/>
            <w:vAlign w:val="bottom"/>
          </w:tcPr>
          <w:p>
            <w:pPr>
              <w:spacing w:after="0"/>
              <w:rPr>
                <w:sz w:val="1"/>
                <w:szCs w:val="1"/>
                <w:color w:val="auto"/>
              </w:rPr>
            </w:pPr>
          </w:p>
        </w:tc>
      </w:tr>
      <w:tr>
        <w:trPr>
          <w:trHeight w:val="124"/>
        </w:trPr>
        <w:tc>
          <w:tcPr>
            <w:tcW w:w="4120" w:type="dxa"/>
            <w:vAlign w:val="bottom"/>
            <w:tcBorders>
              <w:bottom w:val="single" w:sz="8" w:color="888B8D"/>
            </w:tcBorders>
            <w:gridSpan w:val="2"/>
          </w:tcPr>
          <w:p>
            <w:pPr>
              <w:ind w:left="140"/>
              <w:spacing w:after="0"/>
              <w:rPr>
                <w:sz w:val="20"/>
                <w:szCs w:val="20"/>
                <w:color w:val="auto"/>
              </w:rPr>
            </w:pPr>
            <w:r>
              <w:rPr>
                <w:rFonts w:ascii="Arial" w:cs="Arial" w:eastAsia="Arial" w:hAnsi="Arial"/>
                <w:sz w:val="10"/>
                <w:szCs w:val="10"/>
                <w:color w:val="auto"/>
              </w:rPr>
              <w:t>Derivatives designated as hedges</w:t>
            </w:r>
          </w:p>
        </w:tc>
        <w:tc>
          <w:tcPr>
            <w:tcW w:w="9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13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(347)</w:t>
            </w:r>
          </w:p>
        </w:tc>
        <w:tc>
          <w:tcPr>
            <w:tcW w:w="0" w:type="dxa"/>
            <w:vAlign w:val="bottom"/>
          </w:tcPr>
          <w:p>
            <w:pPr>
              <w:spacing w:after="0"/>
              <w:rPr>
                <w:sz w:val="1"/>
                <w:szCs w:val="1"/>
                <w:color w:val="auto"/>
              </w:rPr>
            </w:pPr>
          </w:p>
        </w:tc>
      </w:tr>
      <w:tr>
        <w:trPr>
          <w:trHeight w:val="126"/>
        </w:trPr>
        <w:tc>
          <w:tcPr>
            <w:tcW w:w="412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b w:val="1"/>
                <w:bCs w:val="1"/>
                <w:color w:val="auto"/>
              </w:rPr>
              <w:t>Gain or (loss) on net investment hedges</w:t>
            </w:r>
          </w:p>
        </w:tc>
        <w:tc>
          <w:tcPr>
            <w:tcW w:w="9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34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120" w:type="dxa"/>
            <w:vAlign w:val="bottom"/>
            <w:tcBorders>
              <w:bottom w:val="single" w:sz="8" w:color="888B8D"/>
            </w:tcBorders>
            <w:gridSpan w:val="2"/>
          </w:tcPr>
          <w:p>
            <w:pPr>
              <w:ind w:left="80"/>
              <w:spacing w:after="0"/>
              <w:rPr>
                <w:sz w:val="20"/>
                <w:szCs w:val="20"/>
                <w:color w:val="auto"/>
              </w:rPr>
            </w:pPr>
            <w:r>
              <w:rPr>
                <w:rFonts w:ascii="Arial" w:cs="Arial" w:eastAsia="Arial" w:hAnsi="Arial"/>
                <w:sz w:val="10"/>
                <w:szCs w:val="10"/>
                <w:color w:val="auto"/>
              </w:rPr>
              <w:t>Foreign currency exchange contracts</w:t>
            </w:r>
          </w:p>
        </w:tc>
        <w:tc>
          <w:tcPr>
            <w:tcW w:w="9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34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120" w:type="dxa"/>
            <w:vAlign w:val="bottom"/>
            <w:gridSpan w:val="2"/>
          </w:tcPr>
          <w:p>
            <w:pPr>
              <w:ind w:left="140"/>
              <w:spacing w:after="0" w:line="95" w:lineRule="exact"/>
              <w:rPr>
                <w:sz w:val="20"/>
                <w:szCs w:val="20"/>
                <w:color w:val="auto"/>
              </w:rPr>
            </w:pPr>
            <w:r>
              <w:rPr>
                <w:rFonts w:ascii="Arial" w:cs="Arial" w:eastAsia="Arial" w:hAnsi="Arial"/>
                <w:sz w:val="10"/>
                <w:szCs w:val="10"/>
                <w:color w:val="auto"/>
              </w:rPr>
              <w:t>Amount excluded from effectiveness testing recognized in earnings using an amortization</w:t>
            </w:r>
          </w:p>
        </w:tc>
        <w:tc>
          <w:tcPr>
            <w:tcW w:w="90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8"/>
                <w:szCs w:val="8"/>
                <w:color w:val="auto"/>
              </w:rPr>
            </w:pPr>
          </w:p>
        </w:tc>
        <w:tc>
          <w:tcPr>
            <w:tcW w:w="960" w:type="dxa"/>
            <w:vAlign w:val="bottom"/>
            <w:vMerge w:val="restart"/>
          </w:tcPr>
          <w:p>
            <w:pPr>
              <w:jc w:val="right"/>
              <w:ind w:right="112"/>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96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1340" w:type="dxa"/>
            <w:vAlign w:val="bottom"/>
            <w:vMerge w:val="restart"/>
          </w:tcPr>
          <w:p>
            <w:pPr>
              <w:jc w:val="right"/>
              <w:ind w:right="11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104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22"/>
        </w:trPr>
        <w:tc>
          <w:tcPr>
            <w:tcW w:w="4120" w:type="dxa"/>
            <w:vAlign w:val="bottom"/>
            <w:tcBorders>
              <w:bottom w:val="single" w:sz="8" w:color="888B8D"/>
            </w:tcBorders>
            <w:gridSpan w:val="2"/>
          </w:tcPr>
          <w:p>
            <w:pPr>
              <w:ind w:left="140"/>
              <w:spacing w:after="0"/>
              <w:rPr>
                <w:sz w:val="20"/>
                <w:szCs w:val="20"/>
                <w:color w:val="auto"/>
              </w:rPr>
            </w:pPr>
            <w:r>
              <w:rPr>
                <w:rFonts w:ascii="Arial" w:cs="Arial" w:eastAsia="Arial" w:hAnsi="Arial"/>
                <w:sz w:val="10"/>
                <w:szCs w:val="10"/>
                <w:color w:val="auto"/>
              </w:rPr>
              <w:t>approach</w:t>
            </w:r>
          </w:p>
        </w:tc>
        <w:tc>
          <w:tcPr>
            <w:tcW w:w="900" w:type="dxa"/>
            <w:vAlign w:val="bottom"/>
            <w:tcBorders>
              <w:bottom w:val="single" w:sz="8" w:color="888B8D"/>
            </w:tcBorders>
            <w:vMerge w:val="continue"/>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vMerge w:val="continue"/>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vMerge w:val="continue"/>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340" w:type="dxa"/>
            <w:vAlign w:val="bottom"/>
            <w:tcBorders>
              <w:bottom w:val="single" w:sz="8" w:color="888B8D"/>
            </w:tcBorders>
            <w:vMerge w:val="continue"/>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vMerge w:val="continue"/>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12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b w:val="1"/>
                <w:bCs w:val="1"/>
                <w:color w:val="auto"/>
              </w:rPr>
              <w:t>Gain or (loss) on derivatives not designated as hedging instruments</w:t>
            </w:r>
          </w:p>
        </w:tc>
        <w:tc>
          <w:tcPr>
            <w:tcW w:w="9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34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120" w:type="dxa"/>
            <w:vAlign w:val="bottom"/>
            <w:tcBorders>
              <w:bottom w:val="single" w:sz="8" w:color="D7282F"/>
            </w:tcBorders>
            <w:gridSpan w:val="2"/>
          </w:tcPr>
          <w:p>
            <w:pPr>
              <w:ind w:left="80"/>
              <w:spacing w:after="0"/>
              <w:rPr>
                <w:sz w:val="20"/>
                <w:szCs w:val="20"/>
                <w:color w:val="auto"/>
              </w:rPr>
            </w:pPr>
            <w:r>
              <w:rPr>
                <w:rFonts w:ascii="Arial" w:cs="Arial" w:eastAsia="Arial" w:hAnsi="Arial"/>
                <w:sz w:val="10"/>
                <w:szCs w:val="10"/>
                <w:color w:val="auto"/>
              </w:rPr>
              <w:t>Foreign currency exchange contracts</w:t>
            </w:r>
          </w:p>
        </w:tc>
        <w:tc>
          <w:tcPr>
            <w:tcW w:w="9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D7282F"/>
            </w:tcBorders>
          </w:tcPr>
          <w:p>
            <w:pPr>
              <w:spacing w:after="0"/>
              <w:rPr>
                <w:sz w:val="10"/>
                <w:szCs w:val="10"/>
                <w:color w:val="auto"/>
              </w:rPr>
            </w:pPr>
          </w:p>
        </w:tc>
        <w:tc>
          <w:tcPr>
            <w:tcW w:w="13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D7282F"/>
            </w:tcBorders>
          </w:tcPr>
          <w:p>
            <w:pPr>
              <w:spacing w:after="0"/>
              <w:rPr>
                <w:sz w:val="10"/>
                <w:szCs w:val="10"/>
                <w:color w:val="auto"/>
              </w:rPr>
            </w:pPr>
          </w:p>
        </w:tc>
        <w:tc>
          <w:tcPr>
            <w:tcW w:w="10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351</w:t>
            </w:r>
          </w:p>
        </w:tc>
        <w:tc>
          <w:tcPr>
            <w:tcW w:w="200" w:type="dxa"/>
            <w:vAlign w:val="bottom"/>
            <w:tcBorders>
              <w:bottom w:val="single" w:sz="8" w:color="D7282F"/>
            </w:tcBorders>
          </w:tcPr>
          <w:p>
            <w:pPr>
              <w:spacing w:after="0"/>
              <w:rPr>
                <w:sz w:val="10"/>
                <w:szCs w:val="10"/>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spacing w:after="0" w:line="338"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D7282F"/>
        </w:rPr>
        <w:t>84</w:t>
      </w:r>
      <w:r>
        <w:rPr>
          <w:sz w:val="20"/>
          <w:szCs w:val="20"/>
          <w:color w:val="auto"/>
        </w:rPr>
        <w:tab/>
      </w:r>
      <w:r>
        <w:rPr>
          <w:rFonts w:ascii="Arial" w:cs="Arial" w:eastAsia="Arial" w:hAnsi="Arial"/>
          <w:sz w:val="8"/>
          <w:szCs w:val="8"/>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90805</wp:posOffset>
            </wp:positionV>
            <wp:extent cx="7203440"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86" w:name="page87"/>
    <w:bookmarkEnd w:id="86"/>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51"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3960" w:type="dxa"/>
            <w:vAlign w:val="bottom"/>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900" w:type="dxa"/>
            <w:vAlign w:val="bottom"/>
            <w:tcBorders>
              <w:bottom w:val="single" w:sz="8" w:color="D7282F"/>
            </w:tcBorders>
          </w:tcPr>
          <w:p>
            <w:pPr>
              <w:spacing w:after="0"/>
              <w:rPr>
                <w:sz w:val="11"/>
                <w:szCs w:val="11"/>
                <w:color w:val="auto"/>
              </w:rPr>
            </w:pPr>
          </w:p>
        </w:tc>
        <w:tc>
          <w:tcPr>
            <w:tcW w:w="240" w:type="dxa"/>
            <w:vAlign w:val="bottom"/>
            <w:tcBorders>
              <w:bottom w:val="single" w:sz="8" w:color="D7282F"/>
            </w:tcBorders>
          </w:tcPr>
          <w:p>
            <w:pPr>
              <w:spacing w:after="0"/>
              <w:rPr>
                <w:sz w:val="11"/>
                <w:szCs w:val="11"/>
                <w:color w:val="auto"/>
              </w:rPr>
            </w:pPr>
          </w:p>
        </w:tc>
        <w:tc>
          <w:tcPr>
            <w:tcW w:w="940" w:type="dxa"/>
            <w:vAlign w:val="bottom"/>
            <w:tcBorders>
              <w:bottom w:val="single" w:sz="8" w:color="D7282F"/>
            </w:tcBorders>
          </w:tcPr>
          <w:p>
            <w:pPr>
              <w:spacing w:after="0"/>
              <w:rPr>
                <w:sz w:val="11"/>
                <w:szCs w:val="11"/>
                <w:color w:val="auto"/>
              </w:rPr>
            </w:pPr>
          </w:p>
        </w:tc>
        <w:tc>
          <w:tcPr>
            <w:tcW w:w="240" w:type="dxa"/>
            <w:vAlign w:val="bottom"/>
            <w:tcBorders>
              <w:bottom w:val="single" w:sz="8" w:color="D7282F"/>
            </w:tcBorders>
          </w:tcPr>
          <w:p>
            <w:pPr>
              <w:spacing w:after="0"/>
              <w:rPr>
                <w:sz w:val="11"/>
                <w:szCs w:val="11"/>
                <w:color w:val="auto"/>
              </w:rPr>
            </w:pPr>
          </w:p>
        </w:tc>
        <w:tc>
          <w:tcPr>
            <w:tcW w:w="2480" w:type="dxa"/>
            <w:vAlign w:val="bottom"/>
            <w:tcBorders>
              <w:bottom w:val="single" w:sz="8" w:color="D7282F"/>
            </w:tcBorders>
            <w:gridSpan w:val="3"/>
          </w:tcPr>
          <w:p>
            <w:pPr>
              <w:jc w:val="right"/>
              <w:ind w:right="532"/>
              <w:spacing w:after="0"/>
              <w:rPr>
                <w:sz w:val="20"/>
                <w:szCs w:val="20"/>
                <w:color w:val="auto"/>
              </w:rPr>
            </w:pPr>
            <w:r>
              <w:rPr>
                <w:rFonts w:ascii="Arial" w:cs="Arial" w:eastAsia="Arial" w:hAnsi="Arial"/>
                <w:sz w:val="10"/>
                <w:szCs w:val="10"/>
                <w:b w:val="1"/>
                <w:bCs w:val="1"/>
                <w:color w:val="auto"/>
              </w:rPr>
              <w:t>Year Ended December 31, 2021</w:t>
            </w:r>
          </w:p>
        </w:tc>
        <w:tc>
          <w:tcPr>
            <w:tcW w:w="200" w:type="dxa"/>
            <w:vAlign w:val="bottom"/>
            <w:tcBorders>
              <w:bottom w:val="single" w:sz="8" w:color="D7282F"/>
            </w:tcBorders>
          </w:tcPr>
          <w:p>
            <w:pPr>
              <w:spacing w:after="0"/>
              <w:rPr>
                <w:sz w:val="11"/>
                <w:szCs w:val="11"/>
                <w:color w:val="auto"/>
              </w:rPr>
            </w:pPr>
          </w:p>
        </w:tc>
        <w:tc>
          <w:tcPr>
            <w:tcW w:w="104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940" w:type="dxa"/>
            <w:vAlign w:val="bottom"/>
            <w:tcBorders>
              <w:bottom w:val="single" w:sz="8" w:color="D7282F"/>
            </w:tcBorders>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3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vMerge w:val="restart"/>
          </w:tcPr>
          <w:p>
            <w:pPr>
              <w:jc w:val="right"/>
              <w:ind w:right="312"/>
              <w:spacing w:after="0"/>
              <w:rPr>
                <w:sz w:val="20"/>
                <w:szCs w:val="20"/>
                <w:color w:val="auto"/>
              </w:rPr>
            </w:pPr>
            <w:r>
              <w:rPr>
                <w:rFonts w:ascii="Arial" w:cs="Arial" w:eastAsia="Arial" w:hAnsi="Arial"/>
                <w:sz w:val="10"/>
                <w:szCs w:val="10"/>
                <w:b w:val="1"/>
                <w:bCs w:val="1"/>
                <w:color w:val="auto"/>
              </w:rPr>
              <w:t>Net Sales</w:t>
            </w:r>
          </w:p>
        </w:tc>
        <w:tc>
          <w:tcPr>
            <w:tcW w:w="240" w:type="dxa"/>
            <w:vAlign w:val="bottom"/>
          </w:tcPr>
          <w:p>
            <w:pPr>
              <w:spacing w:after="0"/>
              <w:rPr>
                <w:sz w:val="24"/>
                <w:szCs w:val="24"/>
                <w:color w:val="auto"/>
              </w:rPr>
            </w:pPr>
          </w:p>
        </w:tc>
        <w:tc>
          <w:tcPr>
            <w:tcW w:w="940" w:type="dxa"/>
            <w:vAlign w:val="bottom"/>
          </w:tcPr>
          <w:p>
            <w:pPr>
              <w:jc w:val="right"/>
              <w:ind w:right="352"/>
              <w:spacing w:after="0"/>
              <w:rPr>
                <w:sz w:val="20"/>
                <w:szCs w:val="20"/>
                <w:color w:val="auto"/>
              </w:rPr>
            </w:pPr>
            <w:r>
              <w:rPr>
                <w:rFonts w:ascii="Arial" w:cs="Arial" w:eastAsia="Arial" w:hAnsi="Arial"/>
                <w:sz w:val="10"/>
                <w:szCs w:val="10"/>
                <w:b w:val="1"/>
                <w:bCs w:val="1"/>
                <w:color w:val="auto"/>
              </w:rPr>
              <w:t>Cost of</w:t>
            </w:r>
          </w:p>
        </w:tc>
        <w:tc>
          <w:tcPr>
            <w:tcW w:w="240" w:type="dxa"/>
            <w:vAlign w:val="bottom"/>
          </w:tcPr>
          <w:p>
            <w:pPr>
              <w:spacing w:after="0"/>
              <w:rPr>
                <w:sz w:val="24"/>
                <w:szCs w:val="24"/>
                <w:color w:val="auto"/>
              </w:rPr>
            </w:pPr>
          </w:p>
        </w:tc>
        <w:tc>
          <w:tcPr>
            <w:tcW w:w="960" w:type="dxa"/>
            <w:vAlign w:val="bottom"/>
          </w:tcPr>
          <w:p>
            <w:pPr>
              <w:jc w:val="right"/>
              <w:ind w:right="372"/>
              <w:spacing w:after="0"/>
              <w:rPr>
                <w:sz w:val="20"/>
                <w:szCs w:val="20"/>
                <w:color w:val="auto"/>
              </w:rPr>
            </w:pPr>
            <w:r>
              <w:rPr>
                <w:rFonts w:ascii="Arial" w:cs="Arial" w:eastAsia="Arial" w:hAnsi="Arial"/>
                <w:sz w:val="10"/>
                <w:szCs w:val="10"/>
                <w:b w:val="1"/>
                <w:bCs w:val="1"/>
                <w:color w:val="auto"/>
              </w:rPr>
              <w:t>Cost of</w:t>
            </w:r>
          </w:p>
        </w:tc>
        <w:tc>
          <w:tcPr>
            <w:tcW w:w="200" w:type="dxa"/>
            <w:vAlign w:val="bottom"/>
          </w:tcPr>
          <w:p>
            <w:pPr>
              <w:spacing w:after="0"/>
              <w:rPr>
                <w:sz w:val="24"/>
                <w:szCs w:val="24"/>
                <w:color w:val="auto"/>
              </w:rPr>
            </w:pPr>
          </w:p>
        </w:tc>
        <w:tc>
          <w:tcPr>
            <w:tcW w:w="1320" w:type="dxa"/>
            <w:vAlign w:val="bottom"/>
          </w:tcPr>
          <w:p>
            <w:pPr>
              <w:jc w:val="right"/>
              <w:ind w:right="232"/>
              <w:spacing w:after="0"/>
              <w:rPr>
                <w:sz w:val="20"/>
                <w:szCs w:val="20"/>
                <w:color w:val="auto"/>
              </w:rPr>
            </w:pPr>
            <w:r>
              <w:rPr>
                <w:rFonts w:ascii="Arial" w:cs="Arial" w:eastAsia="Arial" w:hAnsi="Arial"/>
                <w:sz w:val="10"/>
                <w:szCs w:val="10"/>
                <w:b w:val="1"/>
                <w:bCs w:val="1"/>
                <w:color w:val="auto"/>
              </w:rPr>
              <w:t>Selling, General and</w:t>
            </w:r>
          </w:p>
        </w:tc>
        <w:tc>
          <w:tcPr>
            <w:tcW w:w="200" w:type="dxa"/>
            <w:vAlign w:val="bottom"/>
          </w:tcPr>
          <w:p>
            <w:pPr>
              <w:spacing w:after="0"/>
              <w:rPr>
                <w:sz w:val="24"/>
                <w:szCs w:val="24"/>
                <w:color w:val="auto"/>
              </w:rPr>
            </w:pPr>
          </w:p>
        </w:tc>
        <w:tc>
          <w:tcPr>
            <w:tcW w:w="1040" w:type="dxa"/>
            <w:vAlign w:val="bottom"/>
          </w:tcPr>
          <w:p>
            <w:pPr>
              <w:jc w:val="right"/>
              <w:ind w:right="432"/>
              <w:spacing w:after="0"/>
              <w:rPr>
                <w:sz w:val="20"/>
                <w:szCs w:val="20"/>
                <w:color w:val="auto"/>
              </w:rPr>
            </w:pPr>
            <w:r>
              <w:rPr>
                <w:rFonts w:ascii="Arial" w:cs="Arial" w:eastAsia="Arial" w:hAnsi="Arial"/>
                <w:sz w:val="10"/>
                <w:szCs w:val="10"/>
                <w:b w:val="1"/>
                <w:bCs w:val="1"/>
                <w:color w:val="auto"/>
              </w:rPr>
              <w:t>Other</w:t>
            </w:r>
          </w:p>
        </w:tc>
        <w:tc>
          <w:tcPr>
            <w:tcW w:w="200" w:type="dxa"/>
            <w:vAlign w:val="bottom"/>
          </w:tcPr>
          <w:p>
            <w:pPr>
              <w:spacing w:after="0"/>
              <w:rPr>
                <w:sz w:val="24"/>
                <w:szCs w:val="24"/>
                <w:color w:val="auto"/>
              </w:rPr>
            </w:pPr>
          </w:p>
        </w:tc>
        <w:tc>
          <w:tcPr>
            <w:tcW w:w="940" w:type="dxa"/>
            <w:vAlign w:val="bottom"/>
          </w:tcPr>
          <w:p>
            <w:pPr>
              <w:jc w:val="right"/>
              <w:ind w:right="52"/>
              <w:spacing w:after="0"/>
              <w:rPr>
                <w:sz w:val="20"/>
                <w:szCs w:val="20"/>
                <w:color w:val="auto"/>
              </w:rPr>
            </w:pPr>
            <w:r>
              <w:rPr>
                <w:rFonts w:ascii="Arial" w:cs="Arial" w:eastAsia="Arial" w:hAnsi="Arial"/>
                <w:sz w:val="10"/>
                <w:szCs w:val="10"/>
                <w:b w:val="1"/>
                <w:bCs w:val="1"/>
                <w:color w:val="auto"/>
                <w:w w:val="95"/>
              </w:rPr>
              <w:t>Interest and Other</w:t>
            </w:r>
          </w:p>
        </w:tc>
        <w:tc>
          <w:tcPr>
            <w:tcW w:w="0" w:type="dxa"/>
            <w:vAlign w:val="bottom"/>
          </w:tcPr>
          <w:p>
            <w:pPr>
              <w:spacing w:after="0"/>
              <w:rPr>
                <w:sz w:val="1"/>
                <w:szCs w:val="1"/>
                <w:color w:val="auto"/>
              </w:rPr>
            </w:pPr>
          </w:p>
        </w:tc>
      </w:tr>
      <w:tr>
        <w:trPr>
          <w:trHeight w:val="124"/>
        </w:trPr>
        <w:tc>
          <w:tcPr>
            <w:tcW w:w="396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900" w:type="dxa"/>
            <w:vAlign w:val="bottom"/>
            <w:tcBorders>
              <w:bottom w:val="single" w:sz="8" w:color="D7282F"/>
            </w:tcBorders>
            <w:vMerge w:val="continue"/>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940" w:type="dxa"/>
            <w:vAlign w:val="bottom"/>
            <w:tcBorders>
              <w:bottom w:val="single" w:sz="8" w:color="D7282F"/>
            </w:tcBorders>
          </w:tcPr>
          <w:p>
            <w:pPr>
              <w:jc w:val="right"/>
              <w:ind w:right="192"/>
              <w:spacing w:after="0"/>
              <w:rPr>
                <w:sz w:val="20"/>
                <w:szCs w:val="20"/>
                <w:color w:val="auto"/>
              </w:rPr>
            </w:pPr>
            <w:r>
              <w:rPr>
                <w:rFonts w:ascii="Arial" w:cs="Arial" w:eastAsia="Arial" w:hAnsi="Arial"/>
                <w:sz w:val="10"/>
                <w:szCs w:val="10"/>
                <w:b w:val="1"/>
                <w:bCs w:val="1"/>
                <w:color w:val="auto"/>
              </w:rPr>
              <w:t>Products Sold</w:t>
            </w:r>
          </w:p>
        </w:tc>
        <w:tc>
          <w:tcPr>
            <w:tcW w:w="24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Services Sold</w:t>
            </w:r>
          </w:p>
        </w:tc>
        <w:tc>
          <w:tcPr>
            <w:tcW w:w="200" w:type="dxa"/>
            <w:vAlign w:val="bottom"/>
            <w:tcBorders>
              <w:bottom w:val="single" w:sz="8" w:color="D7282F"/>
            </w:tcBorders>
          </w:tcPr>
          <w:p>
            <w:pPr>
              <w:spacing w:after="0"/>
              <w:rPr>
                <w:sz w:val="10"/>
                <w:szCs w:val="10"/>
                <w:color w:val="auto"/>
              </w:rPr>
            </w:pPr>
          </w:p>
        </w:tc>
        <w:tc>
          <w:tcPr>
            <w:tcW w:w="132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w w:val="94"/>
              </w:rPr>
              <w:t>Administrative Expenses</w:t>
            </w:r>
          </w:p>
        </w:tc>
        <w:tc>
          <w:tcPr>
            <w:tcW w:w="200" w:type="dxa"/>
            <w:vAlign w:val="bottom"/>
            <w:tcBorders>
              <w:bottom w:val="single" w:sz="8" w:color="D7282F"/>
            </w:tcBorders>
          </w:tcPr>
          <w:p>
            <w:pPr>
              <w:spacing w:after="0"/>
              <w:rPr>
                <w:sz w:val="10"/>
                <w:szCs w:val="10"/>
                <w:color w:val="auto"/>
              </w:rPr>
            </w:pPr>
          </w:p>
        </w:tc>
        <w:tc>
          <w:tcPr>
            <w:tcW w:w="10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w w:val="95"/>
              </w:rPr>
              <w:t>(Income) Expense</w:t>
            </w:r>
          </w:p>
        </w:tc>
        <w:tc>
          <w:tcPr>
            <w:tcW w:w="200" w:type="dxa"/>
            <w:vAlign w:val="bottom"/>
            <w:tcBorders>
              <w:bottom w:val="single" w:sz="8" w:color="D7282F"/>
            </w:tcBorders>
          </w:tcPr>
          <w:p>
            <w:pPr>
              <w:spacing w:after="0"/>
              <w:rPr>
                <w:sz w:val="10"/>
                <w:szCs w:val="10"/>
                <w:color w:val="auto"/>
              </w:rPr>
            </w:pPr>
          </w:p>
        </w:tc>
        <w:tc>
          <w:tcPr>
            <w:tcW w:w="94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95"/>
              </w:rPr>
              <w:t>Financial Charges</w:t>
            </w:r>
          </w:p>
        </w:tc>
        <w:tc>
          <w:tcPr>
            <w:tcW w:w="0" w:type="dxa"/>
            <w:vAlign w:val="bottom"/>
          </w:tcPr>
          <w:p>
            <w:pPr>
              <w:spacing w:after="0"/>
              <w:rPr>
                <w:sz w:val="1"/>
                <w:szCs w:val="1"/>
                <w:color w:val="auto"/>
              </w:rPr>
            </w:pPr>
          </w:p>
        </w:tc>
      </w:tr>
      <w:tr>
        <w:trPr>
          <w:trHeight w:val="121"/>
        </w:trPr>
        <w:tc>
          <w:tcPr>
            <w:tcW w:w="4120" w:type="dxa"/>
            <w:vAlign w:val="bottom"/>
            <w:tcBorders>
              <w:bottom w:val="single" w:sz="8" w:color="888B8D"/>
            </w:tcBorders>
            <w:gridSpan w:val="2"/>
          </w:tcPr>
          <w:p>
            <w:pPr>
              <w:ind w:left="3960"/>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34,392</w:t>
            </w:r>
          </w:p>
        </w:tc>
        <w:tc>
          <w:tcPr>
            <w:tcW w:w="2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17,082</w:t>
            </w: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9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4,979</w:t>
            </w:r>
          </w:p>
        </w:tc>
        <w:tc>
          <w:tcPr>
            <w:tcW w:w="2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13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4,798</w:t>
            </w:r>
          </w:p>
        </w:tc>
        <w:tc>
          <w:tcPr>
            <w:tcW w:w="2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(1,378)</w:t>
            </w:r>
          </w:p>
        </w:tc>
        <w:tc>
          <w:tcPr>
            <w:tcW w:w="2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343</w:t>
            </w:r>
          </w:p>
        </w:tc>
        <w:tc>
          <w:tcPr>
            <w:tcW w:w="0" w:type="dxa"/>
            <w:vAlign w:val="bottom"/>
          </w:tcPr>
          <w:p>
            <w:pPr>
              <w:spacing w:after="0"/>
              <w:rPr>
                <w:sz w:val="1"/>
                <w:szCs w:val="1"/>
                <w:color w:val="auto"/>
              </w:rPr>
            </w:pPr>
          </w:p>
        </w:tc>
      </w:tr>
      <w:tr>
        <w:trPr>
          <w:trHeight w:val="126"/>
        </w:trPr>
        <w:tc>
          <w:tcPr>
            <w:tcW w:w="412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b w:val="1"/>
                <w:bCs w:val="1"/>
                <w:color w:val="auto"/>
              </w:rPr>
              <w:t>Gain or (loss) on cash flow hedges</w:t>
            </w:r>
          </w:p>
        </w:tc>
        <w:tc>
          <w:tcPr>
            <w:tcW w:w="9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32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120" w:type="dxa"/>
            <w:vAlign w:val="bottom"/>
            <w:tcBorders>
              <w:bottom w:val="single" w:sz="8" w:color="888B8D"/>
            </w:tcBorders>
            <w:gridSpan w:val="2"/>
          </w:tcPr>
          <w:p>
            <w:pPr>
              <w:ind w:left="80"/>
              <w:spacing w:after="0"/>
              <w:rPr>
                <w:sz w:val="20"/>
                <w:szCs w:val="20"/>
                <w:color w:val="auto"/>
              </w:rPr>
            </w:pPr>
            <w:r>
              <w:rPr>
                <w:rFonts w:ascii="Arial" w:cs="Arial" w:eastAsia="Arial" w:hAnsi="Arial"/>
                <w:sz w:val="10"/>
                <w:szCs w:val="10"/>
                <w:color w:val="auto"/>
              </w:rPr>
              <w:t>Foreign currency exchange contracts</w:t>
            </w:r>
          </w:p>
        </w:tc>
        <w:tc>
          <w:tcPr>
            <w:tcW w:w="9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32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120" w:type="dxa"/>
            <w:vAlign w:val="bottom"/>
            <w:tcBorders>
              <w:bottom w:val="single" w:sz="8" w:color="888B8D"/>
            </w:tcBorders>
            <w:gridSpan w:val="2"/>
          </w:tcPr>
          <w:p>
            <w:pPr>
              <w:ind w:left="140"/>
              <w:spacing w:after="0"/>
              <w:rPr>
                <w:sz w:val="20"/>
                <w:szCs w:val="20"/>
                <w:color w:val="auto"/>
              </w:rPr>
            </w:pPr>
            <w:r>
              <w:rPr>
                <w:rFonts w:ascii="Arial" w:cs="Arial" w:eastAsia="Arial" w:hAnsi="Arial"/>
                <w:sz w:val="10"/>
                <w:szCs w:val="10"/>
                <w:color w:val="auto"/>
              </w:rPr>
              <w:t>Amount reclassified from accumulated other comprehensive income (loss) into income</w:t>
            </w:r>
          </w:p>
        </w:tc>
        <w:tc>
          <w:tcPr>
            <w:tcW w:w="9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5</w:t>
            </w:r>
          </w:p>
        </w:tc>
        <w:tc>
          <w:tcPr>
            <w:tcW w:w="24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8</w:t>
            </w:r>
          </w:p>
        </w:tc>
        <w:tc>
          <w:tcPr>
            <w:tcW w:w="24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w:t>
            </w:r>
          </w:p>
        </w:tc>
        <w:tc>
          <w:tcPr>
            <w:tcW w:w="200" w:type="dxa"/>
            <w:vAlign w:val="bottom"/>
            <w:tcBorders>
              <w:bottom w:val="single" w:sz="8" w:color="888B8D"/>
            </w:tcBorders>
          </w:tcPr>
          <w:p>
            <w:pPr>
              <w:spacing w:after="0"/>
              <w:rPr>
                <w:sz w:val="10"/>
                <w:szCs w:val="10"/>
                <w:color w:val="auto"/>
              </w:rPr>
            </w:pPr>
          </w:p>
        </w:tc>
        <w:tc>
          <w:tcPr>
            <w:tcW w:w="13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9</w:t>
            </w:r>
          </w:p>
        </w:tc>
        <w:tc>
          <w:tcPr>
            <w:tcW w:w="20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412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b w:val="1"/>
                <w:bCs w:val="1"/>
                <w:color w:val="auto"/>
              </w:rPr>
              <w:t>Gain or (loss) on fair value hedges</w:t>
            </w:r>
          </w:p>
        </w:tc>
        <w:tc>
          <w:tcPr>
            <w:tcW w:w="9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32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120" w:type="dxa"/>
            <w:vAlign w:val="bottom"/>
            <w:tcBorders>
              <w:bottom w:val="single" w:sz="8" w:color="888B8D"/>
            </w:tcBorders>
            <w:gridSpan w:val="2"/>
          </w:tcPr>
          <w:p>
            <w:pPr>
              <w:ind w:left="80"/>
              <w:spacing w:after="0"/>
              <w:rPr>
                <w:sz w:val="20"/>
                <w:szCs w:val="20"/>
                <w:color w:val="auto"/>
              </w:rPr>
            </w:pPr>
            <w:r>
              <w:rPr>
                <w:rFonts w:ascii="Arial" w:cs="Arial" w:eastAsia="Arial" w:hAnsi="Arial"/>
                <w:sz w:val="10"/>
                <w:szCs w:val="10"/>
                <w:color w:val="auto"/>
              </w:rPr>
              <w:t>Interest rate swap agreements</w:t>
            </w:r>
          </w:p>
        </w:tc>
        <w:tc>
          <w:tcPr>
            <w:tcW w:w="9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32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120" w:type="dxa"/>
            <w:vAlign w:val="bottom"/>
            <w:tcBorders>
              <w:bottom w:val="single" w:sz="8" w:color="888B8D"/>
            </w:tcBorders>
            <w:gridSpan w:val="2"/>
          </w:tcPr>
          <w:p>
            <w:pPr>
              <w:ind w:left="140"/>
              <w:spacing w:after="0"/>
              <w:rPr>
                <w:sz w:val="20"/>
                <w:szCs w:val="20"/>
                <w:color w:val="auto"/>
              </w:rPr>
            </w:pPr>
            <w:r>
              <w:rPr>
                <w:rFonts w:ascii="Arial" w:cs="Arial" w:eastAsia="Arial" w:hAnsi="Arial"/>
                <w:sz w:val="10"/>
                <w:szCs w:val="10"/>
                <w:color w:val="auto"/>
              </w:rPr>
              <w:t>Hedged items</w:t>
            </w:r>
          </w:p>
        </w:tc>
        <w:tc>
          <w:tcPr>
            <w:tcW w:w="9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13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135</w:t>
            </w:r>
          </w:p>
        </w:tc>
        <w:tc>
          <w:tcPr>
            <w:tcW w:w="0" w:type="dxa"/>
            <w:vAlign w:val="bottom"/>
          </w:tcPr>
          <w:p>
            <w:pPr>
              <w:spacing w:after="0"/>
              <w:rPr>
                <w:sz w:val="1"/>
                <w:szCs w:val="1"/>
                <w:color w:val="auto"/>
              </w:rPr>
            </w:pPr>
          </w:p>
        </w:tc>
      </w:tr>
      <w:tr>
        <w:trPr>
          <w:trHeight w:val="124"/>
        </w:trPr>
        <w:tc>
          <w:tcPr>
            <w:tcW w:w="4120" w:type="dxa"/>
            <w:vAlign w:val="bottom"/>
            <w:tcBorders>
              <w:bottom w:val="single" w:sz="8" w:color="888B8D"/>
            </w:tcBorders>
            <w:gridSpan w:val="2"/>
          </w:tcPr>
          <w:p>
            <w:pPr>
              <w:ind w:left="140"/>
              <w:spacing w:after="0"/>
              <w:rPr>
                <w:sz w:val="20"/>
                <w:szCs w:val="20"/>
                <w:color w:val="auto"/>
              </w:rPr>
            </w:pPr>
            <w:r>
              <w:rPr>
                <w:rFonts w:ascii="Arial" w:cs="Arial" w:eastAsia="Arial" w:hAnsi="Arial"/>
                <w:sz w:val="10"/>
                <w:szCs w:val="10"/>
                <w:color w:val="auto"/>
              </w:rPr>
              <w:t>Derivatives designated as hedges</w:t>
            </w:r>
          </w:p>
        </w:tc>
        <w:tc>
          <w:tcPr>
            <w:tcW w:w="9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13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(135)</w:t>
            </w:r>
          </w:p>
        </w:tc>
        <w:tc>
          <w:tcPr>
            <w:tcW w:w="0" w:type="dxa"/>
            <w:vAlign w:val="bottom"/>
          </w:tcPr>
          <w:p>
            <w:pPr>
              <w:spacing w:after="0"/>
              <w:rPr>
                <w:sz w:val="1"/>
                <w:szCs w:val="1"/>
                <w:color w:val="auto"/>
              </w:rPr>
            </w:pPr>
          </w:p>
        </w:tc>
      </w:tr>
      <w:tr>
        <w:trPr>
          <w:trHeight w:val="126"/>
        </w:trPr>
        <w:tc>
          <w:tcPr>
            <w:tcW w:w="412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b w:val="1"/>
                <w:bCs w:val="1"/>
                <w:color w:val="auto"/>
              </w:rPr>
              <w:t>Gain or (loss) on net investment hedges</w:t>
            </w:r>
          </w:p>
        </w:tc>
        <w:tc>
          <w:tcPr>
            <w:tcW w:w="9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32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120" w:type="dxa"/>
            <w:vAlign w:val="bottom"/>
            <w:tcBorders>
              <w:bottom w:val="single" w:sz="8" w:color="888B8D"/>
            </w:tcBorders>
            <w:gridSpan w:val="2"/>
          </w:tcPr>
          <w:p>
            <w:pPr>
              <w:ind w:left="80"/>
              <w:spacing w:after="0"/>
              <w:rPr>
                <w:sz w:val="20"/>
                <w:szCs w:val="20"/>
                <w:color w:val="auto"/>
              </w:rPr>
            </w:pPr>
            <w:r>
              <w:rPr>
                <w:rFonts w:ascii="Arial" w:cs="Arial" w:eastAsia="Arial" w:hAnsi="Arial"/>
                <w:sz w:val="10"/>
                <w:szCs w:val="10"/>
                <w:color w:val="auto"/>
              </w:rPr>
              <w:t>Foreign currency exchange contracts</w:t>
            </w:r>
          </w:p>
        </w:tc>
        <w:tc>
          <w:tcPr>
            <w:tcW w:w="9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32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120" w:type="dxa"/>
            <w:vAlign w:val="bottom"/>
            <w:gridSpan w:val="2"/>
          </w:tcPr>
          <w:p>
            <w:pPr>
              <w:ind w:left="140"/>
              <w:spacing w:after="0" w:line="95" w:lineRule="exact"/>
              <w:rPr>
                <w:sz w:val="20"/>
                <w:szCs w:val="20"/>
                <w:color w:val="auto"/>
              </w:rPr>
            </w:pPr>
            <w:r>
              <w:rPr>
                <w:rFonts w:ascii="Arial" w:cs="Arial" w:eastAsia="Arial" w:hAnsi="Arial"/>
                <w:sz w:val="10"/>
                <w:szCs w:val="10"/>
                <w:color w:val="auto"/>
              </w:rPr>
              <w:t>Amount excluded from effectiveness testing recognized in earnings using an amortization</w:t>
            </w:r>
          </w:p>
        </w:tc>
        <w:tc>
          <w:tcPr>
            <w:tcW w:w="90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8"/>
                <w:szCs w:val="8"/>
                <w:color w:val="auto"/>
              </w:rPr>
            </w:pPr>
          </w:p>
        </w:tc>
        <w:tc>
          <w:tcPr>
            <w:tcW w:w="94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8"/>
                <w:szCs w:val="8"/>
                <w:color w:val="auto"/>
              </w:rPr>
            </w:pPr>
          </w:p>
        </w:tc>
        <w:tc>
          <w:tcPr>
            <w:tcW w:w="96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132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104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Arial" w:cs="Arial" w:eastAsia="Arial" w:hAnsi="Arial"/>
                <w:sz w:val="10"/>
                <w:szCs w:val="10"/>
                <w:color w:val="auto"/>
              </w:rPr>
              <w:t>16</w:t>
            </w:r>
          </w:p>
        </w:tc>
        <w:tc>
          <w:tcPr>
            <w:tcW w:w="0" w:type="dxa"/>
            <w:vAlign w:val="bottom"/>
          </w:tcPr>
          <w:p>
            <w:pPr>
              <w:spacing w:after="0"/>
              <w:rPr>
                <w:sz w:val="1"/>
                <w:szCs w:val="1"/>
                <w:color w:val="auto"/>
              </w:rPr>
            </w:pPr>
          </w:p>
        </w:tc>
      </w:tr>
      <w:tr>
        <w:trPr>
          <w:trHeight w:val="122"/>
        </w:trPr>
        <w:tc>
          <w:tcPr>
            <w:tcW w:w="4120" w:type="dxa"/>
            <w:vAlign w:val="bottom"/>
            <w:tcBorders>
              <w:bottom w:val="single" w:sz="8" w:color="888B8D"/>
            </w:tcBorders>
            <w:gridSpan w:val="2"/>
          </w:tcPr>
          <w:p>
            <w:pPr>
              <w:ind w:left="140"/>
              <w:spacing w:after="0"/>
              <w:rPr>
                <w:sz w:val="20"/>
                <w:szCs w:val="20"/>
                <w:color w:val="auto"/>
              </w:rPr>
            </w:pPr>
            <w:r>
              <w:rPr>
                <w:rFonts w:ascii="Arial" w:cs="Arial" w:eastAsia="Arial" w:hAnsi="Arial"/>
                <w:sz w:val="10"/>
                <w:szCs w:val="10"/>
                <w:color w:val="auto"/>
              </w:rPr>
              <w:t>approach</w:t>
            </w:r>
          </w:p>
        </w:tc>
        <w:tc>
          <w:tcPr>
            <w:tcW w:w="900" w:type="dxa"/>
            <w:vAlign w:val="bottom"/>
            <w:tcBorders>
              <w:bottom w:val="single" w:sz="8" w:color="888B8D"/>
            </w:tcBorders>
            <w:vMerge w:val="continue"/>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vMerge w:val="continue"/>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vMerge w:val="continue"/>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320" w:type="dxa"/>
            <w:vAlign w:val="bottom"/>
            <w:tcBorders>
              <w:bottom w:val="single" w:sz="8" w:color="888B8D"/>
            </w:tcBorders>
            <w:vMerge w:val="continue"/>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vMerge w:val="continue"/>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12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b w:val="1"/>
                <w:bCs w:val="1"/>
                <w:color w:val="auto"/>
              </w:rPr>
              <w:t>Gain or (loss) on derivatives not designated as hedging instruments</w:t>
            </w:r>
          </w:p>
        </w:tc>
        <w:tc>
          <w:tcPr>
            <w:tcW w:w="9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32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120" w:type="dxa"/>
            <w:vAlign w:val="bottom"/>
            <w:tcBorders>
              <w:bottom w:val="single" w:sz="8" w:color="D7282F"/>
            </w:tcBorders>
            <w:gridSpan w:val="2"/>
          </w:tcPr>
          <w:p>
            <w:pPr>
              <w:ind w:left="80"/>
              <w:spacing w:after="0"/>
              <w:rPr>
                <w:sz w:val="20"/>
                <w:szCs w:val="20"/>
                <w:color w:val="auto"/>
              </w:rPr>
            </w:pPr>
            <w:r>
              <w:rPr>
                <w:rFonts w:ascii="Arial" w:cs="Arial" w:eastAsia="Arial" w:hAnsi="Arial"/>
                <w:sz w:val="10"/>
                <w:szCs w:val="10"/>
                <w:color w:val="auto"/>
              </w:rPr>
              <w:t>Foreign currency exchange contracts</w:t>
            </w:r>
          </w:p>
        </w:tc>
        <w:tc>
          <w:tcPr>
            <w:tcW w:w="9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7282F"/>
            </w:tcBorders>
          </w:tcPr>
          <w:p>
            <w:pPr>
              <w:spacing w:after="0"/>
              <w:rPr>
                <w:sz w:val="10"/>
                <w:szCs w:val="10"/>
                <w:color w:val="auto"/>
              </w:rPr>
            </w:pPr>
          </w:p>
        </w:tc>
        <w:tc>
          <w:tcPr>
            <w:tcW w:w="9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D7282F"/>
            </w:tcBorders>
          </w:tcPr>
          <w:p>
            <w:pPr>
              <w:spacing w:after="0"/>
              <w:rPr>
                <w:sz w:val="10"/>
                <w:szCs w:val="10"/>
                <w:color w:val="auto"/>
              </w:rPr>
            </w:pPr>
          </w:p>
        </w:tc>
        <w:tc>
          <w:tcPr>
            <w:tcW w:w="13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D7282F"/>
            </w:tcBorders>
          </w:tcPr>
          <w:p>
            <w:pPr>
              <w:spacing w:after="0"/>
              <w:rPr>
                <w:sz w:val="10"/>
                <w:szCs w:val="10"/>
                <w:color w:val="auto"/>
              </w:rPr>
            </w:pPr>
          </w:p>
        </w:tc>
        <w:tc>
          <w:tcPr>
            <w:tcW w:w="10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195</w:t>
            </w:r>
          </w:p>
        </w:tc>
        <w:tc>
          <w:tcPr>
            <w:tcW w:w="200" w:type="dxa"/>
            <w:vAlign w:val="bottom"/>
            <w:tcBorders>
              <w:bottom w:val="single" w:sz="8" w:color="D7282F"/>
            </w:tcBorders>
          </w:tcPr>
          <w:p>
            <w:pPr>
              <w:spacing w:after="0"/>
              <w:rPr>
                <w:sz w:val="10"/>
                <w:szCs w:val="10"/>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8" w:right="20"/>
        <w:spacing w:after="0" w:line="268" w:lineRule="auto"/>
        <w:rPr>
          <w:sz w:val="20"/>
          <w:szCs w:val="20"/>
          <w:color w:val="auto"/>
        </w:rPr>
      </w:pPr>
      <w:r>
        <w:rPr>
          <w:rFonts w:ascii="Arial" w:cs="Arial" w:eastAsia="Arial" w:hAnsi="Arial"/>
          <w:sz w:val="11"/>
          <w:szCs w:val="11"/>
          <w:color w:val="auto"/>
        </w:rPr>
        <w:t>As of December 31, 2023, the Company estimates that approximately $24 million of net derivative gains related to its cash flow hedges included in Accumulated other comprehensive income (loss) will be reclassified into earnings within the next 12 months.</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summarizes the amount of gain or (loss) on net investment hedges recognized in Accumulated other comprehensive income (loss):</w:t>
      </w:r>
    </w:p>
    <w:p>
      <w:pPr>
        <w:spacing w:after="0" w:line="226"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9560" w:type="dxa"/>
            <w:vAlign w:val="bottom"/>
          </w:tcPr>
          <w:p>
            <w:pPr>
              <w:spacing w:after="0"/>
              <w:rPr>
                <w:sz w:val="11"/>
                <w:szCs w:val="11"/>
                <w:color w:val="auto"/>
              </w:rPr>
            </w:pPr>
          </w:p>
        </w:tc>
        <w:tc>
          <w:tcPr>
            <w:tcW w:w="1500" w:type="dxa"/>
            <w:vAlign w:val="bottom"/>
            <w:tcBorders>
              <w:bottom w:val="single" w:sz="8" w:color="D7282F"/>
            </w:tcBorders>
            <w:gridSpan w:val="3"/>
          </w:tcPr>
          <w:p>
            <w:pPr>
              <w:jc w:val="right"/>
              <w:spacing w:after="0"/>
              <w:rPr>
                <w:sz w:val="20"/>
                <w:szCs w:val="20"/>
                <w:color w:val="auto"/>
              </w:rPr>
            </w:pPr>
            <w:r>
              <w:rPr>
                <w:rFonts w:ascii="Arial" w:cs="Arial" w:eastAsia="Arial" w:hAnsi="Arial"/>
                <w:sz w:val="10"/>
                <w:szCs w:val="10"/>
                <w:b w:val="1"/>
                <w:bCs w:val="1"/>
                <w:color w:val="auto"/>
              </w:rPr>
              <w:t>Years Ended December 31,</w:t>
            </w:r>
          </w:p>
        </w:tc>
        <w:tc>
          <w:tcPr>
            <w:tcW w:w="240" w:type="dxa"/>
            <w:vAlign w:val="bottom"/>
            <w:tcBorders>
              <w:bottom w:val="single" w:sz="8" w:color="D7282F"/>
            </w:tcBorders>
          </w:tcPr>
          <w:p>
            <w:pPr>
              <w:spacing w:after="0"/>
              <w:rPr>
                <w:sz w:val="11"/>
                <w:szCs w:val="11"/>
                <w:color w:val="auto"/>
              </w:rPr>
            </w:pPr>
          </w:p>
        </w:tc>
      </w:tr>
      <w:tr>
        <w:trPr>
          <w:trHeight w:val="151"/>
        </w:trPr>
        <w:tc>
          <w:tcPr>
            <w:tcW w:w="9560" w:type="dxa"/>
            <w:vAlign w:val="bottom"/>
            <w:tcBorders>
              <w:bottom w:val="single" w:sz="8" w:color="D7282F"/>
            </w:tcBorders>
          </w:tcPr>
          <w:p>
            <w:pPr>
              <w:spacing w:after="0"/>
              <w:rPr>
                <w:sz w:val="13"/>
                <w:szCs w:val="13"/>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2023</w:t>
            </w:r>
          </w:p>
        </w:tc>
        <w:tc>
          <w:tcPr>
            <w:tcW w:w="360" w:type="dxa"/>
            <w:vAlign w:val="bottom"/>
            <w:tcBorders>
              <w:bottom w:val="single" w:sz="8" w:color="D7282F"/>
            </w:tcBorders>
          </w:tcPr>
          <w:p>
            <w:pPr>
              <w:spacing w:after="0"/>
              <w:rPr>
                <w:sz w:val="13"/>
                <w:szCs w:val="13"/>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2022</w:t>
            </w:r>
          </w:p>
        </w:tc>
        <w:tc>
          <w:tcPr>
            <w:tcW w:w="240" w:type="dxa"/>
            <w:vAlign w:val="bottom"/>
            <w:tcBorders>
              <w:bottom w:val="single" w:sz="8" w:color="D7282F"/>
            </w:tcBorders>
          </w:tcPr>
          <w:p>
            <w:pPr>
              <w:spacing w:after="0"/>
              <w:rPr>
                <w:sz w:val="13"/>
                <w:szCs w:val="13"/>
                <w:color w:val="auto"/>
              </w:rPr>
            </w:pPr>
          </w:p>
        </w:tc>
      </w:tr>
      <w:tr>
        <w:trPr>
          <w:trHeight w:val="122"/>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Euro-denominated long-term debt</w:t>
            </w:r>
          </w:p>
        </w:tc>
        <w:tc>
          <w:tcPr>
            <w:tcW w:w="500" w:type="dxa"/>
            <w:vAlign w:val="bottom"/>
            <w:tcBorders>
              <w:bottom w:val="single" w:sz="8" w:color="61656A"/>
            </w:tcBorders>
          </w:tcPr>
          <w:p>
            <w:pPr>
              <w:jc w:val="right"/>
              <w:ind w:right="392"/>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(84)</w:t>
            </w:r>
          </w:p>
        </w:tc>
        <w:tc>
          <w:tcPr>
            <w:tcW w:w="640" w:type="dxa"/>
            <w:vAlign w:val="bottom"/>
            <w:tcBorders>
              <w:bottom w:val="single" w:sz="8" w:color="61656A"/>
            </w:tcBorders>
          </w:tcPr>
          <w:p>
            <w:pPr>
              <w:jc w:val="right"/>
              <w:ind w:right="41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196</w:t>
            </w:r>
          </w:p>
        </w:tc>
      </w:tr>
      <w:tr>
        <w:trPr>
          <w:trHeight w:val="124"/>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Euro-denominated commercial paper</w:t>
            </w:r>
          </w:p>
        </w:tc>
        <w:tc>
          <w:tcPr>
            <w:tcW w:w="50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(42)</w:t>
            </w:r>
          </w:p>
        </w:tc>
        <w:tc>
          <w:tcPr>
            <w:tcW w:w="64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39</w:t>
            </w:r>
          </w:p>
        </w:tc>
      </w:tr>
      <w:tr>
        <w:trPr>
          <w:trHeight w:val="124"/>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Cross currency swap agreements</w:t>
            </w:r>
          </w:p>
        </w:tc>
        <w:tc>
          <w:tcPr>
            <w:tcW w:w="50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w w:val="94"/>
              </w:rPr>
              <w:t>(193)</w:t>
            </w:r>
          </w:p>
        </w:tc>
        <w:tc>
          <w:tcPr>
            <w:tcW w:w="64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(65)</w:t>
            </w:r>
          </w:p>
        </w:tc>
      </w:tr>
      <w:tr>
        <w:trPr>
          <w:trHeight w:val="124"/>
        </w:trPr>
        <w:tc>
          <w:tcPr>
            <w:tcW w:w="95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Foreign currency exchange contracts</w:t>
            </w:r>
          </w:p>
        </w:tc>
        <w:tc>
          <w:tcPr>
            <w:tcW w:w="50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34</w:t>
            </w:r>
          </w:p>
        </w:tc>
      </w:tr>
    </w:tbl>
    <w:p>
      <w:pPr>
        <w:spacing w:after="0" w:line="231" w:lineRule="exact"/>
        <w:rPr>
          <w:sz w:val="20"/>
          <w:szCs w:val="20"/>
          <w:color w:val="auto"/>
        </w:rPr>
      </w:pPr>
    </w:p>
    <w:p>
      <w:pPr>
        <w:ind w:left="8"/>
        <w:spacing w:after="0"/>
        <w:rPr>
          <w:sz w:val="20"/>
          <w:szCs w:val="20"/>
          <w:color w:val="auto"/>
        </w:rPr>
      </w:pPr>
      <w:r>
        <w:rPr>
          <w:rFonts w:ascii="Arial" w:cs="Arial" w:eastAsia="Arial" w:hAnsi="Arial"/>
          <w:sz w:val="19"/>
          <w:szCs w:val="19"/>
          <w:color w:val="D7282F"/>
        </w:rPr>
        <w:t>NOTE 12. FAIR VALUE MEASUREMENTS</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accounting guidance for fair value measurements and disclosures establishes a three-level fair value hierarchy:</w:t>
      </w:r>
    </w:p>
    <w:p>
      <w:pPr>
        <w:spacing w:after="0" w:line="81" w:lineRule="exact"/>
        <w:rPr>
          <w:sz w:val="20"/>
          <w:szCs w:val="20"/>
          <w:color w:val="auto"/>
        </w:rPr>
      </w:pPr>
    </w:p>
    <w:p>
      <w:pPr>
        <w:ind w:left="128" w:hanging="128"/>
        <w:spacing w:after="0"/>
        <w:tabs>
          <w:tab w:leader="none" w:pos="128" w:val="left"/>
        </w:tabs>
        <w:numPr>
          <w:ilvl w:val="0"/>
          <w:numId w:val="126"/>
        </w:numPr>
        <w:rPr>
          <w:rFonts w:ascii="Arial" w:cs="Arial" w:eastAsia="Arial" w:hAnsi="Arial"/>
          <w:sz w:val="11"/>
          <w:szCs w:val="11"/>
          <w:color w:val="D7282F"/>
        </w:rPr>
      </w:pPr>
      <w:r>
        <w:rPr>
          <w:rFonts w:ascii="Arial" w:cs="Arial" w:eastAsia="Arial" w:hAnsi="Arial"/>
          <w:sz w:val="11"/>
          <w:szCs w:val="11"/>
          <w:color w:val="auto"/>
        </w:rPr>
        <w:t>Level 1 - Inputs are based on quoted prices in active markets for identical assets and liabilities.</w:t>
      </w:r>
    </w:p>
    <w:p>
      <w:pPr>
        <w:spacing w:after="0" w:line="53" w:lineRule="exact"/>
        <w:rPr>
          <w:rFonts w:ascii="Arial" w:cs="Arial" w:eastAsia="Arial" w:hAnsi="Arial"/>
          <w:sz w:val="11"/>
          <w:szCs w:val="11"/>
          <w:color w:val="D7282F"/>
        </w:rPr>
      </w:pPr>
    </w:p>
    <w:p>
      <w:pPr>
        <w:ind w:left="128" w:hanging="128"/>
        <w:spacing w:after="0"/>
        <w:tabs>
          <w:tab w:leader="none" w:pos="128" w:val="left"/>
        </w:tabs>
        <w:numPr>
          <w:ilvl w:val="0"/>
          <w:numId w:val="126"/>
        </w:numPr>
        <w:rPr>
          <w:rFonts w:ascii="Arial" w:cs="Arial" w:eastAsia="Arial" w:hAnsi="Arial"/>
          <w:sz w:val="11"/>
          <w:szCs w:val="11"/>
          <w:color w:val="D7282F"/>
        </w:rPr>
      </w:pPr>
      <w:r>
        <w:rPr>
          <w:rFonts w:ascii="Arial" w:cs="Arial" w:eastAsia="Arial" w:hAnsi="Arial"/>
          <w:sz w:val="11"/>
          <w:szCs w:val="11"/>
          <w:color w:val="auto"/>
        </w:rPr>
        <w:t>Level 2 - Inputs are based on observable inputs other than quoted prices in active markets for identical or similar assets and liabilities.</w:t>
      </w:r>
    </w:p>
    <w:p>
      <w:pPr>
        <w:spacing w:after="0" w:line="44" w:lineRule="exact"/>
        <w:rPr>
          <w:rFonts w:ascii="Arial" w:cs="Arial" w:eastAsia="Arial" w:hAnsi="Arial"/>
          <w:sz w:val="11"/>
          <w:szCs w:val="11"/>
          <w:color w:val="D7282F"/>
        </w:rPr>
      </w:pPr>
    </w:p>
    <w:p>
      <w:pPr>
        <w:ind w:left="128" w:hanging="128"/>
        <w:spacing w:after="0"/>
        <w:tabs>
          <w:tab w:leader="none" w:pos="128" w:val="left"/>
        </w:tabs>
        <w:numPr>
          <w:ilvl w:val="0"/>
          <w:numId w:val="126"/>
        </w:numPr>
        <w:rPr>
          <w:rFonts w:ascii="Arial" w:cs="Arial" w:eastAsia="Arial" w:hAnsi="Arial"/>
          <w:sz w:val="11"/>
          <w:szCs w:val="11"/>
          <w:color w:val="D7282F"/>
        </w:rPr>
      </w:pPr>
      <w:r>
        <w:rPr>
          <w:rFonts w:ascii="Arial" w:cs="Arial" w:eastAsia="Arial" w:hAnsi="Arial"/>
          <w:sz w:val="11"/>
          <w:szCs w:val="11"/>
          <w:color w:val="auto"/>
        </w:rPr>
        <w:t>Level 3 - One or more inputs are unobservable and significant.</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1"/>
          <w:szCs w:val="11"/>
          <w:color w:val="auto"/>
        </w:rPr>
        <w:t>Financial and nonfinancial assets and liabilities are classified in their entirety based on the lowest level of input that is significant to the fair value measurement.</w:t>
      </w:r>
    </w:p>
    <w:p>
      <w:pPr>
        <w:spacing w:after="0" w:line="296" w:lineRule="exact"/>
        <w:rPr>
          <w:sz w:val="20"/>
          <w:szCs w:val="20"/>
          <w:color w:val="auto"/>
        </w:rPr>
      </w:pPr>
    </w:p>
    <w:p>
      <w:pPr>
        <w:ind w:left="268" w:hanging="268"/>
        <w:spacing w:after="0"/>
        <w:tabs>
          <w:tab w:leader="none" w:pos="268" w:val="left"/>
        </w:tabs>
        <w:numPr>
          <w:ilvl w:val="0"/>
          <w:numId w:val="127"/>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87" w:name="page88"/>
    <w:bookmarkEnd w:id="87"/>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sets forth the Company’s financial assets and liabilities that were accounted for at fair value on a recurring basis: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3720" w:type="dxa"/>
            <w:vAlign w:val="bottom"/>
          </w:tcPr>
          <w:p>
            <w:pPr>
              <w:spacing w:after="0"/>
              <w:rPr>
                <w:sz w:val="11"/>
                <w:szCs w:val="11"/>
                <w:color w:val="auto"/>
              </w:rPr>
            </w:pPr>
          </w:p>
        </w:tc>
        <w:tc>
          <w:tcPr>
            <w:tcW w:w="580" w:type="dxa"/>
            <w:vAlign w:val="bottom"/>
            <w:tcBorders>
              <w:bottom w:val="single" w:sz="8" w:color="D7282F"/>
            </w:tcBorders>
          </w:tcPr>
          <w:p>
            <w:pPr>
              <w:spacing w:after="0"/>
              <w:rPr>
                <w:sz w:val="11"/>
                <w:szCs w:val="11"/>
                <w:color w:val="auto"/>
              </w:rPr>
            </w:pPr>
          </w:p>
        </w:tc>
        <w:tc>
          <w:tcPr>
            <w:tcW w:w="280" w:type="dxa"/>
            <w:vAlign w:val="bottom"/>
            <w:tcBorders>
              <w:bottom w:val="single" w:sz="8" w:color="D7282F"/>
            </w:tcBorders>
          </w:tcPr>
          <w:p>
            <w:pPr>
              <w:spacing w:after="0"/>
              <w:rPr>
                <w:sz w:val="11"/>
                <w:szCs w:val="11"/>
                <w:color w:val="auto"/>
              </w:rPr>
            </w:pPr>
          </w:p>
        </w:tc>
        <w:tc>
          <w:tcPr>
            <w:tcW w:w="1660" w:type="dxa"/>
            <w:vAlign w:val="bottom"/>
            <w:tcBorders>
              <w:bottom w:val="single" w:sz="8" w:color="D7282F"/>
            </w:tcBorders>
            <w:gridSpan w:val="3"/>
          </w:tcPr>
          <w:p>
            <w:pPr>
              <w:jc w:val="right"/>
              <w:ind w:right="192"/>
              <w:spacing w:after="0"/>
              <w:rPr>
                <w:sz w:val="20"/>
                <w:szCs w:val="20"/>
                <w:color w:val="auto"/>
              </w:rPr>
            </w:pPr>
            <w:r>
              <w:rPr>
                <w:rFonts w:ascii="Arial" w:cs="Arial" w:eastAsia="Arial" w:hAnsi="Arial"/>
                <w:sz w:val="10"/>
                <w:szCs w:val="10"/>
                <w:b w:val="1"/>
                <w:bCs w:val="1"/>
                <w:color w:val="auto"/>
              </w:rPr>
              <w:t>December 31, 2023</w:t>
            </w:r>
          </w:p>
        </w:tc>
        <w:tc>
          <w:tcPr>
            <w:tcW w:w="260" w:type="dxa"/>
            <w:vAlign w:val="bottom"/>
            <w:tcBorders>
              <w:bottom w:val="single" w:sz="8" w:color="D7282F"/>
            </w:tcBorders>
          </w:tcPr>
          <w:p>
            <w:pPr>
              <w:spacing w:after="0"/>
              <w:rPr>
                <w:sz w:val="11"/>
                <w:szCs w:val="11"/>
                <w:color w:val="auto"/>
              </w:rPr>
            </w:pPr>
          </w:p>
        </w:tc>
        <w:tc>
          <w:tcPr>
            <w:tcW w:w="300" w:type="dxa"/>
            <w:vAlign w:val="bottom"/>
            <w:tcBorders>
              <w:bottom w:val="single" w:sz="8" w:color="D7282F"/>
            </w:tcBorders>
          </w:tcPr>
          <w:p>
            <w:pPr>
              <w:spacing w:after="0"/>
              <w:rPr>
                <w:sz w:val="11"/>
                <w:szCs w:val="11"/>
                <w:color w:val="auto"/>
              </w:rPr>
            </w:pPr>
          </w:p>
        </w:tc>
        <w:tc>
          <w:tcPr>
            <w:tcW w:w="580" w:type="dxa"/>
            <w:vAlign w:val="bottom"/>
            <w:tcBorders>
              <w:bottom w:val="single" w:sz="8" w:color="D7282F"/>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D7282F"/>
            </w:tcBorders>
          </w:tcPr>
          <w:p>
            <w:pPr>
              <w:spacing w:after="0"/>
              <w:rPr>
                <w:sz w:val="11"/>
                <w:szCs w:val="11"/>
                <w:color w:val="auto"/>
              </w:rPr>
            </w:pPr>
          </w:p>
        </w:tc>
        <w:tc>
          <w:tcPr>
            <w:tcW w:w="720" w:type="dxa"/>
            <w:vAlign w:val="bottom"/>
            <w:tcBorders>
              <w:bottom w:val="single" w:sz="8" w:color="D7282F"/>
            </w:tcBorders>
          </w:tcPr>
          <w:p>
            <w:pPr>
              <w:spacing w:after="0"/>
              <w:rPr>
                <w:sz w:val="11"/>
                <w:szCs w:val="11"/>
                <w:color w:val="auto"/>
              </w:rPr>
            </w:pPr>
          </w:p>
        </w:tc>
        <w:tc>
          <w:tcPr>
            <w:tcW w:w="260" w:type="dxa"/>
            <w:vAlign w:val="bottom"/>
            <w:tcBorders>
              <w:bottom w:val="single" w:sz="8" w:color="D7282F"/>
            </w:tcBorders>
          </w:tcPr>
          <w:p>
            <w:pPr>
              <w:spacing w:after="0"/>
              <w:rPr>
                <w:sz w:val="11"/>
                <w:szCs w:val="11"/>
                <w:color w:val="auto"/>
              </w:rPr>
            </w:pPr>
          </w:p>
        </w:tc>
        <w:tc>
          <w:tcPr>
            <w:tcW w:w="1380" w:type="dxa"/>
            <w:vAlign w:val="bottom"/>
            <w:tcBorders>
              <w:bottom w:val="single" w:sz="8" w:color="D7282F"/>
            </w:tcBorders>
            <w:gridSpan w:val="2"/>
          </w:tcPr>
          <w:p>
            <w:pPr>
              <w:jc w:val="right"/>
              <w:ind w:right="172"/>
              <w:spacing w:after="0"/>
              <w:rPr>
                <w:sz w:val="20"/>
                <w:szCs w:val="20"/>
                <w:color w:val="auto"/>
              </w:rPr>
            </w:pPr>
            <w:r>
              <w:rPr>
                <w:rFonts w:ascii="Arial" w:cs="Arial" w:eastAsia="Arial" w:hAnsi="Arial"/>
                <w:sz w:val="10"/>
                <w:szCs w:val="10"/>
                <w:b w:val="1"/>
                <w:bCs w:val="1"/>
                <w:color w:val="auto"/>
              </w:rPr>
              <w:t>December 31, 2022</w:t>
            </w:r>
          </w:p>
        </w:tc>
        <w:tc>
          <w:tcPr>
            <w:tcW w:w="200" w:type="dxa"/>
            <w:vAlign w:val="bottom"/>
            <w:tcBorders>
              <w:bottom w:val="single" w:sz="8" w:color="D7282F"/>
            </w:tcBorders>
          </w:tcPr>
          <w:p>
            <w:pPr>
              <w:spacing w:after="0"/>
              <w:rPr>
                <w:sz w:val="11"/>
                <w:szCs w:val="11"/>
                <w:color w:val="auto"/>
              </w:rPr>
            </w:pPr>
          </w:p>
        </w:tc>
        <w:tc>
          <w:tcPr>
            <w:tcW w:w="220" w:type="dxa"/>
            <w:vAlign w:val="bottom"/>
            <w:tcBorders>
              <w:bottom w:val="single" w:sz="8" w:color="D7282F"/>
            </w:tcBorders>
          </w:tcPr>
          <w:p>
            <w:pPr>
              <w:spacing w:after="0"/>
              <w:rPr>
                <w:sz w:val="11"/>
                <w:szCs w:val="11"/>
                <w:color w:val="auto"/>
              </w:rPr>
            </w:pPr>
          </w:p>
        </w:tc>
        <w:tc>
          <w:tcPr>
            <w:tcW w:w="180" w:type="dxa"/>
            <w:vAlign w:val="bottom"/>
            <w:tcBorders>
              <w:bottom w:val="single" w:sz="8" w:color="D7282F"/>
            </w:tcBorders>
          </w:tcPr>
          <w:p>
            <w:pPr>
              <w:spacing w:after="0"/>
              <w:rPr>
                <w:sz w:val="11"/>
                <w:szCs w:val="11"/>
                <w:color w:val="auto"/>
              </w:rPr>
            </w:pPr>
          </w:p>
        </w:tc>
        <w:tc>
          <w:tcPr>
            <w:tcW w:w="600" w:type="dxa"/>
            <w:vAlign w:val="bottom"/>
            <w:tcBorders>
              <w:bottom w:val="single" w:sz="8" w:color="D7282F"/>
            </w:tcBorders>
          </w:tcPr>
          <w:p>
            <w:pPr>
              <w:spacing w:after="0"/>
              <w:rPr>
                <w:sz w:val="11"/>
                <w:szCs w:val="11"/>
                <w:color w:val="auto"/>
              </w:rPr>
            </w:pPr>
          </w:p>
        </w:tc>
      </w:tr>
      <w:tr>
        <w:trPr>
          <w:trHeight w:val="124"/>
        </w:trPr>
        <w:tc>
          <w:tcPr>
            <w:tcW w:w="372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Level 1</w:t>
            </w:r>
          </w:p>
        </w:tc>
        <w:tc>
          <w:tcPr>
            <w:tcW w:w="28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Level 2</w:t>
            </w:r>
          </w:p>
        </w:tc>
        <w:tc>
          <w:tcPr>
            <w:tcW w:w="30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Level 3</w:t>
            </w:r>
          </w:p>
        </w:tc>
        <w:tc>
          <w:tcPr>
            <w:tcW w:w="26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spacing w:after="0"/>
              <w:rPr>
                <w:sz w:val="10"/>
                <w:szCs w:val="10"/>
                <w:color w:val="auto"/>
              </w:rPr>
            </w:pPr>
          </w:p>
        </w:tc>
        <w:tc>
          <w:tcPr>
            <w:tcW w:w="800" w:type="dxa"/>
            <w:vAlign w:val="bottom"/>
            <w:tcBorders>
              <w:bottom w:val="single" w:sz="8" w:color="D7282F"/>
            </w:tcBorders>
            <w:gridSpan w:val="2"/>
          </w:tcPr>
          <w:p>
            <w:pPr>
              <w:ind w:left="100"/>
              <w:spacing w:after="0"/>
              <w:rPr>
                <w:sz w:val="20"/>
                <w:szCs w:val="20"/>
                <w:color w:val="auto"/>
              </w:rPr>
            </w:pPr>
            <w:r>
              <w:rPr>
                <w:rFonts w:ascii="Arial" w:cs="Arial" w:eastAsia="Arial" w:hAnsi="Arial"/>
                <w:sz w:val="10"/>
                <w:szCs w:val="10"/>
                <w:b w:val="1"/>
                <w:bCs w:val="1"/>
                <w:color w:val="auto"/>
              </w:rPr>
              <w:t>Total</w:t>
            </w:r>
          </w:p>
        </w:tc>
        <w:tc>
          <w:tcPr>
            <w:tcW w:w="140" w:type="dxa"/>
            <w:vAlign w:val="bottom"/>
            <w:tcBorders>
              <w:bottom w:val="single" w:sz="8" w:color="D7282F"/>
            </w:tcBorders>
          </w:tcPr>
          <w:p>
            <w:pPr>
              <w:spacing w:after="0"/>
              <w:rPr>
                <w:sz w:val="10"/>
                <w:szCs w:val="10"/>
                <w:color w:val="auto"/>
              </w:rPr>
            </w:pPr>
          </w:p>
        </w:tc>
        <w:tc>
          <w:tcPr>
            <w:tcW w:w="72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rPr>
              <w:t>Level 1</w:t>
            </w:r>
          </w:p>
        </w:tc>
        <w:tc>
          <w:tcPr>
            <w:tcW w:w="26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372"/>
              <w:spacing w:after="0"/>
              <w:rPr>
                <w:sz w:val="20"/>
                <w:szCs w:val="20"/>
                <w:color w:val="auto"/>
              </w:rPr>
            </w:pPr>
            <w:r>
              <w:rPr>
                <w:rFonts w:ascii="Arial" w:cs="Arial" w:eastAsia="Arial" w:hAnsi="Arial"/>
                <w:sz w:val="10"/>
                <w:szCs w:val="10"/>
                <w:b w:val="1"/>
                <w:bCs w:val="1"/>
                <w:color w:val="auto"/>
              </w:rPr>
              <w:t>Level 2</w:t>
            </w:r>
          </w:p>
        </w:tc>
        <w:tc>
          <w:tcPr>
            <w:tcW w:w="5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Level 3</w:t>
            </w:r>
          </w:p>
        </w:tc>
        <w:tc>
          <w:tcPr>
            <w:tcW w:w="200" w:type="dxa"/>
            <w:vAlign w:val="bottom"/>
            <w:tcBorders>
              <w:bottom w:val="single" w:sz="8" w:color="DC202E"/>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18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232"/>
              <w:spacing w:after="0"/>
              <w:rPr>
                <w:sz w:val="20"/>
                <w:szCs w:val="20"/>
                <w:color w:val="auto"/>
              </w:rPr>
            </w:pPr>
            <w:r>
              <w:rPr>
                <w:rFonts w:ascii="Arial" w:cs="Arial" w:eastAsia="Arial" w:hAnsi="Arial"/>
                <w:sz w:val="10"/>
                <w:szCs w:val="10"/>
                <w:b w:val="1"/>
                <w:bCs w:val="1"/>
                <w:color w:val="auto"/>
              </w:rPr>
              <w:t>Total</w:t>
            </w:r>
          </w:p>
        </w:tc>
      </w:tr>
      <w:tr>
        <w:trPr>
          <w:trHeight w:val="142"/>
        </w:trPr>
        <w:tc>
          <w:tcPr>
            <w:tcW w:w="372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Assets</w:t>
            </w:r>
          </w:p>
        </w:tc>
        <w:tc>
          <w:tcPr>
            <w:tcW w:w="580" w:type="dxa"/>
            <w:vAlign w:val="bottom"/>
            <w:tcBorders>
              <w:bottom w:val="single" w:sz="8" w:color="61656A"/>
            </w:tcBorders>
          </w:tcPr>
          <w:p>
            <w:pPr>
              <w:spacing w:after="0"/>
              <w:rPr>
                <w:sz w:val="12"/>
                <w:szCs w:val="12"/>
                <w:color w:val="auto"/>
              </w:rPr>
            </w:pPr>
          </w:p>
        </w:tc>
        <w:tc>
          <w:tcPr>
            <w:tcW w:w="280" w:type="dxa"/>
            <w:vAlign w:val="bottom"/>
            <w:tcBorders>
              <w:bottom w:val="single" w:sz="8" w:color="61656A"/>
            </w:tcBorders>
          </w:tcPr>
          <w:p>
            <w:pPr>
              <w:spacing w:after="0"/>
              <w:rPr>
                <w:sz w:val="12"/>
                <w:szCs w:val="12"/>
                <w:color w:val="auto"/>
              </w:rPr>
            </w:pPr>
          </w:p>
        </w:tc>
        <w:tc>
          <w:tcPr>
            <w:tcW w:w="660" w:type="dxa"/>
            <w:vAlign w:val="bottom"/>
            <w:tcBorders>
              <w:bottom w:val="single" w:sz="8" w:color="61656A"/>
            </w:tcBorders>
          </w:tcPr>
          <w:p>
            <w:pPr>
              <w:spacing w:after="0"/>
              <w:rPr>
                <w:sz w:val="12"/>
                <w:szCs w:val="12"/>
                <w:color w:val="auto"/>
              </w:rPr>
            </w:pPr>
          </w:p>
        </w:tc>
        <w:tc>
          <w:tcPr>
            <w:tcW w:w="300" w:type="dxa"/>
            <w:vAlign w:val="bottom"/>
            <w:tcBorders>
              <w:bottom w:val="single" w:sz="8" w:color="61656A"/>
            </w:tcBorders>
          </w:tcPr>
          <w:p>
            <w:pPr>
              <w:spacing w:after="0"/>
              <w:rPr>
                <w:sz w:val="12"/>
                <w:szCs w:val="12"/>
                <w:color w:val="auto"/>
              </w:rPr>
            </w:pPr>
          </w:p>
        </w:tc>
        <w:tc>
          <w:tcPr>
            <w:tcW w:w="700" w:type="dxa"/>
            <w:vAlign w:val="bottom"/>
            <w:tcBorders>
              <w:bottom w:val="single" w:sz="8" w:color="61656A"/>
            </w:tcBorders>
          </w:tcPr>
          <w:p>
            <w:pPr>
              <w:spacing w:after="0"/>
              <w:rPr>
                <w:sz w:val="12"/>
                <w:szCs w:val="12"/>
                <w:color w:val="auto"/>
              </w:rPr>
            </w:pPr>
          </w:p>
        </w:tc>
        <w:tc>
          <w:tcPr>
            <w:tcW w:w="260" w:type="dxa"/>
            <w:vAlign w:val="bottom"/>
            <w:tcBorders>
              <w:bottom w:val="single" w:sz="8" w:color="61656A"/>
            </w:tcBorders>
          </w:tcPr>
          <w:p>
            <w:pPr>
              <w:spacing w:after="0"/>
              <w:rPr>
                <w:sz w:val="12"/>
                <w:szCs w:val="12"/>
                <w:color w:val="auto"/>
              </w:rPr>
            </w:pPr>
          </w:p>
        </w:tc>
        <w:tc>
          <w:tcPr>
            <w:tcW w:w="300" w:type="dxa"/>
            <w:vAlign w:val="bottom"/>
            <w:tcBorders>
              <w:bottom w:val="single" w:sz="8" w:color="61656A"/>
            </w:tcBorders>
          </w:tcPr>
          <w:p>
            <w:pPr>
              <w:spacing w:after="0"/>
              <w:rPr>
                <w:sz w:val="12"/>
                <w:szCs w:val="12"/>
                <w:color w:val="auto"/>
              </w:rPr>
            </w:pPr>
          </w:p>
        </w:tc>
        <w:tc>
          <w:tcPr>
            <w:tcW w:w="580" w:type="dxa"/>
            <w:vAlign w:val="bottom"/>
            <w:tcBorders>
              <w:bottom w:val="single" w:sz="8" w:color="61656A"/>
            </w:tcBorders>
          </w:tcPr>
          <w:p>
            <w:pPr>
              <w:spacing w:after="0"/>
              <w:rPr>
                <w:sz w:val="12"/>
                <w:szCs w:val="12"/>
                <w:color w:val="auto"/>
              </w:rPr>
            </w:pPr>
          </w:p>
        </w:tc>
        <w:tc>
          <w:tcPr>
            <w:tcW w:w="220" w:type="dxa"/>
            <w:vAlign w:val="bottom"/>
            <w:tcBorders>
              <w:bottom w:val="single" w:sz="8" w:color="61656A"/>
            </w:tcBorders>
          </w:tcPr>
          <w:p>
            <w:pPr>
              <w:spacing w:after="0"/>
              <w:rPr>
                <w:sz w:val="12"/>
                <w:szCs w:val="12"/>
                <w:color w:val="auto"/>
              </w:rPr>
            </w:pPr>
          </w:p>
        </w:tc>
        <w:tc>
          <w:tcPr>
            <w:tcW w:w="140" w:type="dxa"/>
            <w:vAlign w:val="bottom"/>
            <w:tcBorders>
              <w:bottom w:val="single" w:sz="8" w:color="61656A"/>
            </w:tcBorders>
          </w:tcPr>
          <w:p>
            <w:pPr>
              <w:spacing w:after="0"/>
              <w:rPr>
                <w:sz w:val="12"/>
                <w:szCs w:val="12"/>
                <w:color w:val="auto"/>
              </w:rPr>
            </w:pPr>
          </w:p>
        </w:tc>
        <w:tc>
          <w:tcPr>
            <w:tcW w:w="720" w:type="dxa"/>
            <w:vAlign w:val="bottom"/>
            <w:tcBorders>
              <w:bottom w:val="single" w:sz="8" w:color="61656A"/>
            </w:tcBorders>
          </w:tcPr>
          <w:p>
            <w:pPr>
              <w:spacing w:after="0"/>
              <w:rPr>
                <w:sz w:val="12"/>
                <w:szCs w:val="12"/>
                <w:color w:val="auto"/>
              </w:rPr>
            </w:pPr>
          </w:p>
        </w:tc>
        <w:tc>
          <w:tcPr>
            <w:tcW w:w="260" w:type="dxa"/>
            <w:vAlign w:val="bottom"/>
            <w:tcBorders>
              <w:bottom w:val="single" w:sz="8" w:color="61656A"/>
            </w:tcBorders>
          </w:tcPr>
          <w:p>
            <w:pPr>
              <w:spacing w:after="0"/>
              <w:rPr>
                <w:sz w:val="12"/>
                <w:szCs w:val="12"/>
                <w:color w:val="auto"/>
              </w:rPr>
            </w:pPr>
          </w:p>
        </w:tc>
        <w:tc>
          <w:tcPr>
            <w:tcW w:w="820" w:type="dxa"/>
            <w:vAlign w:val="bottom"/>
            <w:tcBorders>
              <w:bottom w:val="single" w:sz="8" w:color="61656A"/>
            </w:tcBorders>
          </w:tcPr>
          <w:p>
            <w:pPr>
              <w:spacing w:after="0"/>
              <w:rPr>
                <w:sz w:val="12"/>
                <w:szCs w:val="12"/>
                <w:color w:val="auto"/>
              </w:rPr>
            </w:pPr>
          </w:p>
        </w:tc>
        <w:tc>
          <w:tcPr>
            <w:tcW w:w="560" w:type="dxa"/>
            <w:vAlign w:val="bottom"/>
            <w:tcBorders>
              <w:bottom w:val="single" w:sz="8" w:color="61656A"/>
            </w:tcBorders>
          </w:tcPr>
          <w:p>
            <w:pPr>
              <w:spacing w:after="0"/>
              <w:rPr>
                <w:sz w:val="12"/>
                <w:szCs w:val="12"/>
                <w:color w:val="auto"/>
              </w:rPr>
            </w:pPr>
          </w:p>
        </w:tc>
        <w:tc>
          <w:tcPr>
            <w:tcW w:w="200" w:type="dxa"/>
            <w:vAlign w:val="bottom"/>
            <w:tcBorders>
              <w:bottom w:val="single" w:sz="8" w:color="61656A"/>
            </w:tcBorders>
          </w:tcPr>
          <w:p>
            <w:pPr>
              <w:spacing w:after="0"/>
              <w:rPr>
                <w:sz w:val="12"/>
                <w:szCs w:val="12"/>
                <w:color w:val="auto"/>
              </w:rPr>
            </w:pPr>
          </w:p>
        </w:tc>
        <w:tc>
          <w:tcPr>
            <w:tcW w:w="220" w:type="dxa"/>
            <w:vAlign w:val="bottom"/>
            <w:tcBorders>
              <w:bottom w:val="single" w:sz="8" w:color="61656A"/>
            </w:tcBorders>
          </w:tcPr>
          <w:p>
            <w:pPr>
              <w:spacing w:after="0"/>
              <w:rPr>
                <w:sz w:val="12"/>
                <w:szCs w:val="12"/>
                <w:color w:val="auto"/>
              </w:rPr>
            </w:pPr>
          </w:p>
        </w:tc>
        <w:tc>
          <w:tcPr>
            <w:tcW w:w="180" w:type="dxa"/>
            <w:vAlign w:val="bottom"/>
            <w:tcBorders>
              <w:bottom w:val="single" w:sz="8" w:color="61656A"/>
            </w:tcBorders>
          </w:tcPr>
          <w:p>
            <w:pPr>
              <w:spacing w:after="0"/>
              <w:rPr>
                <w:sz w:val="12"/>
                <w:szCs w:val="12"/>
                <w:color w:val="auto"/>
              </w:rPr>
            </w:pPr>
          </w:p>
        </w:tc>
        <w:tc>
          <w:tcPr>
            <w:tcW w:w="600" w:type="dxa"/>
            <w:vAlign w:val="bottom"/>
            <w:tcBorders>
              <w:bottom w:val="single" w:sz="8" w:color="61656A"/>
            </w:tcBorders>
          </w:tcPr>
          <w:p>
            <w:pPr>
              <w:spacing w:after="0"/>
              <w:rPr>
                <w:sz w:val="12"/>
                <w:szCs w:val="12"/>
                <w:color w:val="auto"/>
              </w:rPr>
            </w:pPr>
          </w:p>
        </w:tc>
      </w:tr>
      <w:tr>
        <w:trPr>
          <w:trHeight w:val="122"/>
        </w:trPr>
        <w:tc>
          <w:tcPr>
            <w:tcW w:w="372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Foreign currency exchange contracts</w:t>
            </w:r>
          </w:p>
        </w:tc>
        <w:tc>
          <w:tcPr>
            <w:tcW w:w="580" w:type="dxa"/>
            <w:vAlign w:val="bottom"/>
            <w:tcBorders>
              <w:bottom w:val="single" w:sz="8" w:color="61656A"/>
            </w:tcBorders>
          </w:tcPr>
          <w:p>
            <w:pPr>
              <w:jc w:val="right"/>
              <w:ind w:right="45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61656A"/>
            </w:tcBorders>
          </w:tcPr>
          <w:p>
            <w:pPr>
              <w:jc w:val="right"/>
              <w:ind w:right="432"/>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35</w:t>
            </w:r>
          </w:p>
        </w:tc>
        <w:tc>
          <w:tcPr>
            <w:tcW w:w="700" w:type="dxa"/>
            <w:vAlign w:val="bottom"/>
            <w:tcBorders>
              <w:bottom w:val="single" w:sz="8" w:color="61656A"/>
            </w:tcBorders>
          </w:tcPr>
          <w:p>
            <w:pPr>
              <w:jc w:val="right"/>
              <w:ind w:right="45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35</w:t>
            </w:r>
          </w:p>
        </w:tc>
        <w:tc>
          <w:tcPr>
            <w:tcW w:w="220" w:type="dxa"/>
            <w:vAlign w:val="bottom"/>
            <w:tcBorders>
              <w:bottom w:val="single" w:sz="8" w:color="61656A"/>
            </w:tcBorders>
          </w:tcPr>
          <w:p>
            <w:pPr>
              <w:spacing w:after="0"/>
              <w:rPr>
                <w:sz w:val="10"/>
                <w:szCs w:val="10"/>
                <w:color w:val="auto"/>
              </w:rPr>
            </w:pPr>
          </w:p>
        </w:tc>
        <w:tc>
          <w:tcPr>
            <w:tcW w:w="1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61656A"/>
            </w:tcBorders>
          </w:tcPr>
          <w:p>
            <w:pPr>
              <w:jc w:val="right"/>
              <w:ind w:right="3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61656A"/>
            </w:tcBorders>
          </w:tcPr>
          <w:p>
            <w:pPr>
              <w:jc w:val="right"/>
              <w:ind w:right="212"/>
              <w:spacing w:after="0"/>
              <w:rPr>
                <w:sz w:val="20"/>
                <w:szCs w:val="20"/>
                <w:color w:val="auto"/>
              </w:rPr>
            </w:pPr>
            <w:r>
              <w:rPr>
                <w:rFonts w:ascii="Arial" w:cs="Arial" w:eastAsia="Arial" w:hAnsi="Arial"/>
                <w:sz w:val="10"/>
                <w:szCs w:val="10"/>
                <w:color w:val="auto"/>
              </w:rPr>
              <w:t>93</w:t>
            </w:r>
          </w:p>
        </w:tc>
        <w:tc>
          <w:tcPr>
            <w:tcW w:w="560" w:type="dxa"/>
            <w:vAlign w:val="bottom"/>
            <w:tcBorders>
              <w:bottom w:val="single" w:sz="8" w:color="61656A"/>
            </w:tcBorders>
          </w:tcPr>
          <w:p>
            <w:pPr>
              <w:jc w:val="right"/>
              <w:ind w:right="43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61656A"/>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93</w:t>
            </w:r>
          </w:p>
        </w:tc>
      </w:tr>
      <w:tr>
        <w:trPr>
          <w:trHeight w:val="124"/>
        </w:trPr>
        <w:tc>
          <w:tcPr>
            <w:tcW w:w="372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Available for sale investments</w:t>
            </w:r>
          </w:p>
        </w:tc>
        <w:tc>
          <w:tcPr>
            <w:tcW w:w="58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63</w:t>
            </w:r>
          </w:p>
        </w:tc>
        <w:tc>
          <w:tcPr>
            <w:tcW w:w="660" w:type="dxa"/>
            <w:vAlign w:val="bottom"/>
            <w:tcBorders>
              <w:bottom w:val="single" w:sz="8" w:color="61656A"/>
            </w:tcBorders>
          </w:tcPr>
          <w:p>
            <w:pPr>
              <w:spacing w:after="0"/>
              <w:rPr>
                <w:sz w:val="10"/>
                <w:szCs w:val="10"/>
                <w:color w:val="auto"/>
              </w:rPr>
            </w:pPr>
          </w:p>
        </w:tc>
        <w:tc>
          <w:tcPr>
            <w:tcW w:w="3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w w:val="95"/>
              </w:rPr>
              <w:t>217</w:t>
            </w:r>
          </w:p>
        </w:tc>
        <w:tc>
          <w:tcPr>
            <w:tcW w:w="70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280</w:t>
            </w:r>
          </w:p>
        </w:tc>
        <w:tc>
          <w:tcPr>
            <w:tcW w:w="220" w:type="dxa"/>
            <w:vAlign w:val="bottom"/>
            <w:tcBorders>
              <w:bottom w:val="single" w:sz="8" w:color="61656A"/>
            </w:tcBorders>
          </w:tcPr>
          <w:p>
            <w:pPr>
              <w:spacing w:after="0"/>
              <w:rPr>
                <w:sz w:val="10"/>
                <w:szCs w:val="10"/>
                <w:color w:val="auto"/>
              </w:rPr>
            </w:pPr>
          </w:p>
        </w:tc>
        <w:tc>
          <w:tcPr>
            <w:tcW w:w="140" w:type="dxa"/>
            <w:vAlign w:val="bottom"/>
            <w:tcBorders>
              <w:bottom w:val="single" w:sz="8" w:color="61656A"/>
            </w:tcBorders>
          </w:tcPr>
          <w:p>
            <w:pPr>
              <w:spacing w:after="0"/>
              <w:rPr>
                <w:sz w:val="10"/>
                <w:szCs w:val="10"/>
                <w:color w:val="auto"/>
              </w:rPr>
            </w:pPr>
          </w:p>
        </w:tc>
        <w:tc>
          <w:tcPr>
            <w:tcW w:w="7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87</w:t>
            </w:r>
          </w:p>
        </w:tc>
        <w:tc>
          <w:tcPr>
            <w:tcW w:w="26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jc w:val="right"/>
              <w:ind w:right="212"/>
              <w:spacing w:after="0"/>
              <w:rPr>
                <w:sz w:val="20"/>
                <w:szCs w:val="20"/>
                <w:color w:val="auto"/>
              </w:rPr>
            </w:pPr>
            <w:r>
              <w:rPr>
                <w:rFonts w:ascii="Arial" w:cs="Arial" w:eastAsia="Arial" w:hAnsi="Arial"/>
                <w:sz w:val="10"/>
                <w:szCs w:val="10"/>
                <w:color w:val="auto"/>
              </w:rPr>
              <w:t>559</w:t>
            </w:r>
          </w:p>
        </w:tc>
        <w:tc>
          <w:tcPr>
            <w:tcW w:w="56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646</w:t>
            </w:r>
          </w:p>
        </w:tc>
      </w:tr>
      <w:tr>
        <w:trPr>
          <w:trHeight w:val="124"/>
        </w:trPr>
        <w:tc>
          <w:tcPr>
            <w:tcW w:w="372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Interest rate swap agreements</w:t>
            </w:r>
          </w:p>
        </w:tc>
        <w:tc>
          <w:tcPr>
            <w:tcW w:w="58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61656A"/>
            </w:tcBorders>
          </w:tcPr>
          <w:p>
            <w:pPr>
              <w:spacing w:after="0"/>
              <w:rPr>
                <w:sz w:val="10"/>
                <w:szCs w:val="10"/>
                <w:color w:val="auto"/>
              </w:rPr>
            </w:pPr>
          </w:p>
        </w:tc>
        <w:tc>
          <w:tcPr>
            <w:tcW w:w="3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18</w:t>
            </w:r>
          </w:p>
        </w:tc>
        <w:tc>
          <w:tcPr>
            <w:tcW w:w="70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18</w:t>
            </w:r>
          </w:p>
        </w:tc>
        <w:tc>
          <w:tcPr>
            <w:tcW w:w="220" w:type="dxa"/>
            <w:vAlign w:val="bottom"/>
            <w:tcBorders>
              <w:bottom w:val="single" w:sz="8" w:color="61656A"/>
            </w:tcBorders>
          </w:tcPr>
          <w:p>
            <w:pPr>
              <w:spacing w:after="0"/>
              <w:rPr>
                <w:sz w:val="10"/>
                <w:szCs w:val="10"/>
                <w:color w:val="auto"/>
              </w:rPr>
            </w:pPr>
          </w:p>
        </w:tc>
        <w:tc>
          <w:tcPr>
            <w:tcW w:w="140" w:type="dxa"/>
            <w:vAlign w:val="bottom"/>
            <w:tcBorders>
              <w:bottom w:val="single" w:sz="8" w:color="61656A"/>
            </w:tcBorders>
          </w:tcPr>
          <w:p>
            <w:pPr>
              <w:spacing w:after="0"/>
              <w:rPr>
                <w:sz w:val="10"/>
                <w:szCs w:val="10"/>
                <w:color w:val="auto"/>
              </w:rPr>
            </w:pPr>
          </w:p>
        </w:tc>
        <w:tc>
          <w:tcPr>
            <w:tcW w:w="7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jc w:val="right"/>
              <w:ind w:right="212"/>
              <w:spacing w:after="0"/>
              <w:rPr>
                <w:sz w:val="20"/>
                <w:szCs w:val="20"/>
                <w:color w:val="auto"/>
              </w:rPr>
            </w:pPr>
            <w:r>
              <w:rPr>
                <w:rFonts w:ascii="Arial" w:cs="Arial" w:eastAsia="Arial" w:hAnsi="Arial"/>
                <w:sz w:val="10"/>
                <w:szCs w:val="10"/>
                <w:color w:val="auto"/>
              </w:rPr>
              <w:t>16</w:t>
            </w:r>
          </w:p>
        </w:tc>
        <w:tc>
          <w:tcPr>
            <w:tcW w:w="56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16</w:t>
            </w:r>
          </w:p>
        </w:tc>
      </w:tr>
      <w:tr>
        <w:trPr>
          <w:trHeight w:val="124"/>
        </w:trPr>
        <w:tc>
          <w:tcPr>
            <w:tcW w:w="372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Cross currency swap agreements</w:t>
            </w:r>
          </w:p>
        </w:tc>
        <w:tc>
          <w:tcPr>
            <w:tcW w:w="58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61656A"/>
            </w:tcBorders>
          </w:tcPr>
          <w:p>
            <w:pPr>
              <w:spacing w:after="0"/>
              <w:rPr>
                <w:sz w:val="10"/>
                <w:szCs w:val="10"/>
                <w:color w:val="auto"/>
              </w:rPr>
            </w:pPr>
          </w:p>
        </w:tc>
        <w:tc>
          <w:tcPr>
            <w:tcW w:w="3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61656A"/>
            </w:tcBorders>
          </w:tcPr>
          <w:p>
            <w:pPr>
              <w:spacing w:after="0"/>
              <w:rPr>
                <w:sz w:val="10"/>
                <w:szCs w:val="10"/>
                <w:color w:val="auto"/>
              </w:rPr>
            </w:pPr>
          </w:p>
        </w:tc>
        <w:tc>
          <w:tcPr>
            <w:tcW w:w="800" w:type="dxa"/>
            <w:vAlign w:val="bottom"/>
            <w:tcBorders>
              <w:bottom w:val="single" w:sz="8" w:color="61656A"/>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61656A"/>
            </w:tcBorders>
          </w:tcPr>
          <w:p>
            <w:pPr>
              <w:spacing w:after="0"/>
              <w:rPr>
                <w:sz w:val="10"/>
                <w:szCs w:val="10"/>
                <w:color w:val="auto"/>
              </w:rPr>
            </w:pPr>
          </w:p>
        </w:tc>
        <w:tc>
          <w:tcPr>
            <w:tcW w:w="7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jc w:val="right"/>
              <w:ind w:right="212"/>
              <w:spacing w:after="0"/>
              <w:rPr>
                <w:sz w:val="20"/>
                <w:szCs w:val="20"/>
                <w:color w:val="auto"/>
              </w:rPr>
            </w:pPr>
            <w:r>
              <w:rPr>
                <w:rFonts w:ascii="Arial" w:cs="Arial" w:eastAsia="Arial" w:hAnsi="Arial"/>
                <w:sz w:val="10"/>
                <w:szCs w:val="10"/>
                <w:color w:val="auto"/>
              </w:rPr>
              <w:t>90</w:t>
            </w:r>
          </w:p>
        </w:tc>
        <w:tc>
          <w:tcPr>
            <w:tcW w:w="56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90</w:t>
            </w:r>
          </w:p>
        </w:tc>
      </w:tr>
      <w:tr>
        <w:trPr>
          <w:trHeight w:val="124"/>
        </w:trPr>
        <w:tc>
          <w:tcPr>
            <w:tcW w:w="372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Investments in equity securities</w:t>
            </w:r>
          </w:p>
        </w:tc>
        <w:tc>
          <w:tcPr>
            <w:tcW w:w="58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22</w:t>
            </w:r>
          </w:p>
        </w:tc>
        <w:tc>
          <w:tcPr>
            <w:tcW w:w="660" w:type="dxa"/>
            <w:vAlign w:val="bottom"/>
            <w:tcBorders>
              <w:bottom w:val="single" w:sz="8" w:color="61656A"/>
            </w:tcBorders>
          </w:tcPr>
          <w:p>
            <w:pPr>
              <w:spacing w:after="0"/>
              <w:rPr>
                <w:sz w:val="10"/>
                <w:szCs w:val="10"/>
                <w:color w:val="auto"/>
              </w:rPr>
            </w:pPr>
          </w:p>
        </w:tc>
        <w:tc>
          <w:tcPr>
            <w:tcW w:w="3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22</w:t>
            </w:r>
          </w:p>
        </w:tc>
        <w:tc>
          <w:tcPr>
            <w:tcW w:w="220" w:type="dxa"/>
            <w:vAlign w:val="bottom"/>
            <w:tcBorders>
              <w:bottom w:val="single" w:sz="8" w:color="61656A"/>
            </w:tcBorders>
          </w:tcPr>
          <w:p>
            <w:pPr>
              <w:spacing w:after="0"/>
              <w:rPr>
                <w:sz w:val="10"/>
                <w:szCs w:val="10"/>
                <w:color w:val="auto"/>
              </w:rPr>
            </w:pPr>
          </w:p>
        </w:tc>
        <w:tc>
          <w:tcPr>
            <w:tcW w:w="140" w:type="dxa"/>
            <w:vAlign w:val="bottom"/>
            <w:tcBorders>
              <w:bottom w:val="single" w:sz="8" w:color="61656A"/>
            </w:tcBorders>
          </w:tcPr>
          <w:p>
            <w:pPr>
              <w:spacing w:after="0"/>
              <w:rPr>
                <w:sz w:val="10"/>
                <w:szCs w:val="10"/>
                <w:color w:val="auto"/>
              </w:rPr>
            </w:pPr>
          </w:p>
        </w:tc>
        <w:tc>
          <w:tcPr>
            <w:tcW w:w="7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22</w:t>
            </w:r>
          </w:p>
        </w:tc>
        <w:tc>
          <w:tcPr>
            <w:tcW w:w="26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jc w:val="right"/>
              <w:ind w:right="212"/>
              <w:spacing w:after="0"/>
              <w:rPr>
                <w:sz w:val="20"/>
                <w:szCs w:val="20"/>
                <w:color w:val="auto"/>
              </w:rPr>
            </w:pPr>
            <w:r>
              <w:rPr>
                <w:rFonts w:ascii="Arial" w:cs="Arial" w:eastAsia="Arial" w:hAnsi="Arial"/>
                <w:sz w:val="10"/>
                <w:szCs w:val="10"/>
                <w:color w:val="auto"/>
              </w:rPr>
              <w:t>32</w:t>
            </w:r>
          </w:p>
        </w:tc>
        <w:tc>
          <w:tcPr>
            <w:tcW w:w="56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54</w:t>
            </w:r>
          </w:p>
        </w:tc>
      </w:tr>
      <w:tr>
        <w:trPr>
          <w:trHeight w:val="124"/>
        </w:trPr>
        <w:tc>
          <w:tcPr>
            <w:tcW w:w="372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Right to HWI Net Sale Proceeds</w:t>
            </w:r>
          </w:p>
        </w:tc>
        <w:tc>
          <w:tcPr>
            <w:tcW w:w="58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D7282F"/>
            </w:tcBorders>
          </w:tcPr>
          <w:p>
            <w:pPr>
              <w:spacing w:after="0"/>
              <w:rPr>
                <w:sz w:val="10"/>
                <w:szCs w:val="10"/>
                <w:color w:val="auto"/>
              </w:rPr>
            </w:pPr>
          </w:p>
        </w:tc>
        <w:tc>
          <w:tcPr>
            <w:tcW w:w="2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9</w:t>
            </w:r>
          </w:p>
        </w:tc>
        <w:tc>
          <w:tcPr>
            <w:tcW w:w="30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9</w:t>
            </w:r>
          </w:p>
        </w:tc>
        <w:tc>
          <w:tcPr>
            <w:tcW w:w="220" w:type="dxa"/>
            <w:vAlign w:val="bottom"/>
            <w:tcBorders>
              <w:bottom w:val="single" w:sz="8" w:color="D7282F"/>
            </w:tcBorders>
          </w:tcPr>
          <w:p>
            <w:pPr>
              <w:spacing w:after="0"/>
              <w:rPr>
                <w:sz w:val="10"/>
                <w:szCs w:val="10"/>
                <w:color w:val="auto"/>
              </w:rPr>
            </w:pPr>
          </w:p>
        </w:tc>
        <w:tc>
          <w:tcPr>
            <w:tcW w:w="140" w:type="dxa"/>
            <w:vAlign w:val="bottom"/>
            <w:tcBorders>
              <w:bottom w:val="single" w:sz="8" w:color="D7282F"/>
            </w:tcBorders>
          </w:tcPr>
          <w:p>
            <w:pPr>
              <w:spacing w:after="0"/>
              <w:rPr>
                <w:sz w:val="10"/>
                <w:szCs w:val="10"/>
                <w:color w:val="auto"/>
              </w:rPr>
            </w:pPr>
          </w:p>
        </w:tc>
        <w:tc>
          <w:tcPr>
            <w:tcW w:w="7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w w:val="83"/>
              </w:rPr>
              <w:t>295</w:t>
            </w:r>
          </w:p>
        </w:tc>
        <w:tc>
          <w:tcPr>
            <w:tcW w:w="22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295</w:t>
            </w:r>
          </w:p>
        </w:tc>
      </w:tr>
      <w:tr>
        <w:trPr>
          <w:trHeight w:val="126"/>
        </w:trPr>
        <w:tc>
          <w:tcPr>
            <w:tcW w:w="372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assets</w:t>
            </w:r>
          </w:p>
        </w:tc>
        <w:tc>
          <w:tcPr>
            <w:tcW w:w="580" w:type="dxa"/>
            <w:vAlign w:val="bottom"/>
            <w:tcBorders>
              <w:bottom w:val="single" w:sz="8" w:color="D7282F"/>
            </w:tcBorders>
          </w:tcPr>
          <w:p>
            <w:pPr>
              <w:jc w:val="right"/>
              <w:ind w:right="452"/>
              <w:spacing w:after="0"/>
              <w:rPr>
                <w:sz w:val="20"/>
                <w:szCs w:val="20"/>
                <w:color w:val="auto"/>
              </w:rPr>
            </w:pPr>
            <w:r>
              <w:rPr>
                <w:rFonts w:ascii="Arial" w:cs="Arial" w:eastAsia="Arial" w:hAnsi="Arial"/>
                <w:sz w:val="10"/>
                <w:szCs w:val="10"/>
                <w:b w:val="1"/>
                <w:bCs w:val="1"/>
                <w:color w:val="auto"/>
              </w:rPr>
              <w:t>$</w:t>
            </w:r>
          </w:p>
        </w:tc>
        <w:tc>
          <w:tcPr>
            <w:tcW w:w="2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85</w:t>
            </w:r>
          </w:p>
        </w:tc>
        <w:tc>
          <w:tcPr>
            <w:tcW w:w="660" w:type="dxa"/>
            <w:vAlign w:val="bottom"/>
            <w:tcBorders>
              <w:bottom w:val="single" w:sz="8" w:color="D7282F"/>
            </w:tcBorders>
          </w:tcPr>
          <w:p>
            <w:pPr>
              <w:jc w:val="right"/>
              <w:ind w:right="432"/>
              <w:spacing w:after="0"/>
              <w:rPr>
                <w:sz w:val="20"/>
                <w:szCs w:val="20"/>
                <w:color w:val="auto"/>
              </w:rPr>
            </w:pPr>
            <w:r>
              <w:rPr>
                <w:rFonts w:ascii="Arial" w:cs="Arial" w:eastAsia="Arial" w:hAnsi="Arial"/>
                <w:sz w:val="10"/>
                <w:szCs w:val="10"/>
                <w:b w:val="1"/>
                <w:bCs w:val="1"/>
                <w:color w:val="auto"/>
              </w:rPr>
              <w:t>$</w:t>
            </w:r>
          </w:p>
        </w:tc>
        <w:tc>
          <w:tcPr>
            <w:tcW w:w="3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w w:val="95"/>
              </w:rPr>
              <w:t>270</w:t>
            </w:r>
          </w:p>
        </w:tc>
        <w:tc>
          <w:tcPr>
            <w:tcW w:w="700" w:type="dxa"/>
            <w:vAlign w:val="bottom"/>
            <w:tcBorders>
              <w:bottom w:val="single" w:sz="8" w:color="D7282F"/>
            </w:tcBorders>
          </w:tcPr>
          <w:p>
            <w:pPr>
              <w:jc w:val="right"/>
              <w:ind w:right="452"/>
              <w:spacing w:after="0"/>
              <w:rPr>
                <w:sz w:val="20"/>
                <w:szCs w:val="20"/>
                <w:color w:val="auto"/>
              </w:rPr>
            </w:pPr>
            <w:r>
              <w:rPr>
                <w:rFonts w:ascii="Arial" w:cs="Arial" w:eastAsia="Arial" w:hAnsi="Arial"/>
                <w:sz w:val="10"/>
                <w:szCs w:val="10"/>
                <w:b w:val="1"/>
                <w:bCs w:val="1"/>
                <w:color w:val="auto"/>
              </w:rPr>
              <w:t>$</w:t>
            </w:r>
          </w:p>
        </w:tc>
        <w:tc>
          <w:tcPr>
            <w:tcW w:w="2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9</w:t>
            </w:r>
          </w:p>
        </w:tc>
        <w:tc>
          <w:tcPr>
            <w:tcW w:w="3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364</w:t>
            </w:r>
          </w:p>
        </w:tc>
        <w:tc>
          <w:tcPr>
            <w:tcW w:w="220" w:type="dxa"/>
            <w:vAlign w:val="bottom"/>
            <w:tcBorders>
              <w:bottom w:val="single" w:sz="8" w:color="D7282F"/>
            </w:tcBorders>
          </w:tcPr>
          <w:p>
            <w:pPr>
              <w:spacing w:after="0"/>
              <w:rPr>
                <w:sz w:val="10"/>
                <w:szCs w:val="10"/>
                <w:color w:val="auto"/>
              </w:rPr>
            </w:pPr>
          </w:p>
        </w:tc>
        <w:tc>
          <w:tcPr>
            <w:tcW w:w="1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7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109</w:t>
            </w:r>
          </w:p>
        </w:tc>
        <w:tc>
          <w:tcPr>
            <w:tcW w:w="26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b w:val="1"/>
                <w:bCs w:val="1"/>
                <w:color w:val="auto"/>
              </w:rPr>
              <w:t>790</w:t>
            </w:r>
          </w:p>
        </w:tc>
        <w:tc>
          <w:tcPr>
            <w:tcW w:w="560" w:type="dxa"/>
            <w:vAlign w:val="bottom"/>
            <w:tcBorders>
              <w:bottom w:val="single" w:sz="8" w:color="D7282F"/>
            </w:tcBorders>
          </w:tcPr>
          <w:p>
            <w:pPr>
              <w:jc w:val="right"/>
              <w:ind w:right="432"/>
              <w:spacing w:after="0"/>
              <w:rPr>
                <w:sz w:val="20"/>
                <w:szCs w:val="20"/>
                <w:color w:val="auto"/>
              </w:rPr>
            </w:pPr>
            <w:r>
              <w:rPr>
                <w:rFonts w:ascii="Arial" w:cs="Arial" w:eastAsia="Arial" w:hAnsi="Arial"/>
                <w:sz w:val="10"/>
                <w:szCs w:val="10"/>
                <w:b w:val="1"/>
                <w:bCs w:val="1"/>
                <w:color w:val="auto"/>
              </w:rPr>
              <w:t>$</w:t>
            </w: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w w:val="83"/>
              </w:rPr>
              <w:t>295</w:t>
            </w:r>
          </w:p>
        </w:tc>
        <w:tc>
          <w:tcPr>
            <w:tcW w:w="22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1,194</w:t>
            </w:r>
          </w:p>
        </w:tc>
      </w:tr>
      <w:tr>
        <w:trPr>
          <w:trHeight w:val="124"/>
        </w:trPr>
        <w:tc>
          <w:tcPr>
            <w:tcW w:w="372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Liabilities</w:t>
            </w:r>
          </w:p>
        </w:tc>
        <w:tc>
          <w:tcPr>
            <w:tcW w:w="58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spacing w:after="0"/>
              <w:rPr>
                <w:sz w:val="10"/>
                <w:szCs w:val="10"/>
                <w:color w:val="auto"/>
              </w:rPr>
            </w:pPr>
          </w:p>
        </w:tc>
        <w:tc>
          <w:tcPr>
            <w:tcW w:w="30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spacing w:after="0"/>
              <w:rPr>
                <w:sz w:val="10"/>
                <w:szCs w:val="10"/>
                <w:color w:val="auto"/>
              </w:rPr>
            </w:pPr>
          </w:p>
        </w:tc>
        <w:tc>
          <w:tcPr>
            <w:tcW w:w="30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140" w:type="dxa"/>
            <w:vAlign w:val="bottom"/>
            <w:tcBorders>
              <w:bottom w:val="single" w:sz="8" w:color="61656A"/>
            </w:tcBorders>
          </w:tcPr>
          <w:p>
            <w:pPr>
              <w:spacing w:after="0"/>
              <w:rPr>
                <w:sz w:val="10"/>
                <w:szCs w:val="10"/>
                <w:color w:val="auto"/>
              </w:rPr>
            </w:pPr>
          </w:p>
        </w:tc>
        <w:tc>
          <w:tcPr>
            <w:tcW w:w="72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spacing w:after="0"/>
              <w:rPr>
                <w:sz w:val="10"/>
                <w:szCs w:val="10"/>
                <w:color w:val="auto"/>
              </w:rPr>
            </w:pPr>
          </w:p>
        </w:tc>
        <w:tc>
          <w:tcPr>
            <w:tcW w:w="560" w:type="dxa"/>
            <w:vAlign w:val="bottom"/>
            <w:tcBorders>
              <w:bottom w:val="single" w:sz="8" w:color="61656A"/>
            </w:tcBorders>
          </w:tcPr>
          <w:p>
            <w:pPr>
              <w:spacing w:after="0"/>
              <w:rPr>
                <w:sz w:val="10"/>
                <w:szCs w:val="10"/>
                <w:color w:val="auto"/>
              </w:rPr>
            </w:pPr>
          </w:p>
        </w:tc>
        <w:tc>
          <w:tcPr>
            <w:tcW w:w="20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1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spacing w:after="0"/>
              <w:rPr>
                <w:sz w:val="10"/>
                <w:szCs w:val="10"/>
                <w:color w:val="auto"/>
              </w:rPr>
            </w:pPr>
          </w:p>
        </w:tc>
      </w:tr>
      <w:tr>
        <w:trPr>
          <w:trHeight w:val="122"/>
        </w:trPr>
        <w:tc>
          <w:tcPr>
            <w:tcW w:w="372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Foreign currency exchange contracts</w:t>
            </w:r>
          </w:p>
        </w:tc>
        <w:tc>
          <w:tcPr>
            <w:tcW w:w="580" w:type="dxa"/>
            <w:vAlign w:val="bottom"/>
            <w:tcBorders>
              <w:bottom w:val="single" w:sz="8" w:color="61656A"/>
            </w:tcBorders>
          </w:tcPr>
          <w:p>
            <w:pPr>
              <w:jc w:val="right"/>
              <w:ind w:right="45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61656A"/>
            </w:tcBorders>
          </w:tcPr>
          <w:p>
            <w:pPr>
              <w:jc w:val="right"/>
              <w:ind w:right="432"/>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9</w:t>
            </w:r>
          </w:p>
        </w:tc>
        <w:tc>
          <w:tcPr>
            <w:tcW w:w="70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9</w:t>
            </w:r>
          </w:p>
        </w:tc>
        <w:tc>
          <w:tcPr>
            <w:tcW w:w="220" w:type="dxa"/>
            <w:vAlign w:val="bottom"/>
            <w:tcBorders>
              <w:bottom w:val="single" w:sz="8" w:color="61656A"/>
            </w:tcBorders>
          </w:tcPr>
          <w:p>
            <w:pPr>
              <w:spacing w:after="0"/>
              <w:rPr>
                <w:sz w:val="10"/>
                <w:szCs w:val="10"/>
                <w:color w:val="auto"/>
              </w:rPr>
            </w:pPr>
          </w:p>
        </w:tc>
        <w:tc>
          <w:tcPr>
            <w:tcW w:w="1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61656A"/>
            </w:tcBorders>
          </w:tcPr>
          <w:p>
            <w:pPr>
              <w:jc w:val="right"/>
              <w:ind w:right="3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61656A"/>
            </w:tcBorders>
          </w:tcPr>
          <w:p>
            <w:pPr>
              <w:jc w:val="right"/>
              <w:ind w:right="212"/>
              <w:spacing w:after="0"/>
              <w:rPr>
                <w:sz w:val="20"/>
                <w:szCs w:val="20"/>
                <w:color w:val="auto"/>
              </w:rPr>
            </w:pPr>
            <w:r>
              <w:rPr>
                <w:rFonts w:ascii="Arial" w:cs="Arial" w:eastAsia="Arial" w:hAnsi="Arial"/>
                <w:sz w:val="10"/>
                <w:szCs w:val="10"/>
                <w:color w:val="auto"/>
              </w:rPr>
              <w:t>8</w:t>
            </w:r>
          </w:p>
        </w:tc>
        <w:tc>
          <w:tcPr>
            <w:tcW w:w="56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8</w:t>
            </w:r>
          </w:p>
        </w:tc>
      </w:tr>
      <w:tr>
        <w:trPr>
          <w:trHeight w:val="124"/>
        </w:trPr>
        <w:tc>
          <w:tcPr>
            <w:tcW w:w="372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Interest rate swap agreements</w:t>
            </w:r>
          </w:p>
        </w:tc>
        <w:tc>
          <w:tcPr>
            <w:tcW w:w="58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61656A"/>
            </w:tcBorders>
          </w:tcPr>
          <w:p>
            <w:pPr>
              <w:spacing w:after="0"/>
              <w:rPr>
                <w:sz w:val="10"/>
                <w:szCs w:val="10"/>
                <w:color w:val="auto"/>
              </w:rPr>
            </w:pPr>
          </w:p>
        </w:tc>
        <w:tc>
          <w:tcPr>
            <w:tcW w:w="3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w w:val="95"/>
              </w:rPr>
              <w:t>184</w:t>
            </w:r>
          </w:p>
        </w:tc>
        <w:tc>
          <w:tcPr>
            <w:tcW w:w="70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184</w:t>
            </w:r>
          </w:p>
        </w:tc>
        <w:tc>
          <w:tcPr>
            <w:tcW w:w="220" w:type="dxa"/>
            <w:vAlign w:val="bottom"/>
            <w:tcBorders>
              <w:bottom w:val="single" w:sz="8" w:color="61656A"/>
            </w:tcBorders>
          </w:tcPr>
          <w:p>
            <w:pPr>
              <w:spacing w:after="0"/>
              <w:rPr>
                <w:sz w:val="10"/>
                <w:szCs w:val="10"/>
                <w:color w:val="auto"/>
              </w:rPr>
            </w:pPr>
          </w:p>
        </w:tc>
        <w:tc>
          <w:tcPr>
            <w:tcW w:w="140" w:type="dxa"/>
            <w:vAlign w:val="bottom"/>
            <w:tcBorders>
              <w:bottom w:val="single" w:sz="8" w:color="61656A"/>
            </w:tcBorders>
          </w:tcPr>
          <w:p>
            <w:pPr>
              <w:spacing w:after="0"/>
              <w:rPr>
                <w:sz w:val="10"/>
                <w:szCs w:val="10"/>
                <w:color w:val="auto"/>
              </w:rPr>
            </w:pPr>
          </w:p>
        </w:tc>
        <w:tc>
          <w:tcPr>
            <w:tcW w:w="7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jc w:val="right"/>
              <w:ind w:right="212"/>
              <w:spacing w:after="0"/>
              <w:rPr>
                <w:sz w:val="20"/>
                <w:szCs w:val="20"/>
                <w:color w:val="auto"/>
              </w:rPr>
            </w:pPr>
            <w:r>
              <w:rPr>
                <w:rFonts w:ascii="Arial" w:cs="Arial" w:eastAsia="Arial" w:hAnsi="Arial"/>
                <w:sz w:val="10"/>
                <w:szCs w:val="10"/>
                <w:color w:val="auto"/>
              </w:rPr>
              <w:t>303</w:t>
            </w:r>
          </w:p>
        </w:tc>
        <w:tc>
          <w:tcPr>
            <w:tcW w:w="56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303</w:t>
            </w:r>
          </w:p>
        </w:tc>
      </w:tr>
      <w:tr>
        <w:trPr>
          <w:trHeight w:val="124"/>
        </w:trPr>
        <w:tc>
          <w:tcPr>
            <w:tcW w:w="372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Commodity contracts</w:t>
            </w:r>
          </w:p>
        </w:tc>
        <w:tc>
          <w:tcPr>
            <w:tcW w:w="58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61656A"/>
            </w:tcBorders>
          </w:tcPr>
          <w:p>
            <w:pPr>
              <w:spacing w:after="0"/>
              <w:rPr>
                <w:sz w:val="10"/>
                <w:szCs w:val="10"/>
                <w:color w:val="auto"/>
              </w:rPr>
            </w:pPr>
          </w:p>
        </w:tc>
        <w:tc>
          <w:tcPr>
            <w:tcW w:w="3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w:t>
            </w:r>
          </w:p>
        </w:tc>
        <w:tc>
          <w:tcPr>
            <w:tcW w:w="70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w:t>
            </w:r>
          </w:p>
        </w:tc>
        <w:tc>
          <w:tcPr>
            <w:tcW w:w="220" w:type="dxa"/>
            <w:vAlign w:val="bottom"/>
            <w:tcBorders>
              <w:bottom w:val="single" w:sz="8" w:color="61656A"/>
            </w:tcBorders>
          </w:tcPr>
          <w:p>
            <w:pPr>
              <w:spacing w:after="0"/>
              <w:rPr>
                <w:sz w:val="10"/>
                <w:szCs w:val="10"/>
                <w:color w:val="auto"/>
              </w:rPr>
            </w:pPr>
          </w:p>
        </w:tc>
        <w:tc>
          <w:tcPr>
            <w:tcW w:w="140" w:type="dxa"/>
            <w:vAlign w:val="bottom"/>
            <w:tcBorders>
              <w:bottom w:val="single" w:sz="8" w:color="61656A"/>
            </w:tcBorders>
          </w:tcPr>
          <w:p>
            <w:pPr>
              <w:spacing w:after="0"/>
              <w:rPr>
                <w:sz w:val="10"/>
                <w:szCs w:val="10"/>
                <w:color w:val="auto"/>
              </w:rPr>
            </w:pPr>
          </w:p>
        </w:tc>
        <w:tc>
          <w:tcPr>
            <w:tcW w:w="7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jc w:val="right"/>
              <w:ind w:right="212"/>
              <w:spacing w:after="0"/>
              <w:rPr>
                <w:sz w:val="20"/>
                <w:szCs w:val="20"/>
                <w:color w:val="auto"/>
              </w:rPr>
            </w:pPr>
            <w:r>
              <w:rPr>
                <w:rFonts w:ascii="Arial" w:cs="Arial" w:eastAsia="Arial" w:hAnsi="Arial"/>
                <w:sz w:val="10"/>
                <w:szCs w:val="10"/>
                <w:color w:val="auto"/>
              </w:rPr>
              <w:t>1</w:t>
            </w:r>
          </w:p>
        </w:tc>
        <w:tc>
          <w:tcPr>
            <w:tcW w:w="56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1</w:t>
            </w:r>
          </w:p>
        </w:tc>
      </w:tr>
      <w:tr>
        <w:trPr>
          <w:trHeight w:val="124"/>
        </w:trPr>
        <w:tc>
          <w:tcPr>
            <w:tcW w:w="372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Cross currency swap agreements</w:t>
            </w:r>
          </w:p>
        </w:tc>
        <w:tc>
          <w:tcPr>
            <w:tcW w:w="58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w w:val="95"/>
              </w:rPr>
              <w:t>145</w:t>
            </w:r>
          </w:p>
        </w:tc>
        <w:tc>
          <w:tcPr>
            <w:tcW w:w="700" w:type="dxa"/>
            <w:vAlign w:val="bottom"/>
            <w:tcBorders>
              <w:bottom w:val="single" w:sz="8" w:color="D7282F"/>
            </w:tcBorders>
          </w:tcPr>
          <w:p>
            <w:pPr>
              <w:spacing w:after="0"/>
              <w:rPr>
                <w:sz w:val="10"/>
                <w:szCs w:val="10"/>
                <w:color w:val="auto"/>
              </w:rPr>
            </w:pPr>
          </w:p>
        </w:tc>
        <w:tc>
          <w:tcPr>
            <w:tcW w:w="2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145</w:t>
            </w:r>
          </w:p>
        </w:tc>
        <w:tc>
          <w:tcPr>
            <w:tcW w:w="220" w:type="dxa"/>
            <w:vAlign w:val="bottom"/>
            <w:tcBorders>
              <w:bottom w:val="single" w:sz="8" w:color="D7282F"/>
            </w:tcBorders>
          </w:tcPr>
          <w:p>
            <w:pPr>
              <w:spacing w:after="0"/>
              <w:rPr>
                <w:sz w:val="10"/>
                <w:szCs w:val="10"/>
                <w:color w:val="auto"/>
              </w:rPr>
            </w:pPr>
          </w:p>
        </w:tc>
        <w:tc>
          <w:tcPr>
            <w:tcW w:w="140" w:type="dxa"/>
            <w:vAlign w:val="bottom"/>
            <w:tcBorders>
              <w:bottom w:val="single" w:sz="8" w:color="D7282F"/>
            </w:tcBorders>
          </w:tcPr>
          <w:p>
            <w:pPr>
              <w:spacing w:after="0"/>
              <w:rPr>
                <w:sz w:val="10"/>
                <w:szCs w:val="10"/>
                <w:color w:val="auto"/>
              </w:rPr>
            </w:pPr>
          </w:p>
        </w:tc>
        <w:tc>
          <w:tcPr>
            <w:tcW w:w="7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6"/>
        </w:trPr>
        <w:tc>
          <w:tcPr>
            <w:tcW w:w="372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liabilities</w:t>
            </w:r>
          </w:p>
        </w:tc>
        <w:tc>
          <w:tcPr>
            <w:tcW w:w="580" w:type="dxa"/>
            <w:vAlign w:val="bottom"/>
            <w:tcBorders>
              <w:bottom w:val="single" w:sz="8" w:color="D7282F"/>
            </w:tcBorders>
          </w:tcPr>
          <w:p>
            <w:pPr>
              <w:jc w:val="right"/>
              <w:ind w:right="452"/>
              <w:spacing w:after="0"/>
              <w:rPr>
                <w:sz w:val="20"/>
                <w:szCs w:val="20"/>
                <w:color w:val="auto"/>
              </w:rPr>
            </w:pPr>
            <w:r>
              <w:rPr>
                <w:rFonts w:ascii="Arial" w:cs="Arial" w:eastAsia="Arial" w:hAnsi="Arial"/>
                <w:sz w:val="10"/>
                <w:szCs w:val="10"/>
                <w:b w:val="1"/>
                <w:bCs w:val="1"/>
                <w:color w:val="auto"/>
              </w:rPr>
              <w:t>$</w:t>
            </w:r>
          </w:p>
        </w:tc>
        <w:tc>
          <w:tcPr>
            <w:tcW w:w="2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ind w:right="432"/>
              <w:spacing w:after="0"/>
              <w:rPr>
                <w:sz w:val="20"/>
                <w:szCs w:val="20"/>
                <w:color w:val="auto"/>
              </w:rPr>
            </w:pPr>
            <w:r>
              <w:rPr>
                <w:rFonts w:ascii="Arial" w:cs="Arial" w:eastAsia="Arial" w:hAnsi="Arial"/>
                <w:sz w:val="10"/>
                <w:szCs w:val="10"/>
                <w:b w:val="1"/>
                <w:bCs w:val="1"/>
                <w:color w:val="auto"/>
              </w:rPr>
              <w:t>$</w:t>
            </w:r>
          </w:p>
        </w:tc>
        <w:tc>
          <w:tcPr>
            <w:tcW w:w="3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w w:val="95"/>
              </w:rPr>
              <w:t>339</w:t>
            </w:r>
          </w:p>
        </w:tc>
        <w:tc>
          <w:tcPr>
            <w:tcW w:w="700" w:type="dxa"/>
            <w:vAlign w:val="bottom"/>
            <w:tcBorders>
              <w:bottom w:val="single" w:sz="8" w:color="D7282F"/>
            </w:tcBorders>
          </w:tcPr>
          <w:p>
            <w:pPr>
              <w:jc w:val="right"/>
              <w:ind w:right="452"/>
              <w:spacing w:after="0"/>
              <w:rPr>
                <w:sz w:val="20"/>
                <w:szCs w:val="20"/>
                <w:color w:val="auto"/>
              </w:rPr>
            </w:pPr>
            <w:r>
              <w:rPr>
                <w:rFonts w:ascii="Arial" w:cs="Arial" w:eastAsia="Arial" w:hAnsi="Arial"/>
                <w:sz w:val="10"/>
                <w:szCs w:val="10"/>
                <w:b w:val="1"/>
                <w:bCs w:val="1"/>
                <w:color w:val="auto"/>
              </w:rPr>
              <w:t>$</w:t>
            </w:r>
          </w:p>
        </w:tc>
        <w:tc>
          <w:tcPr>
            <w:tcW w:w="2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3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339</w:t>
            </w:r>
          </w:p>
        </w:tc>
        <w:tc>
          <w:tcPr>
            <w:tcW w:w="220" w:type="dxa"/>
            <w:vAlign w:val="bottom"/>
            <w:tcBorders>
              <w:bottom w:val="single" w:sz="8" w:color="D7282F"/>
            </w:tcBorders>
          </w:tcPr>
          <w:p>
            <w:pPr>
              <w:spacing w:after="0"/>
              <w:rPr>
                <w:sz w:val="10"/>
                <w:szCs w:val="10"/>
                <w:color w:val="auto"/>
              </w:rPr>
            </w:pPr>
          </w:p>
        </w:tc>
        <w:tc>
          <w:tcPr>
            <w:tcW w:w="1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7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26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b w:val="1"/>
                <w:bCs w:val="1"/>
                <w:color w:val="auto"/>
              </w:rPr>
              <w:t>312</w:t>
            </w:r>
          </w:p>
        </w:tc>
        <w:tc>
          <w:tcPr>
            <w:tcW w:w="560" w:type="dxa"/>
            <w:vAlign w:val="bottom"/>
            <w:tcBorders>
              <w:bottom w:val="single" w:sz="8" w:color="D7282F"/>
            </w:tcBorders>
          </w:tcPr>
          <w:p>
            <w:pPr>
              <w:jc w:val="right"/>
              <w:ind w:right="43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7282F"/>
            </w:tcBorders>
            <w:gridSpan w:val="2"/>
          </w:tcPr>
          <w:p>
            <w:pPr>
              <w:jc w:val="right"/>
              <w:ind w:right="260"/>
              <w:spacing w:after="0"/>
              <w:rPr>
                <w:sz w:val="20"/>
                <w:szCs w:val="20"/>
                <w:color w:val="auto"/>
              </w:rPr>
            </w:pPr>
            <w:r>
              <w:rPr>
                <w:rFonts w:ascii="Arial" w:cs="Arial" w:eastAsia="Arial" w:hAnsi="Arial"/>
                <w:sz w:val="10"/>
                <w:szCs w:val="10"/>
                <w:b w:val="1"/>
                <w:bCs w:val="1"/>
                <w:color w:val="auto"/>
              </w:rPr>
              <w:t>—</w:t>
            </w:r>
          </w:p>
        </w:tc>
        <w:tc>
          <w:tcPr>
            <w:tcW w:w="1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312</w:t>
            </w:r>
          </w:p>
        </w:tc>
      </w:tr>
    </w:tbl>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The Company values foreign currency exchange contracts, interest rate swap agreements, cross currency swap agreements, and commodity contracts using broker quotations, or market transactions in either the listed or over-the-counter markets. As such, these derivative instruments are classified within level 2. The Company also holds investments in commercial paper, certificates of deposits, time deposits, and corporate debt securities that are designated as available for sale. These investments are valued using published prices based on observable market data. As such, these investments are classified within level 2.</w:t>
      </w:r>
    </w:p>
    <w:p>
      <w:pPr>
        <w:spacing w:after="0" w:line="45" w:lineRule="exact"/>
        <w:rPr>
          <w:sz w:val="20"/>
          <w:szCs w:val="20"/>
          <w:color w:val="auto"/>
        </w:rPr>
      </w:pPr>
    </w:p>
    <w:p>
      <w:pPr>
        <w:jc w:val="both"/>
        <w:ind w:right="20"/>
        <w:spacing w:after="0" w:line="285" w:lineRule="auto"/>
        <w:rPr>
          <w:sz w:val="20"/>
          <w:szCs w:val="20"/>
          <w:color w:val="auto"/>
        </w:rPr>
      </w:pPr>
      <w:r>
        <w:rPr>
          <w:rFonts w:ascii="Arial" w:cs="Arial" w:eastAsia="Arial" w:hAnsi="Arial"/>
          <w:sz w:val="11"/>
          <w:szCs w:val="11"/>
          <w:color w:val="auto"/>
        </w:rPr>
        <w:t>The Company holds certain available for sale investments in U.S. government securities and investments in equity securities. The Company values these investments utilizing published prices based on quoted market pricing, which are classified within level 1.</w:t>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color w:val="auto"/>
        </w:rPr>
        <w:t>The carrying value of cash and cash equivalents, trade accounts and notes receivables, payables, commercial paper, and other short-term borrowings contained in the Consolidated Balance Sheet approximates fair value.</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As part of the NARCO Buyout (see Note 19 Commitments and Contingencies for definition), Honeywell holds a right to proceeds from the definitive sale agreement pursuant to which HarbisonWalker International Holdings, Inc. (HWI), the reorganized and renamed entity that emerged from the NARCO Bankruptcy, was acquired by an affiliate of Platinum Equity, LLC (HWI Sale). The right to these proceeds is considered a financial instrument. The significant input for the valuation of this right is unobservable, and as such, is classified within level 3.</w:t>
      </w:r>
    </w:p>
    <w:p>
      <w:pPr>
        <w:spacing w:after="0" w:line="54" w:lineRule="exact"/>
        <w:rPr>
          <w:sz w:val="20"/>
          <w:szCs w:val="20"/>
          <w:color w:val="auto"/>
        </w:rPr>
      </w:pPr>
    </w:p>
    <w:p>
      <w:pPr>
        <w:jc w:val="both"/>
        <w:spacing w:after="0" w:line="254" w:lineRule="auto"/>
        <w:rPr>
          <w:sz w:val="20"/>
          <w:szCs w:val="20"/>
          <w:color w:val="auto"/>
        </w:rPr>
      </w:pPr>
      <w:r>
        <w:rPr>
          <w:rFonts w:ascii="Arial" w:cs="Arial" w:eastAsia="Arial" w:hAnsi="Arial"/>
          <w:sz w:val="11"/>
          <w:szCs w:val="11"/>
          <w:color w:val="auto"/>
        </w:rPr>
        <w:t>The HWI Sale closed on February 16, 2023. During the twelve months ended December 31, 2023, Honeywell received $275 million of proceeds from the HWI Sale (HWI Net Sale Proceeds), of which $256 million was received during the first quarter of 2023 and $19 million during the second quarter of 2023. Additionally, during the second quarter of 2023, the Company recorded a fair value adjustment for the HWI Net Sale Proceeds and reduced the estimate by $11 million. The fair value of the remaining HWI Net Sale Proceeds as of December 31, 2023, represents contingent consideration to be paid in future periods if certain conditions under the definitive sale agreement for the HWI Sale are met.</w:t>
      </w:r>
    </w:p>
    <w:p>
      <w:pPr>
        <w:spacing w:after="0" w:line="50"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sets forth a reconciliation of beginning and ending balances of assets and liabilities that were accounted for at fair value using level 3 measurements: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900" w:type="dxa"/>
            <w:vAlign w:val="bottom"/>
          </w:tcPr>
          <w:p>
            <w:pPr>
              <w:spacing w:after="0"/>
              <w:rPr>
                <w:sz w:val="11"/>
                <w:szCs w:val="11"/>
                <w:color w:val="auto"/>
              </w:rPr>
            </w:pPr>
          </w:p>
        </w:tc>
        <w:tc>
          <w:tcPr>
            <w:tcW w:w="2080" w:type="dxa"/>
            <w:vAlign w:val="bottom"/>
            <w:tcBorders>
              <w:bottom w:val="single" w:sz="8" w:color="DC202E"/>
            </w:tcBorders>
            <w:gridSpan w:val="3"/>
          </w:tcPr>
          <w:p>
            <w:pPr>
              <w:jc w:val="right"/>
              <w:ind w:right="212"/>
              <w:spacing w:after="0"/>
              <w:rPr>
                <w:sz w:val="20"/>
                <w:szCs w:val="20"/>
                <w:color w:val="auto"/>
              </w:rPr>
            </w:pPr>
            <w:r>
              <w:rPr>
                <w:rFonts w:ascii="Arial" w:cs="Arial" w:eastAsia="Arial" w:hAnsi="Arial"/>
                <w:sz w:val="10"/>
                <w:szCs w:val="10"/>
                <w:b w:val="1"/>
                <w:bCs w:val="1"/>
                <w:color w:val="auto"/>
              </w:rPr>
              <w:t>Years Ended December 31,</w:t>
            </w:r>
          </w:p>
        </w:tc>
        <w:tc>
          <w:tcPr>
            <w:tcW w:w="320" w:type="dxa"/>
            <w:vAlign w:val="bottom"/>
            <w:tcBorders>
              <w:bottom w:val="single" w:sz="8" w:color="DC202E"/>
            </w:tcBorders>
          </w:tcPr>
          <w:p>
            <w:pPr>
              <w:spacing w:after="0"/>
              <w:rPr>
                <w:sz w:val="11"/>
                <w:szCs w:val="11"/>
                <w:color w:val="auto"/>
              </w:rPr>
            </w:pPr>
          </w:p>
        </w:tc>
      </w:tr>
      <w:tr>
        <w:trPr>
          <w:trHeight w:val="151"/>
        </w:trPr>
        <w:tc>
          <w:tcPr>
            <w:tcW w:w="8900" w:type="dxa"/>
            <w:vAlign w:val="bottom"/>
            <w:tcBorders>
              <w:bottom w:val="single" w:sz="8" w:color="D7282F"/>
            </w:tcBorders>
          </w:tcPr>
          <w:p>
            <w:pPr>
              <w:spacing w:after="0"/>
              <w:rPr>
                <w:sz w:val="13"/>
                <w:szCs w:val="13"/>
                <w:color w:val="auto"/>
              </w:rPr>
            </w:pPr>
          </w:p>
        </w:tc>
        <w:tc>
          <w:tcPr>
            <w:tcW w:w="76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rPr>
              <w:t>2023</w:t>
            </w:r>
          </w:p>
        </w:tc>
        <w:tc>
          <w:tcPr>
            <w:tcW w:w="440" w:type="dxa"/>
            <w:vAlign w:val="bottom"/>
            <w:tcBorders>
              <w:bottom w:val="single" w:sz="8" w:color="DC202E"/>
            </w:tcBorders>
          </w:tcPr>
          <w:p>
            <w:pPr>
              <w:spacing w:after="0"/>
              <w:rPr>
                <w:sz w:val="13"/>
                <w:szCs w:val="13"/>
                <w:color w:val="auto"/>
              </w:rPr>
            </w:pPr>
          </w:p>
        </w:tc>
        <w:tc>
          <w:tcPr>
            <w:tcW w:w="88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2022</w:t>
            </w:r>
          </w:p>
        </w:tc>
        <w:tc>
          <w:tcPr>
            <w:tcW w:w="320" w:type="dxa"/>
            <w:vAlign w:val="bottom"/>
            <w:tcBorders>
              <w:bottom w:val="single" w:sz="8" w:color="DC202E"/>
            </w:tcBorders>
          </w:tcPr>
          <w:p>
            <w:pPr>
              <w:spacing w:after="0"/>
              <w:rPr>
                <w:sz w:val="13"/>
                <w:szCs w:val="13"/>
                <w:color w:val="auto"/>
              </w:rPr>
            </w:pPr>
          </w:p>
        </w:tc>
      </w:tr>
      <w:tr>
        <w:trPr>
          <w:trHeight w:val="124"/>
        </w:trPr>
        <w:tc>
          <w:tcPr>
            <w:tcW w:w="890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Balance at beginning of period</w:t>
            </w:r>
          </w:p>
        </w:tc>
        <w:tc>
          <w:tcPr>
            <w:tcW w:w="760" w:type="dxa"/>
            <w:vAlign w:val="bottom"/>
            <w:tcBorders>
              <w:bottom w:val="single" w:sz="8" w:color="61656A"/>
            </w:tcBorders>
          </w:tcPr>
          <w:p>
            <w:pPr>
              <w:jc w:val="right"/>
              <w:ind w:right="652"/>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b w:val="1"/>
                <w:bCs w:val="1"/>
                <w:color w:val="auto"/>
              </w:rPr>
              <w:t>295</w:t>
            </w:r>
          </w:p>
        </w:tc>
        <w:tc>
          <w:tcPr>
            <w:tcW w:w="880" w:type="dxa"/>
            <w:vAlign w:val="bottom"/>
            <w:tcBorders>
              <w:bottom w:val="single" w:sz="8" w:color="61656A"/>
            </w:tcBorders>
          </w:tcPr>
          <w:p>
            <w:pPr>
              <w:jc w:val="right"/>
              <w:ind w:right="652"/>
              <w:spacing w:after="0"/>
              <w:rPr>
                <w:sz w:val="20"/>
                <w:szCs w:val="20"/>
                <w:color w:val="auto"/>
              </w:rPr>
            </w:pPr>
            <w:r>
              <w:rPr>
                <w:rFonts w:ascii="Arial" w:cs="Arial" w:eastAsia="Arial" w:hAnsi="Arial"/>
                <w:sz w:val="10"/>
                <w:szCs w:val="10"/>
                <w:b w:val="1"/>
                <w:bCs w:val="1"/>
                <w:color w:val="auto"/>
              </w:rPr>
              <w:t>$</w:t>
            </w: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0"/>
                <w:szCs w:val="10"/>
                <w:b w:val="1"/>
                <w:bCs w:val="1"/>
                <w:color w:val="auto"/>
              </w:rPr>
              <w:t>—</w:t>
            </w:r>
          </w:p>
        </w:tc>
      </w:tr>
      <w:tr>
        <w:trPr>
          <w:trHeight w:val="122"/>
        </w:trPr>
        <w:tc>
          <w:tcPr>
            <w:tcW w:w="89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Recognition of right to HWI Net Sale Proceeds</w:t>
            </w:r>
          </w:p>
        </w:tc>
        <w:tc>
          <w:tcPr>
            <w:tcW w:w="760" w:type="dxa"/>
            <w:vAlign w:val="bottom"/>
            <w:tcBorders>
              <w:bottom w:val="single" w:sz="8" w:color="61656A"/>
            </w:tcBorders>
          </w:tcPr>
          <w:p>
            <w:pPr>
              <w:spacing w:after="0"/>
              <w:rPr>
                <w:sz w:val="10"/>
                <w:szCs w:val="10"/>
                <w:color w:val="auto"/>
              </w:rPr>
            </w:pPr>
          </w:p>
        </w:tc>
        <w:tc>
          <w:tcPr>
            <w:tcW w:w="44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295</w:t>
            </w:r>
          </w:p>
        </w:tc>
      </w:tr>
      <w:tr>
        <w:trPr>
          <w:trHeight w:val="124"/>
        </w:trPr>
        <w:tc>
          <w:tcPr>
            <w:tcW w:w="89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Receipt of HWI Net Sale Proceeds</w:t>
            </w:r>
          </w:p>
        </w:tc>
        <w:tc>
          <w:tcPr>
            <w:tcW w:w="760" w:type="dxa"/>
            <w:vAlign w:val="bottom"/>
            <w:tcBorders>
              <w:bottom w:val="single" w:sz="8" w:color="61656A"/>
            </w:tcBorders>
          </w:tcPr>
          <w:p>
            <w:pPr>
              <w:spacing w:after="0"/>
              <w:rPr>
                <w:sz w:val="10"/>
                <w:szCs w:val="10"/>
                <w:color w:val="auto"/>
              </w:rPr>
            </w:pPr>
          </w:p>
        </w:tc>
        <w:tc>
          <w:tcPr>
            <w:tcW w:w="44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(275)</w:t>
            </w:r>
          </w:p>
        </w:tc>
        <w:tc>
          <w:tcPr>
            <w:tcW w:w="88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8900" w:type="dxa"/>
            <w:vAlign w:val="bottom"/>
            <w:tcBorders>
              <w:bottom w:val="single" w:sz="8" w:color="DC202E"/>
            </w:tcBorders>
          </w:tcPr>
          <w:p>
            <w:pPr>
              <w:ind w:left="80"/>
              <w:spacing w:after="0"/>
              <w:rPr>
                <w:sz w:val="20"/>
                <w:szCs w:val="20"/>
                <w:color w:val="auto"/>
              </w:rPr>
            </w:pPr>
            <w:r>
              <w:rPr>
                <w:rFonts w:ascii="Arial" w:cs="Arial" w:eastAsia="Arial" w:hAnsi="Arial"/>
                <w:sz w:val="10"/>
                <w:szCs w:val="10"/>
                <w:color w:val="auto"/>
              </w:rPr>
              <w:t>Fair value adjustment of HWI Net Sale Proceeds</w:t>
            </w:r>
          </w:p>
        </w:tc>
        <w:tc>
          <w:tcPr>
            <w:tcW w:w="760" w:type="dxa"/>
            <w:vAlign w:val="bottom"/>
            <w:tcBorders>
              <w:bottom w:val="single" w:sz="8" w:color="DC202E"/>
            </w:tcBorders>
          </w:tcPr>
          <w:p>
            <w:pPr>
              <w:spacing w:after="0"/>
              <w:rPr>
                <w:sz w:val="10"/>
                <w:szCs w:val="10"/>
                <w:color w:val="auto"/>
              </w:rPr>
            </w:pPr>
          </w:p>
        </w:tc>
        <w:tc>
          <w:tcPr>
            <w:tcW w:w="4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(11)</w:t>
            </w:r>
          </w:p>
        </w:tc>
        <w:tc>
          <w:tcPr>
            <w:tcW w:w="88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w:t>
            </w:r>
          </w:p>
        </w:tc>
      </w:tr>
      <w:tr>
        <w:trPr>
          <w:trHeight w:val="126"/>
        </w:trPr>
        <w:tc>
          <w:tcPr>
            <w:tcW w:w="890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Balance at end of period</w:t>
            </w:r>
          </w:p>
        </w:tc>
        <w:tc>
          <w:tcPr>
            <w:tcW w:w="760" w:type="dxa"/>
            <w:vAlign w:val="bottom"/>
            <w:tcBorders>
              <w:bottom w:val="single" w:sz="8" w:color="DC202E"/>
            </w:tcBorders>
          </w:tcPr>
          <w:p>
            <w:pPr>
              <w:jc w:val="right"/>
              <w:ind w:right="652"/>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9</w:t>
            </w:r>
          </w:p>
        </w:tc>
        <w:tc>
          <w:tcPr>
            <w:tcW w:w="880" w:type="dxa"/>
            <w:vAlign w:val="bottom"/>
            <w:tcBorders>
              <w:bottom w:val="single" w:sz="8" w:color="DC202E"/>
            </w:tcBorders>
          </w:tcPr>
          <w:p>
            <w:pPr>
              <w:jc w:val="right"/>
              <w:ind w:right="652"/>
              <w:spacing w:after="0"/>
              <w:rPr>
                <w:sz w:val="20"/>
                <w:szCs w:val="20"/>
                <w:color w:val="auto"/>
              </w:rPr>
            </w:pPr>
            <w:r>
              <w:rPr>
                <w:rFonts w:ascii="Arial" w:cs="Arial" w:eastAsia="Arial" w:hAnsi="Arial"/>
                <w:sz w:val="10"/>
                <w:szCs w:val="10"/>
                <w:b w:val="1"/>
                <w:bCs w:val="1"/>
                <w:color w:val="auto"/>
              </w:rPr>
              <w:t>$</w:t>
            </w: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295</w:t>
            </w:r>
          </w:p>
        </w:tc>
      </w:tr>
    </w:tbl>
    <w:p>
      <w:pPr>
        <w:spacing w:after="0" w:line="329"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D7282F"/>
        </w:rPr>
        <w:t>86</w:t>
      </w:r>
      <w:r>
        <w:rPr>
          <w:sz w:val="20"/>
          <w:szCs w:val="20"/>
          <w:color w:val="auto"/>
        </w:rPr>
        <w:tab/>
      </w:r>
      <w:r>
        <w:rPr>
          <w:rFonts w:ascii="Arial" w:cs="Arial" w:eastAsia="Arial" w:hAnsi="Arial"/>
          <w:sz w:val="8"/>
          <w:szCs w:val="8"/>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90805</wp:posOffset>
            </wp:positionV>
            <wp:extent cx="7203440"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88" w:name="page89"/>
    <w:bookmarkEnd w:id="88"/>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sets forth the Company’s financial assets and liabilities that were not carried at fair value: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7340" w:type="dxa"/>
            <w:vAlign w:val="bottom"/>
          </w:tcPr>
          <w:p>
            <w:pPr>
              <w:spacing w:after="0"/>
              <w:rPr>
                <w:sz w:val="11"/>
                <w:szCs w:val="11"/>
                <w:color w:val="auto"/>
              </w:rPr>
            </w:pPr>
          </w:p>
        </w:tc>
        <w:tc>
          <w:tcPr>
            <w:tcW w:w="140" w:type="dxa"/>
            <w:vAlign w:val="bottom"/>
            <w:tcBorders>
              <w:bottom w:val="single" w:sz="8" w:color="D7282F"/>
            </w:tcBorders>
          </w:tcPr>
          <w:p>
            <w:pPr>
              <w:spacing w:after="0"/>
              <w:rPr>
                <w:sz w:val="11"/>
                <w:szCs w:val="11"/>
                <w:color w:val="auto"/>
              </w:rPr>
            </w:pPr>
          </w:p>
        </w:tc>
        <w:tc>
          <w:tcPr>
            <w:tcW w:w="1720" w:type="dxa"/>
            <w:vAlign w:val="bottom"/>
            <w:tcBorders>
              <w:bottom w:val="single" w:sz="8" w:color="D7282F"/>
            </w:tcBorders>
            <w:gridSpan w:val="3"/>
          </w:tcPr>
          <w:p>
            <w:pPr>
              <w:jc w:val="right"/>
              <w:ind w:right="452"/>
              <w:spacing w:after="0"/>
              <w:rPr>
                <w:sz w:val="20"/>
                <w:szCs w:val="20"/>
                <w:color w:val="auto"/>
              </w:rPr>
            </w:pPr>
            <w:r>
              <w:rPr>
                <w:rFonts w:ascii="Arial" w:cs="Arial" w:eastAsia="Arial" w:hAnsi="Arial"/>
                <w:sz w:val="10"/>
                <w:szCs w:val="10"/>
                <w:b w:val="1"/>
                <w:bCs w:val="1"/>
                <w:color w:val="auto"/>
              </w:rPr>
              <w:t>December 31, 2023</w:t>
            </w:r>
          </w:p>
        </w:tc>
        <w:tc>
          <w:tcPr>
            <w:tcW w:w="220" w:type="dxa"/>
            <w:vAlign w:val="bottom"/>
          </w:tcPr>
          <w:p>
            <w:pPr>
              <w:spacing w:after="0"/>
              <w:rPr>
                <w:sz w:val="11"/>
                <w:szCs w:val="11"/>
                <w:color w:val="auto"/>
              </w:rPr>
            </w:pPr>
          </w:p>
        </w:tc>
        <w:tc>
          <w:tcPr>
            <w:tcW w:w="140" w:type="dxa"/>
            <w:vAlign w:val="bottom"/>
            <w:tcBorders>
              <w:bottom w:val="single" w:sz="8" w:color="D7282F"/>
            </w:tcBorders>
          </w:tcPr>
          <w:p>
            <w:pPr>
              <w:spacing w:after="0"/>
              <w:rPr>
                <w:sz w:val="11"/>
                <w:szCs w:val="11"/>
                <w:color w:val="auto"/>
              </w:rPr>
            </w:pPr>
          </w:p>
        </w:tc>
        <w:tc>
          <w:tcPr>
            <w:tcW w:w="1740" w:type="dxa"/>
            <w:vAlign w:val="bottom"/>
            <w:tcBorders>
              <w:bottom w:val="single" w:sz="8" w:color="D7282F"/>
            </w:tcBorders>
            <w:gridSpan w:val="3"/>
          </w:tcPr>
          <w:p>
            <w:pPr>
              <w:jc w:val="right"/>
              <w:ind w:right="452"/>
              <w:spacing w:after="0"/>
              <w:rPr>
                <w:sz w:val="20"/>
                <w:szCs w:val="20"/>
                <w:color w:val="auto"/>
              </w:rPr>
            </w:pPr>
            <w:r>
              <w:rPr>
                <w:rFonts w:ascii="Arial" w:cs="Arial" w:eastAsia="Arial" w:hAnsi="Arial"/>
                <w:sz w:val="10"/>
                <w:szCs w:val="10"/>
                <w:b w:val="1"/>
                <w:bCs w:val="1"/>
                <w:color w:val="auto"/>
              </w:rPr>
              <w:t>December 31, 2022</w:t>
            </w:r>
          </w:p>
        </w:tc>
      </w:tr>
      <w:tr>
        <w:trPr>
          <w:trHeight w:val="109"/>
        </w:trPr>
        <w:tc>
          <w:tcPr>
            <w:tcW w:w="7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right"/>
              <w:ind w:right="272"/>
              <w:spacing w:after="0" w:line="109" w:lineRule="exact"/>
              <w:rPr>
                <w:sz w:val="20"/>
                <w:szCs w:val="20"/>
                <w:color w:val="auto"/>
              </w:rPr>
            </w:pPr>
            <w:r>
              <w:rPr>
                <w:rFonts w:ascii="Arial" w:cs="Arial" w:eastAsia="Arial" w:hAnsi="Arial"/>
                <w:sz w:val="10"/>
                <w:szCs w:val="10"/>
                <w:b w:val="1"/>
                <w:bCs w:val="1"/>
                <w:color w:val="auto"/>
              </w:rPr>
              <w:t>Carrying</w:t>
            </w:r>
          </w:p>
        </w:tc>
        <w:tc>
          <w:tcPr>
            <w:tcW w:w="300" w:type="dxa"/>
            <w:vAlign w:val="bottom"/>
          </w:tcPr>
          <w:p>
            <w:pPr>
              <w:spacing w:after="0"/>
              <w:rPr>
                <w:sz w:val="9"/>
                <w:szCs w:val="9"/>
                <w:color w:val="auto"/>
              </w:rPr>
            </w:pPr>
          </w:p>
        </w:tc>
        <w:tc>
          <w:tcPr>
            <w:tcW w:w="860" w:type="dxa"/>
            <w:vAlign w:val="bottom"/>
            <w:gridSpan w:val="2"/>
          </w:tcPr>
          <w:p>
            <w:pPr>
              <w:jc w:val="center"/>
              <w:ind w:right="400"/>
              <w:spacing w:after="0" w:line="109" w:lineRule="exact"/>
              <w:rPr>
                <w:sz w:val="20"/>
                <w:szCs w:val="20"/>
                <w:color w:val="auto"/>
              </w:rPr>
            </w:pPr>
            <w:r>
              <w:rPr>
                <w:rFonts w:ascii="Arial" w:cs="Arial" w:eastAsia="Arial" w:hAnsi="Arial"/>
                <w:sz w:val="10"/>
                <w:szCs w:val="10"/>
                <w:b w:val="1"/>
                <w:bCs w:val="1"/>
                <w:color w:val="auto"/>
                <w:w w:val="97"/>
              </w:rPr>
              <w:t>Fair</w:t>
            </w:r>
          </w:p>
        </w:tc>
        <w:tc>
          <w:tcPr>
            <w:tcW w:w="140" w:type="dxa"/>
            <w:vAlign w:val="bottom"/>
          </w:tcPr>
          <w:p>
            <w:pPr>
              <w:spacing w:after="0"/>
              <w:rPr>
                <w:sz w:val="9"/>
                <w:szCs w:val="9"/>
                <w:color w:val="auto"/>
              </w:rPr>
            </w:pPr>
          </w:p>
        </w:tc>
        <w:tc>
          <w:tcPr>
            <w:tcW w:w="780" w:type="dxa"/>
            <w:vAlign w:val="bottom"/>
          </w:tcPr>
          <w:p>
            <w:pPr>
              <w:jc w:val="right"/>
              <w:ind w:right="252"/>
              <w:spacing w:after="0" w:line="109" w:lineRule="exact"/>
              <w:rPr>
                <w:sz w:val="20"/>
                <w:szCs w:val="20"/>
                <w:color w:val="auto"/>
              </w:rPr>
            </w:pPr>
            <w:r>
              <w:rPr>
                <w:rFonts w:ascii="Arial" w:cs="Arial" w:eastAsia="Arial" w:hAnsi="Arial"/>
                <w:sz w:val="10"/>
                <w:szCs w:val="10"/>
                <w:b w:val="1"/>
                <w:bCs w:val="1"/>
                <w:color w:val="auto"/>
              </w:rPr>
              <w:t>Carrying</w:t>
            </w:r>
          </w:p>
        </w:tc>
        <w:tc>
          <w:tcPr>
            <w:tcW w:w="300" w:type="dxa"/>
            <w:vAlign w:val="bottom"/>
          </w:tcPr>
          <w:p>
            <w:pPr>
              <w:spacing w:after="0"/>
              <w:rPr>
                <w:sz w:val="9"/>
                <w:szCs w:val="9"/>
                <w:color w:val="auto"/>
              </w:rPr>
            </w:pPr>
          </w:p>
        </w:tc>
        <w:tc>
          <w:tcPr>
            <w:tcW w:w="660" w:type="dxa"/>
            <w:vAlign w:val="bottom"/>
          </w:tcPr>
          <w:p>
            <w:pPr>
              <w:jc w:val="right"/>
              <w:ind w:right="272"/>
              <w:spacing w:after="0" w:line="109" w:lineRule="exact"/>
              <w:rPr>
                <w:sz w:val="20"/>
                <w:szCs w:val="20"/>
                <w:color w:val="auto"/>
              </w:rPr>
            </w:pPr>
            <w:r>
              <w:rPr>
                <w:rFonts w:ascii="Arial" w:cs="Arial" w:eastAsia="Arial" w:hAnsi="Arial"/>
                <w:sz w:val="10"/>
                <w:szCs w:val="10"/>
                <w:b w:val="1"/>
                <w:bCs w:val="1"/>
                <w:color w:val="auto"/>
              </w:rPr>
              <w:t>Fair</w:t>
            </w:r>
          </w:p>
        </w:tc>
      </w:tr>
      <w:tr>
        <w:trPr>
          <w:trHeight w:val="124"/>
        </w:trPr>
        <w:tc>
          <w:tcPr>
            <w:tcW w:w="7340" w:type="dxa"/>
            <w:vAlign w:val="bottom"/>
            <w:tcBorders>
              <w:bottom w:val="single" w:sz="8" w:color="D7282F"/>
            </w:tcBorders>
          </w:tcPr>
          <w:p>
            <w:pPr>
              <w:spacing w:after="0"/>
              <w:rPr>
                <w:sz w:val="10"/>
                <w:szCs w:val="10"/>
                <w:color w:val="auto"/>
              </w:rPr>
            </w:pPr>
          </w:p>
        </w:tc>
        <w:tc>
          <w:tcPr>
            <w:tcW w:w="14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Value</w:t>
            </w:r>
          </w:p>
        </w:tc>
        <w:tc>
          <w:tcPr>
            <w:tcW w:w="300" w:type="dxa"/>
            <w:vAlign w:val="bottom"/>
            <w:tcBorders>
              <w:bottom w:val="single" w:sz="8" w:color="D7282F"/>
            </w:tcBorders>
          </w:tcPr>
          <w:p>
            <w:pPr>
              <w:spacing w:after="0"/>
              <w:rPr>
                <w:sz w:val="10"/>
                <w:szCs w:val="10"/>
                <w:color w:val="auto"/>
              </w:rPr>
            </w:pPr>
          </w:p>
        </w:tc>
        <w:tc>
          <w:tcPr>
            <w:tcW w:w="860" w:type="dxa"/>
            <w:vAlign w:val="bottom"/>
            <w:tcBorders>
              <w:bottom w:val="single" w:sz="8" w:color="D7282F"/>
            </w:tcBorders>
            <w:gridSpan w:val="2"/>
          </w:tcPr>
          <w:p>
            <w:pPr>
              <w:jc w:val="center"/>
              <w:ind w:right="400"/>
              <w:spacing w:after="0"/>
              <w:rPr>
                <w:sz w:val="20"/>
                <w:szCs w:val="20"/>
                <w:color w:val="auto"/>
              </w:rPr>
            </w:pPr>
            <w:r>
              <w:rPr>
                <w:rFonts w:ascii="Arial" w:cs="Arial" w:eastAsia="Arial" w:hAnsi="Arial"/>
                <w:sz w:val="10"/>
                <w:szCs w:val="10"/>
                <w:b w:val="1"/>
                <w:bCs w:val="1"/>
                <w:color w:val="auto"/>
                <w:w w:val="97"/>
              </w:rPr>
              <w:t>Value</w:t>
            </w:r>
          </w:p>
        </w:tc>
        <w:tc>
          <w:tcPr>
            <w:tcW w:w="14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Value</w:t>
            </w:r>
          </w:p>
        </w:tc>
        <w:tc>
          <w:tcPr>
            <w:tcW w:w="30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ind w:right="252"/>
              <w:spacing w:after="0"/>
              <w:rPr>
                <w:sz w:val="20"/>
                <w:szCs w:val="20"/>
                <w:color w:val="auto"/>
              </w:rPr>
            </w:pPr>
            <w:r>
              <w:rPr>
                <w:rFonts w:ascii="Arial" w:cs="Arial" w:eastAsia="Arial" w:hAnsi="Arial"/>
                <w:sz w:val="10"/>
                <w:szCs w:val="10"/>
                <w:b w:val="1"/>
                <w:bCs w:val="1"/>
                <w:color w:val="auto"/>
              </w:rPr>
              <w:t>Value</w:t>
            </w:r>
          </w:p>
        </w:tc>
      </w:tr>
      <w:tr>
        <w:trPr>
          <w:trHeight w:val="123"/>
        </w:trPr>
        <w:tc>
          <w:tcPr>
            <w:tcW w:w="734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Assets</w:t>
            </w:r>
          </w:p>
        </w:tc>
        <w:tc>
          <w:tcPr>
            <w:tcW w:w="140" w:type="dxa"/>
            <w:vAlign w:val="bottom"/>
            <w:tcBorders>
              <w:bottom w:val="single" w:sz="8" w:color="61656A"/>
            </w:tcBorders>
          </w:tcPr>
          <w:p>
            <w:pPr>
              <w:spacing w:after="0"/>
              <w:rPr>
                <w:sz w:val="10"/>
                <w:szCs w:val="10"/>
                <w:color w:val="auto"/>
              </w:rPr>
            </w:pPr>
          </w:p>
        </w:tc>
        <w:tc>
          <w:tcPr>
            <w:tcW w:w="780" w:type="dxa"/>
            <w:vAlign w:val="bottom"/>
            <w:tcBorders>
              <w:bottom w:val="single" w:sz="8" w:color="61656A"/>
            </w:tcBorders>
          </w:tcPr>
          <w:p>
            <w:pPr>
              <w:spacing w:after="0"/>
              <w:rPr>
                <w:sz w:val="10"/>
                <w:szCs w:val="10"/>
                <w:color w:val="auto"/>
              </w:rPr>
            </w:pPr>
          </w:p>
        </w:tc>
        <w:tc>
          <w:tcPr>
            <w:tcW w:w="30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140" w:type="dxa"/>
            <w:vAlign w:val="bottom"/>
            <w:tcBorders>
              <w:bottom w:val="single" w:sz="8" w:color="61656A"/>
            </w:tcBorders>
          </w:tcPr>
          <w:p>
            <w:pPr>
              <w:spacing w:after="0"/>
              <w:rPr>
                <w:sz w:val="10"/>
                <w:szCs w:val="10"/>
                <w:color w:val="auto"/>
              </w:rPr>
            </w:pPr>
          </w:p>
        </w:tc>
        <w:tc>
          <w:tcPr>
            <w:tcW w:w="780" w:type="dxa"/>
            <w:vAlign w:val="bottom"/>
            <w:tcBorders>
              <w:bottom w:val="single" w:sz="8" w:color="61656A"/>
            </w:tcBorders>
          </w:tcPr>
          <w:p>
            <w:pPr>
              <w:spacing w:after="0"/>
              <w:rPr>
                <w:sz w:val="10"/>
                <w:szCs w:val="10"/>
                <w:color w:val="auto"/>
              </w:rPr>
            </w:pPr>
          </w:p>
        </w:tc>
        <w:tc>
          <w:tcPr>
            <w:tcW w:w="30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spacing w:after="0"/>
              <w:rPr>
                <w:sz w:val="10"/>
                <w:szCs w:val="10"/>
                <w:color w:val="auto"/>
              </w:rPr>
            </w:pPr>
          </w:p>
        </w:tc>
      </w:tr>
      <w:tr>
        <w:trPr>
          <w:trHeight w:val="122"/>
        </w:trPr>
        <w:tc>
          <w:tcPr>
            <w:tcW w:w="734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Long-term receivables</w:t>
            </w:r>
          </w:p>
        </w:tc>
        <w:tc>
          <w:tcPr>
            <w:tcW w:w="140" w:type="dxa"/>
            <w:vAlign w:val="bottom"/>
            <w:tcBorders>
              <w:bottom w:val="single" w:sz="8" w:color="61656A"/>
            </w:tcBorders>
          </w:tcPr>
          <w:p>
            <w:pPr>
              <w:jc w:val="right"/>
              <w:ind w:right="3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232</w:t>
            </w:r>
          </w:p>
        </w:tc>
        <w:tc>
          <w:tcPr>
            <w:tcW w:w="3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173</w:t>
            </w:r>
          </w:p>
        </w:tc>
        <w:tc>
          <w:tcPr>
            <w:tcW w:w="220" w:type="dxa"/>
            <w:vAlign w:val="bottom"/>
            <w:tcBorders>
              <w:bottom w:val="single" w:sz="8" w:color="61656A"/>
            </w:tcBorders>
          </w:tcPr>
          <w:p>
            <w:pPr>
              <w:spacing w:after="0"/>
              <w:rPr>
                <w:sz w:val="10"/>
                <w:szCs w:val="10"/>
                <w:color w:val="auto"/>
              </w:rPr>
            </w:pPr>
          </w:p>
        </w:tc>
        <w:tc>
          <w:tcPr>
            <w:tcW w:w="140" w:type="dxa"/>
            <w:vAlign w:val="bottom"/>
            <w:tcBorders>
              <w:bottom w:val="single" w:sz="8" w:color="61656A"/>
            </w:tcBorders>
          </w:tcPr>
          <w:p>
            <w:pPr>
              <w:jc w:val="right"/>
              <w:ind w:right="3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229</w:t>
            </w:r>
          </w:p>
        </w:tc>
        <w:tc>
          <w:tcPr>
            <w:tcW w:w="30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183</w:t>
            </w:r>
          </w:p>
        </w:tc>
      </w:tr>
      <w:tr>
        <w:trPr>
          <w:trHeight w:val="126"/>
        </w:trPr>
        <w:tc>
          <w:tcPr>
            <w:tcW w:w="734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Liabilities</w:t>
            </w:r>
          </w:p>
        </w:tc>
        <w:tc>
          <w:tcPr>
            <w:tcW w:w="140" w:type="dxa"/>
            <w:vAlign w:val="bottom"/>
            <w:tcBorders>
              <w:bottom w:val="single" w:sz="8" w:color="61656A"/>
            </w:tcBorders>
          </w:tcPr>
          <w:p>
            <w:pPr>
              <w:spacing w:after="0"/>
              <w:rPr>
                <w:sz w:val="10"/>
                <w:szCs w:val="10"/>
                <w:color w:val="auto"/>
              </w:rPr>
            </w:pPr>
          </w:p>
        </w:tc>
        <w:tc>
          <w:tcPr>
            <w:tcW w:w="780" w:type="dxa"/>
            <w:vAlign w:val="bottom"/>
            <w:tcBorders>
              <w:bottom w:val="single" w:sz="8" w:color="61656A"/>
            </w:tcBorders>
          </w:tcPr>
          <w:p>
            <w:pPr>
              <w:spacing w:after="0"/>
              <w:rPr>
                <w:sz w:val="10"/>
                <w:szCs w:val="10"/>
                <w:color w:val="auto"/>
              </w:rPr>
            </w:pPr>
          </w:p>
        </w:tc>
        <w:tc>
          <w:tcPr>
            <w:tcW w:w="30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140" w:type="dxa"/>
            <w:vAlign w:val="bottom"/>
            <w:tcBorders>
              <w:bottom w:val="single" w:sz="8" w:color="61656A"/>
            </w:tcBorders>
          </w:tcPr>
          <w:p>
            <w:pPr>
              <w:spacing w:after="0"/>
              <w:rPr>
                <w:sz w:val="10"/>
                <w:szCs w:val="10"/>
                <w:color w:val="auto"/>
              </w:rPr>
            </w:pPr>
          </w:p>
        </w:tc>
        <w:tc>
          <w:tcPr>
            <w:tcW w:w="780" w:type="dxa"/>
            <w:vAlign w:val="bottom"/>
            <w:tcBorders>
              <w:bottom w:val="single" w:sz="8" w:color="61656A"/>
            </w:tcBorders>
          </w:tcPr>
          <w:p>
            <w:pPr>
              <w:spacing w:after="0"/>
              <w:rPr>
                <w:sz w:val="10"/>
                <w:szCs w:val="10"/>
                <w:color w:val="auto"/>
              </w:rPr>
            </w:pPr>
          </w:p>
        </w:tc>
        <w:tc>
          <w:tcPr>
            <w:tcW w:w="30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spacing w:after="0"/>
              <w:rPr>
                <w:sz w:val="10"/>
                <w:szCs w:val="10"/>
                <w:color w:val="auto"/>
              </w:rPr>
            </w:pPr>
          </w:p>
        </w:tc>
      </w:tr>
      <w:tr>
        <w:trPr>
          <w:trHeight w:val="122"/>
        </w:trPr>
        <w:tc>
          <w:tcPr>
            <w:tcW w:w="734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Long-term debt and related current maturities</w:t>
            </w:r>
          </w:p>
        </w:tc>
        <w:tc>
          <w:tcPr>
            <w:tcW w:w="14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18,358</w:t>
            </w:r>
          </w:p>
        </w:tc>
        <w:tc>
          <w:tcPr>
            <w:tcW w:w="30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17,706</w:t>
            </w:r>
          </w:p>
        </w:tc>
        <w:tc>
          <w:tcPr>
            <w:tcW w:w="220" w:type="dxa"/>
            <w:vAlign w:val="bottom"/>
            <w:tcBorders>
              <w:bottom w:val="single" w:sz="8" w:color="D7282F"/>
            </w:tcBorders>
          </w:tcPr>
          <w:p>
            <w:pPr>
              <w:spacing w:after="0"/>
              <w:rPr>
                <w:sz w:val="10"/>
                <w:szCs w:val="10"/>
                <w:color w:val="auto"/>
              </w:rPr>
            </w:pPr>
          </w:p>
        </w:tc>
        <w:tc>
          <w:tcPr>
            <w:tcW w:w="14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16,853</w:t>
            </w:r>
          </w:p>
        </w:tc>
        <w:tc>
          <w:tcPr>
            <w:tcW w:w="30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15,856</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The Company determined the fair value of the long-term receivables by utilizing transactions in the listed markets for identical or similar assets. As such, the fair value of these receivables is considered level 2.</w:t>
      </w:r>
    </w:p>
    <w:p>
      <w:pPr>
        <w:spacing w:after="0" w:line="72"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The Company determined the fair value of the long-term debt and related current maturities utilizing transactions in the listed markets for identical or similar liabilities. As such, the fair value of the long-term debt and related current maturities is considered level 2.</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color w:val="D7282F"/>
        </w:rPr>
        <w:t>NOTE 13. ACCRUED LIABILITIES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9480" w:type="dxa"/>
            <w:vAlign w:val="bottom"/>
          </w:tcPr>
          <w:p>
            <w:pPr>
              <w:spacing w:after="0"/>
              <w:rPr>
                <w:sz w:val="11"/>
                <w:szCs w:val="11"/>
                <w:color w:val="auto"/>
              </w:rPr>
            </w:pPr>
          </w:p>
        </w:tc>
        <w:tc>
          <w:tcPr>
            <w:tcW w:w="540" w:type="dxa"/>
            <w:vAlign w:val="bottom"/>
            <w:tcBorders>
              <w:bottom w:val="single" w:sz="8" w:color="D7282F"/>
            </w:tcBorders>
          </w:tcPr>
          <w:p>
            <w:pPr>
              <w:spacing w:after="0"/>
              <w:rPr>
                <w:sz w:val="11"/>
                <w:szCs w:val="11"/>
                <w:color w:val="auto"/>
              </w:rPr>
            </w:pPr>
          </w:p>
        </w:tc>
        <w:tc>
          <w:tcPr>
            <w:tcW w:w="740" w:type="dxa"/>
            <w:vAlign w:val="bottom"/>
            <w:tcBorders>
              <w:bottom w:val="single" w:sz="8" w:color="D7282F"/>
            </w:tcBorders>
            <w:gridSpan w:val="2"/>
          </w:tcPr>
          <w:p>
            <w:pPr>
              <w:jc w:val="right"/>
              <w:ind w:right="12"/>
              <w:spacing w:after="0"/>
              <w:rPr>
                <w:sz w:val="20"/>
                <w:szCs w:val="20"/>
                <w:color w:val="auto"/>
              </w:rPr>
            </w:pPr>
            <w:r>
              <w:rPr>
                <w:rFonts w:ascii="Arial" w:cs="Arial" w:eastAsia="Arial" w:hAnsi="Arial"/>
                <w:sz w:val="10"/>
                <w:szCs w:val="10"/>
                <w:b w:val="1"/>
                <w:bCs w:val="1"/>
                <w:color w:val="auto"/>
              </w:rPr>
              <w:t>December 31,</w:t>
            </w:r>
          </w:p>
        </w:tc>
        <w:tc>
          <w:tcPr>
            <w:tcW w:w="540" w:type="dxa"/>
            <w:vAlign w:val="bottom"/>
            <w:tcBorders>
              <w:bottom w:val="single" w:sz="8" w:color="D7282F"/>
            </w:tcBorders>
          </w:tcPr>
          <w:p>
            <w:pPr>
              <w:spacing w:after="0"/>
              <w:rPr>
                <w:sz w:val="11"/>
                <w:szCs w:val="11"/>
                <w:color w:val="auto"/>
              </w:rPr>
            </w:pPr>
          </w:p>
        </w:tc>
      </w:tr>
      <w:tr>
        <w:trPr>
          <w:trHeight w:val="160"/>
        </w:trPr>
        <w:tc>
          <w:tcPr>
            <w:tcW w:w="9480" w:type="dxa"/>
            <w:vAlign w:val="bottom"/>
            <w:tcBorders>
              <w:bottom w:val="single" w:sz="8" w:color="D7282F"/>
            </w:tcBorders>
          </w:tcPr>
          <w:p>
            <w:pPr>
              <w:spacing w:after="0"/>
              <w:rPr>
                <w:sz w:val="13"/>
                <w:szCs w:val="13"/>
                <w:color w:val="auto"/>
              </w:rPr>
            </w:pP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2023</w:t>
            </w:r>
          </w:p>
        </w:tc>
        <w:tc>
          <w:tcPr>
            <w:tcW w:w="380" w:type="dxa"/>
            <w:vAlign w:val="bottom"/>
            <w:tcBorders>
              <w:bottom w:val="single" w:sz="8" w:color="D7282F"/>
            </w:tcBorders>
          </w:tcPr>
          <w:p>
            <w:pPr>
              <w:spacing w:after="0"/>
              <w:rPr>
                <w:sz w:val="13"/>
                <w:szCs w:val="13"/>
                <w:color w:val="auto"/>
              </w:rPr>
            </w:pPr>
          </w:p>
        </w:tc>
        <w:tc>
          <w:tcPr>
            <w:tcW w:w="360" w:type="dxa"/>
            <w:vAlign w:val="bottom"/>
            <w:tcBorders>
              <w:bottom w:val="single" w:sz="8" w:color="D7282F"/>
            </w:tcBorders>
          </w:tcPr>
          <w:p>
            <w:pPr>
              <w:spacing w:after="0"/>
              <w:rPr>
                <w:sz w:val="13"/>
                <w:szCs w:val="13"/>
                <w:color w:val="auto"/>
              </w:rPr>
            </w:pPr>
          </w:p>
        </w:tc>
        <w:tc>
          <w:tcPr>
            <w:tcW w:w="54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2022</w:t>
            </w:r>
          </w:p>
        </w:tc>
      </w:tr>
      <w:tr>
        <w:trPr>
          <w:trHeight w:val="122"/>
        </w:trPr>
        <w:tc>
          <w:tcPr>
            <w:tcW w:w="94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Customer advances and deferred income</w:t>
            </w:r>
          </w:p>
        </w:tc>
        <w:tc>
          <w:tcPr>
            <w:tcW w:w="540" w:type="dxa"/>
            <w:vAlign w:val="bottom"/>
            <w:tcBorders>
              <w:bottom w:val="single" w:sz="8" w:color="61656A"/>
            </w:tcBorders>
          </w:tcPr>
          <w:p>
            <w:pPr>
              <w:jc w:val="right"/>
              <w:ind w:right="41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w w:val="95"/>
              </w:rPr>
              <w:t>3,499</w:t>
            </w:r>
          </w:p>
        </w:tc>
        <w:tc>
          <w:tcPr>
            <w:tcW w:w="36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3,555</w:t>
            </w:r>
          </w:p>
        </w:tc>
      </w:tr>
      <w:tr>
        <w:trPr>
          <w:trHeight w:val="124"/>
        </w:trPr>
        <w:tc>
          <w:tcPr>
            <w:tcW w:w="94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Compensation, benefit and other employee related</w:t>
            </w:r>
          </w:p>
        </w:tc>
        <w:tc>
          <w:tcPr>
            <w:tcW w:w="54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w w:val="95"/>
              </w:rPr>
              <w:t>1,322</w:t>
            </w:r>
          </w:p>
        </w:tc>
        <w:tc>
          <w:tcPr>
            <w:tcW w:w="360" w:type="dxa"/>
            <w:vAlign w:val="bottom"/>
            <w:tcBorders>
              <w:bottom w:val="single" w:sz="8" w:color="61656A"/>
            </w:tcBorders>
          </w:tcPr>
          <w:p>
            <w:pPr>
              <w:spacing w:after="0"/>
              <w:rPr>
                <w:sz w:val="10"/>
                <w:szCs w:val="10"/>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1,218</w:t>
            </w:r>
          </w:p>
        </w:tc>
      </w:tr>
      <w:tr>
        <w:trPr>
          <w:trHeight w:val="124"/>
        </w:trPr>
        <w:tc>
          <w:tcPr>
            <w:tcW w:w="94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Repositioning</w:t>
            </w:r>
          </w:p>
        </w:tc>
        <w:tc>
          <w:tcPr>
            <w:tcW w:w="54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279</w:t>
            </w:r>
          </w:p>
        </w:tc>
        <w:tc>
          <w:tcPr>
            <w:tcW w:w="360" w:type="dxa"/>
            <w:vAlign w:val="bottom"/>
            <w:tcBorders>
              <w:bottom w:val="single" w:sz="8" w:color="61656A"/>
            </w:tcBorders>
          </w:tcPr>
          <w:p>
            <w:pPr>
              <w:spacing w:after="0"/>
              <w:rPr>
                <w:sz w:val="10"/>
                <w:szCs w:val="10"/>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309</w:t>
            </w:r>
          </w:p>
        </w:tc>
      </w:tr>
      <w:tr>
        <w:trPr>
          <w:trHeight w:val="124"/>
        </w:trPr>
        <w:tc>
          <w:tcPr>
            <w:tcW w:w="94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Asbestos-related liabilities</w:t>
            </w:r>
          </w:p>
        </w:tc>
        <w:tc>
          <w:tcPr>
            <w:tcW w:w="54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154</w:t>
            </w:r>
          </w:p>
        </w:tc>
        <w:tc>
          <w:tcPr>
            <w:tcW w:w="360" w:type="dxa"/>
            <w:vAlign w:val="bottom"/>
            <w:tcBorders>
              <w:bottom w:val="single" w:sz="8" w:color="61656A"/>
            </w:tcBorders>
          </w:tcPr>
          <w:p>
            <w:pPr>
              <w:spacing w:after="0"/>
              <w:rPr>
                <w:sz w:val="10"/>
                <w:szCs w:val="10"/>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110</w:t>
            </w:r>
          </w:p>
        </w:tc>
      </w:tr>
      <w:tr>
        <w:trPr>
          <w:trHeight w:val="124"/>
        </w:trPr>
        <w:tc>
          <w:tcPr>
            <w:tcW w:w="94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Income taxes</w:t>
            </w:r>
          </w:p>
        </w:tc>
        <w:tc>
          <w:tcPr>
            <w:tcW w:w="54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680</w:t>
            </w:r>
          </w:p>
        </w:tc>
        <w:tc>
          <w:tcPr>
            <w:tcW w:w="360" w:type="dxa"/>
            <w:vAlign w:val="bottom"/>
            <w:tcBorders>
              <w:bottom w:val="single" w:sz="8" w:color="61656A"/>
            </w:tcBorders>
          </w:tcPr>
          <w:p>
            <w:pPr>
              <w:spacing w:after="0"/>
              <w:rPr>
                <w:sz w:val="10"/>
                <w:szCs w:val="10"/>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549</w:t>
            </w:r>
          </w:p>
        </w:tc>
      </w:tr>
      <w:tr>
        <w:trPr>
          <w:trHeight w:val="124"/>
        </w:trPr>
        <w:tc>
          <w:tcPr>
            <w:tcW w:w="94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Other taxes</w:t>
            </w:r>
          </w:p>
        </w:tc>
        <w:tc>
          <w:tcPr>
            <w:tcW w:w="54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176</w:t>
            </w:r>
          </w:p>
        </w:tc>
        <w:tc>
          <w:tcPr>
            <w:tcW w:w="360" w:type="dxa"/>
            <w:vAlign w:val="bottom"/>
            <w:tcBorders>
              <w:bottom w:val="single" w:sz="8" w:color="61656A"/>
            </w:tcBorders>
          </w:tcPr>
          <w:p>
            <w:pPr>
              <w:spacing w:after="0"/>
              <w:rPr>
                <w:sz w:val="10"/>
                <w:szCs w:val="10"/>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174</w:t>
            </w:r>
          </w:p>
        </w:tc>
      </w:tr>
      <w:tr>
        <w:trPr>
          <w:trHeight w:val="124"/>
        </w:trPr>
        <w:tc>
          <w:tcPr>
            <w:tcW w:w="94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Environmental costs</w:t>
            </w:r>
          </w:p>
        </w:tc>
        <w:tc>
          <w:tcPr>
            <w:tcW w:w="54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227</w:t>
            </w:r>
          </w:p>
        </w:tc>
        <w:tc>
          <w:tcPr>
            <w:tcW w:w="360" w:type="dxa"/>
            <w:vAlign w:val="bottom"/>
            <w:tcBorders>
              <w:bottom w:val="single" w:sz="8" w:color="61656A"/>
            </w:tcBorders>
          </w:tcPr>
          <w:p>
            <w:pPr>
              <w:spacing w:after="0"/>
              <w:rPr>
                <w:sz w:val="10"/>
                <w:szCs w:val="10"/>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222</w:t>
            </w:r>
          </w:p>
        </w:tc>
      </w:tr>
      <w:tr>
        <w:trPr>
          <w:trHeight w:val="124"/>
        </w:trPr>
        <w:tc>
          <w:tcPr>
            <w:tcW w:w="94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Operating lease liabilities</w:t>
            </w:r>
          </w:p>
        </w:tc>
        <w:tc>
          <w:tcPr>
            <w:tcW w:w="54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196</w:t>
            </w:r>
          </w:p>
        </w:tc>
        <w:tc>
          <w:tcPr>
            <w:tcW w:w="360" w:type="dxa"/>
            <w:vAlign w:val="bottom"/>
            <w:tcBorders>
              <w:bottom w:val="single" w:sz="8" w:color="61656A"/>
            </w:tcBorders>
          </w:tcPr>
          <w:p>
            <w:pPr>
              <w:spacing w:after="0"/>
              <w:rPr>
                <w:sz w:val="10"/>
                <w:szCs w:val="10"/>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192</w:t>
            </w:r>
          </w:p>
        </w:tc>
      </w:tr>
      <w:tr>
        <w:trPr>
          <w:trHeight w:val="124"/>
        </w:trPr>
        <w:tc>
          <w:tcPr>
            <w:tcW w:w="94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Product warranties and performance guarantees</w:t>
            </w:r>
          </w:p>
        </w:tc>
        <w:tc>
          <w:tcPr>
            <w:tcW w:w="54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182</w:t>
            </w:r>
          </w:p>
        </w:tc>
        <w:tc>
          <w:tcPr>
            <w:tcW w:w="360" w:type="dxa"/>
            <w:vAlign w:val="bottom"/>
            <w:tcBorders>
              <w:bottom w:val="single" w:sz="8" w:color="61656A"/>
            </w:tcBorders>
          </w:tcPr>
          <w:p>
            <w:pPr>
              <w:spacing w:after="0"/>
              <w:rPr>
                <w:sz w:val="10"/>
                <w:szCs w:val="10"/>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175</w:t>
            </w:r>
          </w:p>
        </w:tc>
      </w:tr>
      <w:tr>
        <w:trPr>
          <w:trHeight w:val="124"/>
        </w:trPr>
        <w:tc>
          <w:tcPr>
            <w:tcW w:w="94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Insurance</w:t>
            </w:r>
          </w:p>
        </w:tc>
        <w:tc>
          <w:tcPr>
            <w:tcW w:w="54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69</w:t>
            </w:r>
          </w:p>
        </w:tc>
        <w:tc>
          <w:tcPr>
            <w:tcW w:w="360" w:type="dxa"/>
            <w:vAlign w:val="bottom"/>
            <w:tcBorders>
              <w:bottom w:val="single" w:sz="8" w:color="61656A"/>
            </w:tcBorders>
          </w:tcPr>
          <w:p>
            <w:pPr>
              <w:spacing w:after="0"/>
              <w:rPr>
                <w:sz w:val="10"/>
                <w:szCs w:val="10"/>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68</w:t>
            </w:r>
          </w:p>
        </w:tc>
      </w:tr>
      <w:tr>
        <w:trPr>
          <w:trHeight w:val="124"/>
        </w:trPr>
        <w:tc>
          <w:tcPr>
            <w:tcW w:w="94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Accrued interest</w:t>
            </w:r>
          </w:p>
        </w:tc>
        <w:tc>
          <w:tcPr>
            <w:tcW w:w="54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217</w:t>
            </w:r>
          </w:p>
        </w:tc>
        <w:tc>
          <w:tcPr>
            <w:tcW w:w="360" w:type="dxa"/>
            <w:vAlign w:val="bottom"/>
            <w:tcBorders>
              <w:bottom w:val="single" w:sz="8" w:color="61656A"/>
            </w:tcBorders>
          </w:tcPr>
          <w:p>
            <w:pPr>
              <w:spacing w:after="0"/>
              <w:rPr>
                <w:sz w:val="10"/>
                <w:szCs w:val="10"/>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122</w:t>
            </w:r>
          </w:p>
        </w:tc>
      </w:tr>
      <w:tr>
        <w:trPr>
          <w:trHeight w:val="124"/>
        </w:trPr>
        <w:tc>
          <w:tcPr>
            <w:tcW w:w="94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NARCO Buyout accrual</w:t>
            </w:r>
          </w:p>
        </w:tc>
        <w:tc>
          <w:tcPr>
            <w:tcW w:w="54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61656A"/>
            </w:tcBorders>
          </w:tcPr>
          <w:p>
            <w:pPr>
              <w:spacing w:after="0"/>
              <w:rPr>
                <w:sz w:val="10"/>
                <w:szCs w:val="10"/>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1,325</w:t>
            </w:r>
          </w:p>
        </w:tc>
      </w:tr>
      <w:tr>
        <w:trPr>
          <w:trHeight w:val="124"/>
        </w:trPr>
        <w:tc>
          <w:tcPr>
            <w:tcW w:w="94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Other (primarily operating expenses)</w:t>
            </w:r>
          </w:p>
        </w:tc>
        <w:tc>
          <w:tcPr>
            <w:tcW w:w="54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808</w:t>
            </w:r>
          </w:p>
        </w:tc>
        <w:tc>
          <w:tcPr>
            <w:tcW w:w="360" w:type="dxa"/>
            <w:vAlign w:val="bottom"/>
            <w:tcBorders>
              <w:bottom w:val="single" w:sz="8" w:color="D7282F"/>
            </w:tcBorders>
          </w:tcPr>
          <w:p>
            <w:pPr>
              <w:spacing w:after="0"/>
              <w:rPr>
                <w:sz w:val="10"/>
                <w:szCs w:val="10"/>
                <w:color w:val="auto"/>
              </w:rPr>
            </w:pP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1,143</w:t>
            </w:r>
          </w:p>
        </w:tc>
      </w:tr>
      <w:tr>
        <w:trPr>
          <w:trHeight w:val="126"/>
        </w:trPr>
        <w:tc>
          <w:tcPr>
            <w:tcW w:w="948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Accrued liabilities</w:t>
            </w:r>
          </w:p>
        </w:tc>
        <w:tc>
          <w:tcPr>
            <w:tcW w:w="54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w w:val="95"/>
              </w:rPr>
              <w:t>7,809</w:t>
            </w:r>
          </w:p>
        </w:tc>
        <w:tc>
          <w:tcPr>
            <w:tcW w:w="3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9,162</w:t>
            </w:r>
          </w:p>
        </w:tc>
      </w:tr>
    </w:tbl>
    <w:p>
      <w:pPr>
        <w:spacing w:after="0" w:line="338"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D7282F"/>
        </w:rPr>
        <w:t>87</w:t>
      </w:r>
      <w:r>
        <w:rPr>
          <w:sz w:val="20"/>
          <w:szCs w:val="20"/>
          <w:color w:val="auto"/>
        </w:rPr>
        <w:tab/>
      </w:r>
      <w:r>
        <w:rPr>
          <w:rFonts w:ascii="Arial" w:cs="Arial" w:eastAsia="Arial" w:hAnsi="Arial"/>
          <w:sz w:val="8"/>
          <w:szCs w:val="8"/>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90805</wp:posOffset>
            </wp:positionV>
            <wp:extent cx="7203440"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89" w:name="page90"/>
    <w:bookmarkEnd w:id="89"/>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92" w:lineRule="exact"/>
        <w:rPr>
          <w:sz w:val="20"/>
          <w:szCs w:val="20"/>
          <w:color w:val="auto"/>
        </w:rPr>
      </w:pPr>
    </w:p>
    <w:p>
      <w:pPr>
        <w:ind w:left="8"/>
        <w:spacing w:after="0"/>
        <w:rPr>
          <w:sz w:val="20"/>
          <w:szCs w:val="20"/>
          <w:color w:val="auto"/>
        </w:rPr>
      </w:pPr>
      <w:r>
        <w:rPr>
          <w:rFonts w:ascii="Arial" w:cs="Arial" w:eastAsia="Arial" w:hAnsi="Arial"/>
          <w:sz w:val="19"/>
          <w:szCs w:val="19"/>
          <w:color w:val="D7282F"/>
        </w:rPr>
        <w:t>NOTE 14. OTHER LIABILITIES</w:t>
      </w:r>
    </w:p>
    <w:p>
      <w:pPr>
        <w:spacing w:after="0" w:line="236"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9480" w:type="dxa"/>
            <w:vAlign w:val="bottom"/>
          </w:tcPr>
          <w:p>
            <w:pPr>
              <w:spacing w:after="0"/>
              <w:rPr>
                <w:sz w:val="11"/>
                <w:szCs w:val="11"/>
                <w:color w:val="auto"/>
              </w:rPr>
            </w:pPr>
          </w:p>
        </w:tc>
        <w:tc>
          <w:tcPr>
            <w:tcW w:w="540" w:type="dxa"/>
            <w:vAlign w:val="bottom"/>
            <w:tcBorders>
              <w:bottom w:val="single" w:sz="8" w:color="D7282F"/>
            </w:tcBorders>
          </w:tcPr>
          <w:p>
            <w:pPr>
              <w:spacing w:after="0"/>
              <w:rPr>
                <w:sz w:val="11"/>
                <w:szCs w:val="11"/>
                <w:color w:val="auto"/>
              </w:rPr>
            </w:pPr>
          </w:p>
        </w:tc>
        <w:tc>
          <w:tcPr>
            <w:tcW w:w="740" w:type="dxa"/>
            <w:vAlign w:val="bottom"/>
            <w:tcBorders>
              <w:bottom w:val="single" w:sz="8" w:color="D7282F"/>
            </w:tcBorders>
            <w:gridSpan w:val="2"/>
          </w:tcPr>
          <w:p>
            <w:pPr>
              <w:jc w:val="right"/>
              <w:ind w:right="12"/>
              <w:spacing w:after="0"/>
              <w:rPr>
                <w:sz w:val="20"/>
                <w:szCs w:val="20"/>
                <w:color w:val="auto"/>
              </w:rPr>
            </w:pPr>
            <w:r>
              <w:rPr>
                <w:rFonts w:ascii="Arial" w:cs="Arial" w:eastAsia="Arial" w:hAnsi="Arial"/>
                <w:sz w:val="10"/>
                <w:szCs w:val="10"/>
                <w:b w:val="1"/>
                <w:bCs w:val="1"/>
                <w:color w:val="auto"/>
              </w:rPr>
              <w:t>December 31,</w:t>
            </w:r>
          </w:p>
        </w:tc>
        <w:tc>
          <w:tcPr>
            <w:tcW w:w="540" w:type="dxa"/>
            <w:vAlign w:val="bottom"/>
            <w:tcBorders>
              <w:bottom w:val="single" w:sz="8" w:color="D7282F"/>
            </w:tcBorders>
          </w:tcPr>
          <w:p>
            <w:pPr>
              <w:spacing w:after="0"/>
              <w:rPr>
                <w:sz w:val="11"/>
                <w:szCs w:val="11"/>
                <w:color w:val="auto"/>
              </w:rPr>
            </w:pPr>
          </w:p>
        </w:tc>
      </w:tr>
      <w:tr>
        <w:trPr>
          <w:trHeight w:val="160"/>
        </w:trPr>
        <w:tc>
          <w:tcPr>
            <w:tcW w:w="9480" w:type="dxa"/>
            <w:vAlign w:val="bottom"/>
            <w:tcBorders>
              <w:bottom w:val="single" w:sz="8" w:color="D7282F"/>
            </w:tcBorders>
          </w:tcPr>
          <w:p>
            <w:pPr>
              <w:spacing w:after="0"/>
              <w:rPr>
                <w:sz w:val="13"/>
                <w:szCs w:val="13"/>
                <w:color w:val="auto"/>
              </w:rPr>
            </w:pP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2023</w:t>
            </w:r>
          </w:p>
        </w:tc>
        <w:tc>
          <w:tcPr>
            <w:tcW w:w="380" w:type="dxa"/>
            <w:vAlign w:val="bottom"/>
            <w:tcBorders>
              <w:bottom w:val="single" w:sz="8" w:color="D7282F"/>
            </w:tcBorders>
          </w:tcPr>
          <w:p>
            <w:pPr>
              <w:spacing w:after="0"/>
              <w:rPr>
                <w:sz w:val="13"/>
                <w:szCs w:val="13"/>
                <w:color w:val="auto"/>
              </w:rPr>
            </w:pPr>
          </w:p>
        </w:tc>
        <w:tc>
          <w:tcPr>
            <w:tcW w:w="360" w:type="dxa"/>
            <w:vAlign w:val="bottom"/>
            <w:tcBorders>
              <w:bottom w:val="single" w:sz="8" w:color="D7282F"/>
            </w:tcBorders>
          </w:tcPr>
          <w:p>
            <w:pPr>
              <w:spacing w:after="0"/>
              <w:rPr>
                <w:sz w:val="13"/>
                <w:szCs w:val="13"/>
                <w:color w:val="auto"/>
              </w:rPr>
            </w:pPr>
          </w:p>
        </w:tc>
        <w:tc>
          <w:tcPr>
            <w:tcW w:w="54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2022</w:t>
            </w:r>
          </w:p>
        </w:tc>
      </w:tr>
      <w:tr>
        <w:trPr>
          <w:trHeight w:val="122"/>
        </w:trPr>
        <w:tc>
          <w:tcPr>
            <w:tcW w:w="94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Income taxes</w:t>
            </w:r>
          </w:p>
        </w:tc>
        <w:tc>
          <w:tcPr>
            <w:tcW w:w="540" w:type="dxa"/>
            <w:vAlign w:val="bottom"/>
            <w:tcBorders>
              <w:bottom w:val="single" w:sz="8" w:color="61656A"/>
            </w:tcBorders>
          </w:tcPr>
          <w:p>
            <w:pPr>
              <w:jc w:val="right"/>
              <w:ind w:right="41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w w:val="95"/>
              </w:rPr>
              <w:t>1,742</w:t>
            </w:r>
          </w:p>
        </w:tc>
        <w:tc>
          <w:tcPr>
            <w:tcW w:w="36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1,939</w:t>
            </w:r>
          </w:p>
        </w:tc>
      </w:tr>
      <w:tr>
        <w:trPr>
          <w:trHeight w:val="124"/>
        </w:trPr>
        <w:tc>
          <w:tcPr>
            <w:tcW w:w="94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Pension and other employee related</w:t>
            </w:r>
          </w:p>
        </w:tc>
        <w:tc>
          <w:tcPr>
            <w:tcW w:w="54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w w:val="95"/>
              </w:rPr>
              <w:t>1,342</w:t>
            </w:r>
          </w:p>
        </w:tc>
        <w:tc>
          <w:tcPr>
            <w:tcW w:w="360" w:type="dxa"/>
            <w:vAlign w:val="bottom"/>
            <w:tcBorders>
              <w:bottom w:val="single" w:sz="8" w:color="61656A"/>
            </w:tcBorders>
          </w:tcPr>
          <w:p>
            <w:pPr>
              <w:spacing w:after="0"/>
              <w:rPr>
                <w:sz w:val="10"/>
                <w:szCs w:val="10"/>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1,306</w:t>
            </w:r>
          </w:p>
        </w:tc>
      </w:tr>
      <w:tr>
        <w:trPr>
          <w:trHeight w:val="124"/>
        </w:trPr>
        <w:tc>
          <w:tcPr>
            <w:tcW w:w="94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Deferred income</w:t>
            </w:r>
          </w:p>
        </w:tc>
        <w:tc>
          <w:tcPr>
            <w:tcW w:w="54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w w:val="95"/>
              </w:rPr>
              <w:t>1,171</w:t>
            </w:r>
          </w:p>
        </w:tc>
        <w:tc>
          <w:tcPr>
            <w:tcW w:w="360" w:type="dxa"/>
            <w:vAlign w:val="bottom"/>
            <w:tcBorders>
              <w:bottom w:val="single" w:sz="8" w:color="61656A"/>
            </w:tcBorders>
          </w:tcPr>
          <w:p>
            <w:pPr>
              <w:spacing w:after="0"/>
              <w:rPr>
                <w:sz w:val="10"/>
                <w:szCs w:val="10"/>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1,334</w:t>
            </w:r>
          </w:p>
        </w:tc>
      </w:tr>
      <w:tr>
        <w:trPr>
          <w:trHeight w:val="124"/>
        </w:trPr>
        <w:tc>
          <w:tcPr>
            <w:tcW w:w="94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Operating lease liabilities</w:t>
            </w:r>
          </w:p>
        </w:tc>
        <w:tc>
          <w:tcPr>
            <w:tcW w:w="54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897</w:t>
            </w:r>
          </w:p>
        </w:tc>
        <w:tc>
          <w:tcPr>
            <w:tcW w:w="360" w:type="dxa"/>
            <w:vAlign w:val="bottom"/>
            <w:tcBorders>
              <w:bottom w:val="single" w:sz="8" w:color="61656A"/>
            </w:tcBorders>
          </w:tcPr>
          <w:p>
            <w:pPr>
              <w:spacing w:after="0"/>
              <w:rPr>
                <w:sz w:val="10"/>
                <w:szCs w:val="10"/>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775</w:t>
            </w:r>
          </w:p>
        </w:tc>
      </w:tr>
      <w:tr>
        <w:trPr>
          <w:trHeight w:val="124"/>
        </w:trPr>
        <w:tc>
          <w:tcPr>
            <w:tcW w:w="94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Environmental costs</w:t>
            </w:r>
          </w:p>
        </w:tc>
        <w:tc>
          <w:tcPr>
            <w:tcW w:w="54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414</w:t>
            </w:r>
          </w:p>
        </w:tc>
        <w:tc>
          <w:tcPr>
            <w:tcW w:w="360" w:type="dxa"/>
            <w:vAlign w:val="bottom"/>
            <w:tcBorders>
              <w:bottom w:val="single" w:sz="8" w:color="61656A"/>
            </w:tcBorders>
          </w:tcPr>
          <w:p>
            <w:pPr>
              <w:spacing w:after="0"/>
              <w:rPr>
                <w:sz w:val="10"/>
                <w:szCs w:val="10"/>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393</w:t>
            </w:r>
          </w:p>
        </w:tc>
      </w:tr>
      <w:tr>
        <w:trPr>
          <w:trHeight w:val="124"/>
        </w:trPr>
        <w:tc>
          <w:tcPr>
            <w:tcW w:w="94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Insurance</w:t>
            </w:r>
          </w:p>
        </w:tc>
        <w:tc>
          <w:tcPr>
            <w:tcW w:w="54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248</w:t>
            </w:r>
          </w:p>
        </w:tc>
        <w:tc>
          <w:tcPr>
            <w:tcW w:w="360" w:type="dxa"/>
            <w:vAlign w:val="bottom"/>
            <w:tcBorders>
              <w:bottom w:val="single" w:sz="8" w:color="61656A"/>
            </w:tcBorders>
          </w:tcPr>
          <w:p>
            <w:pPr>
              <w:spacing w:after="0"/>
              <w:rPr>
                <w:sz w:val="10"/>
                <w:szCs w:val="10"/>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289</w:t>
            </w:r>
          </w:p>
        </w:tc>
      </w:tr>
      <w:tr>
        <w:trPr>
          <w:trHeight w:val="124"/>
        </w:trPr>
        <w:tc>
          <w:tcPr>
            <w:tcW w:w="94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Product warranties and performance guarantees</w:t>
            </w:r>
          </w:p>
        </w:tc>
        <w:tc>
          <w:tcPr>
            <w:tcW w:w="54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37</w:t>
            </w:r>
          </w:p>
        </w:tc>
        <w:tc>
          <w:tcPr>
            <w:tcW w:w="360" w:type="dxa"/>
            <w:vAlign w:val="bottom"/>
            <w:tcBorders>
              <w:bottom w:val="single" w:sz="8" w:color="61656A"/>
            </w:tcBorders>
          </w:tcPr>
          <w:p>
            <w:pPr>
              <w:spacing w:after="0"/>
              <w:rPr>
                <w:sz w:val="10"/>
                <w:szCs w:val="10"/>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38</w:t>
            </w:r>
          </w:p>
        </w:tc>
      </w:tr>
      <w:tr>
        <w:trPr>
          <w:trHeight w:val="124"/>
        </w:trPr>
        <w:tc>
          <w:tcPr>
            <w:tcW w:w="94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Asset retirement obligations</w:t>
            </w:r>
          </w:p>
        </w:tc>
        <w:tc>
          <w:tcPr>
            <w:tcW w:w="54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17</w:t>
            </w:r>
          </w:p>
        </w:tc>
        <w:tc>
          <w:tcPr>
            <w:tcW w:w="360" w:type="dxa"/>
            <w:vAlign w:val="bottom"/>
            <w:tcBorders>
              <w:bottom w:val="single" w:sz="8" w:color="61656A"/>
            </w:tcBorders>
          </w:tcPr>
          <w:p>
            <w:pPr>
              <w:spacing w:after="0"/>
              <w:rPr>
                <w:sz w:val="10"/>
                <w:szCs w:val="10"/>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24</w:t>
            </w:r>
          </w:p>
        </w:tc>
      </w:tr>
      <w:tr>
        <w:trPr>
          <w:trHeight w:val="124"/>
        </w:trPr>
        <w:tc>
          <w:tcPr>
            <w:tcW w:w="94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Other</w:t>
            </w:r>
          </w:p>
        </w:tc>
        <w:tc>
          <w:tcPr>
            <w:tcW w:w="54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397</w:t>
            </w:r>
          </w:p>
        </w:tc>
        <w:tc>
          <w:tcPr>
            <w:tcW w:w="360" w:type="dxa"/>
            <w:vAlign w:val="bottom"/>
            <w:tcBorders>
              <w:bottom w:val="single" w:sz="8" w:color="D7282F"/>
            </w:tcBorders>
          </w:tcPr>
          <w:p>
            <w:pPr>
              <w:spacing w:after="0"/>
              <w:rPr>
                <w:sz w:val="10"/>
                <w:szCs w:val="10"/>
                <w:color w:val="auto"/>
              </w:rPr>
            </w:pP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371</w:t>
            </w:r>
          </w:p>
        </w:tc>
      </w:tr>
      <w:tr>
        <w:trPr>
          <w:trHeight w:val="126"/>
        </w:trPr>
        <w:tc>
          <w:tcPr>
            <w:tcW w:w="948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Other liabilities</w:t>
            </w:r>
          </w:p>
        </w:tc>
        <w:tc>
          <w:tcPr>
            <w:tcW w:w="54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w w:val="95"/>
              </w:rPr>
              <w:t>6,265</w:t>
            </w:r>
          </w:p>
        </w:tc>
        <w:tc>
          <w:tcPr>
            <w:tcW w:w="3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6,469</w:t>
            </w:r>
          </w:p>
        </w:tc>
      </w:tr>
    </w:tbl>
    <w:p>
      <w:pPr>
        <w:spacing w:after="0" w:line="231" w:lineRule="exact"/>
        <w:rPr>
          <w:sz w:val="20"/>
          <w:szCs w:val="20"/>
          <w:color w:val="auto"/>
        </w:rPr>
      </w:pPr>
    </w:p>
    <w:p>
      <w:pPr>
        <w:ind w:left="8"/>
        <w:spacing w:after="0"/>
        <w:rPr>
          <w:sz w:val="20"/>
          <w:szCs w:val="20"/>
          <w:color w:val="auto"/>
        </w:rPr>
      </w:pPr>
      <w:r>
        <w:rPr>
          <w:rFonts w:ascii="Arial" w:cs="Arial" w:eastAsia="Arial" w:hAnsi="Arial"/>
          <w:sz w:val="19"/>
          <w:szCs w:val="19"/>
          <w:color w:val="D7282F"/>
        </w:rPr>
        <w:t>NOTE 15. STOCK-BASED COMPENSATION PLANS</w:t>
      </w:r>
    </w:p>
    <w:p>
      <w:pPr>
        <w:spacing w:after="0" w:line="172" w:lineRule="exact"/>
        <w:rPr>
          <w:sz w:val="20"/>
          <w:szCs w:val="20"/>
          <w:color w:val="auto"/>
        </w:rPr>
      </w:pPr>
    </w:p>
    <w:p>
      <w:pPr>
        <w:jc w:val="both"/>
        <w:ind w:left="8"/>
        <w:spacing w:after="0" w:line="253" w:lineRule="auto"/>
        <w:rPr>
          <w:sz w:val="20"/>
          <w:szCs w:val="20"/>
          <w:color w:val="auto"/>
        </w:rPr>
      </w:pPr>
      <w:r>
        <w:rPr>
          <w:rFonts w:ascii="Arial" w:cs="Arial" w:eastAsia="Arial" w:hAnsi="Arial"/>
          <w:sz w:val="11"/>
          <w:szCs w:val="11"/>
          <w:color w:val="auto"/>
        </w:rPr>
        <w:t>The 2016 Stock Incentive Plan of Honeywell International Inc. and its Affiliates (2016 Plan) and 2016 Stock Plan for Non-Employee Directors of Honeywell International Inc. (2016 Directors Plan) were both approved by the shareowners at the Annual Meeting of Shareowners effective on April 25, 2016. At December 31, 2023, there were 28,946,133 and 781,768 shares of Honeywell common stock available for future grants under terms of the 2016 Plan and 2016 Directors Plan, respectively.</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STOCK OPTIONS</w:t>
      </w:r>
    </w:p>
    <w:p>
      <w:pPr>
        <w:spacing w:after="0" w:line="90"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The exercise price, term, and other conditions applicable to each option granted under the Company's stock plans are generally determined by the Management Development and Compensation Committee of the Board of Directors. The exercise price of stock options is set on the grant date and may not be less than the fair market value per share of the Company's stock on that date. The fair value is recognized as an expense over the employee’s requisite service period (generally the vesting period of the award). Options generally vest over a four-year period and expire after ten years.</w:t>
      </w:r>
    </w:p>
    <w:p>
      <w:pPr>
        <w:spacing w:after="0" w:line="45"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The fair value of each option award is estimated on the date of grant using the Black-Scholes option-pricing model. Expected volatility is based on implied volatilities from traded options on our common stock and historical volatility of the Company's common stock. The Company used a Monte Carlo simulation model to derive an expected term which represents an estimate of the time options are expected to remain outstanding. Such model uses historical data to estimate option exercise activity and post-vest termination behavior. The risk-free rate for periods within the contractual life of the option is based on the U.S. treasury yield curve in effect at the time of grant.</w:t>
      </w:r>
    </w:p>
    <w:p>
      <w:pPr>
        <w:spacing w:after="0" w:line="45"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summarizes the impact to the Consolidated Statement of Operations from stock options:</w:t>
      </w:r>
    </w:p>
    <w:p>
      <w:pPr>
        <w:spacing w:after="0" w:line="145"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8580" w:type="dxa"/>
            <w:vAlign w:val="bottom"/>
          </w:tcPr>
          <w:p>
            <w:pPr>
              <w:spacing w:after="0"/>
              <w:rPr>
                <w:sz w:val="11"/>
                <w:szCs w:val="11"/>
                <w:color w:val="auto"/>
              </w:rPr>
            </w:pPr>
          </w:p>
        </w:tc>
        <w:tc>
          <w:tcPr>
            <w:tcW w:w="540" w:type="dxa"/>
            <w:vAlign w:val="bottom"/>
            <w:tcBorders>
              <w:bottom w:val="single" w:sz="8" w:color="D7282F"/>
            </w:tcBorders>
          </w:tcPr>
          <w:p>
            <w:pPr>
              <w:spacing w:after="0"/>
              <w:rPr>
                <w:sz w:val="11"/>
                <w:szCs w:val="11"/>
                <w:color w:val="auto"/>
              </w:rPr>
            </w:pPr>
          </w:p>
        </w:tc>
        <w:tc>
          <w:tcPr>
            <w:tcW w:w="180" w:type="dxa"/>
            <w:vAlign w:val="bottom"/>
            <w:tcBorders>
              <w:bottom w:val="single" w:sz="8" w:color="D7282F"/>
            </w:tcBorders>
          </w:tcPr>
          <w:p>
            <w:pPr>
              <w:spacing w:after="0"/>
              <w:rPr>
                <w:sz w:val="11"/>
                <w:szCs w:val="11"/>
                <w:color w:val="auto"/>
              </w:rPr>
            </w:pPr>
          </w:p>
        </w:tc>
        <w:tc>
          <w:tcPr>
            <w:tcW w:w="1400" w:type="dxa"/>
            <w:vAlign w:val="bottom"/>
            <w:tcBorders>
              <w:bottom w:val="single" w:sz="8" w:color="D7282F"/>
            </w:tcBorders>
            <w:gridSpan w:val="3"/>
          </w:tcPr>
          <w:p>
            <w:pPr>
              <w:jc w:val="right"/>
              <w:ind w:right="92"/>
              <w:spacing w:after="0"/>
              <w:rPr>
                <w:sz w:val="20"/>
                <w:szCs w:val="20"/>
                <w:color w:val="auto"/>
              </w:rPr>
            </w:pPr>
            <w:r>
              <w:rPr>
                <w:rFonts w:ascii="Arial" w:cs="Arial" w:eastAsia="Arial" w:hAnsi="Arial"/>
                <w:sz w:val="10"/>
                <w:szCs w:val="10"/>
                <w:b w:val="1"/>
                <w:bCs w:val="1"/>
                <w:color w:val="auto"/>
                <w:w w:val="96"/>
              </w:rPr>
              <w:t>Years Ended December 31,</w:t>
            </w:r>
          </w:p>
        </w:tc>
        <w:tc>
          <w:tcPr>
            <w:tcW w:w="600" w:type="dxa"/>
            <w:vAlign w:val="bottom"/>
            <w:tcBorders>
              <w:bottom w:val="single" w:sz="8" w:color="D7282F"/>
            </w:tcBorders>
          </w:tcPr>
          <w:p>
            <w:pPr>
              <w:spacing w:after="0"/>
              <w:rPr>
                <w:sz w:val="11"/>
                <w:szCs w:val="11"/>
                <w:color w:val="auto"/>
              </w:rPr>
            </w:pPr>
          </w:p>
        </w:tc>
      </w:tr>
      <w:tr>
        <w:trPr>
          <w:trHeight w:val="160"/>
        </w:trPr>
        <w:tc>
          <w:tcPr>
            <w:tcW w:w="8580" w:type="dxa"/>
            <w:vAlign w:val="bottom"/>
            <w:tcBorders>
              <w:bottom w:val="single" w:sz="8" w:color="D7282F"/>
            </w:tcBorders>
          </w:tcPr>
          <w:p>
            <w:pPr>
              <w:spacing w:after="0"/>
              <w:rPr>
                <w:sz w:val="13"/>
                <w:szCs w:val="13"/>
                <w:color w:val="auto"/>
              </w:rPr>
            </w:pPr>
          </w:p>
        </w:tc>
        <w:tc>
          <w:tcPr>
            <w:tcW w:w="5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2023</w:t>
            </w:r>
          </w:p>
        </w:tc>
        <w:tc>
          <w:tcPr>
            <w:tcW w:w="180" w:type="dxa"/>
            <w:vAlign w:val="bottom"/>
            <w:tcBorders>
              <w:bottom w:val="single" w:sz="8" w:color="D7282F"/>
            </w:tcBorders>
          </w:tcPr>
          <w:p>
            <w:pPr>
              <w:spacing w:after="0"/>
              <w:rPr>
                <w:sz w:val="13"/>
                <w:szCs w:val="13"/>
                <w:color w:val="auto"/>
              </w:rPr>
            </w:pPr>
          </w:p>
        </w:tc>
        <w:tc>
          <w:tcPr>
            <w:tcW w:w="42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2022</w:t>
            </w:r>
          </w:p>
        </w:tc>
        <w:tc>
          <w:tcPr>
            <w:tcW w:w="30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2021</w:t>
            </w:r>
          </w:p>
        </w:tc>
      </w:tr>
      <w:tr>
        <w:trPr>
          <w:trHeight w:val="122"/>
        </w:trPr>
        <w:tc>
          <w:tcPr>
            <w:tcW w:w="85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Compensation expense</w:t>
            </w:r>
          </w:p>
        </w:tc>
        <w:tc>
          <w:tcPr>
            <w:tcW w:w="540" w:type="dxa"/>
            <w:vAlign w:val="bottom"/>
            <w:tcBorders>
              <w:bottom w:val="single" w:sz="8" w:color="61656A"/>
            </w:tcBorders>
          </w:tcPr>
          <w:p>
            <w:pPr>
              <w:jc w:val="right"/>
              <w:ind w:right="432"/>
              <w:spacing w:after="0"/>
              <w:rPr>
                <w:sz w:val="20"/>
                <w:szCs w:val="20"/>
                <w:color w:val="auto"/>
              </w:rPr>
            </w:pPr>
            <w:r>
              <w:rPr>
                <w:rFonts w:ascii="Arial" w:cs="Arial" w:eastAsia="Arial" w:hAnsi="Arial"/>
                <w:sz w:val="10"/>
                <w:szCs w:val="10"/>
                <w:color w:val="auto"/>
                <w:w w:val="71"/>
              </w:rPr>
              <w:t>$</w:t>
            </w:r>
          </w:p>
        </w:tc>
        <w:tc>
          <w:tcPr>
            <w:tcW w:w="1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48</w:t>
            </w:r>
          </w:p>
        </w:tc>
        <w:tc>
          <w:tcPr>
            <w:tcW w:w="42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45</w:t>
            </w:r>
          </w:p>
        </w:tc>
        <w:tc>
          <w:tcPr>
            <w:tcW w:w="3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55</w:t>
            </w:r>
          </w:p>
        </w:tc>
      </w:tr>
      <w:tr>
        <w:trPr>
          <w:trHeight w:val="124"/>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Future income tax benefit recognized</w:t>
            </w:r>
          </w:p>
        </w:tc>
        <w:tc>
          <w:tcPr>
            <w:tcW w:w="54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11</w:t>
            </w:r>
          </w:p>
        </w:tc>
        <w:tc>
          <w:tcPr>
            <w:tcW w:w="42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10</w:t>
            </w:r>
          </w:p>
        </w:tc>
        <w:tc>
          <w:tcPr>
            <w:tcW w:w="30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11</w:t>
            </w:r>
          </w:p>
        </w:tc>
      </w:tr>
    </w:tbl>
    <w:p>
      <w:pPr>
        <w:spacing w:after="0" w:line="351" w:lineRule="exact"/>
        <w:rPr>
          <w:sz w:val="20"/>
          <w:szCs w:val="20"/>
          <w:color w:val="auto"/>
        </w:rPr>
      </w:pPr>
    </w:p>
    <w:p>
      <w:pPr>
        <w:ind w:left="268" w:hanging="268"/>
        <w:spacing w:after="0"/>
        <w:tabs>
          <w:tab w:leader="none" w:pos="268" w:val="left"/>
        </w:tabs>
        <w:numPr>
          <w:ilvl w:val="0"/>
          <w:numId w:val="128"/>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90" w:name="page91"/>
    <w:bookmarkEnd w:id="90"/>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sets forth fair value per share information, including related weighted average assumptions, used to determine compensation cost:</w:t>
      </w:r>
    </w:p>
    <w:p>
      <w:pPr>
        <w:spacing w:after="0" w:line="136"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8380" w:type="dxa"/>
            <w:vAlign w:val="bottom"/>
          </w:tcPr>
          <w:p>
            <w:pPr>
              <w:spacing w:after="0"/>
              <w:rPr>
                <w:sz w:val="11"/>
                <w:szCs w:val="11"/>
                <w:color w:val="auto"/>
              </w:rPr>
            </w:pPr>
          </w:p>
        </w:tc>
        <w:tc>
          <w:tcPr>
            <w:tcW w:w="180" w:type="dxa"/>
            <w:vAlign w:val="bottom"/>
            <w:tcBorders>
              <w:bottom w:val="single" w:sz="8" w:color="D7282F"/>
            </w:tcBorders>
          </w:tcPr>
          <w:p>
            <w:pPr>
              <w:spacing w:after="0"/>
              <w:rPr>
                <w:sz w:val="11"/>
                <w:szCs w:val="11"/>
                <w:color w:val="auto"/>
              </w:rPr>
            </w:pPr>
          </w:p>
        </w:tc>
        <w:tc>
          <w:tcPr>
            <w:tcW w:w="640" w:type="dxa"/>
            <w:vAlign w:val="bottom"/>
            <w:tcBorders>
              <w:bottom w:val="single" w:sz="8" w:color="D7282F"/>
            </w:tcBorders>
          </w:tcPr>
          <w:p>
            <w:pPr>
              <w:spacing w:after="0"/>
              <w:rPr>
                <w:sz w:val="11"/>
                <w:szCs w:val="11"/>
                <w:color w:val="auto"/>
              </w:rPr>
            </w:pPr>
          </w:p>
        </w:tc>
        <w:tc>
          <w:tcPr>
            <w:tcW w:w="1260" w:type="dxa"/>
            <w:vAlign w:val="bottom"/>
            <w:tcBorders>
              <w:bottom w:val="single" w:sz="8" w:color="D7282F"/>
            </w:tcBorders>
            <w:gridSpan w:val="2"/>
          </w:tcPr>
          <w:p>
            <w:pPr>
              <w:jc w:val="right"/>
              <w:spacing w:after="0"/>
              <w:rPr>
                <w:sz w:val="20"/>
                <w:szCs w:val="20"/>
                <w:color w:val="auto"/>
              </w:rPr>
            </w:pPr>
            <w:r>
              <w:rPr>
                <w:rFonts w:ascii="Arial" w:cs="Arial" w:eastAsia="Arial" w:hAnsi="Arial"/>
                <w:sz w:val="10"/>
                <w:szCs w:val="10"/>
                <w:b w:val="1"/>
                <w:bCs w:val="1"/>
                <w:color w:val="auto"/>
                <w:w w:val="94"/>
              </w:rPr>
              <w:t>Years Ended December 31,</w:t>
            </w:r>
          </w:p>
        </w:tc>
        <w:tc>
          <w:tcPr>
            <w:tcW w:w="180" w:type="dxa"/>
            <w:vAlign w:val="bottom"/>
            <w:tcBorders>
              <w:bottom w:val="single" w:sz="8" w:color="D7282F"/>
            </w:tcBorders>
          </w:tcPr>
          <w:p>
            <w:pPr>
              <w:spacing w:after="0"/>
              <w:rPr>
                <w:sz w:val="11"/>
                <w:szCs w:val="11"/>
                <w:color w:val="auto"/>
              </w:rPr>
            </w:pPr>
          </w:p>
        </w:tc>
        <w:tc>
          <w:tcPr>
            <w:tcW w:w="660" w:type="dxa"/>
            <w:vAlign w:val="bottom"/>
            <w:tcBorders>
              <w:bottom w:val="single" w:sz="8" w:color="D7282F"/>
            </w:tcBorders>
          </w:tcPr>
          <w:p>
            <w:pPr>
              <w:spacing w:after="0"/>
              <w:rPr>
                <w:sz w:val="11"/>
                <w:szCs w:val="11"/>
                <w:color w:val="auto"/>
              </w:rPr>
            </w:pPr>
          </w:p>
        </w:tc>
      </w:tr>
      <w:tr>
        <w:trPr>
          <w:trHeight w:val="151"/>
        </w:trPr>
        <w:tc>
          <w:tcPr>
            <w:tcW w:w="8380" w:type="dxa"/>
            <w:vAlign w:val="bottom"/>
            <w:tcBorders>
              <w:bottom w:val="single" w:sz="8" w:color="D7282F"/>
            </w:tcBorders>
          </w:tcPr>
          <w:p>
            <w:pPr>
              <w:spacing w:after="0"/>
              <w:rPr>
                <w:sz w:val="13"/>
                <w:szCs w:val="13"/>
                <w:color w:val="auto"/>
              </w:rPr>
            </w:pPr>
          </w:p>
        </w:tc>
        <w:tc>
          <w:tcPr>
            <w:tcW w:w="180" w:type="dxa"/>
            <w:vAlign w:val="bottom"/>
            <w:tcBorders>
              <w:bottom w:val="single" w:sz="8" w:color="D7282F"/>
            </w:tcBorders>
          </w:tcPr>
          <w:p>
            <w:pPr>
              <w:spacing w:after="0"/>
              <w:rPr>
                <w:sz w:val="13"/>
                <w:szCs w:val="13"/>
                <w:color w:val="auto"/>
              </w:rPr>
            </w:pPr>
          </w:p>
        </w:tc>
        <w:tc>
          <w:tcPr>
            <w:tcW w:w="640" w:type="dxa"/>
            <w:vAlign w:val="bottom"/>
            <w:tcBorders>
              <w:bottom w:val="single" w:sz="8" w:color="D7282F"/>
            </w:tcBorders>
          </w:tcPr>
          <w:p>
            <w:pPr>
              <w:jc w:val="right"/>
              <w:ind w:right="252"/>
              <w:spacing w:after="0"/>
              <w:rPr>
                <w:sz w:val="20"/>
                <w:szCs w:val="20"/>
                <w:color w:val="auto"/>
              </w:rPr>
            </w:pPr>
            <w:r>
              <w:rPr>
                <w:rFonts w:ascii="Arial" w:cs="Arial" w:eastAsia="Arial" w:hAnsi="Arial"/>
                <w:sz w:val="10"/>
                <w:szCs w:val="10"/>
                <w:b w:val="1"/>
                <w:bCs w:val="1"/>
                <w:color w:val="auto"/>
              </w:rPr>
              <w:t>2023</w:t>
            </w:r>
          </w:p>
        </w:tc>
        <w:tc>
          <w:tcPr>
            <w:tcW w:w="400" w:type="dxa"/>
            <w:vAlign w:val="bottom"/>
            <w:tcBorders>
              <w:bottom w:val="single" w:sz="8" w:color="D7282F"/>
            </w:tcBorders>
          </w:tcPr>
          <w:p>
            <w:pPr>
              <w:spacing w:after="0"/>
              <w:rPr>
                <w:sz w:val="13"/>
                <w:szCs w:val="13"/>
                <w:color w:val="auto"/>
              </w:rPr>
            </w:pPr>
          </w:p>
        </w:tc>
        <w:tc>
          <w:tcPr>
            <w:tcW w:w="860" w:type="dxa"/>
            <w:vAlign w:val="bottom"/>
            <w:tcBorders>
              <w:bottom w:val="single" w:sz="8" w:color="D7282F"/>
            </w:tcBorders>
          </w:tcPr>
          <w:p>
            <w:pPr>
              <w:jc w:val="right"/>
              <w:ind w:right="472"/>
              <w:spacing w:after="0"/>
              <w:rPr>
                <w:sz w:val="20"/>
                <w:szCs w:val="20"/>
                <w:color w:val="auto"/>
              </w:rPr>
            </w:pPr>
            <w:r>
              <w:rPr>
                <w:rFonts w:ascii="Arial" w:cs="Arial" w:eastAsia="Arial" w:hAnsi="Arial"/>
                <w:sz w:val="10"/>
                <w:szCs w:val="10"/>
                <w:b w:val="1"/>
                <w:bCs w:val="1"/>
                <w:color w:val="auto"/>
              </w:rPr>
              <w:t>2022</w:t>
            </w:r>
          </w:p>
        </w:tc>
        <w:tc>
          <w:tcPr>
            <w:tcW w:w="180" w:type="dxa"/>
            <w:vAlign w:val="bottom"/>
            <w:tcBorders>
              <w:bottom w:val="single" w:sz="8" w:color="D7282F"/>
            </w:tcBorders>
          </w:tcPr>
          <w:p>
            <w:pPr>
              <w:spacing w:after="0"/>
              <w:rPr>
                <w:sz w:val="13"/>
                <w:szCs w:val="13"/>
                <w:color w:val="auto"/>
              </w:rPr>
            </w:pPr>
          </w:p>
        </w:tc>
        <w:tc>
          <w:tcPr>
            <w:tcW w:w="66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rPr>
              <w:t>2021</w:t>
            </w:r>
          </w:p>
        </w:tc>
      </w:tr>
      <w:tr>
        <w:trPr>
          <w:trHeight w:val="122"/>
        </w:trPr>
        <w:tc>
          <w:tcPr>
            <w:tcW w:w="83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Weighted average fair value per share of options granted during the year</w:t>
            </w:r>
            <w:r>
              <w:rPr>
                <w:rFonts w:ascii="Arial" w:cs="Arial" w:eastAsia="Arial" w:hAnsi="Arial"/>
                <w:sz w:val="6"/>
                <w:szCs w:val="6"/>
                <w:color w:val="auto"/>
              </w:rPr>
              <w:t>1</w:t>
            </w:r>
          </w:p>
        </w:tc>
        <w:tc>
          <w:tcPr>
            <w:tcW w:w="1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38.84</w:t>
            </w:r>
          </w:p>
        </w:tc>
        <w:tc>
          <w:tcPr>
            <w:tcW w:w="4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61656A"/>
            </w:tcBorders>
          </w:tcPr>
          <w:p>
            <w:pPr>
              <w:jc w:val="right"/>
              <w:ind w:right="292"/>
              <w:spacing w:after="0"/>
              <w:rPr>
                <w:sz w:val="20"/>
                <w:szCs w:val="20"/>
                <w:color w:val="auto"/>
              </w:rPr>
            </w:pPr>
            <w:r>
              <w:rPr>
                <w:rFonts w:ascii="Arial" w:cs="Arial" w:eastAsia="Arial" w:hAnsi="Arial"/>
                <w:sz w:val="10"/>
                <w:szCs w:val="10"/>
                <w:color w:val="auto"/>
              </w:rPr>
              <w:t>31.22</w:t>
            </w:r>
          </w:p>
        </w:tc>
        <w:tc>
          <w:tcPr>
            <w:tcW w:w="1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32.42</w:t>
            </w:r>
          </w:p>
        </w:tc>
      </w:tr>
      <w:tr>
        <w:trPr>
          <w:trHeight w:val="124"/>
        </w:trPr>
        <w:tc>
          <w:tcPr>
            <w:tcW w:w="83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Assumptions</w:t>
            </w:r>
          </w:p>
        </w:tc>
        <w:tc>
          <w:tcPr>
            <w:tcW w:w="18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spacing w:after="0"/>
              <w:rPr>
                <w:sz w:val="10"/>
                <w:szCs w:val="10"/>
                <w:color w:val="auto"/>
              </w:rPr>
            </w:pPr>
          </w:p>
        </w:tc>
        <w:tc>
          <w:tcPr>
            <w:tcW w:w="40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spacing w:after="0"/>
              <w:rPr>
                <w:sz w:val="10"/>
                <w:szCs w:val="10"/>
                <w:color w:val="auto"/>
              </w:rPr>
            </w:pPr>
          </w:p>
        </w:tc>
        <w:tc>
          <w:tcPr>
            <w:tcW w:w="18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spacing w:after="0"/>
              <w:rPr>
                <w:sz w:val="10"/>
                <w:szCs w:val="10"/>
                <w:color w:val="auto"/>
              </w:rPr>
            </w:pPr>
          </w:p>
        </w:tc>
      </w:tr>
      <w:tr>
        <w:trPr>
          <w:trHeight w:val="124"/>
        </w:trPr>
        <w:tc>
          <w:tcPr>
            <w:tcW w:w="838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Expected annual dividend yield</w:t>
            </w:r>
          </w:p>
        </w:tc>
        <w:tc>
          <w:tcPr>
            <w:tcW w:w="18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2.50 %</w:t>
            </w:r>
          </w:p>
        </w:tc>
        <w:tc>
          <w:tcPr>
            <w:tcW w:w="40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jc w:val="right"/>
              <w:ind w:right="192"/>
              <w:spacing w:after="0"/>
              <w:rPr>
                <w:sz w:val="20"/>
                <w:szCs w:val="20"/>
                <w:color w:val="auto"/>
              </w:rPr>
            </w:pPr>
            <w:r>
              <w:rPr>
                <w:rFonts w:ascii="Arial" w:cs="Arial" w:eastAsia="Arial" w:hAnsi="Arial"/>
                <w:sz w:val="10"/>
                <w:szCs w:val="10"/>
                <w:color w:val="auto"/>
              </w:rPr>
              <w:t>2.58 %</w:t>
            </w:r>
          </w:p>
        </w:tc>
        <w:tc>
          <w:tcPr>
            <w:tcW w:w="18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2.31 %</w:t>
            </w:r>
          </w:p>
        </w:tc>
      </w:tr>
      <w:tr>
        <w:trPr>
          <w:trHeight w:val="124"/>
        </w:trPr>
        <w:tc>
          <w:tcPr>
            <w:tcW w:w="838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Expected volatility</w:t>
            </w:r>
          </w:p>
        </w:tc>
        <w:tc>
          <w:tcPr>
            <w:tcW w:w="18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22.42 %</w:t>
            </w:r>
          </w:p>
        </w:tc>
        <w:tc>
          <w:tcPr>
            <w:tcW w:w="40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jc w:val="right"/>
              <w:ind w:right="192"/>
              <w:spacing w:after="0"/>
              <w:rPr>
                <w:sz w:val="20"/>
                <w:szCs w:val="20"/>
                <w:color w:val="auto"/>
              </w:rPr>
            </w:pPr>
            <w:r>
              <w:rPr>
                <w:rFonts w:ascii="Arial" w:cs="Arial" w:eastAsia="Arial" w:hAnsi="Arial"/>
                <w:sz w:val="10"/>
                <w:szCs w:val="10"/>
                <w:color w:val="auto"/>
              </w:rPr>
              <w:t>23.05 %</w:t>
            </w:r>
          </w:p>
        </w:tc>
        <w:tc>
          <w:tcPr>
            <w:tcW w:w="18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24.69 %</w:t>
            </w:r>
          </w:p>
        </w:tc>
      </w:tr>
      <w:tr>
        <w:trPr>
          <w:trHeight w:val="124"/>
        </w:trPr>
        <w:tc>
          <w:tcPr>
            <w:tcW w:w="838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Risk-free rate of return</w:t>
            </w:r>
          </w:p>
        </w:tc>
        <w:tc>
          <w:tcPr>
            <w:tcW w:w="18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3.94 %</w:t>
            </w:r>
          </w:p>
        </w:tc>
        <w:tc>
          <w:tcPr>
            <w:tcW w:w="40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jc w:val="right"/>
              <w:ind w:right="192"/>
              <w:spacing w:after="0"/>
              <w:rPr>
                <w:sz w:val="20"/>
                <w:szCs w:val="20"/>
                <w:color w:val="auto"/>
              </w:rPr>
            </w:pPr>
            <w:r>
              <w:rPr>
                <w:rFonts w:ascii="Arial" w:cs="Arial" w:eastAsia="Arial" w:hAnsi="Arial"/>
                <w:sz w:val="10"/>
                <w:szCs w:val="10"/>
                <w:color w:val="auto"/>
              </w:rPr>
              <w:t>1.97 %</w:t>
            </w:r>
          </w:p>
        </w:tc>
        <w:tc>
          <w:tcPr>
            <w:tcW w:w="18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0.48 %</w:t>
            </w:r>
          </w:p>
        </w:tc>
      </w:tr>
      <w:tr>
        <w:trPr>
          <w:trHeight w:val="124"/>
        </w:trPr>
        <w:tc>
          <w:tcPr>
            <w:tcW w:w="83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Expected option term (years)</w:t>
            </w:r>
          </w:p>
        </w:tc>
        <w:tc>
          <w:tcPr>
            <w:tcW w:w="18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4.86</w:t>
            </w:r>
          </w:p>
        </w:tc>
        <w:tc>
          <w:tcPr>
            <w:tcW w:w="400" w:type="dxa"/>
            <w:vAlign w:val="bottom"/>
            <w:tcBorders>
              <w:bottom w:val="single" w:sz="8" w:color="D7282F"/>
            </w:tcBorders>
          </w:tcPr>
          <w:p>
            <w:pPr>
              <w:spacing w:after="0"/>
              <w:rPr>
                <w:sz w:val="10"/>
                <w:szCs w:val="10"/>
                <w:color w:val="auto"/>
              </w:rPr>
            </w:pPr>
          </w:p>
        </w:tc>
        <w:tc>
          <w:tcPr>
            <w:tcW w:w="86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4.74</w:t>
            </w:r>
          </w:p>
        </w:tc>
        <w:tc>
          <w:tcPr>
            <w:tcW w:w="18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4.54</w:t>
            </w:r>
          </w:p>
        </w:tc>
      </w:tr>
    </w:tbl>
    <w:p>
      <w:pPr>
        <w:spacing w:after="0" w:line="78" w:lineRule="exact"/>
        <w:rPr>
          <w:sz w:val="20"/>
          <w:szCs w:val="20"/>
          <w:color w:val="auto"/>
        </w:rPr>
      </w:pPr>
    </w:p>
    <w:p>
      <w:pPr>
        <w:ind w:left="428" w:hanging="280"/>
        <w:spacing w:after="0"/>
        <w:tabs>
          <w:tab w:leader="none" w:pos="428" w:val="left"/>
        </w:tabs>
        <w:numPr>
          <w:ilvl w:val="0"/>
          <w:numId w:val="129"/>
        </w:numPr>
        <w:rPr>
          <w:rFonts w:ascii="Arial" w:cs="Arial" w:eastAsia="Arial" w:hAnsi="Arial"/>
          <w:sz w:val="8"/>
          <w:szCs w:val="8"/>
          <w:color w:val="auto"/>
        </w:rPr>
      </w:pPr>
      <w:r>
        <w:rPr>
          <w:rFonts w:ascii="Arial" w:cs="Arial" w:eastAsia="Arial" w:hAnsi="Arial"/>
          <w:sz w:val="8"/>
          <w:szCs w:val="8"/>
          <w:color w:val="auto"/>
        </w:rPr>
        <w:t>Estimated on date of grant using Black-Scholes option-pricing model.</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summarizes information about stock option activity for the three years ended December 31, 2023:</w:t>
      </w:r>
    </w:p>
    <w:p>
      <w:pPr>
        <w:spacing w:after="0" w:line="84"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8900" w:type="dxa"/>
            <w:vAlign w:val="bottom"/>
          </w:tcPr>
          <w:p>
            <w:pPr>
              <w:ind w:left="8400"/>
              <w:spacing w:after="0"/>
              <w:rPr>
                <w:sz w:val="20"/>
                <w:szCs w:val="20"/>
                <w:color w:val="auto"/>
              </w:rPr>
            </w:pPr>
            <w:r>
              <w:rPr>
                <w:rFonts w:ascii="Arial" w:cs="Arial" w:eastAsia="Arial" w:hAnsi="Arial"/>
                <w:sz w:val="10"/>
                <w:szCs w:val="10"/>
                <w:b w:val="1"/>
                <w:bCs w:val="1"/>
                <w:color w:val="auto"/>
                <w:w w:val="95"/>
              </w:rPr>
              <w:t>Number of</w:t>
            </w: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tcPr>
          <w:p>
            <w:pPr>
              <w:jc w:val="right"/>
              <w:ind w:right="352"/>
              <w:spacing w:after="0"/>
              <w:rPr>
                <w:sz w:val="20"/>
                <w:szCs w:val="20"/>
                <w:color w:val="auto"/>
              </w:rPr>
            </w:pPr>
            <w:r>
              <w:rPr>
                <w:rFonts w:ascii="Arial" w:cs="Arial" w:eastAsia="Arial" w:hAnsi="Arial"/>
                <w:sz w:val="10"/>
                <w:szCs w:val="10"/>
                <w:b w:val="1"/>
                <w:bCs w:val="1"/>
                <w:color w:val="auto"/>
              </w:rPr>
              <w:t>Weighted Average</w:t>
            </w:r>
          </w:p>
        </w:tc>
      </w:tr>
      <w:tr>
        <w:trPr>
          <w:trHeight w:val="124"/>
        </w:trPr>
        <w:tc>
          <w:tcPr>
            <w:tcW w:w="8900" w:type="dxa"/>
            <w:vAlign w:val="bottom"/>
            <w:tcBorders>
              <w:bottom w:val="single" w:sz="8" w:color="D7282F"/>
            </w:tcBorders>
          </w:tcPr>
          <w:p>
            <w:pPr>
              <w:ind w:left="8460"/>
              <w:spacing w:after="0"/>
              <w:rPr>
                <w:sz w:val="20"/>
                <w:szCs w:val="20"/>
                <w:color w:val="auto"/>
              </w:rPr>
            </w:pPr>
            <w:r>
              <w:rPr>
                <w:rFonts w:ascii="Arial" w:cs="Arial" w:eastAsia="Arial" w:hAnsi="Arial"/>
                <w:sz w:val="10"/>
                <w:szCs w:val="10"/>
                <w:b w:val="1"/>
                <w:bCs w:val="1"/>
                <w:color w:val="auto"/>
              </w:rPr>
              <w:t>Options</w:t>
            </w:r>
          </w:p>
        </w:tc>
        <w:tc>
          <w:tcPr>
            <w:tcW w:w="66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spacing w:after="0"/>
              <w:rPr>
                <w:sz w:val="10"/>
                <w:szCs w:val="10"/>
                <w:color w:val="auto"/>
              </w:rPr>
            </w:pPr>
          </w:p>
        </w:tc>
        <w:tc>
          <w:tcPr>
            <w:tcW w:w="1400" w:type="dxa"/>
            <w:vAlign w:val="bottom"/>
            <w:tcBorders>
              <w:bottom w:val="single" w:sz="8" w:color="D7282F"/>
            </w:tcBorders>
          </w:tcPr>
          <w:p>
            <w:pPr>
              <w:jc w:val="right"/>
              <w:ind w:right="452"/>
              <w:spacing w:after="0"/>
              <w:rPr>
                <w:sz w:val="20"/>
                <w:szCs w:val="20"/>
                <w:color w:val="auto"/>
              </w:rPr>
            </w:pPr>
            <w:r>
              <w:rPr>
                <w:rFonts w:ascii="Arial" w:cs="Arial" w:eastAsia="Arial" w:hAnsi="Arial"/>
                <w:sz w:val="10"/>
                <w:szCs w:val="10"/>
                <w:b w:val="1"/>
                <w:bCs w:val="1"/>
                <w:color w:val="auto"/>
              </w:rPr>
              <w:t>Exercise Price</w:t>
            </w:r>
          </w:p>
        </w:tc>
      </w:tr>
      <w:tr>
        <w:trPr>
          <w:trHeight w:val="123"/>
        </w:trPr>
        <w:tc>
          <w:tcPr>
            <w:tcW w:w="890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Outstanding at December 31, 2020</w:t>
            </w:r>
          </w:p>
        </w:tc>
        <w:tc>
          <w:tcPr>
            <w:tcW w:w="6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w w:val="95"/>
              </w:rPr>
              <w:t>16,568,529</w:t>
            </w:r>
          </w:p>
        </w:tc>
        <w:tc>
          <w:tcPr>
            <w:tcW w:w="3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14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125.75</w:t>
            </w:r>
          </w:p>
        </w:tc>
      </w:tr>
      <w:tr>
        <w:trPr>
          <w:trHeight w:val="122"/>
        </w:trPr>
        <w:tc>
          <w:tcPr>
            <w:tcW w:w="89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Granted</w:t>
            </w:r>
          </w:p>
        </w:tc>
        <w:tc>
          <w:tcPr>
            <w:tcW w:w="66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2,065,574</w:t>
            </w:r>
          </w:p>
        </w:tc>
        <w:tc>
          <w:tcPr>
            <w:tcW w:w="340" w:type="dxa"/>
            <w:vAlign w:val="bottom"/>
            <w:tcBorders>
              <w:bottom w:val="single" w:sz="8" w:color="61656A"/>
            </w:tcBorders>
          </w:tcPr>
          <w:p>
            <w:pPr>
              <w:spacing w:after="0"/>
              <w:rPr>
                <w:sz w:val="10"/>
                <w:szCs w:val="10"/>
                <w:color w:val="auto"/>
              </w:rPr>
            </w:pPr>
          </w:p>
        </w:tc>
        <w:tc>
          <w:tcPr>
            <w:tcW w:w="14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204.99</w:t>
            </w:r>
          </w:p>
        </w:tc>
      </w:tr>
      <w:tr>
        <w:trPr>
          <w:trHeight w:val="124"/>
        </w:trPr>
        <w:tc>
          <w:tcPr>
            <w:tcW w:w="89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Exercised</w:t>
            </w:r>
          </w:p>
        </w:tc>
        <w:tc>
          <w:tcPr>
            <w:tcW w:w="6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(2,016,489)</w:t>
            </w:r>
          </w:p>
        </w:tc>
        <w:tc>
          <w:tcPr>
            <w:tcW w:w="340" w:type="dxa"/>
            <w:vAlign w:val="bottom"/>
            <w:tcBorders>
              <w:bottom w:val="single" w:sz="8" w:color="61656A"/>
            </w:tcBorders>
          </w:tcPr>
          <w:p>
            <w:pPr>
              <w:spacing w:after="0"/>
              <w:rPr>
                <w:sz w:val="10"/>
                <w:szCs w:val="10"/>
                <w:color w:val="auto"/>
              </w:rPr>
            </w:pPr>
          </w:p>
        </w:tc>
        <w:tc>
          <w:tcPr>
            <w:tcW w:w="14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113.01</w:t>
            </w:r>
          </w:p>
        </w:tc>
      </w:tr>
      <w:tr>
        <w:trPr>
          <w:trHeight w:val="124"/>
        </w:trPr>
        <w:tc>
          <w:tcPr>
            <w:tcW w:w="890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Lapsed or canceled</w:t>
            </w:r>
          </w:p>
        </w:tc>
        <w:tc>
          <w:tcPr>
            <w:tcW w:w="6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(764,675)</w:t>
            </w:r>
          </w:p>
        </w:tc>
        <w:tc>
          <w:tcPr>
            <w:tcW w:w="340" w:type="dxa"/>
            <w:vAlign w:val="bottom"/>
            <w:tcBorders>
              <w:bottom w:val="single" w:sz="8" w:color="D7282F"/>
            </w:tcBorders>
          </w:tcPr>
          <w:p>
            <w:pPr>
              <w:spacing w:after="0"/>
              <w:rPr>
                <w:sz w:val="10"/>
                <w:szCs w:val="10"/>
                <w:color w:val="auto"/>
              </w:rPr>
            </w:pPr>
          </w:p>
        </w:tc>
        <w:tc>
          <w:tcPr>
            <w:tcW w:w="14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175.42</w:t>
            </w:r>
          </w:p>
        </w:tc>
      </w:tr>
      <w:tr>
        <w:trPr>
          <w:trHeight w:val="126"/>
        </w:trPr>
        <w:tc>
          <w:tcPr>
            <w:tcW w:w="890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Outstanding at December 31, 2021</w:t>
            </w:r>
          </w:p>
        </w:tc>
        <w:tc>
          <w:tcPr>
            <w:tcW w:w="6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w w:val="95"/>
              </w:rPr>
              <w:t>15,852,939</w:t>
            </w:r>
          </w:p>
        </w:tc>
        <w:tc>
          <w:tcPr>
            <w:tcW w:w="340" w:type="dxa"/>
            <w:vAlign w:val="bottom"/>
            <w:tcBorders>
              <w:bottom w:val="single" w:sz="8" w:color="D7282F"/>
            </w:tcBorders>
          </w:tcPr>
          <w:p>
            <w:pPr>
              <w:spacing w:after="0"/>
              <w:rPr>
                <w:sz w:val="10"/>
                <w:szCs w:val="10"/>
                <w:color w:val="auto"/>
              </w:rPr>
            </w:pPr>
          </w:p>
        </w:tc>
        <w:tc>
          <w:tcPr>
            <w:tcW w:w="14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135.31</w:t>
            </w:r>
          </w:p>
        </w:tc>
      </w:tr>
      <w:tr>
        <w:trPr>
          <w:trHeight w:val="122"/>
        </w:trPr>
        <w:tc>
          <w:tcPr>
            <w:tcW w:w="89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Granted</w:t>
            </w:r>
          </w:p>
        </w:tc>
        <w:tc>
          <w:tcPr>
            <w:tcW w:w="66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2,150,910</w:t>
            </w:r>
          </w:p>
        </w:tc>
        <w:tc>
          <w:tcPr>
            <w:tcW w:w="340" w:type="dxa"/>
            <w:vAlign w:val="bottom"/>
            <w:tcBorders>
              <w:bottom w:val="single" w:sz="8" w:color="61656A"/>
            </w:tcBorders>
          </w:tcPr>
          <w:p>
            <w:pPr>
              <w:spacing w:after="0"/>
              <w:rPr>
                <w:sz w:val="10"/>
                <w:szCs w:val="10"/>
                <w:color w:val="auto"/>
              </w:rPr>
            </w:pPr>
          </w:p>
        </w:tc>
        <w:tc>
          <w:tcPr>
            <w:tcW w:w="14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189.53</w:t>
            </w:r>
          </w:p>
        </w:tc>
      </w:tr>
      <w:tr>
        <w:trPr>
          <w:trHeight w:val="124"/>
        </w:trPr>
        <w:tc>
          <w:tcPr>
            <w:tcW w:w="89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Exercised</w:t>
            </w:r>
          </w:p>
        </w:tc>
        <w:tc>
          <w:tcPr>
            <w:tcW w:w="6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(3,046,107)</w:t>
            </w:r>
          </w:p>
        </w:tc>
        <w:tc>
          <w:tcPr>
            <w:tcW w:w="340" w:type="dxa"/>
            <w:vAlign w:val="bottom"/>
            <w:tcBorders>
              <w:bottom w:val="single" w:sz="8" w:color="61656A"/>
            </w:tcBorders>
          </w:tcPr>
          <w:p>
            <w:pPr>
              <w:spacing w:after="0"/>
              <w:rPr>
                <w:sz w:val="10"/>
                <w:szCs w:val="10"/>
                <w:color w:val="auto"/>
              </w:rPr>
            </w:pPr>
          </w:p>
        </w:tc>
        <w:tc>
          <w:tcPr>
            <w:tcW w:w="14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103.89</w:t>
            </w:r>
          </w:p>
        </w:tc>
      </w:tr>
      <w:tr>
        <w:trPr>
          <w:trHeight w:val="124"/>
        </w:trPr>
        <w:tc>
          <w:tcPr>
            <w:tcW w:w="890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Lapsed or canceled</w:t>
            </w:r>
          </w:p>
        </w:tc>
        <w:tc>
          <w:tcPr>
            <w:tcW w:w="6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(905,454)</w:t>
            </w:r>
          </w:p>
        </w:tc>
        <w:tc>
          <w:tcPr>
            <w:tcW w:w="340" w:type="dxa"/>
            <w:vAlign w:val="bottom"/>
            <w:tcBorders>
              <w:bottom w:val="single" w:sz="8" w:color="D7282F"/>
            </w:tcBorders>
          </w:tcPr>
          <w:p>
            <w:pPr>
              <w:spacing w:after="0"/>
              <w:rPr>
                <w:sz w:val="10"/>
                <w:szCs w:val="10"/>
                <w:color w:val="auto"/>
              </w:rPr>
            </w:pPr>
          </w:p>
        </w:tc>
        <w:tc>
          <w:tcPr>
            <w:tcW w:w="14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186.35</w:t>
            </w:r>
          </w:p>
        </w:tc>
      </w:tr>
      <w:tr>
        <w:trPr>
          <w:trHeight w:val="126"/>
        </w:trPr>
        <w:tc>
          <w:tcPr>
            <w:tcW w:w="890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Outstanding at December 31, 2022</w:t>
            </w:r>
          </w:p>
        </w:tc>
        <w:tc>
          <w:tcPr>
            <w:tcW w:w="6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w w:val="95"/>
              </w:rPr>
              <w:t>14,052,288</w:t>
            </w:r>
          </w:p>
        </w:tc>
        <w:tc>
          <w:tcPr>
            <w:tcW w:w="340" w:type="dxa"/>
            <w:vAlign w:val="bottom"/>
            <w:tcBorders>
              <w:bottom w:val="single" w:sz="8" w:color="D7282F"/>
            </w:tcBorders>
          </w:tcPr>
          <w:p>
            <w:pPr>
              <w:spacing w:after="0"/>
              <w:rPr>
                <w:sz w:val="10"/>
                <w:szCs w:val="10"/>
                <w:color w:val="auto"/>
              </w:rPr>
            </w:pPr>
          </w:p>
        </w:tc>
        <w:tc>
          <w:tcPr>
            <w:tcW w:w="14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147.14</w:t>
            </w:r>
          </w:p>
        </w:tc>
      </w:tr>
      <w:tr>
        <w:trPr>
          <w:trHeight w:val="122"/>
        </w:trPr>
        <w:tc>
          <w:tcPr>
            <w:tcW w:w="89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Granted</w:t>
            </w:r>
          </w:p>
        </w:tc>
        <w:tc>
          <w:tcPr>
            <w:tcW w:w="66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1,573,520</w:t>
            </w:r>
          </w:p>
        </w:tc>
        <w:tc>
          <w:tcPr>
            <w:tcW w:w="340" w:type="dxa"/>
            <w:vAlign w:val="bottom"/>
            <w:tcBorders>
              <w:bottom w:val="single" w:sz="8" w:color="61656A"/>
            </w:tcBorders>
          </w:tcPr>
          <w:p>
            <w:pPr>
              <w:spacing w:after="0"/>
              <w:rPr>
                <w:sz w:val="10"/>
                <w:szCs w:val="10"/>
                <w:color w:val="auto"/>
              </w:rPr>
            </w:pPr>
          </w:p>
        </w:tc>
        <w:tc>
          <w:tcPr>
            <w:tcW w:w="14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195.27</w:t>
            </w:r>
          </w:p>
        </w:tc>
      </w:tr>
      <w:tr>
        <w:trPr>
          <w:trHeight w:val="124"/>
        </w:trPr>
        <w:tc>
          <w:tcPr>
            <w:tcW w:w="89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Exercised</w:t>
            </w:r>
          </w:p>
        </w:tc>
        <w:tc>
          <w:tcPr>
            <w:tcW w:w="6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(1,640,952)</w:t>
            </w:r>
          </w:p>
        </w:tc>
        <w:tc>
          <w:tcPr>
            <w:tcW w:w="340" w:type="dxa"/>
            <w:vAlign w:val="bottom"/>
            <w:tcBorders>
              <w:bottom w:val="single" w:sz="8" w:color="61656A"/>
            </w:tcBorders>
          </w:tcPr>
          <w:p>
            <w:pPr>
              <w:spacing w:after="0"/>
              <w:rPr>
                <w:sz w:val="10"/>
                <w:szCs w:val="10"/>
                <w:color w:val="auto"/>
              </w:rPr>
            </w:pPr>
          </w:p>
        </w:tc>
        <w:tc>
          <w:tcPr>
            <w:tcW w:w="14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123.12</w:t>
            </w:r>
          </w:p>
        </w:tc>
      </w:tr>
      <w:tr>
        <w:trPr>
          <w:trHeight w:val="124"/>
        </w:trPr>
        <w:tc>
          <w:tcPr>
            <w:tcW w:w="890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Lapsed or canceled</w:t>
            </w:r>
          </w:p>
        </w:tc>
        <w:tc>
          <w:tcPr>
            <w:tcW w:w="6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(548,842)</w:t>
            </w:r>
          </w:p>
        </w:tc>
        <w:tc>
          <w:tcPr>
            <w:tcW w:w="340" w:type="dxa"/>
            <w:vAlign w:val="bottom"/>
            <w:tcBorders>
              <w:bottom w:val="single" w:sz="8" w:color="D7282F"/>
            </w:tcBorders>
          </w:tcPr>
          <w:p>
            <w:pPr>
              <w:spacing w:after="0"/>
              <w:rPr>
                <w:sz w:val="10"/>
                <w:szCs w:val="10"/>
                <w:color w:val="auto"/>
              </w:rPr>
            </w:pPr>
          </w:p>
        </w:tc>
        <w:tc>
          <w:tcPr>
            <w:tcW w:w="14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192.22</w:t>
            </w:r>
          </w:p>
        </w:tc>
      </w:tr>
      <w:tr>
        <w:trPr>
          <w:trHeight w:val="126"/>
        </w:trPr>
        <w:tc>
          <w:tcPr>
            <w:tcW w:w="890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Outstanding at December 31, 2023</w:t>
            </w:r>
          </w:p>
        </w:tc>
        <w:tc>
          <w:tcPr>
            <w:tcW w:w="6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w w:val="95"/>
              </w:rPr>
              <w:t>13,436,014</w:t>
            </w:r>
          </w:p>
        </w:tc>
        <w:tc>
          <w:tcPr>
            <w:tcW w:w="3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14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153.86</w:t>
            </w:r>
          </w:p>
        </w:tc>
      </w:tr>
      <w:tr>
        <w:trPr>
          <w:trHeight w:val="125"/>
        </w:trPr>
        <w:tc>
          <w:tcPr>
            <w:tcW w:w="8900" w:type="dxa"/>
            <w:vAlign w:val="bottom"/>
            <w:tcBorders>
              <w:bottom w:val="single" w:sz="8" w:color="D7282F"/>
            </w:tcBorders>
          </w:tcPr>
          <w:p>
            <w:pPr>
              <w:spacing w:after="0" w:line="125" w:lineRule="exact"/>
              <w:rPr>
                <w:sz w:val="20"/>
                <w:szCs w:val="20"/>
                <w:color w:val="auto"/>
              </w:rPr>
            </w:pPr>
            <w:r>
              <w:rPr>
                <w:rFonts w:ascii="Arial" w:cs="Arial" w:eastAsia="Arial" w:hAnsi="Arial"/>
                <w:sz w:val="10"/>
                <w:szCs w:val="10"/>
                <w:b w:val="1"/>
                <w:bCs w:val="1"/>
                <w:color w:val="auto"/>
              </w:rPr>
              <w:t>Vested and expected to vest at December 31, 2023</w:t>
            </w:r>
            <w:r>
              <w:rPr>
                <w:rFonts w:ascii="Arial" w:cs="Arial" w:eastAsia="Arial" w:hAnsi="Arial"/>
                <w:sz w:val="12"/>
                <w:szCs w:val="12"/>
                <w:b w:val="1"/>
                <w:bCs w:val="1"/>
                <w:color w:val="auto"/>
                <w:vertAlign w:val="superscript"/>
              </w:rPr>
              <w:t>1</w:t>
            </w:r>
          </w:p>
        </w:tc>
        <w:tc>
          <w:tcPr>
            <w:tcW w:w="6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w w:val="95"/>
              </w:rPr>
              <w:t>12,420,005</w:t>
            </w:r>
          </w:p>
        </w:tc>
        <w:tc>
          <w:tcPr>
            <w:tcW w:w="3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14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150.58</w:t>
            </w:r>
          </w:p>
        </w:tc>
      </w:tr>
      <w:tr>
        <w:trPr>
          <w:trHeight w:val="123"/>
        </w:trPr>
        <w:tc>
          <w:tcPr>
            <w:tcW w:w="890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Exercisable at December 31, 2023</w:t>
            </w:r>
          </w:p>
        </w:tc>
        <w:tc>
          <w:tcPr>
            <w:tcW w:w="6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9,593,986</w:t>
            </w:r>
          </w:p>
        </w:tc>
        <w:tc>
          <w:tcPr>
            <w:tcW w:w="3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14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138.24</w:t>
            </w:r>
          </w:p>
        </w:tc>
      </w:tr>
    </w:tbl>
    <w:p>
      <w:pPr>
        <w:spacing w:after="0" w:line="11" w:lineRule="exact"/>
        <w:rPr>
          <w:sz w:val="20"/>
          <w:szCs w:val="20"/>
          <w:color w:val="auto"/>
        </w:rPr>
      </w:pPr>
    </w:p>
    <w:p>
      <w:pPr>
        <w:ind w:left="428" w:hanging="280"/>
        <w:spacing w:after="0"/>
        <w:tabs>
          <w:tab w:leader="none" w:pos="428" w:val="left"/>
        </w:tabs>
        <w:numPr>
          <w:ilvl w:val="0"/>
          <w:numId w:val="130"/>
        </w:numPr>
        <w:rPr>
          <w:rFonts w:ascii="Arial" w:cs="Arial" w:eastAsia="Arial" w:hAnsi="Arial"/>
          <w:sz w:val="17"/>
          <w:szCs w:val="17"/>
          <w:color w:val="auto"/>
          <w:vertAlign w:val="superscript"/>
        </w:rPr>
      </w:pPr>
      <w:r>
        <w:rPr>
          <w:rFonts w:ascii="Arial" w:cs="Arial" w:eastAsia="Arial" w:hAnsi="Arial"/>
          <w:sz w:val="8"/>
          <w:szCs w:val="8"/>
          <w:color w:val="auto"/>
        </w:rPr>
        <w:t>Represents the sum of vested options of 9.6 million and expected to vest options of 2.8 million. Expected to vest options are derived by applying the pre-vesting forfeiture rate assumption to total outstanding unvested options of 3.8 million.</w:t>
      </w:r>
    </w:p>
    <w:p>
      <w:pPr>
        <w:spacing w:after="0" w:line="361" w:lineRule="exact"/>
        <w:rPr>
          <w:sz w:val="20"/>
          <w:szCs w:val="20"/>
          <w:color w:val="auto"/>
        </w:rPr>
      </w:pPr>
    </w:p>
    <w:p>
      <w:pPr>
        <w:ind w:left="268" w:hanging="268"/>
        <w:spacing w:after="0"/>
        <w:tabs>
          <w:tab w:leader="none" w:pos="268" w:val="left"/>
        </w:tabs>
        <w:numPr>
          <w:ilvl w:val="0"/>
          <w:numId w:val="131"/>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91" w:name="page92"/>
    <w:bookmarkEnd w:id="91"/>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summarizes information about stock options outstanding and exercisable at December 31, 2023:</w:t>
      </w:r>
    </w:p>
    <w:p>
      <w:pPr>
        <w:spacing w:after="0" w:line="109"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2880" w:type="dxa"/>
            <w:vAlign w:val="bottom"/>
          </w:tcPr>
          <w:p>
            <w:pPr>
              <w:spacing w:after="0"/>
              <w:rPr>
                <w:sz w:val="11"/>
                <w:szCs w:val="11"/>
                <w:color w:val="auto"/>
              </w:rPr>
            </w:pPr>
          </w:p>
        </w:tc>
        <w:tc>
          <w:tcPr>
            <w:tcW w:w="1340" w:type="dxa"/>
            <w:vAlign w:val="bottom"/>
            <w:tcBorders>
              <w:bottom w:val="single" w:sz="8" w:color="D7282F"/>
            </w:tcBorders>
          </w:tcPr>
          <w:p>
            <w:pPr>
              <w:spacing w:after="0"/>
              <w:rPr>
                <w:sz w:val="11"/>
                <w:szCs w:val="11"/>
                <w:color w:val="auto"/>
              </w:rPr>
            </w:pPr>
          </w:p>
        </w:tc>
        <w:tc>
          <w:tcPr>
            <w:tcW w:w="2160" w:type="dxa"/>
            <w:vAlign w:val="bottom"/>
            <w:tcBorders>
              <w:bottom w:val="single" w:sz="8" w:color="D7282F"/>
            </w:tcBorders>
            <w:gridSpan w:val="3"/>
          </w:tcPr>
          <w:p>
            <w:pPr>
              <w:jc w:val="right"/>
              <w:ind w:right="672"/>
              <w:spacing w:after="0"/>
              <w:rPr>
                <w:sz w:val="20"/>
                <w:szCs w:val="20"/>
                <w:color w:val="auto"/>
              </w:rPr>
            </w:pPr>
            <w:r>
              <w:rPr>
                <w:rFonts w:ascii="Arial" w:cs="Arial" w:eastAsia="Arial" w:hAnsi="Arial"/>
                <w:sz w:val="10"/>
                <w:szCs w:val="10"/>
                <w:b w:val="1"/>
                <w:bCs w:val="1"/>
                <w:color w:val="auto"/>
              </w:rPr>
              <w:t>Options Outstanding</w:t>
            </w:r>
          </w:p>
        </w:tc>
        <w:tc>
          <w:tcPr>
            <w:tcW w:w="280" w:type="dxa"/>
            <w:vAlign w:val="bottom"/>
            <w:tcBorders>
              <w:bottom w:val="single" w:sz="8" w:color="D7282F"/>
            </w:tcBorders>
          </w:tcPr>
          <w:p>
            <w:pPr>
              <w:spacing w:after="0"/>
              <w:rPr>
                <w:sz w:val="11"/>
                <w:szCs w:val="11"/>
                <w:color w:val="auto"/>
              </w:rPr>
            </w:pPr>
          </w:p>
        </w:tc>
        <w:tc>
          <w:tcPr>
            <w:tcW w:w="820" w:type="dxa"/>
            <w:vAlign w:val="bottom"/>
            <w:tcBorders>
              <w:bottom w:val="single" w:sz="8" w:color="D7282F"/>
            </w:tcBorders>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Borders>
              <w:bottom w:val="single" w:sz="8" w:color="D7282F"/>
            </w:tcBorders>
          </w:tcPr>
          <w:p>
            <w:pPr>
              <w:spacing w:after="0"/>
              <w:rPr>
                <w:sz w:val="11"/>
                <w:szCs w:val="11"/>
                <w:color w:val="auto"/>
              </w:rPr>
            </w:pPr>
          </w:p>
        </w:tc>
        <w:tc>
          <w:tcPr>
            <w:tcW w:w="1140" w:type="dxa"/>
            <w:vAlign w:val="bottom"/>
            <w:tcBorders>
              <w:bottom w:val="single" w:sz="8" w:color="D7282F"/>
            </w:tcBorders>
            <w:gridSpan w:val="2"/>
          </w:tcPr>
          <w:p>
            <w:pPr>
              <w:jc w:val="right"/>
              <w:ind w:right="92"/>
              <w:spacing w:after="0"/>
              <w:rPr>
                <w:sz w:val="20"/>
                <w:szCs w:val="20"/>
                <w:color w:val="auto"/>
              </w:rPr>
            </w:pPr>
            <w:r>
              <w:rPr>
                <w:rFonts w:ascii="Arial" w:cs="Arial" w:eastAsia="Arial" w:hAnsi="Arial"/>
                <w:sz w:val="10"/>
                <w:szCs w:val="10"/>
                <w:b w:val="1"/>
                <w:bCs w:val="1"/>
                <w:color w:val="auto"/>
              </w:rPr>
              <w:t>Options Exercisable</w:t>
            </w:r>
          </w:p>
        </w:tc>
        <w:tc>
          <w:tcPr>
            <w:tcW w:w="300" w:type="dxa"/>
            <w:vAlign w:val="bottom"/>
            <w:tcBorders>
              <w:bottom w:val="single" w:sz="8" w:color="D7282F"/>
            </w:tcBorders>
          </w:tcPr>
          <w:p>
            <w:pPr>
              <w:spacing w:after="0"/>
              <w:rPr>
                <w:sz w:val="11"/>
                <w:szCs w:val="11"/>
                <w:color w:val="auto"/>
              </w:rPr>
            </w:pPr>
          </w:p>
        </w:tc>
        <w:tc>
          <w:tcPr>
            <w:tcW w:w="880" w:type="dxa"/>
            <w:vAlign w:val="bottom"/>
            <w:tcBorders>
              <w:bottom w:val="single" w:sz="8" w:color="D7282F"/>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28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ind w:right="132"/>
              <w:spacing w:after="0"/>
              <w:rPr>
                <w:sz w:val="20"/>
                <w:szCs w:val="20"/>
                <w:color w:val="auto"/>
              </w:rPr>
            </w:pPr>
            <w:r>
              <w:rPr>
                <w:rFonts w:ascii="Arial" w:cs="Arial" w:eastAsia="Arial" w:hAnsi="Arial"/>
                <w:sz w:val="10"/>
                <w:szCs w:val="10"/>
                <w:b w:val="1"/>
                <w:bCs w:val="1"/>
                <w:color w:val="auto"/>
                <w:w w:val="97"/>
              </w:rPr>
              <w:t>Weighted</w:t>
            </w:r>
          </w:p>
        </w:tc>
        <w:tc>
          <w:tcPr>
            <w:tcW w:w="280" w:type="dxa"/>
            <w:vAlign w:val="bottom"/>
          </w:tcPr>
          <w:p>
            <w:pPr>
              <w:spacing w:after="0"/>
              <w:rPr>
                <w:sz w:val="20"/>
                <w:szCs w:val="20"/>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0"/>
                <w:szCs w:val="10"/>
                <w:b w:val="1"/>
                <w:bCs w:val="1"/>
                <w:color w:val="auto"/>
                <w:w w:val="96"/>
              </w:rPr>
              <w:t>Aggregate</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center"/>
              <w:ind w:right="112"/>
              <w:spacing w:after="0"/>
              <w:rPr>
                <w:sz w:val="20"/>
                <w:szCs w:val="20"/>
                <w:color w:val="auto"/>
              </w:rPr>
            </w:pPr>
            <w:r>
              <w:rPr>
                <w:rFonts w:ascii="Arial" w:cs="Arial" w:eastAsia="Arial" w:hAnsi="Arial"/>
                <w:sz w:val="10"/>
                <w:szCs w:val="10"/>
                <w:b w:val="1"/>
                <w:bCs w:val="1"/>
                <w:color w:val="auto"/>
                <w:w w:val="93"/>
              </w:rPr>
              <w:t>Weighted</w:t>
            </w:r>
          </w:p>
        </w:tc>
        <w:tc>
          <w:tcPr>
            <w:tcW w:w="300" w:type="dxa"/>
            <w:vAlign w:val="bottom"/>
          </w:tcPr>
          <w:p>
            <w:pPr>
              <w:spacing w:after="0"/>
              <w:rPr>
                <w:sz w:val="20"/>
                <w:szCs w:val="20"/>
                <w:color w:val="auto"/>
              </w:rPr>
            </w:pPr>
          </w:p>
        </w:tc>
        <w:tc>
          <w:tcPr>
            <w:tcW w:w="880" w:type="dxa"/>
            <w:vAlign w:val="bottom"/>
            <w:vMerge w:val="restart"/>
          </w:tcPr>
          <w:p>
            <w:pPr>
              <w:jc w:val="center"/>
              <w:ind w:right="112"/>
              <w:spacing w:after="0"/>
              <w:rPr>
                <w:sz w:val="20"/>
                <w:szCs w:val="20"/>
                <w:color w:val="auto"/>
              </w:rPr>
            </w:pPr>
            <w:r>
              <w:rPr>
                <w:rFonts w:ascii="Arial" w:cs="Arial" w:eastAsia="Arial" w:hAnsi="Arial"/>
                <w:sz w:val="10"/>
                <w:szCs w:val="10"/>
                <w:b w:val="1"/>
                <w:bCs w:val="1"/>
                <w:color w:val="auto"/>
                <w:w w:val="96"/>
              </w:rPr>
              <w:t>Aggregate</w:t>
            </w:r>
          </w:p>
        </w:tc>
        <w:tc>
          <w:tcPr>
            <w:tcW w:w="0" w:type="dxa"/>
            <w:vAlign w:val="bottom"/>
          </w:tcPr>
          <w:p>
            <w:pPr>
              <w:spacing w:after="0"/>
              <w:rPr>
                <w:sz w:val="1"/>
                <w:szCs w:val="1"/>
                <w:color w:val="auto"/>
              </w:rPr>
            </w:pPr>
          </w:p>
        </w:tc>
      </w:tr>
      <w:tr>
        <w:trPr>
          <w:trHeight w:val="99"/>
        </w:trPr>
        <w:tc>
          <w:tcPr>
            <w:tcW w:w="2880" w:type="dxa"/>
            <w:vAlign w:val="bottom"/>
          </w:tcPr>
          <w:p>
            <w:pPr>
              <w:spacing w:after="0"/>
              <w:rPr>
                <w:sz w:val="8"/>
                <w:szCs w:val="8"/>
                <w:color w:val="auto"/>
              </w:rPr>
            </w:pPr>
          </w:p>
        </w:tc>
        <w:tc>
          <w:tcPr>
            <w:tcW w:w="1340" w:type="dxa"/>
            <w:vAlign w:val="bottom"/>
            <w:vMerge w:val="restart"/>
          </w:tcPr>
          <w:p>
            <w:pPr>
              <w:jc w:val="right"/>
              <w:ind w:right="512"/>
              <w:spacing w:after="0"/>
              <w:rPr>
                <w:sz w:val="20"/>
                <w:szCs w:val="20"/>
                <w:color w:val="auto"/>
              </w:rPr>
            </w:pPr>
            <w:r>
              <w:rPr>
                <w:rFonts w:ascii="Arial" w:cs="Arial" w:eastAsia="Arial" w:hAnsi="Arial"/>
                <w:sz w:val="10"/>
                <w:szCs w:val="10"/>
                <w:b w:val="1"/>
                <w:bCs w:val="1"/>
                <w:color w:val="auto"/>
              </w:rPr>
              <w:t>Number</w:t>
            </w:r>
          </w:p>
        </w:tc>
        <w:tc>
          <w:tcPr>
            <w:tcW w:w="1060" w:type="dxa"/>
            <w:vAlign w:val="bottom"/>
            <w:vMerge w:val="restart"/>
          </w:tcPr>
          <w:p>
            <w:pPr>
              <w:jc w:val="right"/>
              <w:ind w:right="292"/>
              <w:spacing w:after="0"/>
              <w:rPr>
                <w:sz w:val="20"/>
                <w:szCs w:val="20"/>
                <w:color w:val="auto"/>
              </w:rPr>
            </w:pPr>
            <w:r>
              <w:rPr>
                <w:rFonts w:ascii="Arial" w:cs="Arial" w:eastAsia="Arial" w:hAnsi="Arial"/>
                <w:sz w:val="10"/>
                <w:szCs w:val="10"/>
                <w:b w:val="1"/>
                <w:bCs w:val="1"/>
                <w:color w:val="auto"/>
              </w:rPr>
              <w:t>Weighted</w:t>
            </w:r>
          </w:p>
        </w:tc>
        <w:tc>
          <w:tcPr>
            <w:tcW w:w="200" w:type="dxa"/>
            <w:vAlign w:val="bottom"/>
          </w:tcPr>
          <w:p>
            <w:pPr>
              <w:spacing w:after="0"/>
              <w:rPr>
                <w:sz w:val="8"/>
                <w:szCs w:val="8"/>
                <w:color w:val="auto"/>
              </w:rPr>
            </w:pPr>
          </w:p>
        </w:tc>
        <w:tc>
          <w:tcPr>
            <w:tcW w:w="900" w:type="dxa"/>
            <w:vAlign w:val="bottom"/>
          </w:tcPr>
          <w:p>
            <w:pPr>
              <w:jc w:val="center"/>
              <w:ind w:right="132"/>
              <w:spacing w:after="0" w:line="99" w:lineRule="exact"/>
              <w:rPr>
                <w:sz w:val="20"/>
                <w:szCs w:val="20"/>
                <w:color w:val="auto"/>
              </w:rPr>
            </w:pPr>
            <w:r>
              <w:rPr>
                <w:rFonts w:ascii="Arial" w:cs="Arial" w:eastAsia="Arial" w:hAnsi="Arial"/>
                <w:sz w:val="10"/>
                <w:szCs w:val="10"/>
                <w:b w:val="1"/>
                <w:bCs w:val="1"/>
                <w:color w:val="auto"/>
                <w:w w:val="91"/>
              </w:rPr>
              <w:t>Average</w:t>
            </w:r>
          </w:p>
        </w:tc>
        <w:tc>
          <w:tcPr>
            <w:tcW w:w="28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240" w:type="dxa"/>
            <w:vAlign w:val="bottom"/>
            <w:vMerge w:val="restart"/>
          </w:tcPr>
          <w:p>
            <w:pPr>
              <w:jc w:val="right"/>
              <w:ind w:right="412"/>
              <w:spacing w:after="0"/>
              <w:rPr>
                <w:sz w:val="20"/>
                <w:szCs w:val="20"/>
                <w:color w:val="auto"/>
              </w:rPr>
            </w:pPr>
            <w:r>
              <w:rPr>
                <w:rFonts w:ascii="Arial" w:cs="Arial" w:eastAsia="Arial" w:hAnsi="Arial"/>
                <w:sz w:val="10"/>
                <w:szCs w:val="10"/>
                <w:b w:val="1"/>
                <w:bCs w:val="1"/>
                <w:color w:val="auto"/>
              </w:rPr>
              <w:t>Number</w:t>
            </w:r>
          </w:p>
        </w:tc>
        <w:tc>
          <w:tcPr>
            <w:tcW w:w="240" w:type="dxa"/>
            <w:vAlign w:val="bottom"/>
          </w:tcPr>
          <w:p>
            <w:pPr>
              <w:spacing w:after="0"/>
              <w:rPr>
                <w:sz w:val="8"/>
                <w:szCs w:val="8"/>
                <w:color w:val="auto"/>
              </w:rPr>
            </w:pPr>
          </w:p>
        </w:tc>
        <w:tc>
          <w:tcPr>
            <w:tcW w:w="900" w:type="dxa"/>
            <w:vAlign w:val="bottom"/>
          </w:tcPr>
          <w:p>
            <w:pPr>
              <w:jc w:val="center"/>
              <w:ind w:right="112"/>
              <w:spacing w:after="0" w:line="99" w:lineRule="exact"/>
              <w:rPr>
                <w:sz w:val="20"/>
                <w:szCs w:val="20"/>
                <w:color w:val="auto"/>
              </w:rPr>
            </w:pPr>
            <w:r>
              <w:rPr>
                <w:rFonts w:ascii="Arial" w:cs="Arial" w:eastAsia="Arial" w:hAnsi="Arial"/>
                <w:sz w:val="10"/>
                <w:szCs w:val="10"/>
                <w:b w:val="1"/>
                <w:bCs w:val="1"/>
                <w:color w:val="auto"/>
                <w:w w:val="96"/>
              </w:rPr>
              <w:t>Average</w:t>
            </w:r>
          </w:p>
        </w:tc>
        <w:tc>
          <w:tcPr>
            <w:tcW w:w="3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880" w:type="dxa"/>
            <w:vAlign w:val="bottom"/>
            <w:vMerge w:val="restart"/>
          </w:tcPr>
          <w:p>
            <w:pPr>
              <w:spacing w:after="0"/>
              <w:rPr>
                <w:sz w:val="20"/>
                <w:szCs w:val="20"/>
                <w:color w:val="auto"/>
              </w:rPr>
            </w:pPr>
            <w:r>
              <w:rPr>
                <w:rFonts w:ascii="Arial" w:cs="Arial" w:eastAsia="Arial" w:hAnsi="Arial"/>
                <w:sz w:val="10"/>
                <w:szCs w:val="10"/>
                <w:b w:val="1"/>
                <w:bCs w:val="1"/>
                <w:color w:val="auto"/>
              </w:rPr>
              <w:t>Range of Exercise Prices</w:t>
            </w:r>
          </w:p>
        </w:tc>
        <w:tc>
          <w:tcPr>
            <w:tcW w:w="134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jc w:val="center"/>
              <w:ind w:right="132"/>
              <w:spacing w:after="0" w:line="97" w:lineRule="exact"/>
              <w:rPr>
                <w:sz w:val="20"/>
                <w:szCs w:val="20"/>
                <w:color w:val="auto"/>
              </w:rPr>
            </w:pPr>
            <w:r>
              <w:rPr>
                <w:rFonts w:ascii="Arial" w:cs="Arial" w:eastAsia="Arial" w:hAnsi="Arial"/>
                <w:sz w:val="10"/>
                <w:szCs w:val="10"/>
                <w:b w:val="1"/>
                <w:bCs w:val="1"/>
                <w:color w:val="auto"/>
                <w:w w:val="97"/>
              </w:rPr>
              <w:t>Exercise</w:t>
            </w:r>
          </w:p>
        </w:tc>
        <w:tc>
          <w:tcPr>
            <w:tcW w:w="280" w:type="dxa"/>
            <w:vAlign w:val="bottom"/>
          </w:tcPr>
          <w:p>
            <w:pPr>
              <w:spacing w:after="0"/>
              <w:rPr>
                <w:sz w:val="8"/>
                <w:szCs w:val="8"/>
                <w:color w:val="auto"/>
              </w:rPr>
            </w:pPr>
          </w:p>
        </w:tc>
        <w:tc>
          <w:tcPr>
            <w:tcW w:w="1040" w:type="dxa"/>
            <w:vAlign w:val="bottom"/>
            <w:gridSpan w:val="2"/>
          </w:tcPr>
          <w:p>
            <w:pPr>
              <w:jc w:val="center"/>
              <w:ind w:right="380"/>
              <w:spacing w:after="0" w:line="97" w:lineRule="exact"/>
              <w:rPr>
                <w:sz w:val="20"/>
                <w:szCs w:val="20"/>
                <w:color w:val="auto"/>
              </w:rPr>
            </w:pPr>
            <w:r>
              <w:rPr>
                <w:rFonts w:ascii="Arial" w:cs="Arial" w:eastAsia="Arial" w:hAnsi="Arial"/>
                <w:sz w:val="10"/>
                <w:szCs w:val="10"/>
                <w:b w:val="1"/>
                <w:bCs w:val="1"/>
                <w:color w:val="auto"/>
                <w:w w:val="97"/>
              </w:rPr>
              <w:t>Intrinsic</w:t>
            </w:r>
          </w:p>
        </w:tc>
        <w:tc>
          <w:tcPr>
            <w:tcW w:w="12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jc w:val="center"/>
              <w:ind w:right="132"/>
              <w:spacing w:after="0" w:line="97" w:lineRule="exact"/>
              <w:rPr>
                <w:sz w:val="20"/>
                <w:szCs w:val="20"/>
                <w:color w:val="auto"/>
              </w:rPr>
            </w:pPr>
            <w:r>
              <w:rPr>
                <w:rFonts w:ascii="Arial" w:cs="Arial" w:eastAsia="Arial" w:hAnsi="Arial"/>
                <w:sz w:val="10"/>
                <w:szCs w:val="10"/>
                <w:b w:val="1"/>
                <w:bCs w:val="1"/>
                <w:color w:val="auto"/>
                <w:w w:val="97"/>
              </w:rPr>
              <w:t>Exercise</w:t>
            </w:r>
          </w:p>
        </w:tc>
        <w:tc>
          <w:tcPr>
            <w:tcW w:w="300" w:type="dxa"/>
            <w:vAlign w:val="bottom"/>
          </w:tcPr>
          <w:p>
            <w:pPr>
              <w:spacing w:after="0"/>
              <w:rPr>
                <w:sz w:val="8"/>
                <w:szCs w:val="8"/>
                <w:color w:val="auto"/>
              </w:rPr>
            </w:pPr>
          </w:p>
        </w:tc>
        <w:tc>
          <w:tcPr>
            <w:tcW w:w="880" w:type="dxa"/>
            <w:vAlign w:val="bottom"/>
          </w:tcPr>
          <w:p>
            <w:pPr>
              <w:jc w:val="center"/>
              <w:ind w:right="132"/>
              <w:spacing w:after="0" w:line="97" w:lineRule="exact"/>
              <w:rPr>
                <w:sz w:val="20"/>
                <w:szCs w:val="20"/>
                <w:color w:val="auto"/>
              </w:rPr>
            </w:pPr>
            <w:r>
              <w:rPr>
                <w:rFonts w:ascii="Arial" w:cs="Arial" w:eastAsia="Arial" w:hAnsi="Arial"/>
                <w:sz w:val="10"/>
                <w:szCs w:val="10"/>
                <w:b w:val="1"/>
                <w:bCs w:val="1"/>
                <w:color w:val="auto"/>
                <w:w w:val="97"/>
              </w:rPr>
              <w:t>Intrinsic</w:t>
            </w:r>
          </w:p>
        </w:tc>
        <w:tc>
          <w:tcPr>
            <w:tcW w:w="0" w:type="dxa"/>
            <w:vAlign w:val="bottom"/>
          </w:tcPr>
          <w:p>
            <w:pPr>
              <w:spacing w:after="0"/>
              <w:rPr>
                <w:sz w:val="1"/>
                <w:szCs w:val="1"/>
                <w:color w:val="auto"/>
              </w:rPr>
            </w:pPr>
          </w:p>
        </w:tc>
      </w:tr>
      <w:tr>
        <w:trPr>
          <w:trHeight w:val="126"/>
        </w:trPr>
        <w:tc>
          <w:tcPr>
            <w:tcW w:w="2880" w:type="dxa"/>
            <w:vAlign w:val="bottom"/>
            <w:tcBorders>
              <w:bottom w:val="single" w:sz="8" w:color="D7282F"/>
            </w:tcBorders>
            <w:vMerge w:val="continue"/>
          </w:tcPr>
          <w:p>
            <w:pPr>
              <w:spacing w:after="0"/>
              <w:rPr>
                <w:sz w:val="10"/>
                <w:szCs w:val="10"/>
                <w:color w:val="auto"/>
              </w:rPr>
            </w:pPr>
          </w:p>
        </w:tc>
        <w:tc>
          <w:tcPr>
            <w:tcW w:w="134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b w:val="1"/>
                <w:bCs w:val="1"/>
                <w:color w:val="auto"/>
              </w:rPr>
              <w:t>Outstanding</w:t>
            </w:r>
          </w:p>
        </w:tc>
        <w:tc>
          <w:tcPr>
            <w:tcW w:w="1060" w:type="dxa"/>
            <w:vAlign w:val="bottom"/>
            <w:tcBorders>
              <w:bottom w:val="single" w:sz="8" w:color="D7282F"/>
            </w:tcBorders>
          </w:tcPr>
          <w:p>
            <w:pPr>
              <w:jc w:val="right"/>
              <w:ind w:right="192"/>
              <w:spacing w:after="0" w:line="126" w:lineRule="exact"/>
              <w:rPr>
                <w:sz w:val="20"/>
                <w:szCs w:val="20"/>
                <w:color w:val="auto"/>
              </w:rPr>
            </w:pPr>
            <w:r>
              <w:rPr>
                <w:rFonts w:ascii="Arial" w:cs="Arial" w:eastAsia="Arial" w:hAnsi="Arial"/>
                <w:sz w:val="10"/>
                <w:szCs w:val="10"/>
                <w:b w:val="1"/>
                <w:bCs w:val="1"/>
                <w:color w:val="auto"/>
              </w:rPr>
              <w:t>Average Life</w:t>
            </w:r>
            <w:r>
              <w:rPr>
                <w:rFonts w:ascii="Arial" w:cs="Arial" w:eastAsia="Arial" w:hAnsi="Arial"/>
                <w:sz w:val="12"/>
                <w:szCs w:val="12"/>
                <w:b w:val="1"/>
                <w:bCs w:val="1"/>
                <w:color w:val="auto"/>
                <w:vertAlign w:val="superscript"/>
              </w:rPr>
              <w:t>1</w:t>
            </w:r>
          </w:p>
        </w:tc>
        <w:tc>
          <w:tcPr>
            <w:tcW w:w="200" w:type="dxa"/>
            <w:vAlign w:val="bottom"/>
            <w:tcBorders>
              <w:bottom w:val="single" w:sz="8" w:color="D7282F"/>
            </w:tcBorders>
          </w:tcPr>
          <w:p>
            <w:pPr>
              <w:spacing w:after="0"/>
              <w:rPr>
                <w:sz w:val="10"/>
                <w:szCs w:val="10"/>
                <w:color w:val="auto"/>
              </w:rPr>
            </w:pPr>
          </w:p>
        </w:tc>
        <w:tc>
          <w:tcPr>
            <w:tcW w:w="900" w:type="dxa"/>
            <w:vAlign w:val="bottom"/>
            <w:tcBorders>
              <w:bottom w:val="single" w:sz="8" w:color="D7282F"/>
            </w:tcBorders>
          </w:tcPr>
          <w:p>
            <w:pPr>
              <w:jc w:val="center"/>
              <w:ind w:right="132"/>
              <w:spacing w:after="0"/>
              <w:rPr>
                <w:sz w:val="20"/>
                <w:szCs w:val="20"/>
                <w:color w:val="auto"/>
              </w:rPr>
            </w:pPr>
            <w:r>
              <w:rPr>
                <w:rFonts w:ascii="Arial" w:cs="Arial" w:eastAsia="Arial" w:hAnsi="Arial"/>
                <w:sz w:val="10"/>
                <w:szCs w:val="10"/>
                <w:b w:val="1"/>
                <w:bCs w:val="1"/>
                <w:color w:val="auto"/>
                <w:w w:val="97"/>
              </w:rPr>
              <w:t>Price Per Share</w:t>
            </w:r>
          </w:p>
        </w:tc>
        <w:tc>
          <w:tcPr>
            <w:tcW w:w="280" w:type="dxa"/>
            <w:vAlign w:val="bottom"/>
            <w:tcBorders>
              <w:bottom w:val="single" w:sz="8" w:color="D7282F"/>
            </w:tcBorders>
          </w:tcPr>
          <w:p>
            <w:pPr>
              <w:spacing w:after="0"/>
              <w:rPr>
                <w:sz w:val="10"/>
                <w:szCs w:val="10"/>
                <w:color w:val="auto"/>
              </w:rPr>
            </w:pPr>
          </w:p>
        </w:tc>
        <w:tc>
          <w:tcPr>
            <w:tcW w:w="1040" w:type="dxa"/>
            <w:vAlign w:val="bottom"/>
            <w:tcBorders>
              <w:bottom w:val="single" w:sz="8" w:color="D7282F"/>
            </w:tcBorders>
            <w:gridSpan w:val="2"/>
          </w:tcPr>
          <w:p>
            <w:pPr>
              <w:jc w:val="center"/>
              <w:ind w:right="380"/>
              <w:spacing w:after="0"/>
              <w:rPr>
                <w:sz w:val="20"/>
                <w:szCs w:val="20"/>
                <w:color w:val="auto"/>
              </w:rPr>
            </w:pPr>
            <w:r>
              <w:rPr>
                <w:rFonts w:ascii="Arial" w:cs="Arial" w:eastAsia="Arial" w:hAnsi="Arial"/>
                <w:sz w:val="10"/>
                <w:szCs w:val="10"/>
                <w:b w:val="1"/>
                <w:bCs w:val="1"/>
                <w:color w:val="auto"/>
                <w:w w:val="97"/>
              </w:rPr>
              <w:t>Value</w:t>
            </w:r>
          </w:p>
        </w:tc>
        <w:tc>
          <w:tcPr>
            <w:tcW w:w="124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Exercisable</w:t>
            </w:r>
          </w:p>
        </w:tc>
        <w:tc>
          <w:tcPr>
            <w:tcW w:w="240" w:type="dxa"/>
            <w:vAlign w:val="bottom"/>
            <w:tcBorders>
              <w:bottom w:val="single" w:sz="8" w:color="D7282F"/>
            </w:tcBorders>
          </w:tcPr>
          <w:p>
            <w:pPr>
              <w:spacing w:after="0"/>
              <w:rPr>
                <w:sz w:val="10"/>
                <w:szCs w:val="10"/>
                <w:color w:val="auto"/>
              </w:rPr>
            </w:pPr>
          </w:p>
        </w:tc>
        <w:tc>
          <w:tcPr>
            <w:tcW w:w="900" w:type="dxa"/>
            <w:vAlign w:val="bottom"/>
            <w:tcBorders>
              <w:bottom w:val="single" w:sz="8" w:color="D7282F"/>
            </w:tcBorders>
          </w:tcPr>
          <w:p>
            <w:pPr>
              <w:jc w:val="center"/>
              <w:ind w:right="112"/>
              <w:spacing w:after="0"/>
              <w:rPr>
                <w:sz w:val="20"/>
                <w:szCs w:val="20"/>
                <w:color w:val="auto"/>
              </w:rPr>
            </w:pPr>
            <w:r>
              <w:rPr>
                <w:rFonts w:ascii="Arial" w:cs="Arial" w:eastAsia="Arial" w:hAnsi="Arial"/>
                <w:sz w:val="10"/>
                <w:szCs w:val="10"/>
                <w:b w:val="1"/>
                <w:bCs w:val="1"/>
                <w:color w:val="auto"/>
                <w:w w:val="94"/>
              </w:rPr>
              <w:t>Price Per Share</w:t>
            </w:r>
          </w:p>
        </w:tc>
        <w:tc>
          <w:tcPr>
            <w:tcW w:w="300" w:type="dxa"/>
            <w:vAlign w:val="bottom"/>
            <w:tcBorders>
              <w:bottom w:val="single" w:sz="8" w:color="D7282F"/>
            </w:tcBorders>
          </w:tcPr>
          <w:p>
            <w:pPr>
              <w:spacing w:after="0"/>
              <w:rPr>
                <w:sz w:val="10"/>
                <w:szCs w:val="10"/>
                <w:color w:val="auto"/>
              </w:rPr>
            </w:pPr>
          </w:p>
        </w:tc>
        <w:tc>
          <w:tcPr>
            <w:tcW w:w="880" w:type="dxa"/>
            <w:vAlign w:val="bottom"/>
            <w:tcBorders>
              <w:bottom w:val="single" w:sz="8" w:color="D7282F"/>
            </w:tcBorders>
          </w:tcPr>
          <w:p>
            <w:pPr>
              <w:jc w:val="center"/>
              <w:ind w:right="132"/>
              <w:spacing w:after="0"/>
              <w:rPr>
                <w:sz w:val="20"/>
                <w:szCs w:val="20"/>
                <w:color w:val="auto"/>
              </w:rPr>
            </w:pPr>
            <w:r>
              <w:rPr>
                <w:rFonts w:ascii="Arial" w:cs="Arial" w:eastAsia="Arial" w:hAnsi="Arial"/>
                <w:sz w:val="10"/>
                <w:szCs w:val="10"/>
                <w:b w:val="1"/>
                <w:bCs w:val="1"/>
                <w:color w:val="auto"/>
                <w:w w:val="97"/>
              </w:rPr>
              <w:t>Value</w:t>
            </w:r>
          </w:p>
        </w:tc>
        <w:tc>
          <w:tcPr>
            <w:tcW w:w="0" w:type="dxa"/>
            <w:vAlign w:val="bottom"/>
          </w:tcPr>
          <w:p>
            <w:pPr>
              <w:spacing w:after="0"/>
              <w:rPr>
                <w:sz w:val="1"/>
                <w:szCs w:val="1"/>
                <w:color w:val="auto"/>
              </w:rPr>
            </w:pPr>
          </w:p>
        </w:tc>
      </w:tr>
      <w:tr>
        <w:trPr>
          <w:trHeight w:val="121"/>
        </w:trPr>
        <w:tc>
          <w:tcPr>
            <w:tcW w:w="28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$65.00–$89.99</w:t>
            </w:r>
          </w:p>
        </w:tc>
        <w:tc>
          <w:tcPr>
            <w:tcW w:w="1340" w:type="dxa"/>
            <w:vAlign w:val="bottom"/>
            <w:tcBorders>
              <w:bottom w:val="single" w:sz="8" w:color="61656A"/>
            </w:tcBorders>
          </w:tcPr>
          <w:p>
            <w:pPr>
              <w:jc w:val="right"/>
              <w:ind w:right="152"/>
              <w:spacing w:after="0"/>
              <w:rPr>
                <w:sz w:val="20"/>
                <w:szCs w:val="20"/>
                <w:color w:val="auto"/>
              </w:rPr>
            </w:pPr>
            <w:r>
              <w:rPr>
                <w:rFonts w:ascii="Arial" w:cs="Arial" w:eastAsia="Arial" w:hAnsi="Arial"/>
                <w:sz w:val="10"/>
                <w:szCs w:val="10"/>
                <w:color w:val="auto"/>
              </w:rPr>
              <w:t>687,158</w:t>
            </w:r>
          </w:p>
        </w:tc>
        <w:tc>
          <w:tcPr>
            <w:tcW w:w="10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0.16</w:t>
            </w:r>
          </w:p>
        </w:tc>
        <w:tc>
          <w:tcPr>
            <w:tcW w:w="2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89.46</w:t>
            </w:r>
          </w:p>
        </w:tc>
        <w:tc>
          <w:tcPr>
            <w:tcW w:w="28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83</w:t>
            </w:r>
          </w:p>
        </w:tc>
        <w:tc>
          <w:tcPr>
            <w:tcW w:w="220" w:type="dxa"/>
            <w:vAlign w:val="bottom"/>
            <w:tcBorders>
              <w:bottom w:val="single" w:sz="8" w:color="61656A"/>
            </w:tcBorders>
          </w:tcPr>
          <w:p>
            <w:pPr>
              <w:spacing w:after="0"/>
              <w:rPr>
                <w:sz w:val="10"/>
                <w:szCs w:val="10"/>
                <w:color w:val="auto"/>
              </w:rPr>
            </w:pPr>
          </w:p>
        </w:tc>
        <w:tc>
          <w:tcPr>
            <w:tcW w:w="124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687,158</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89.46</w:t>
            </w:r>
          </w:p>
        </w:tc>
        <w:tc>
          <w:tcPr>
            <w:tcW w:w="30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83</w:t>
            </w:r>
          </w:p>
        </w:tc>
        <w:tc>
          <w:tcPr>
            <w:tcW w:w="0" w:type="dxa"/>
            <w:vAlign w:val="bottom"/>
          </w:tcPr>
          <w:p>
            <w:pPr>
              <w:spacing w:after="0"/>
              <w:rPr>
                <w:sz w:val="1"/>
                <w:szCs w:val="1"/>
                <w:color w:val="auto"/>
              </w:rPr>
            </w:pPr>
          </w:p>
        </w:tc>
      </w:tr>
      <w:tr>
        <w:trPr>
          <w:trHeight w:val="124"/>
        </w:trPr>
        <w:tc>
          <w:tcPr>
            <w:tcW w:w="28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$90.00–$99.99</w:t>
            </w:r>
          </w:p>
        </w:tc>
        <w:tc>
          <w:tcPr>
            <w:tcW w:w="1340" w:type="dxa"/>
            <w:vAlign w:val="bottom"/>
            <w:tcBorders>
              <w:bottom w:val="single" w:sz="8" w:color="61656A"/>
            </w:tcBorders>
          </w:tcPr>
          <w:p>
            <w:pPr>
              <w:jc w:val="right"/>
              <w:ind w:right="152"/>
              <w:spacing w:after="0"/>
              <w:rPr>
                <w:sz w:val="20"/>
                <w:szCs w:val="20"/>
                <w:color w:val="auto"/>
              </w:rPr>
            </w:pPr>
            <w:r>
              <w:rPr>
                <w:rFonts w:ascii="Arial" w:cs="Arial" w:eastAsia="Arial" w:hAnsi="Arial"/>
                <w:sz w:val="10"/>
                <w:szCs w:val="10"/>
                <w:color w:val="auto"/>
              </w:rPr>
              <w:t>2,285,249</w:t>
            </w:r>
          </w:p>
        </w:tc>
        <w:tc>
          <w:tcPr>
            <w:tcW w:w="10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1.52</w:t>
            </w:r>
          </w:p>
        </w:tc>
        <w:tc>
          <w:tcPr>
            <w:tcW w:w="200" w:type="dxa"/>
            <w:vAlign w:val="bottom"/>
            <w:tcBorders>
              <w:bottom w:val="single" w:sz="8" w:color="61656A"/>
            </w:tcBorders>
          </w:tcPr>
          <w:p>
            <w:pPr>
              <w:spacing w:after="0"/>
              <w:rPr>
                <w:sz w:val="10"/>
                <w:szCs w:val="10"/>
                <w:color w:val="auto"/>
              </w:rPr>
            </w:pPr>
          </w:p>
        </w:tc>
        <w:tc>
          <w:tcPr>
            <w:tcW w:w="9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98.79</w:t>
            </w:r>
          </w:p>
        </w:tc>
        <w:tc>
          <w:tcPr>
            <w:tcW w:w="28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253</w:t>
            </w:r>
          </w:p>
        </w:tc>
        <w:tc>
          <w:tcPr>
            <w:tcW w:w="220" w:type="dxa"/>
            <w:vAlign w:val="bottom"/>
            <w:tcBorders>
              <w:bottom w:val="single" w:sz="8" w:color="61656A"/>
            </w:tcBorders>
          </w:tcPr>
          <w:p>
            <w:pPr>
              <w:spacing w:after="0"/>
              <w:rPr>
                <w:sz w:val="10"/>
                <w:szCs w:val="10"/>
                <w:color w:val="auto"/>
              </w:rPr>
            </w:pPr>
          </w:p>
        </w:tc>
        <w:tc>
          <w:tcPr>
            <w:tcW w:w="124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2,285,249</w:t>
            </w:r>
          </w:p>
        </w:tc>
        <w:tc>
          <w:tcPr>
            <w:tcW w:w="240" w:type="dxa"/>
            <w:vAlign w:val="bottom"/>
            <w:tcBorders>
              <w:bottom w:val="single" w:sz="8" w:color="61656A"/>
            </w:tcBorders>
          </w:tcPr>
          <w:p>
            <w:pPr>
              <w:spacing w:after="0"/>
              <w:rPr>
                <w:sz w:val="10"/>
                <w:szCs w:val="10"/>
                <w:color w:val="auto"/>
              </w:rPr>
            </w:pPr>
          </w:p>
        </w:tc>
        <w:tc>
          <w:tcPr>
            <w:tcW w:w="9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98.79</w:t>
            </w:r>
          </w:p>
        </w:tc>
        <w:tc>
          <w:tcPr>
            <w:tcW w:w="300" w:type="dxa"/>
            <w:vAlign w:val="bottom"/>
            <w:tcBorders>
              <w:bottom w:val="single" w:sz="8" w:color="61656A"/>
            </w:tcBorders>
          </w:tcPr>
          <w:p>
            <w:pPr>
              <w:spacing w:after="0"/>
              <w:rPr>
                <w:sz w:val="10"/>
                <w:szCs w:val="10"/>
                <w:color w:val="auto"/>
              </w:rPr>
            </w:pP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253</w:t>
            </w:r>
          </w:p>
        </w:tc>
        <w:tc>
          <w:tcPr>
            <w:tcW w:w="0" w:type="dxa"/>
            <w:vAlign w:val="bottom"/>
          </w:tcPr>
          <w:p>
            <w:pPr>
              <w:spacing w:after="0"/>
              <w:rPr>
                <w:sz w:val="1"/>
                <w:szCs w:val="1"/>
                <w:color w:val="auto"/>
              </w:rPr>
            </w:pPr>
          </w:p>
        </w:tc>
      </w:tr>
      <w:tr>
        <w:trPr>
          <w:trHeight w:val="124"/>
        </w:trPr>
        <w:tc>
          <w:tcPr>
            <w:tcW w:w="28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$100.00–$134.99</w:t>
            </w:r>
          </w:p>
        </w:tc>
        <w:tc>
          <w:tcPr>
            <w:tcW w:w="1340" w:type="dxa"/>
            <w:vAlign w:val="bottom"/>
            <w:tcBorders>
              <w:bottom w:val="single" w:sz="8" w:color="61656A"/>
            </w:tcBorders>
          </w:tcPr>
          <w:p>
            <w:pPr>
              <w:jc w:val="right"/>
              <w:ind w:right="152"/>
              <w:spacing w:after="0"/>
              <w:rPr>
                <w:sz w:val="20"/>
                <w:szCs w:val="20"/>
                <w:color w:val="auto"/>
              </w:rPr>
            </w:pPr>
            <w:r>
              <w:rPr>
                <w:rFonts w:ascii="Arial" w:cs="Arial" w:eastAsia="Arial" w:hAnsi="Arial"/>
                <w:sz w:val="10"/>
                <w:szCs w:val="10"/>
                <w:color w:val="auto"/>
              </w:rPr>
              <w:t>1,814,529</w:t>
            </w:r>
          </w:p>
        </w:tc>
        <w:tc>
          <w:tcPr>
            <w:tcW w:w="10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3.02</w:t>
            </w:r>
          </w:p>
        </w:tc>
        <w:tc>
          <w:tcPr>
            <w:tcW w:w="200" w:type="dxa"/>
            <w:vAlign w:val="bottom"/>
            <w:tcBorders>
              <w:bottom w:val="single" w:sz="8" w:color="61656A"/>
            </w:tcBorders>
          </w:tcPr>
          <w:p>
            <w:pPr>
              <w:spacing w:after="0"/>
              <w:rPr>
                <w:sz w:val="10"/>
                <w:szCs w:val="10"/>
                <w:color w:val="auto"/>
              </w:rPr>
            </w:pPr>
          </w:p>
        </w:tc>
        <w:tc>
          <w:tcPr>
            <w:tcW w:w="9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119.30</w:t>
            </w:r>
          </w:p>
        </w:tc>
        <w:tc>
          <w:tcPr>
            <w:tcW w:w="28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164</w:t>
            </w:r>
          </w:p>
        </w:tc>
        <w:tc>
          <w:tcPr>
            <w:tcW w:w="220" w:type="dxa"/>
            <w:vAlign w:val="bottom"/>
            <w:tcBorders>
              <w:bottom w:val="single" w:sz="8" w:color="61656A"/>
            </w:tcBorders>
          </w:tcPr>
          <w:p>
            <w:pPr>
              <w:spacing w:after="0"/>
              <w:rPr>
                <w:sz w:val="10"/>
                <w:szCs w:val="10"/>
                <w:color w:val="auto"/>
              </w:rPr>
            </w:pPr>
          </w:p>
        </w:tc>
        <w:tc>
          <w:tcPr>
            <w:tcW w:w="124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1,787,835</w:t>
            </w:r>
          </w:p>
        </w:tc>
        <w:tc>
          <w:tcPr>
            <w:tcW w:w="240" w:type="dxa"/>
            <w:vAlign w:val="bottom"/>
            <w:tcBorders>
              <w:bottom w:val="single" w:sz="8" w:color="61656A"/>
            </w:tcBorders>
          </w:tcPr>
          <w:p>
            <w:pPr>
              <w:spacing w:after="0"/>
              <w:rPr>
                <w:sz w:val="10"/>
                <w:szCs w:val="10"/>
                <w:color w:val="auto"/>
              </w:rPr>
            </w:pPr>
          </w:p>
        </w:tc>
        <w:tc>
          <w:tcPr>
            <w:tcW w:w="9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119.15</w:t>
            </w:r>
          </w:p>
        </w:tc>
        <w:tc>
          <w:tcPr>
            <w:tcW w:w="300" w:type="dxa"/>
            <w:vAlign w:val="bottom"/>
            <w:tcBorders>
              <w:bottom w:val="single" w:sz="8" w:color="61656A"/>
            </w:tcBorders>
          </w:tcPr>
          <w:p>
            <w:pPr>
              <w:spacing w:after="0"/>
              <w:rPr>
                <w:sz w:val="10"/>
                <w:szCs w:val="10"/>
                <w:color w:val="auto"/>
              </w:rPr>
            </w:pP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163</w:t>
            </w:r>
          </w:p>
        </w:tc>
        <w:tc>
          <w:tcPr>
            <w:tcW w:w="0" w:type="dxa"/>
            <w:vAlign w:val="bottom"/>
          </w:tcPr>
          <w:p>
            <w:pPr>
              <w:spacing w:after="0"/>
              <w:rPr>
                <w:sz w:val="1"/>
                <w:szCs w:val="1"/>
                <w:color w:val="auto"/>
              </w:rPr>
            </w:pPr>
          </w:p>
        </w:tc>
      </w:tr>
      <w:tr>
        <w:trPr>
          <w:trHeight w:val="124"/>
        </w:trPr>
        <w:tc>
          <w:tcPr>
            <w:tcW w:w="28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$135.00–$189.99</w:t>
            </w:r>
          </w:p>
        </w:tc>
        <w:tc>
          <w:tcPr>
            <w:tcW w:w="1340" w:type="dxa"/>
            <w:vAlign w:val="bottom"/>
            <w:tcBorders>
              <w:bottom w:val="single" w:sz="8" w:color="61656A"/>
            </w:tcBorders>
          </w:tcPr>
          <w:p>
            <w:pPr>
              <w:jc w:val="right"/>
              <w:ind w:right="152"/>
              <w:spacing w:after="0"/>
              <w:rPr>
                <w:sz w:val="20"/>
                <w:szCs w:val="20"/>
                <w:color w:val="auto"/>
              </w:rPr>
            </w:pPr>
            <w:r>
              <w:rPr>
                <w:rFonts w:ascii="Arial" w:cs="Arial" w:eastAsia="Arial" w:hAnsi="Arial"/>
                <w:sz w:val="10"/>
                <w:szCs w:val="10"/>
                <w:color w:val="auto"/>
              </w:rPr>
              <w:t>5,737,860</w:t>
            </w:r>
          </w:p>
        </w:tc>
        <w:tc>
          <w:tcPr>
            <w:tcW w:w="10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5.83</w:t>
            </w:r>
          </w:p>
        </w:tc>
        <w:tc>
          <w:tcPr>
            <w:tcW w:w="200" w:type="dxa"/>
            <w:vAlign w:val="bottom"/>
            <w:tcBorders>
              <w:bottom w:val="single" w:sz="8" w:color="61656A"/>
            </w:tcBorders>
          </w:tcPr>
          <w:p>
            <w:pPr>
              <w:spacing w:after="0"/>
              <w:rPr>
                <w:sz w:val="10"/>
                <w:szCs w:val="10"/>
                <w:color w:val="auto"/>
              </w:rPr>
            </w:pPr>
          </w:p>
        </w:tc>
        <w:tc>
          <w:tcPr>
            <w:tcW w:w="9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170.92</w:t>
            </w:r>
          </w:p>
        </w:tc>
        <w:tc>
          <w:tcPr>
            <w:tcW w:w="28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222</w:t>
            </w:r>
          </w:p>
        </w:tc>
        <w:tc>
          <w:tcPr>
            <w:tcW w:w="220" w:type="dxa"/>
            <w:vAlign w:val="bottom"/>
            <w:tcBorders>
              <w:bottom w:val="single" w:sz="8" w:color="61656A"/>
            </w:tcBorders>
          </w:tcPr>
          <w:p>
            <w:pPr>
              <w:spacing w:after="0"/>
              <w:rPr>
                <w:sz w:val="10"/>
                <w:szCs w:val="10"/>
                <w:color w:val="auto"/>
              </w:rPr>
            </w:pPr>
          </w:p>
        </w:tc>
        <w:tc>
          <w:tcPr>
            <w:tcW w:w="124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4,078,279</w:t>
            </w:r>
          </w:p>
        </w:tc>
        <w:tc>
          <w:tcPr>
            <w:tcW w:w="240" w:type="dxa"/>
            <w:vAlign w:val="bottom"/>
            <w:tcBorders>
              <w:bottom w:val="single" w:sz="8" w:color="61656A"/>
            </w:tcBorders>
          </w:tcPr>
          <w:p>
            <w:pPr>
              <w:spacing w:after="0"/>
              <w:rPr>
                <w:sz w:val="10"/>
                <w:szCs w:val="10"/>
                <w:color w:val="auto"/>
              </w:rPr>
            </w:pPr>
          </w:p>
        </w:tc>
        <w:tc>
          <w:tcPr>
            <w:tcW w:w="9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164.61</w:t>
            </w:r>
          </w:p>
        </w:tc>
        <w:tc>
          <w:tcPr>
            <w:tcW w:w="300" w:type="dxa"/>
            <w:vAlign w:val="bottom"/>
            <w:tcBorders>
              <w:bottom w:val="single" w:sz="8" w:color="61656A"/>
            </w:tcBorders>
          </w:tcPr>
          <w:p>
            <w:pPr>
              <w:spacing w:after="0"/>
              <w:rPr>
                <w:sz w:val="10"/>
                <w:szCs w:val="10"/>
                <w:color w:val="auto"/>
              </w:rPr>
            </w:pP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209</w:t>
            </w:r>
          </w:p>
        </w:tc>
        <w:tc>
          <w:tcPr>
            <w:tcW w:w="0" w:type="dxa"/>
            <w:vAlign w:val="bottom"/>
          </w:tcPr>
          <w:p>
            <w:pPr>
              <w:spacing w:after="0"/>
              <w:rPr>
                <w:sz w:val="1"/>
                <w:szCs w:val="1"/>
                <w:color w:val="auto"/>
              </w:rPr>
            </w:pPr>
          </w:p>
        </w:tc>
      </w:tr>
      <w:tr>
        <w:trPr>
          <w:trHeight w:val="124"/>
        </w:trPr>
        <w:tc>
          <w:tcPr>
            <w:tcW w:w="28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$190.00–$232.60</w:t>
            </w:r>
          </w:p>
        </w:tc>
        <w:tc>
          <w:tcPr>
            <w:tcW w:w="13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2,911,218</w:t>
            </w:r>
          </w:p>
        </w:tc>
        <w:tc>
          <w:tcPr>
            <w:tcW w:w="10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8.02</w:t>
            </w:r>
          </w:p>
        </w:tc>
        <w:tc>
          <w:tcPr>
            <w:tcW w:w="200" w:type="dxa"/>
            <w:vAlign w:val="bottom"/>
            <w:tcBorders>
              <w:bottom w:val="single" w:sz="8" w:color="D7282F"/>
            </w:tcBorders>
          </w:tcPr>
          <w:p>
            <w:pPr>
              <w:spacing w:after="0"/>
              <w:rPr>
                <w:sz w:val="10"/>
                <w:szCs w:val="10"/>
                <w:color w:val="auto"/>
              </w:rPr>
            </w:pPr>
          </w:p>
        </w:tc>
        <w:tc>
          <w:tcPr>
            <w:tcW w:w="9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200.23</w:t>
            </w:r>
          </w:p>
        </w:tc>
        <w:tc>
          <w:tcPr>
            <w:tcW w:w="28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30</w:t>
            </w:r>
          </w:p>
        </w:tc>
        <w:tc>
          <w:tcPr>
            <w:tcW w:w="220" w:type="dxa"/>
            <w:vAlign w:val="bottom"/>
            <w:tcBorders>
              <w:bottom w:val="single" w:sz="8" w:color="D7282F"/>
            </w:tcBorders>
          </w:tcPr>
          <w:p>
            <w:pPr>
              <w:spacing w:after="0"/>
              <w:rPr>
                <w:sz w:val="10"/>
                <w:szCs w:val="10"/>
                <w:color w:val="auto"/>
              </w:rPr>
            </w:pPr>
          </w:p>
        </w:tc>
        <w:tc>
          <w:tcPr>
            <w:tcW w:w="124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color w:val="auto"/>
              </w:rPr>
              <w:t>755,465</w:t>
            </w:r>
          </w:p>
        </w:tc>
        <w:tc>
          <w:tcPr>
            <w:tcW w:w="240" w:type="dxa"/>
            <w:vAlign w:val="bottom"/>
            <w:tcBorders>
              <w:bottom w:val="single" w:sz="8" w:color="D7282F"/>
            </w:tcBorders>
          </w:tcPr>
          <w:p>
            <w:pPr>
              <w:spacing w:after="0"/>
              <w:rPr>
                <w:sz w:val="10"/>
                <w:szCs w:val="10"/>
                <w:color w:val="auto"/>
              </w:rPr>
            </w:pPr>
          </w:p>
        </w:tc>
        <w:tc>
          <w:tcPr>
            <w:tcW w:w="9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204.77</w:t>
            </w:r>
          </w:p>
        </w:tc>
        <w:tc>
          <w:tcPr>
            <w:tcW w:w="300" w:type="dxa"/>
            <w:vAlign w:val="bottom"/>
            <w:tcBorders>
              <w:bottom w:val="single" w:sz="8" w:color="D7282F"/>
            </w:tcBorders>
          </w:tcPr>
          <w:p>
            <w:pPr>
              <w:spacing w:after="0"/>
              <w:rPr>
                <w:sz w:val="10"/>
                <w:szCs w:val="10"/>
                <w:color w:val="auto"/>
              </w:rPr>
            </w:pP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22</w:t>
            </w:r>
          </w:p>
        </w:tc>
        <w:tc>
          <w:tcPr>
            <w:tcW w:w="0" w:type="dxa"/>
            <w:vAlign w:val="bottom"/>
          </w:tcPr>
          <w:p>
            <w:pPr>
              <w:spacing w:after="0"/>
              <w:rPr>
                <w:sz w:val="1"/>
                <w:szCs w:val="1"/>
                <w:color w:val="auto"/>
              </w:rPr>
            </w:pPr>
          </w:p>
        </w:tc>
      </w:tr>
      <w:tr>
        <w:trPr>
          <w:trHeight w:val="126"/>
        </w:trPr>
        <w:tc>
          <w:tcPr>
            <w:tcW w:w="2880" w:type="dxa"/>
            <w:vAlign w:val="bottom"/>
            <w:tcBorders>
              <w:bottom w:val="single" w:sz="8" w:color="D7282F"/>
            </w:tcBorders>
          </w:tcPr>
          <w:p>
            <w:pPr>
              <w:spacing w:after="0"/>
              <w:rPr>
                <w:sz w:val="10"/>
                <w:szCs w:val="10"/>
                <w:color w:val="auto"/>
              </w:rPr>
            </w:pPr>
          </w:p>
        </w:tc>
        <w:tc>
          <w:tcPr>
            <w:tcW w:w="13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13,436,014</w:t>
            </w:r>
          </w:p>
        </w:tc>
        <w:tc>
          <w:tcPr>
            <w:tcW w:w="10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4.90</w:t>
            </w: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9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153.86</w:t>
            </w:r>
          </w:p>
        </w:tc>
        <w:tc>
          <w:tcPr>
            <w:tcW w:w="2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752</w:t>
            </w:r>
          </w:p>
        </w:tc>
        <w:tc>
          <w:tcPr>
            <w:tcW w:w="220" w:type="dxa"/>
            <w:vAlign w:val="bottom"/>
            <w:tcBorders>
              <w:bottom w:val="single" w:sz="8" w:color="D7282F"/>
            </w:tcBorders>
          </w:tcPr>
          <w:p>
            <w:pPr>
              <w:spacing w:after="0"/>
              <w:rPr>
                <w:sz w:val="10"/>
                <w:szCs w:val="10"/>
                <w:color w:val="auto"/>
              </w:rPr>
            </w:pPr>
          </w:p>
        </w:tc>
        <w:tc>
          <w:tcPr>
            <w:tcW w:w="124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9,593,986</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9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138.24</w:t>
            </w:r>
          </w:p>
        </w:tc>
        <w:tc>
          <w:tcPr>
            <w:tcW w:w="3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730</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428" w:hanging="280"/>
        <w:spacing w:after="0"/>
        <w:tabs>
          <w:tab w:leader="none" w:pos="428" w:val="left"/>
        </w:tabs>
        <w:numPr>
          <w:ilvl w:val="0"/>
          <w:numId w:val="132"/>
        </w:numPr>
        <w:rPr>
          <w:rFonts w:ascii="Arial" w:cs="Arial" w:eastAsia="Arial" w:hAnsi="Arial"/>
          <w:sz w:val="8"/>
          <w:szCs w:val="8"/>
          <w:color w:val="auto"/>
        </w:rPr>
      </w:pPr>
      <w:r>
        <w:rPr>
          <w:rFonts w:ascii="Arial" w:cs="Arial" w:eastAsia="Arial" w:hAnsi="Arial"/>
          <w:sz w:val="8"/>
          <w:szCs w:val="8"/>
          <w:color w:val="auto"/>
        </w:rPr>
        <w:t>Average remaining contractual life in years.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There were 9,509,606 and 10,664,625 options exercisable at weighted average exercise prices of $127.99 and $113.30 at December 31, 2022, and 2021, respectively.</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summarizes the financial statement impact from stock options exercised:</w:t>
      </w:r>
    </w:p>
    <w:p>
      <w:pPr>
        <w:spacing w:after="0" w:line="136"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8580" w:type="dxa"/>
            <w:vAlign w:val="bottom"/>
          </w:tcPr>
          <w:p>
            <w:pPr>
              <w:spacing w:after="0"/>
              <w:rPr>
                <w:sz w:val="11"/>
                <w:szCs w:val="11"/>
                <w:color w:val="auto"/>
              </w:rPr>
            </w:pPr>
          </w:p>
        </w:tc>
        <w:tc>
          <w:tcPr>
            <w:tcW w:w="52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1400" w:type="dxa"/>
            <w:vAlign w:val="bottom"/>
            <w:tcBorders>
              <w:bottom w:val="single" w:sz="8" w:color="D7282F"/>
            </w:tcBorders>
            <w:gridSpan w:val="3"/>
          </w:tcPr>
          <w:p>
            <w:pPr>
              <w:jc w:val="right"/>
              <w:ind w:right="92"/>
              <w:spacing w:after="0"/>
              <w:rPr>
                <w:sz w:val="20"/>
                <w:szCs w:val="20"/>
                <w:color w:val="auto"/>
              </w:rPr>
            </w:pPr>
            <w:r>
              <w:rPr>
                <w:rFonts w:ascii="Arial" w:cs="Arial" w:eastAsia="Arial" w:hAnsi="Arial"/>
                <w:sz w:val="10"/>
                <w:szCs w:val="10"/>
                <w:b w:val="1"/>
                <w:bCs w:val="1"/>
                <w:color w:val="auto"/>
                <w:w w:val="96"/>
              </w:rPr>
              <w:t>Years Ended December 31,</w:t>
            </w:r>
          </w:p>
        </w:tc>
        <w:tc>
          <w:tcPr>
            <w:tcW w:w="600" w:type="dxa"/>
            <w:vAlign w:val="bottom"/>
            <w:tcBorders>
              <w:bottom w:val="single" w:sz="8" w:color="D7282F"/>
            </w:tcBorders>
          </w:tcPr>
          <w:p>
            <w:pPr>
              <w:spacing w:after="0"/>
              <w:rPr>
                <w:sz w:val="11"/>
                <w:szCs w:val="11"/>
                <w:color w:val="auto"/>
              </w:rPr>
            </w:pPr>
          </w:p>
        </w:tc>
      </w:tr>
      <w:tr>
        <w:trPr>
          <w:trHeight w:val="151"/>
        </w:trPr>
        <w:tc>
          <w:tcPr>
            <w:tcW w:w="8580" w:type="dxa"/>
            <w:vAlign w:val="bottom"/>
            <w:tcBorders>
              <w:bottom w:val="single" w:sz="8" w:color="D7282F"/>
            </w:tcBorders>
          </w:tcPr>
          <w:p>
            <w:pPr>
              <w:spacing w:after="0"/>
              <w:rPr>
                <w:sz w:val="13"/>
                <w:szCs w:val="13"/>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2023</w:t>
            </w:r>
          </w:p>
        </w:tc>
        <w:tc>
          <w:tcPr>
            <w:tcW w:w="200" w:type="dxa"/>
            <w:vAlign w:val="bottom"/>
            <w:tcBorders>
              <w:bottom w:val="single" w:sz="8" w:color="D7282F"/>
            </w:tcBorders>
          </w:tcPr>
          <w:p>
            <w:pPr>
              <w:spacing w:after="0"/>
              <w:rPr>
                <w:sz w:val="13"/>
                <w:szCs w:val="13"/>
                <w:color w:val="auto"/>
              </w:rPr>
            </w:pPr>
          </w:p>
        </w:tc>
        <w:tc>
          <w:tcPr>
            <w:tcW w:w="42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2022</w:t>
            </w:r>
          </w:p>
        </w:tc>
        <w:tc>
          <w:tcPr>
            <w:tcW w:w="30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2021</w:t>
            </w:r>
          </w:p>
        </w:tc>
      </w:tr>
      <w:tr>
        <w:trPr>
          <w:trHeight w:val="122"/>
        </w:trPr>
        <w:tc>
          <w:tcPr>
            <w:tcW w:w="85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Intrinsic value</w:t>
            </w:r>
            <w:r>
              <w:rPr>
                <w:rFonts w:ascii="Arial" w:cs="Arial" w:eastAsia="Arial" w:hAnsi="Arial"/>
                <w:sz w:val="6"/>
                <w:szCs w:val="6"/>
                <w:color w:val="auto"/>
              </w:rPr>
              <w:t>1</w:t>
            </w:r>
          </w:p>
        </w:tc>
        <w:tc>
          <w:tcPr>
            <w:tcW w:w="520" w:type="dxa"/>
            <w:vAlign w:val="bottom"/>
            <w:tcBorders>
              <w:bottom w:val="single" w:sz="8" w:color="61656A"/>
            </w:tcBorders>
          </w:tcPr>
          <w:p>
            <w:pPr>
              <w:jc w:val="right"/>
              <w:ind w:right="412"/>
              <w:spacing w:after="0"/>
              <w:rPr>
                <w:sz w:val="20"/>
                <w:szCs w:val="20"/>
                <w:color w:val="auto"/>
              </w:rPr>
            </w:pPr>
            <w:r>
              <w:rPr>
                <w:rFonts w:ascii="Arial" w:cs="Arial" w:eastAsia="Arial" w:hAnsi="Arial"/>
                <w:sz w:val="10"/>
                <w:szCs w:val="10"/>
                <w:color w:val="auto"/>
                <w:w w:val="71"/>
              </w:rPr>
              <w:t>$</w:t>
            </w:r>
          </w:p>
        </w:tc>
        <w:tc>
          <w:tcPr>
            <w:tcW w:w="2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w w:val="95"/>
              </w:rPr>
              <w:t>122</w:t>
            </w:r>
          </w:p>
        </w:tc>
        <w:tc>
          <w:tcPr>
            <w:tcW w:w="42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310</w:t>
            </w:r>
          </w:p>
        </w:tc>
        <w:tc>
          <w:tcPr>
            <w:tcW w:w="3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219</w:t>
            </w:r>
          </w:p>
        </w:tc>
      </w:tr>
      <w:tr>
        <w:trPr>
          <w:trHeight w:val="124"/>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Tax benefit realized</w:t>
            </w:r>
          </w:p>
        </w:tc>
        <w:tc>
          <w:tcPr>
            <w:tcW w:w="52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27</w:t>
            </w:r>
          </w:p>
        </w:tc>
        <w:tc>
          <w:tcPr>
            <w:tcW w:w="42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71</w:t>
            </w:r>
          </w:p>
        </w:tc>
        <w:tc>
          <w:tcPr>
            <w:tcW w:w="30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48</w:t>
            </w:r>
          </w:p>
        </w:tc>
      </w:tr>
    </w:tbl>
    <w:p>
      <w:pPr>
        <w:spacing w:after="0" w:line="78" w:lineRule="exact"/>
        <w:rPr>
          <w:sz w:val="20"/>
          <w:szCs w:val="20"/>
          <w:color w:val="auto"/>
        </w:rPr>
      </w:pPr>
    </w:p>
    <w:p>
      <w:pPr>
        <w:ind w:left="428" w:hanging="280"/>
        <w:spacing w:after="0"/>
        <w:tabs>
          <w:tab w:leader="none" w:pos="428" w:val="left"/>
        </w:tabs>
        <w:numPr>
          <w:ilvl w:val="0"/>
          <w:numId w:val="133"/>
        </w:numPr>
        <w:rPr>
          <w:rFonts w:ascii="Arial" w:cs="Arial" w:eastAsia="Arial" w:hAnsi="Arial"/>
          <w:sz w:val="8"/>
          <w:szCs w:val="8"/>
          <w:color w:val="auto"/>
        </w:rPr>
      </w:pPr>
      <w:r>
        <w:rPr>
          <w:rFonts w:ascii="Arial" w:cs="Arial" w:eastAsia="Arial" w:hAnsi="Arial"/>
          <w:sz w:val="8"/>
          <w:szCs w:val="8"/>
          <w:color w:val="auto"/>
        </w:rPr>
        <w:t>Represents the amount by which the stock price exceeded the exercise price of the options on the date of exercise.</w:t>
      </w:r>
    </w:p>
    <w:p>
      <w:pPr>
        <w:spacing w:after="0" w:line="154" w:lineRule="exact"/>
        <w:rPr>
          <w:sz w:val="20"/>
          <w:szCs w:val="20"/>
          <w:color w:val="auto"/>
        </w:rPr>
      </w:pPr>
    </w:p>
    <w:p>
      <w:pPr>
        <w:jc w:val="both"/>
        <w:ind w:left="8" w:right="20"/>
        <w:spacing w:after="0" w:line="268" w:lineRule="auto"/>
        <w:rPr>
          <w:sz w:val="20"/>
          <w:szCs w:val="20"/>
          <w:color w:val="auto"/>
        </w:rPr>
      </w:pPr>
      <w:r>
        <w:rPr>
          <w:rFonts w:ascii="Arial" w:cs="Arial" w:eastAsia="Arial" w:hAnsi="Arial"/>
          <w:sz w:val="11"/>
          <w:szCs w:val="11"/>
          <w:color w:val="auto"/>
        </w:rPr>
        <w:t>At December 31, 2023, there was $96 million of total unrecognized compensation cost related to non-vested stock option awards which is expected to be recognized over a weighted average period of 2.49 years. The total fair value of options vested for the years ended December 31, 2023, 2022, and 2021 was $48 million, $49 million, and $52 million, respectively.</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RESTRICTED STOCK UNITS</w:t>
      </w:r>
    </w:p>
    <w:p>
      <w:pPr>
        <w:spacing w:after="0" w:line="90" w:lineRule="exact"/>
        <w:rPr>
          <w:sz w:val="20"/>
          <w:szCs w:val="20"/>
          <w:color w:val="auto"/>
        </w:rPr>
      </w:pPr>
    </w:p>
    <w:p>
      <w:pPr>
        <w:jc w:val="both"/>
        <w:ind w:left="8"/>
        <w:spacing w:after="0" w:line="253" w:lineRule="auto"/>
        <w:rPr>
          <w:sz w:val="20"/>
          <w:szCs w:val="20"/>
          <w:color w:val="auto"/>
        </w:rPr>
      </w:pPr>
      <w:r>
        <w:rPr>
          <w:rFonts w:ascii="Arial" w:cs="Arial" w:eastAsia="Arial" w:hAnsi="Arial"/>
          <w:sz w:val="11"/>
          <w:szCs w:val="11"/>
          <w:color w:val="auto"/>
        </w:rPr>
        <w:t>Restricted stock unit (RSU) awards entitle the holder to receive one share of common stock for each unit when the units vest. RSUs are issued to certain key employees and directors as compensation at fair market value at the date of grant. RSUs generally become fully vested over periods ranging from three to six years and are payable in Honeywell common stock upon vesting. Certain RSU awards are performance-based and awarded to eligible employees which entitle the grantee to receive shares of common stock if specified Company performance goals are achieved during the performance period and if the grantee remains employed through the vesting period.</w:t>
      </w:r>
    </w:p>
    <w:p>
      <w:pPr>
        <w:spacing w:after="0" w:line="284" w:lineRule="exact"/>
        <w:rPr>
          <w:sz w:val="20"/>
          <w:szCs w:val="20"/>
          <w:color w:val="auto"/>
        </w:rPr>
      </w:pPr>
    </w:p>
    <w:p>
      <w:pPr>
        <w:ind w:left="268" w:hanging="268"/>
        <w:spacing w:after="0"/>
        <w:tabs>
          <w:tab w:leader="none" w:pos="268" w:val="left"/>
        </w:tabs>
        <w:numPr>
          <w:ilvl w:val="0"/>
          <w:numId w:val="134"/>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92" w:name="page93"/>
    <w:bookmarkEnd w:id="92"/>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summarizes information about RSU activity for the three years ended December 31, 2023: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536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center"/>
              <w:ind w:right="132"/>
              <w:spacing w:after="0"/>
              <w:rPr>
                <w:sz w:val="20"/>
                <w:szCs w:val="20"/>
                <w:color w:val="auto"/>
              </w:rPr>
            </w:pPr>
            <w:r>
              <w:rPr>
                <w:rFonts w:ascii="Arial" w:cs="Arial" w:eastAsia="Arial" w:hAnsi="Arial"/>
                <w:sz w:val="10"/>
                <w:szCs w:val="10"/>
                <w:b w:val="1"/>
                <w:bCs w:val="1"/>
                <w:color w:val="auto"/>
                <w:w w:val="93"/>
              </w:rPr>
              <w:t>Weighted</w:t>
            </w:r>
          </w:p>
        </w:tc>
      </w:tr>
      <w:tr>
        <w:trPr>
          <w:trHeight w:val="117"/>
        </w:trPr>
        <w:tc>
          <w:tcPr>
            <w:tcW w:w="536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center"/>
              <w:ind w:right="132"/>
              <w:spacing w:after="0"/>
              <w:rPr>
                <w:sz w:val="20"/>
                <w:szCs w:val="20"/>
                <w:color w:val="auto"/>
              </w:rPr>
            </w:pPr>
            <w:r>
              <w:rPr>
                <w:rFonts w:ascii="Arial" w:cs="Arial" w:eastAsia="Arial" w:hAnsi="Arial"/>
                <w:sz w:val="10"/>
                <w:szCs w:val="10"/>
                <w:b w:val="1"/>
                <w:bCs w:val="1"/>
                <w:color w:val="auto"/>
                <w:w w:val="96"/>
              </w:rPr>
              <w:t>Average</w:t>
            </w:r>
          </w:p>
        </w:tc>
      </w:tr>
      <w:tr>
        <w:trPr>
          <w:trHeight w:val="117"/>
        </w:trPr>
        <w:tc>
          <w:tcPr>
            <w:tcW w:w="5360" w:type="dxa"/>
            <w:vAlign w:val="bottom"/>
          </w:tcPr>
          <w:p>
            <w:pPr>
              <w:spacing w:after="0"/>
              <w:rPr>
                <w:sz w:val="10"/>
                <w:szCs w:val="10"/>
                <w:color w:val="auto"/>
              </w:rPr>
            </w:pPr>
          </w:p>
        </w:tc>
        <w:tc>
          <w:tcPr>
            <w:tcW w:w="4740" w:type="dxa"/>
            <w:vAlign w:val="bottom"/>
          </w:tcPr>
          <w:p>
            <w:pPr>
              <w:jc w:val="center"/>
              <w:ind w:left="3372"/>
              <w:spacing w:after="0"/>
              <w:rPr>
                <w:sz w:val="20"/>
                <w:szCs w:val="20"/>
                <w:color w:val="auto"/>
              </w:rPr>
            </w:pPr>
            <w:r>
              <w:rPr>
                <w:rFonts w:ascii="Arial" w:cs="Arial" w:eastAsia="Arial" w:hAnsi="Arial"/>
                <w:sz w:val="10"/>
                <w:szCs w:val="10"/>
                <w:b w:val="1"/>
                <w:bCs w:val="1"/>
                <w:color w:val="auto"/>
                <w:w w:val="95"/>
              </w:rPr>
              <w:t>Number of</w:t>
            </w:r>
          </w:p>
        </w:tc>
        <w:tc>
          <w:tcPr>
            <w:tcW w:w="280" w:type="dxa"/>
            <w:vAlign w:val="bottom"/>
          </w:tcPr>
          <w:p>
            <w:pPr>
              <w:spacing w:after="0"/>
              <w:rPr>
                <w:sz w:val="10"/>
                <w:szCs w:val="10"/>
                <w:color w:val="auto"/>
              </w:rPr>
            </w:pPr>
          </w:p>
        </w:tc>
        <w:tc>
          <w:tcPr>
            <w:tcW w:w="920" w:type="dxa"/>
            <w:vAlign w:val="bottom"/>
          </w:tcPr>
          <w:p>
            <w:pPr>
              <w:jc w:val="center"/>
              <w:ind w:right="132"/>
              <w:spacing w:after="0"/>
              <w:rPr>
                <w:sz w:val="20"/>
                <w:szCs w:val="20"/>
                <w:color w:val="auto"/>
              </w:rPr>
            </w:pPr>
            <w:r>
              <w:rPr>
                <w:rFonts w:ascii="Arial" w:cs="Arial" w:eastAsia="Arial" w:hAnsi="Arial"/>
                <w:sz w:val="10"/>
                <w:szCs w:val="10"/>
                <w:b w:val="1"/>
                <w:bCs w:val="1"/>
                <w:color w:val="auto"/>
                <w:w w:val="97"/>
              </w:rPr>
              <w:t>Grant Date</w:t>
            </w:r>
          </w:p>
        </w:tc>
      </w:tr>
      <w:tr>
        <w:trPr>
          <w:trHeight w:val="117"/>
        </w:trPr>
        <w:tc>
          <w:tcPr>
            <w:tcW w:w="5360" w:type="dxa"/>
            <w:vAlign w:val="bottom"/>
          </w:tcPr>
          <w:p>
            <w:pPr>
              <w:spacing w:after="0"/>
              <w:rPr>
                <w:sz w:val="10"/>
                <w:szCs w:val="10"/>
                <w:color w:val="auto"/>
              </w:rPr>
            </w:pPr>
          </w:p>
        </w:tc>
        <w:tc>
          <w:tcPr>
            <w:tcW w:w="4740" w:type="dxa"/>
            <w:vAlign w:val="bottom"/>
          </w:tcPr>
          <w:p>
            <w:pPr>
              <w:jc w:val="center"/>
              <w:ind w:left="3392"/>
              <w:spacing w:after="0"/>
              <w:rPr>
                <w:sz w:val="20"/>
                <w:szCs w:val="20"/>
                <w:color w:val="auto"/>
              </w:rPr>
            </w:pPr>
            <w:r>
              <w:rPr>
                <w:rFonts w:ascii="Arial" w:cs="Arial" w:eastAsia="Arial" w:hAnsi="Arial"/>
                <w:sz w:val="10"/>
                <w:szCs w:val="10"/>
                <w:b w:val="1"/>
                <w:bCs w:val="1"/>
                <w:color w:val="auto"/>
                <w:w w:val="93"/>
              </w:rPr>
              <w:t>Restricted</w:t>
            </w:r>
          </w:p>
        </w:tc>
        <w:tc>
          <w:tcPr>
            <w:tcW w:w="280" w:type="dxa"/>
            <w:vAlign w:val="bottom"/>
          </w:tcPr>
          <w:p>
            <w:pPr>
              <w:spacing w:after="0"/>
              <w:rPr>
                <w:sz w:val="10"/>
                <w:szCs w:val="10"/>
                <w:color w:val="auto"/>
              </w:rPr>
            </w:pPr>
          </w:p>
        </w:tc>
        <w:tc>
          <w:tcPr>
            <w:tcW w:w="920" w:type="dxa"/>
            <w:vAlign w:val="bottom"/>
          </w:tcPr>
          <w:p>
            <w:pPr>
              <w:jc w:val="center"/>
              <w:ind w:right="132"/>
              <w:spacing w:after="0"/>
              <w:rPr>
                <w:sz w:val="20"/>
                <w:szCs w:val="20"/>
                <w:color w:val="auto"/>
              </w:rPr>
            </w:pPr>
            <w:r>
              <w:rPr>
                <w:rFonts w:ascii="Arial" w:cs="Arial" w:eastAsia="Arial" w:hAnsi="Arial"/>
                <w:sz w:val="10"/>
                <w:szCs w:val="10"/>
                <w:b w:val="1"/>
                <w:bCs w:val="1"/>
                <w:color w:val="auto"/>
                <w:w w:val="96"/>
              </w:rPr>
              <w:t>Fair Value</w:t>
            </w:r>
          </w:p>
        </w:tc>
      </w:tr>
      <w:tr>
        <w:trPr>
          <w:trHeight w:val="132"/>
        </w:trPr>
        <w:tc>
          <w:tcPr>
            <w:tcW w:w="5360" w:type="dxa"/>
            <w:vAlign w:val="bottom"/>
            <w:tcBorders>
              <w:bottom w:val="single" w:sz="8" w:color="D7282F"/>
            </w:tcBorders>
          </w:tcPr>
          <w:p>
            <w:pPr>
              <w:spacing w:after="0"/>
              <w:rPr>
                <w:sz w:val="11"/>
                <w:szCs w:val="11"/>
                <w:color w:val="auto"/>
              </w:rPr>
            </w:pPr>
          </w:p>
        </w:tc>
        <w:tc>
          <w:tcPr>
            <w:tcW w:w="4740" w:type="dxa"/>
            <w:vAlign w:val="bottom"/>
            <w:tcBorders>
              <w:bottom w:val="single" w:sz="8" w:color="D7282F"/>
            </w:tcBorders>
          </w:tcPr>
          <w:p>
            <w:pPr>
              <w:jc w:val="center"/>
              <w:ind w:left="3392"/>
              <w:spacing w:after="0"/>
              <w:rPr>
                <w:sz w:val="20"/>
                <w:szCs w:val="20"/>
                <w:color w:val="auto"/>
              </w:rPr>
            </w:pPr>
            <w:r>
              <w:rPr>
                <w:rFonts w:ascii="Arial" w:cs="Arial" w:eastAsia="Arial" w:hAnsi="Arial"/>
                <w:sz w:val="10"/>
                <w:szCs w:val="10"/>
                <w:b w:val="1"/>
                <w:bCs w:val="1"/>
                <w:color w:val="auto"/>
                <w:w w:val="98"/>
              </w:rPr>
              <w:t>Stock Units</w:t>
            </w:r>
          </w:p>
        </w:tc>
        <w:tc>
          <w:tcPr>
            <w:tcW w:w="280" w:type="dxa"/>
            <w:vAlign w:val="bottom"/>
            <w:tcBorders>
              <w:bottom w:val="single" w:sz="8" w:color="D7282F"/>
            </w:tcBorders>
          </w:tcPr>
          <w:p>
            <w:pPr>
              <w:spacing w:after="0"/>
              <w:rPr>
                <w:sz w:val="11"/>
                <w:szCs w:val="11"/>
                <w:color w:val="auto"/>
              </w:rPr>
            </w:pPr>
          </w:p>
        </w:tc>
        <w:tc>
          <w:tcPr>
            <w:tcW w:w="920" w:type="dxa"/>
            <w:vAlign w:val="bottom"/>
            <w:tcBorders>
              <w:bottom w:val="single" w:sz="8" w:color="D7282F"/>
            </w:tcBorders>
          </w:tcPr>
          <w:p>
            <w:pPr>
              <w:jc w:val="center"/>
              <w:ind w:right="132"/>
              <w:spacing w:after="0"/>
              <w:rPr>
                <w:sz w:val="20"/>
                <w:szCs w:val="20"/>
                <w:color w:val="auto"/>
              </w:rPr>
            </w:pPr>
            <w:r>
              <w:rPr>
                <w:rFonts w:ascii="Arial" w:cs="Arial" w:eastAsia="Arial" w:hAnsi="Arial"/>
                <w:sz w:val="10"/>
                <w:szCs w:val="10"/>
                <w:b w:val="1"/>
                <w:bCs w:val="1"/>
                <w:color w:val="auto"/>
                <w:w w:val="98"/>
              </w:rPr>
              <w:t>Per Share</w:t>
            </w:r>
          </w:p>
        </w:tc>
      </w:tr>
      <w:tr>
        <w:trPr>
          <w:trHeight w:val="124"/>
        </w:trPr>
        <w:tc>
          <w:tcPr>
            <w:tcW w:w="536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Non-vested at December 31, 2020</w:t>
            </w:r>
          </w:p>
        </w:tc>
        <w:tc>
          <w:tcPr>
            <w:tcW w:w="47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3,396,523</w:t>
            </w:r>
          </w:p>
        </w:tc>
        <w:tc>
          <w:tcPr>
            <w:tcW w:w="2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148.23</w:t>
            </w:r>
          </w:p>
        </w:tc>
      </w:tr>
      <w:tr>
        <w:trPr>
          <w:trHeight w:val="122"/>
        </w:trPr>
        <w:tc>
          <w:tcPr>
            <w:tcW w:w="536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Granted</w:t>
            </w:r>
          </w:p>
        </w:tc>
        <w:tc>
          <w:tcPr>
            <w:tcW w:w="47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992,854</w:t>
            </w:r>
          </w:p>
        </w:tc>
        <w:tc>
          <w:tcPr>
            <w:tcW w:w="280" w:type="dxa"/>
            <w:vAlign w:val="bottom"/>
            <w:tcBorders>
              <w:bottom w:val="single" w:sz="8" w:color="888B8D"/>
            </w:tcBorders>
          </w:tcPr>
          <w:p>
            <w:pPr>
              <w:spacing w:after="0"/>
              <w:rPr>
                <w:sz w:val="10"/>
                <w:szCs w:val="10"/>
                <w:color w:val="auto"/>
              </w:rPr>
            </w:pPr>
          </w:p>
        </w:tc>
        <w:tc>
          <w:tcPr>
            <w:tcW w:w="9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214.61</w:t>
            </w:r>
          </w:p>
        </w:tc>
      </w:tr>
      <w:tr>
        <w:trPr>
          <w:trHeight w:val="124"/>
        </w:trPr>
        <w:tc>
          <w:tcPr>
            <w:tcW w:w="536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Vested</w:t>
            </w:r>
          </w:p>
        </w:tc>
        <w:tc>
          <w:tcPr>
            <w:tcW w:w="47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(1,123,547)</w:t>
            </w:r>
          </w:p>
        </w:tc>
        <w:tc>
          <w:tcPr>
            <w:tcW w:w="280" w:type="dxa"/>
            <w:vAlign w:val="bottom"/>
            <w:tcBorders>
              <w:bottom w:val="single" w:sz="8" w:color="888B8D"/>
            </w:tcBorders>
          </w:tcPr>
          <w:p>
            <w:pPr>
              <w:spacing w:after="0"/>
              <w:rPr>
                <w:sz w:val="10"/>
                <w:szCs w:val="10"/>
                <w:color w:val="auto"/>
              </w:rPr>
            </w:pPr>
          </w:p>
        </w:tc>
        <w:tc>
          <w:tcPr>
            <w:tcW w:w="9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144.34</w:t>
            </w:r>
          </w:p>
        </w:tc>
      </w:tr>
      <w:tr>
        <w:trPr>
          <w:trHeight w:val="124"/>
        </w:trPr>
        <w:tc>
          <w:tcPr>
            <w:tcW w:w="536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Forfeited</w:t>
            </w:r>
          </w:p>
        </w:tc>
        <w:tc>
          <w:tcPr>
            <w:tcW w:w="47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(308,293)</w:t>
            </w:r>
          </w:p>
        </w:tc>
        <w:tc>
          <w:tcPr>
            <w:tcW w:w="28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156.74</w:t>
            </w:r>
          </w:p>
        </w:tc>
      </w:tr>
      <w:tr>
        <w:trPr>
          <w:trHeight w:val="126"/>
        </w:trPr>
        <w:tc>
          <w:tcPr>
            <w:tcW w:w="536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Non-vested at December 31, 2021</w:t>
            </w:r>
          </w:p>
        </w:tc>
        <w:tc>
          <w:tcPr>
            <w:tcW w:w="47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2,957,536</w:t>
            </w:r>
          </w:p>
        </w:tc>
        <w:tc>
          <w:tcPr>
            <w:tcW w:w="28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171.73</w:t>
            </w:r>
          </w:p>
        </w:tc>
      </w:tr>
      <w:tr>
        <w:trPr>
          <w:trHeight w:val="122"/>
        </w:trPr>
        <w:tc>
          <w:tcPr>
            <w:tcW w:w="536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Granted</w:t>
            </w:r>
          </w:p>
        </w:tc>
        <w:tc>
          <w:tcPr>
            <w:tcW w:w="47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1,056,869</w:t>
            </w:r>
          </w:p>
        </w:tc>
        <w:tc>
          <w:tcPr>
            <w:tcW w:w="280" w:type="dxa"/>
            <w:vAlign w:val="bottom"/>
            <w:tcBorders>
              <w:bottom w:val="single" w:sz="8" w:color="888B8D"/>
            </w:tcBorders>
          </w:tcPr>
          <w:p>
            <w:pPr>
              <w:spacing w:after="0"/>
              <w:rPr>
                <w:sz w:val="10"/>
                <w:szCs w:val="10"/>
                <w:color w:val="auto"/>
              </w:rPr>
            </w:pPr>
          </w:p>
        </w:tc>
        <w:tc>
          <w:tcPr>
            <w:tcW w:w="9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186.48</w:t>
            </w:r>
          </w:p>
        </w:tc>
      </w:tr>
      <w:tr>
        <w:trPr>
          <w:trHeight w:val="124"/>
        </w:trPr>
        <w:tc>
          <w:tcPr>
            <w:tcW w:w="536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Vested</w:t>
            </w:r>
          </w:p>
        </w:tc>
        <w:tc>
          <w:tcPr>
            <w:tcW w:w="47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(864,944)</w:t>
            </w:r>
          </w:p>
        </w:tc>
        <w:tc>
          <w:tcPr>
            <w:tcW w:w="280" w:type="dxa"/>
            <w:vAlign w:val="bottom"/>
            <w:tcBorders>
              <w:bottom w:val="single" w:sz="8" w:color="888B8D"/>
            </w:tcBorders>
          </w:tcPr>
          <w:p>
            <w:pPr>
              <w:spacing w:after="0"/>
              <w:rPr>
                <w:sz w:val="10"/>
                <w:szCs w:val="10"/>
                <w:color w:val="auto"/>
              </w:rPr>
            </w:pPr>
          </w:p>
        </w:tc>
        <w:tc>
          <w:tcPr>
            <w:tcW w:w="9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157.21</w:t>
            </w:r>
          </w:p>
        </w:tc>
      </w:tr>
      <w:tr>
        <w:trPr>
          <w:trHeight w:val="124"/>
        </w:trPr>
        <w:tc>
          <w:tcPr>
            <w:tcW w:w="536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Forfeited</w:t>
            </w:r>
          </w:p>
        </w:tc>
        <w:tc>
          <w:tcPr>
            <w:tcW w:w="47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(441,453)</w:t>
            </w:r>
          </w:p>
        </w:tc>
        <w:tc>
          <w:tcPr>
            <w:tcW w:w="28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177.38</w:t>
            </w:r>
          </w:p>
        </w:tc>
      </w:tr>
      <w:tr>
        <w:trPr>
          <w:trHeight w:val="126"/>
        </w:trPr>
        <w:tc>
          <w:tcPr>
            <w:tcW w:w="536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Non-vested at December 31, 2022</w:t>
            </w:r>
          </w:p>
        </w:tc>
        <w:tc>
          <w:tcPr>
            <w:tcW w:w="47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2,708,008</w:t>
            </w:r>
          </w:p>
        </w:tc>
        <w:tc>
          <w:tcPr>
            <w:tcW w:w="28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181.10</w:t>
            </w:r>
          </w:p>
        </w:tc>
      </w:tr>
      <w:tr>
        <w:trPr>
          <w:trHeight w:val="122"/>
        </w:trPr>
        <w:tc>
          <w:tcPr>
            <w:tcW w:w="536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Granted</w:t>
            </w:r>
          </w:p>
        </w:tc>
        <w:tc>
          <w:tcPr>
            <w:tcW w:w="47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1,109,307</w:t>
            </w:r>
          </w:p>
        </w:tc>
        <w:tc>
          <w:tcPr>
            <w:tcW w:w="280" w:type="dxa"/>
            <w:vAlign w:val="bottom"/>
            <w:tcBorders>
              <w:bottom w:val="single" w:sz="8" w:color="888B8D"/>
            </w:tcBorders>
          </w:tcPr>
          <w:p>
            <w:pPr>
              <w:spacing w:after="0"/>
              <w:rPr>
                <w:sz w:val="10"/>
                <w:szCs w:val="10"/>
                <w:color w:val="auto"/>
              </w:rPr>
            </w:pPr>
          </w:p>
        </w:tc>
        <w:tc>
          <w:tcPr>
            <w:tcW w:w="9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194.81</w:t>
            </w:r>
          </w:p>
        </w:tc>
      </w:tr>
      <w:tr>
        <w:trPr>
          <w:trHeight w:val="124"/>
        </w:trPr>
        <w:tc>
          <w:tcPr>
            <w:tcW w:w="536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Vested</w:t>
            </w:r>
          </w:p>
        </w:tc>
        <w:tc>
          <w:tcPr>
            <w:tcW w:w="47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(919,496)</w:t>
            </w:r>
          </w:p>
        </w:tc>
        <w:tc>
          <w:tcPr>
            <w:tcW w:w="280" w:type="dxa"/>
            <w:vAlign w:val="bottom"/>
            <w:tcBorders>
              <w:bottom w:val="single" w:sz="8" w:color="888B8D"/>
            </w:tcBorders>
          </w:tcPr>
          <w:p>
            <w:pPr>
              <w:spacing w:after="0"/>
              <w:rPr>
                <w:sz w:val="10"/>
                <w:szCs w:val="10"/>
                <w:color w:val="auto"/>
              </w:rPr>
            </w:pPr>
          </w:p>
        </w:tc>
        <w:tc>
          <w:tcPr>
            <w:tcW w:w="9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171.92</w:t>
            </w:r>
          </w:p>
        </w:tc>
      </w:tr>
      <w:tr>
        <w:trPr>
          <w:trHeight w:val="124"/>
        </w:trPr>
        <w:tc>
          <w:tcPr>
            <w:tcW w:w="536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Forfeited</w:t>
            </w:r>
          </w:p>
        </w:tc>
        <w:tc>
          <w:tcPr>
            <w:tcW w:w="47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(290,982)</w:t>
            </w:r>
          </w:p>
        </w:tc>
        <w:tc>
          <w:tcPr>
            <w:tcW w:w="28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187.13</w:t>
            </w:r>
          </w:p>
        </w:tc>
      </w:tr>
      <w:tr>
        <w:trPr>
          <w:trHeight w:val="126"/>
        </w:trPr>
        <w:tc>
          <w:tcPr>
            <w:tcW w:w="536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Non-vested at December 31, 2023</w:t>
            </w:r>
          </w:p>
        </w:tc>
        <w:tc>
          <w:tcPr>
            <w:tcW w:w="47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2,606,837</w:t>
            </w:r>
          </w:p>
        </w:tc>
        <w:tc>
          <w:tcPr>
            <w:tcW w:w="2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189.18</w:t>
            </w:r>
          </w:p>
        </w:tc>
      </w:tr>
    </w:tbl>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As of December 31, 2023, there was approximately $250 million of total unrecognized compensation cost related to non-vested RSUs granted under the Company's stock plans which is expected to be recognized over a weighted average period of 1.91 years.</w:t>
      </w:r>
    </w:p>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summarizes the impact to the Consolidated Statement of Operations from RSUs: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580" w:type="dxa"/>
            <w:vAlign w:val="bottom"/>
          </w:tcPr>
          <w:p>
            <w:pPr>
              <w:spacing w:after="0"/>
              <w:rPr>
                <w:sz w:val="11"/>
                <w:szCs w:val="11"/>
                <w:color w:val="auto"/>
              </w:rPr>
            </w:pPr>
          </w:p>
        </w:tc>
        <w:tc>
          <w:tcPr>
            <w:tcW w:w="52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1400" w:type="dxa"/>
            <w:vAlign w:val="bottom"/>
            <w:tcBorders>
              <w:bottom w:val="single" w:sz="8" w:color="D7282F"/>
            </w:tcBorders>
            <w:gridSpan w:val="3"/>
          </w:tcPr>
          <w:p>
            <w:pPr>
              <w:jc w:val="right"/>
              <w:ind w:right="92"/>
              <w:spacing w:after="0"/>
              <w:rPr>
                <w:sz w:val="20"/>
                <w:szCs w:val="20"/>
                <w:color w:val="auto"/>
              </w:rPr>
            </w:pPr>
            <w:r>
              <w:rPr>
                <w:rFonts w:ascii="Arial" w:cs="Arial" w:eastAsia="Arial" w:hAnsi="Arial"/>
                <w:sz w:val="10"/>
                <w:szCs w:val="10"/>
                <w:b w:val="1"/>
                <w:bCs w:val="1"/>
                <w:color w:val="auto"/>
                <w:w w:val="96"/>
              </w:rPr>
              <w:t>Years Ended December 31,</w:t>
            </w:r>
          </w:p>
        </w:tc>
        <w:tc>
          <w:tcPr>
            <w:tcW w:w="600" w:type="dxa"/>
            <w:vAlign w:val="bottom"/>
            <w:tcBorders>
              <w:bottom w:val="single" w:sz="8" w:color="D7282F"/>
            </w:tcBorders>
          </w:tcPr>
          <w:p>
            <w:pPr>
              <w:spacing w:after="0"/>
              <w:rPr>
                <w:sz w:val="11"/>
                <w:szCs w:val="11"/>
                <w:color w:val="auto"/>
              </w:rPr>
            </w:pPr>
          </w:p>
        </w:tc>
      </w:tr>
      <w:tr>
        <w:trPr>
          <w:trHeight w:val="160"/>
        </w:trPr>
        <w:tc>
          <w:tcPr>
            <w:tcW w:w="8580" w:type="dxa"/>
            <w:vAlign w:val="bottom"/>
            <w:tcBorders>
              <w:bottom w:val="single" w:sz="8" w:color="D7282F"/>
            </w:tcBorders>
          </w:tcPr>
          <w:p>
            <w:pPr>
              <w:spacing w:after="0"/>
              <w:rPr>
                <w:sz w:val="13"/>
                <w:szCs w:val="13"/>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2023</w:t>
            </w:r>
          </w:p>
        </w:tc>
        <w:tc>
          <w:tcPr>
            <w:tcW w:w="200" w:type="dxa"/>
            <w:vAlign w:val="bottom"/>
            <w:tcBorders>
              <w:bottom w:val="single" w:sz="8" w:color="D7282F"/>
            </w:tcBorders>
          </w:tcPr>
          <w:p>
            <w:pPr>
              <w:spacing w:after="0"/>
              <w:rPr>
                <w:sz w:val="13"/>
                <w:szCs w:val="13"/>
                <w:color w:val="auto"/>
              </w:rPr>
            </w:pPr>
          </w:p>
        </w:tc>
        <w:tc>
          <w:tcPr>
            <w:tcW w:w="42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2022</w:t>
            </w:r>
          </w:p>
        </w:tc>
        <w:tc>
          <w:tcPr>
            <w:tcW w:w="30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2021</w:t>
            </w:r>
          </w:p>
        </w:tc>
      </w:tr>
      <w:tr>
        <w:trPr>
          <w:trHeight w:val="122"/>
        </w:trPr>
        <w:tc>
          <w:tcPr>
            <w:tcW w:w="85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Compensation expense</w:t>
            </w:r>
          </w:p>
        </w:tc>
        <w:tc>
          <w:tcPr>
            <w:tcW w:w="520" w:type="dxa"/>
            <w:vAlign w:val="bottom"/>
            <w:tcBorders>
              <w:bottom w:val="single" w:sz="8" w:color="61656A"/>
            </w:tcBorders>
          </w:tcPr>
          <w:p>
            <w:pPr>
              <w:jc w:val="right"/>
              <w:ind w:right="412"/>
              <w:spacing w:after="0"/>
              <w:rPr>
                <w:sz w:val="20"/>
                <w:szCs w:val="20"/>
                <w:color w:val="auto"/>
              </w:rPr>
            </w:pPr>
            <w:r>
              <w:rPr>
                <w:rFonts w:ascii="Arial" w:cs="Arial" w:eastAsia="Arial" w:hAnsi="Arial"/>
                <w:sz w:val="10"/>
                <w:szCs w:val="10"/>
                <w:color w:val="auto"/>
                <w:w w:val="71"/>
              </w:rPr>
              <w:t>$</w:t>
            </w:r>
          </w:p>
        </w:tc>
        <w:tc>
          <w:tcPr>
            <w:tcW w:w="2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w w:val="95"/>
              </w:rPr>
              <w:t>154</w:t>
            </w:r>
          </w:p>
        </w:tc>
        <w:tc>
          <w:tcPr>
            <w:tcW w:w="42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143</w:t>
            </w:r>
          </w:p>
        </w:tc>
        <w:tc>
          <w:tcPr>
            <w:tcW w:w="3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162</w:t>
            </w:r>
          </w:p>
        </w:tc>
      </w:tr>
      <w:tr>
        <w:trPr>
          <w:trHeight w:val="124"/>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Future income tax benefit recognized</w:t>
            </w:r>
          </w:p>
        </w:tc>
        <w:tc>
          <w:tcPr>
            <w:tcW w:w="52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32</w:t>
            </w:r>
          </w:p>
        </w:tc>
        <w:tc>
          <w:tcPr>
            <w:tcW w:w="42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29</w:t>
            </w:r>
          </w:p>
        </w:tc>
        <w:tc>
          <w:tcPr>
            <w:tcW w:w="30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23</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D7282F"/>
        </w:rPr>
        <w:t>NOTE 16. EARNINGS PER SHARE</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The details of the earnings per share calculations for the years ended December 31, 2023, 2022, and 2021, are as follows (shares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580" w:type="dxa"/>
            <w:vAlign w:val="bottom"/>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560" w:type="dxa"/>
            <w:vAlign w:val="bottom"/>
            <w:tcBorders>
              <w:bottom w:val="single" w:sz="8" w:color="D7282F"/>
            </w:tcBorders>
          </w:tcPr>
          <w:p>
            <w:pPr>
              <w:spacing w:after="0"/>
              <w:rPr>
                <w:sz w:val="11"/>
                <w:szCs w:val="11"/>
                <w:color w:val="auto"/>
              </w:rPr>
            </w:pPr>
          </w:p>
        </w:tc>
        <w:tc>
          <w:tcPr>
            <w:tcW w:w="1400" w:type="dxa"/>
            <w:vAlign w:val="bottom"/>
            <w:tcBorders>
              <w:bottom w:val="single" w:sz="8" w:color="D7282F"/>
            </w:tcBorders>
            <w:gridSpan w:val="3"/>
          </w:tcPr>
          <w:p>
            <w:pPr>
              <w:jc w:val="center"/>
              <w:ind w:right="72"/>
              <w:spacing w:after="0"/>
              <w:rPr>
                <w:sz w:val="20"/>
                <w:szCs w:val="20"/>
                <w:color w:val="auto"/>
              </w:rPr>
            </w:pPr>
            <w:r>
              <w:rPr>
                <w:rFonts w:ascii="Arial" w:cs="Arial" w:eastAsia="Arial" w:hAnsi="Arial"/>
                <w:sz w:val="10"/>
                <w:szCs w:val="10"/>
                <w:b w:val="1"/>
                <w:bCs w:val="1"/>
                <w:color w:val="auto"/>
                <w:w w:val="96"/>
              </w:rPr>
              <w:t>Years Ended December 31,</w:t>
            </w:r>
          </w:p>
        </w:tc>
        <w:tc>
          <w:tcPr>
            <w:tcW w:w="600" w:type="dxa"/>
            <w:vAlign w:val="bottom"/>
            <w:tcBorders>
              <w:bottom w:val="single" w:sz="8" w:color="D7282F"/>
            </w:tcBorders>
          </w:tcPr>
          <w:p>
            <w:pPr>
              <w:spacing w:after="0"/>
              <w:rPr>
                <w:sz w:val="11"/>
                <w:szCs w:val="11"/>
                <w:color w:val="auto"/>
              </w:rPr>
            </w:pPr>
          </w:p>
        </w:tc>
      </w:tr>
      <w:tr>
        <w:trPr>
          <w:trHeight w:val="151"/>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Basic</w:t>
            </w:r>
          </w:p>
        </w:tc>
        <w:tc>
          <w:tcPr>
            <w:tcW w:w="160" w:type="dxa"/>
            <w:vAlign w:val="bottom"/>
            <w:tcBorders>
              <w:bottom w:val="single" w:sz="8" w:color="D7282F"/>
            </w:tcBorders>
          </w:tcPr>
          <w:p>
            <w:pPr>
              <w:spacing w:after="0"/>
              <w:rPr>
                <w:sz w:val="13"/>
                <w:szCs w:val="13"/>
                <w:color w:val="auto"/>
              </w:rPr>
            </w:pPr>
          </w:p>
        </w:tc>
        <w:tc>
          <w:tcPr>
            <w:tcW w:w="560" w:type="dxa"/>
            <w:vAlign w:val="bottom"/>
            <w:tcBorders>
              <w:bottom w:val="single" w:sz="8" w:color="D7282F"/>
            </w:tcBorders>
          </w:tcPr>
          <w:p>
            <w:pPr>
              <w:jc w:val="right"/>
              <w:ind w:right="192"/>
              <w:spacing w:after="0"/>
              <w:rPr>
                <w:sz w:val="20"/>
                <w:szCs w:val="20"/>
                <w:color w:val="auto"/>
              </w:rPr>
            </w:pPr>
            <w:r>
              <w:rPr>
                <w:rFonts w:ascii="Arial" w:cs="Arial" w:eastAsia="Arial" w:hAnsi="Arial"/>
                <w:sz w:val="10"/>
                <w:szCs w:val="10"/>
                <w:b w:val="1"/>
                <w:bCs w:val="1"/>
                <w:color w:val="auto"/>
              </w:rPr>
              <w:t>2023</w:t>
            </w:r>
          </w:p>
        </w:tc>
        <w:tc>
          <w:tcPr>
            <w:tcW w:w="42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jc w:val="center"/>
              <w:ind w:right="212"/>
              <w:spacing w:after="0"/>
              <w:rPr>
                <w:sz w:val="20"/>
                <w:szCs w:val="20"/>
                <w:color w:val="auto"/>
              </w:rPr>
            </w:pPr>
            <w:r>
              <w:rPr>
                <w:rFonts w:ascii="Arial" w:cs="Arial" w:eastAsia="Arial" w:hAnsi="Arial"/>
                <w:sz w:val="10"/>
                <w:szCs w:val="10"/>
                <w:b w:val="1"/>
                <w:bCs w:val="1"/>
                <w:color w:val="auto"/>
                <w:w w:val="98"/>
              </w:rPr>
              <w:t>2022</w:t>
            </w:r>
          </w:p>
        </w:tc>
        <w:tc>
          <w:tcPr>
            <w:tcW w:w="30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2021</w:t>
            </w:r>
          </w:p>
        </w:tc>
      </w:tr>
      <w:tr>
        <w:trPr>
          <w:trHeight w:val="122"/>
        </w:trPr>
        <w:tc>
          <w:tcPr>
            <w:tcW w:w="85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Net income attributable to Honeywell</w:t>
            </w:r>
          </w:p>
        </w:tc>
        <w:tc>
          <w:tcPr>
            <w:tcW w:w="16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5,658</w:t>
            </w:r>
          </w:p>
        </w:tc>
        <w:tc>
          <w:tcPr>
            <w:tcW w:w="42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4,966</w:t>
            </w:r>
          </w:p>
        </w:tc>
        <w:tc>
          <w:tcPr>
            <w:tcW w:w="3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5,542</w:t>
            </w:r>
          </w:p>
        </w:tc>
      </w:tr>
      <w:tr>
        <w:trPr>
          <w:trHeight w:val="124"/>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Weighted average shares outstanding</w:t>
            </w:r>
          </w:p>
        </w:tc>
        <w:tc>
          <w:tcPr>
            <w:tcW w:w="16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663.0</w:t>
            </w:r>
          </w:p>
        </w:tc>
        <w:tc>
          <w:tcPr>
            <w:tcW w:w="42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677.1</w:t>
            </w:r>
          </w:p>
        </w:tc>
        <w:tc>
          <w:tcPr>
            <w:tcW w:w="30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692.3</w:t>
            </w:r>
          </w:p>
        </w:tc>
      </w:tr>
      <w:tr>
        <w:trPr>
          <w:trHeight w:val="126"/>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Earnings per share of common stock—basic</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8.53</w:t>
            </w:r>
          </w:p>
        </w:tc>
        <w:tc>
          <w:tcPr>
            <w:tcW w:w="42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7.33</w:t>
            </w:r>
          </w:p>
        </w:tc>
        <w:tc>
          <w:tcPr>
            <w:tcW w:w="3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8.01</w:t>
            </w:r>
          </w:p>
        </w:tc>
      </w:tr>
      <w:tr>
        <w:trPr>
          <w:trHeight w:val="313"/>
        </w:trPr>
        <w:tc>
          <w:tcPr>
            <w:tcW w:w="8580" w:type="dxa"/>
            <w:vAlign w:val="bottom"/>
          </w:tcPr>
          <w:p>
            <w:pPr>
              <w:spacing w:after="0"/>
              <w:rPr>
                <w:sz w:val="24"/>
                <w:szCs w:val="24"/>
                <w:color w:val="auto"/>
              </w:rPr>
            </w:pPr>
          </w:p>
        </w:tc>
        <w:tc>
          <w:tcPr>
            <w:tcW w:w="160" w:type="dxa"/>
            <w:vAlign w:val="bottom"/>
            <w:tcBorders>
              <w:bottom w:val="single" w:sz="8" w:color="D7282F"/>
            </w:tcBorders>
          </w:tcPr>
          <w:p>
            <w:pPr>
              <w:spacing w:after="0"/>
              <w:rPr>
                <w:sz w:val="24"/>
                <w:szCs w:val="24"/>
                <w:color w:val="auto"/>
              </w:rPr>
            </w:pPr>
          </w:p>
        </w:tc>
        <w:tc>
          <w:tcPr>
            <w:tcW w:w="560" w:type="dxa"/>
            <w:vAlign w:val="bottom"/>
            <w:tcBorders>
              <w:bottom w:val="single" w:sz="8" w:color="D7282F"/>
            </w:tcBorders>
          </w:tcPr>
          <w:p>
            <w:pPr>
              <w:spacing w:after="0"/>
              <w:rPr>
                <w:sz w:val="24"/>
                <w:szCs w:val="24"/>
                <w:color w:val="auto"/>
              </w:rPr>
            </w:pPr>
          </w:p>
        </w:tc>
        <w:tc>
          <w:tcPr>
            <w:tcW w:w="1400" w:type="dxa"/>
            <w:vAlign w:val="bottom"/>
            <w:tcBorders>
              <w:bottom w:val="single" w:sz="8" w:color="D7282F"/>
            </w:tcBorders>
            <w:gridSpan w:val="3"/>
          </w:tcPr>
          <w:p>
            <w:pPr>
              <w:jc w:val="center"/>
              <w:ind w:right="72"/>
              <w:spacing w:after="0"/>
              <w:rPr>
                <w:sz w:val="20"/>
                <w:szCs w:val="20"/>
                <w:color w:val="auto"/>
              </w:rPr>
            </w:pPr>
            <w:r>
              <w:rPr>
                <w:rFonts w:ascii="Arial" w:cs="Arial" w:eastAsia="Arial" w:hAnsi="Arial"/>
                <w:sz w:val="10"/>
                <w:szCs w:val="10"/>
                <w:b w:val="1"/>
                <w:bCs w:val="1"/>
                <w:color w:val="auto"/>
                <w:w w:val="96"/>
              </w:rPr>
              <w:t>Years Ended December 31,</w:t>
            </w:r>
          </w:p>
        </w:tc>
        <w:tc>
          <w:tcPr>
            <w:tcW w:w="600" w:type="dxa"/>
            <w:vAlign w:val="bottom"/>
            <w:tcBorders>
              <w:bottom w:val="single" w:sz="8" w:color="D7282F"/>
            </w:tcBorders>
          </w:tcPr>
          <w:p>
            <w:pPr>
              <w:spacing w:after="0"/>
              <w:rPr>
                <w:sz w:val="24"/>
                <w:szCs w:val="24"/>
                <w:color w:val="auto"/>
              </w:rPr>
            </w:pPr>
          </w:p>
        </w:tc>
      </w:tr>
      <w:tr>
        <w:trPr>
          <w:trHeight w:val="160"/>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Assuming Dilution</w:t>
            </w:r>
          </w:p>
        </w:tc>
        <w:tc>
          <w:tcPr>
            <w:tcW w:w="160" w:type="dxa"/>
            <w:vAlign w:val="bottom"/>
            <w:tcBorders>
              <w:bottom w:val="single" w:sz="8" w:color="D7282F"/>
            </w:tcBorders>
          </w:tcPr>
          <w:p>
            <w:pPr>
              <w:spacing w:after="0"/>
              <w:rPr>
                <w:sz w:val="13"/>
                <w:szCs w:val="13"/>
                <w:color w:val="auto"/>
              </w:rPr>
            </w:pPr>
          </w:p>
        </w:tc>
        <w:tc>
          <w:tcPr>
            <w:tcW w:w="560" w:type="dxa"/>
            <w:vAlign w:val="bottom"/>
            <w:tcBorders>
              <w:bottom w:val="single" w:sz="8" w:color="D7282F"/>
            </w:tcBorders>
          </w:tcPr>
          <w:p>
            <w:pPr>
              <w:jc w:val="right"/>
              <w:ind w:right="192"/>
              <w:spacing w:after="0"/>
              <w:rPr>
                <w:sz w:val="20"/>
                <w:szCs w:val="20"/>
                <w:color w:val="auto"/>
              </w:rPr>
            </w:pPr>
            <w:r>
              <w:rPr>
                <w:rFonts w:ascii="Arial" w:cs="Arial" w:eastAsia="Arial" w:hAnsi="Arial"/>
                <w:sz w:val="10"/>
                <w:szCs w:val="10"/>
                <w:b w:val="1"/>
                <w:bCs w:val="1"/>
                <w:color w:val="auto"/>
              </w:rPr>
              <w:t>2023</w:t>
            </w:r>
          </w:p>
        </w:tc>
        <w:tc>
          <w:tcPr>
            <w:tcW w:w="42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jc w:val="center"/>
              <w:ind w:right="212"/>
              <w:spacing w:after="0"/>
              <w:rPr>
                <w:sz w:val="20"/>
                <w:szCs w:val="20"/>
                <w:color w:val="auto"/>
              </w:rPr>
            </w:pPr>
            <w:r>
              <w:rPr>
                <w:rFonts w:ascii="Arial" w:cs="Arial" w:eastAsia="Arial" w:hAnsi="Arial"/>
                <w:sz w:val="10"/>
                <w:szCs w:val="10"/>
                <w:b w:val="1"/>
                <w:bCs w:val="1"/>
                <w:color w:val="auto"/>
                <w:w w:val="98"/>
              </w:rPr>
              <w:t>2022</w:t>
            </w:r>
          </w:p>
        </w:tc>
        <w:tc>
          <w:tcPr>
            <w:tcW w:w="30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2021</w:t>
            </w:r>
          </w:p>
        </w:tc>
      </w:tr>
      <w:tr>
        <w:trPr>
          <w:trHeight w:val="122"/>
        </w:trPr>
        <w:tc>
          <w:tcPr>
            <w:tcW w:w="85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Net income attributable to Honeywell</w:t>
            </w:r>
          </w:p>
        </w:tc>
        <w:tc>
          <w:tcPr>
            <w:tcW w:w="16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5,658</w:t>
            </w:r>
          </w:p>
        </w:tc>
        <w:tc>
          <w:tcPr>
            <w:tcW w:w="42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4,966</w:t>
            </w:r>
          </w:p>
        </w:tc>
        <w:tc>
          <w:tcPr>
            <w:tcW w:w="3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5,542</w:t>
            </w:r>
          </w:p>
        </w:tc>
      </w:tr>
      <w:tr>
        <w:trPr>
          <w:trHeight w:val="126"/>
        </w:trPr>
        <w:tc>
          <w:tcPr>
            <w:tcW w:w="858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Average shares</w:t>
            </w:r>
          </w:p>
        </w:tc>
        <w:tc>
          <w:tcPr>
            <w:tcW w:w="160" w:type="dxa"/>
            <w:vAlign w:val="bottom"/>
            <w:tcBorders>
              <w:bottom w:val="single" w:sz="8" w:color="61656A"/>
            </w:tcBorders>
          </w:tcPr>
          <w:p>
            <w:pPr>
              <w:spacing w:after="0"/>
              <w:rPr>
                <w:sz w:val="10"/>
                <w:szCs w:val="10"/>
                <w:color w:val="auto"/>
              </w:rPr>
            </w:pPr>
          </w:p>
        </w:tc>
        <w:tc>
          <w:tcPr>
            <w:tcW w:w="56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spacing w:after="0"/>
              <w:rPr>
                <w:sz w:val="10"/>
                <w:szCs w:val="10"/>
                <w:color w:val="auto"/>
              </w:rPr>
            </w:pPr>
          </w:p>
        </w:tc>
        <w:tc>
          <w:tcPr>
            <w:tcW w:w="30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spacing w:after="0"/>
              <w:rPr>
                <w:sz w:val="10"/>
                <w:szCs w:val="10"/>
                <w:color w:val="auto"/>
              </w:rPr>
            </w:pPr>
          </w:p>
        </w:tc>
      </w:tr>
      <w:tr>
        <w:trPr>
          <w:trHeight w:val="122"/>
        </w:trPr>
        <w:tc>
          <w:tcPr>
            <w:tcW w:w="85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Weighted average shares outstanding</w:t>
            </w:r>
          </w:p>
        </w:tc>
        <w:tc>
          <w:tcPr>
            <w:tcW w:w="160" w:type="dxa"/>
            <w:vAlign w:val="bottom"/>
            <w:tcBorders>
              <w:bottom w:val="single" w:sz="8" w:color="61656A"/>
            </w:tcBorders>
          </w:tcPr>
          <w:p>
            <w:pPr>
              <w:spacing w:after="0"/>
              <w:rPr>
                <w:sz w:val="10"/>
                <w:szCs w:val="10"/>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663.0</w:t>
            </w:r>
          </w:p>
        </w:tc>
        <w:tc>
          <w:tcPr>
            <w:tcW w:w="42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677.1</w:t>
            </w:r>
          </w:p>
        </w:tc>
        <w:tc>
          <w:tcPr>
            <w:tcW w:w="30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692.3</w:t>
            </w:r>
          </w:p>
        </w:tc>
      </w:tr>
      <w:tr>
        <w:trPr>
          <w:trHeight w:val="124"/>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Dilutive securities issuable—stock plans</w:t>
            </w:r>
          </w:p>
        </w:tc>
        <w:tc>
          <w:tcPr>
            <w:tcW w:w="16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5.2</w:t>
            </w:r>
          </w:p>
        </w:tc>
        <w:tc>
          <w:tcPr>
            <w:tcW w:w="42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6.0</w:t>
            </w:r>
          </w:p>
        </w:tc>
        <w:tc>
          <w:tcPr>
            <w:tcW w:w="30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8.1</w:t>
            </w:r>
          </w:p>
        </w:tc>
      </w:tr>
      <w:tr>
        <w:trPr>
          <w:trHeight w:val="126"/>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weighted average diluted shares outstanding</w:t>
            </w:r>
          </w:p>
        </w:tc>
        <w:tc>
          <w:tcPr>
            <w:tcW w:w="16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668.2</w:t>
            </w:r>
          </w:p>
        </w:tc>
        <w:tc>
          <w:tcPr>
            <w:tcW w:w="42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683.1</w:t>
            </w:r>
          </w:p>
        </w:tc>
        <w:tc>
          <w:tcPr>
            <w:tcW w:w="30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700.4</w:t>
            </w:r>
          </w:p>
        </w:tc>
      </w:tr>
      <w:tr>
        <w:trPr>
          <w:trHeight w:val="124"/>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Earnings per share of common stock—assuming dilution</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8.47</w:t>
            </w:r>
          </w:p>
        </w:tc>
        <w:tc>
          <w:tcPr>
            <w:tcW w:w="42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7.27</w:t>
            </w:r>
          </w:p>
        </w:tc>
        <w:tc>
          <w:tcPr>
            <w:tcW w:w="3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7.91</w:t>
            </w:r>
          </w:p>
        </w:tc>
      </w:tr>
    </w:tbl>
    <w:p>
      <w:pPr>
        <w:spacing w:after="0" w:line="338"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D7282F"/>
        </w:rPr>
        <w:t>91</w:t>
      </w:r>
      <w:r>
        <w:rPr>
          <w:sz w:val="20"/>
          <w:szCs w:val="20"/>
          <w:color w:val="auto"/>
        </w:rPr>
        <w:tab/>
      </w:r>
      <w:r>
        <w:rPr>
          <w:rFonts w:ascii="Arial" w:cs="Arial" w:eastAsia="Arial" w:hAnsi="Arial"/>
          <w:sz w:val="8"/>
          <w:szCs w:val="8"/>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90805</wp:posOffset>
            </wp:positionV>
            <wp:extent cx="7203440" cy="36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93" w:name="page94"/>
    <w:bookmarkEnd w:id="93"/>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ind w:right="20"/>
        <w:spacing w:after="0" w:line="268" w:lineRule="auto"/>
        <w:rPr>
          <w:sz w:val="20"/>
          <w:szCs w:val="20"/>
          <w:color w:val="auto"/>
        </w:rPr>
      </w:pPr>
      <w:r>
        <w:rPr>
          <w:rFonts w:ascii="Arial" w:cs="Arial" w:eastAsia="Arial" w:hAnsi="Arial"/>
          <w:sz w:val="11"/>
          <w:szCs w:val="11"/>
          <w:color w:val="auto"/>
        </w:rPr>
        <w:t>The diluted earnings per share calculations exclude the effect of stock options when the cost to exercise an option exceeds the average market price of the common shares during the period. In 2023, 2022, and 2021, the weighted average number of stock options excluded from the computations was 4.5 million, 3.5 million, and 1.7 million, respectively. These stock options were outstanding at the end of each of the respective periods.</w:t>
      </w:r>
    </w:p>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As of December 31, 2023, and 2022, the total shares outstanding were 651.8 million and 667.6 million, respectively, and as of December 31, 2023, and 2022, total shares issued were 957.6 million.</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D7282F"/>
        </w:rPr>
        <w:t>NOTE 17. ACCUMULATED OTHER COMPREHENSIVE INCOME (LOSS)</w:t>
      </w:r>
    </w:p>
    <w:p>
      <w:pPr>
        <w:spacing w:after="0" w:line="163" w:lineRule="exact"/>
        <w:rPr>
          <w:sz w:val="20"/>
          <w:szCs w:val="20"/>
          <w:color w:val="auto"/>
        </w:rPr>
      </w:pPr>
    </w:p>
    <w:p>
      <w:pPr>
        <w:spacing w:after="0"/>
        <w:rPr>
          <w:sz w:val="20"/>
          <w:szCs w:val="20"/>
          <w:color w:val="auto"/>
        </w:rPr>
      </w:pPr>
      <w:r>
        <w:rPr>
          <w:rFonts w:ascii="Arial" w:cs="Arial" w:eastAsia="Arial" w:hAnsi="Arial"/>
          <w:sz w:val="11"/>
          <w:szCs w:val="11"/>
          <w:color w:val="auto"/>
        </w:rPr>
        <w:t>The changes in Accumulated other comprehensive income (loss) are provided in the tables below. Comprehensive income (loss) attributable to noncontrolling interest consists predominantly of net income.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500" w:type="dxa"/>
            <w:vAlign w:val="bottom"/>
            <w:tcBorders>
              <w:bottom w:val="single" w:sz="8" w:color="D7282F"/>
            </w:tcBorders>
          </w:tcPr>
          <w:p>
            <w:pPr>
              <w:spacing w:after="0"/>
              <w:rPr>
                <w:sz w:val="11"/>
                <w:szCs w:val="11"/>
                <w:color w:val="auto"/>
              </w:rPr>
            </w:pPr>
          </w:p>
        </w:tc>
        <w:tc>
          <w:tcPr>
            <w:tcW w:w="33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Pre-tax</w:t>
            </w:r>
          </w:p>
        </w:tc>
        <w:tc>
          <w:tcPr>
            <w:tcW w:w="360" w:type="dxa"/>
            <w:vAlign w:val="bottom"/>
            <w:tcBorders>
              <w:bottom w:val="single" w:sz="8" w:color="D7282F"/>
            </w:tcBorders>
          </w:tcPr>
          <w:p>
            <w:pPr>
              <w:spacing w:after="0"/>
              <w:rPr>
                <w:sz w:val="11"/>
                <w:szCs w:val="11"/>
                <w:color w:val="auto"/>
              </w:rPr>
            </w:pPr>
          </w:p>
        </w:tc>
        <w:tc>
          <w:tcPr>
            <w:tcW w:w="72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Tax</w:t>
            </w:r>
          </w:p>
        </w:tc>
        <w:tc>
          <w:tcPr>
            <w:tcW w:w="400" w:type="dxa"/>
            <w:vAlign w:val="bottom"/>
            <w:tcBorders>
              <w:bottom w:val="single" w:sz="8" w:color="D7282F"/>
            </w:tcBorders>
          </w:tcPr>
          <w:p>
            <w:pPr>
              <w:spacing w:after="0"/>
              <w:rPr>
                <w:sz w:val="11"/>
                <w:szCs w:val="11"/>
                <w:color w:val="auto"/>
              </w:rPr>
            </w:pPr>
          </w:p>
        </w:tc>
        <w:tc>
          <w:tcPr>
            <w:tcW w:w="260" w:type="dxa"/>
            <w:vAlign w:val="bottom"/>
            <w:tcBorders>
              <w:bottom w:val="single" w:sz="8" w:color="D7282F"/>
            </w:tcBorders>
          </w:tcPr>
          <w:p>
            <w:pPr>
              <w:spacing w:after="0"/>
              <w:rPr>
                <w:sz w:val="11"/>
                <w:szCs w:val="11"/>
                <w:color w:val="auto"/>
              </w:rPr>
            </w:pPr>
          </w:p>
        </w:tc>
        <w:tc>
          <w:tcPr>
            <w:tcW w:w="740" w:type="dxa"/>
            <w:vAlign w:val="bottom"/>
            <w:tcBorders>
              <w:bottom w:val="single" w:sz="8" w:color="D7282F"/>
            </w:tcBorders>
          </w:tcPr>
          <w:p>
            <w:pPr>
              <w:jc w:val="right"/>
              <w:ind w:right="192"/>
              <w:spacing w:after="0"/>
              <w:rPr>
                <w:sz w:val="20"/>
                <w:szCs w:val="20"/>
                <w:color w:val="auto"/>
              </w:rPr>
            </w:pPr>
            <w:r>
              <w:rPr>
                <w:rFonts w:ascii="Arial" w:cs="Arial" w:eastAsia="Arial" w:hAnsi="Arial"/>
                <w:sz w:val="10"/>
                <w:szCs w:val="10"/>
                <w:b w:val="1"/>
                <w:bCs w:val="1"/>
                <w:color w:val="auto"/>
              </w:rPr>
              <w:t>After-Tax</w:t>
            </w:r>
          </w:p>
        </w:tc>
      </w:tr>
      <w:tr>
        <w:trPr>
          <w:trHeight w:val="124"/>
        </w:trPr>
        <w:tc>
          <w:tcPr>
            <w:tcW w:w="550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Year Ended December 31, 2023</w:t>
            </w:r>
          </w:p>
        </w:tc>
        <w:tc>
          <w:tcPr>
            <w:tcW w:w="332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spacing w:after="0"/>
              <w:rPr>
                <w:sz w:val="10"/>
                <w:szCs w:val="10"/>
                <w:color w:val="auto"/>
              </w:rPr>
            </w:pPr>
          </w:p>
        </w:tc>
        <w:tc>
          <w:tcPr>
            <w:tcW w:w="72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26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spacing w:after="0"/>
              <w:rPr>
                <w:sz w:val="10"/>
                <w:szCs w:val="10"/>
                <w:color w:val="auto"/>
              </w:rPr>
            </w:pPr>
          </w:p>
        </w:tc>
      </w:tr>
      <w:tr>
        <w:trPr>
          <w:trHeight w:val="122"/>
        </w:trPr>
        <w:tc>
          <w:tcPr>
            <w:tcW w:w="55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Foreign exchange translation adjustment</w:t>
            </w:r>
          </w:p>
        </w:tc>
        <w:tc>
          <w:tcPr>
            <w:tcW w:w="3320" w:type="dxa"/>
            <w:vAlign w:val="bottom"/>
            <w:tcBorders>
              <w:bottom w:val="single" w:sz="8" w:color="888B8D"/>
            </w:tcBorders>
          </w:tcPr>
          <w:p>
            <w:pPr>
              <w:jc w:val="right"/>
              <w:ind w:right="51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w w:val="94"/>
              </w:rPr>
              <w:t>(269)</w:t>
            </w:r>
          </w:p>
        </w:tc>
        <w:tc>
          <w:tcPr>
            <w:tcW w:w="720" w:type="dxa"/>
            <w:vAlign w:val="bottom"/>
            <w:tcBorders>
              <w:bottom w:val="single" w:sz="8" w:color="888B8D"/>
            </w:tcBorders>
          </w:tcPr>
          <w:p>
            <w:pPr>
              <w:jc w:val="right"/>
              <w:ind w:right="49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(269)</w:t>
            </w:r>
          </w:p>
        </w:tc>
      </w:tr>
      <w:tr>
        <w:trPr>
          <w:trHeight w:val="124"/>
        </w:trPr>
        <w:tc>
          <w:tcPr>
            <w:tcW w:w="55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Pension and other postretirement benefit adjustments</w:t>
            </w:r>
          </w:p>
        </w:tc>
        <w:tc>
          <w:tcPr>
            <w:tcW w:w="332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w w:val="94"/>
              </w:rPr>
              <w:t>(538)</w:t>
            </w:r>
          </w:p>
        </w:tc>
        <w:tc>
          <w:tcPr>
            <w:tcW w:w="72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131</w:t>
            </w:r>
          </w:p>
        </w:tc>
        <w:tc>
          <w:tcPr>
            <w:tcW w:w="2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(407)</w:t>
            </w:r>
          </w:p>
        </w:tc>
      </w:tr>
      <w:tr>
        <w:trPr>
          <w:trHeight w:val="124"/>
        </w:trPr>
        <w:tc>
          <w:tcPr>
            <w:tcW w:w="55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Changes in fair value of available for sale investments</w:t>
            </w:r>
          </w:p>
        </w:tc>
        <w:tc>
          <w:tcPr>
            <w:tcW w:w="332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5</w:t>
            </w:r>
          </w:p>
        </w:tc>
        <w:tc>
          <w:tcPr>
            <w:tcW w:w="72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w:t>
            </w:r>
          </w:p>
        </w:tc>
      </w:tr>
      <w:tr>
        <w:trPr>
          <w:trHeight w:val="124"/>
        </w:trPr>
        <w:tc>
          <w:tcPr>
            <w:tcW w:w="550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Changes in fair value of cash flow hedges</w:t>
            </w:r>
          </w:p>
        </w:tc>
        <w:tc>
          <w:tcPr>
            <w:tcW w:w="332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17</w:t>
            </w:r>
          </w:p>
        </w:tc>
        <w:tc>
          <w:tcPr>
            <w:tcW w:w="72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(6)</w:t>
            </w:r>
          </w:p>
        </w:tc>
        <w:tc>
          <w:tcPr>
            <w:tcW w:w="26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11</w:t>
            </w:r>
          </w:p>
        </w:tc>
      </w:tr>
      <w:tr>
        <w:trPr>
          <w:trHeight w:val="126"/>
        </w:trPr>
        <w:tc>
          <w:tcPr>
            <w:tcW w:w="550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net current period other comprehensive income (loss)</w:t>
            </w:r>
          </w:p>
        </w:tc>
        <w:tc>
          <w:tcPr>
            <w:tcW w:w="3320" w:type="dxa"/>
            <w:vAlign w:val="bottom"/>
            <w:tcBorders>
              <w:bottom w:val="single" w:sz="8" w:color="D7282F"/>
            </w:tcBorders>
          </w:tcPr>
          <w:p>
            <w:pPr>
              <w:jc w:val="right"/>
              <w:ind w:right="512"/>
              <w:spacing w:after="0"/>
              <w:rPr>
                <w:sz w:val="20"/>
                <w:szCs w:val="20"/>
                <w:color w:val="auto"/>
              </w:rPr>
            </w:pPr>
            <w:r>
              <w:rPr>
                <w:rFonts w:ascii="Arial" w:cs="Arial" w:eastAsia="Arial" w:hAnsi="Arial"/>
                <w:sz w:val="10"/>
                <w:szCs w:val="10"/>
                <w:b w:val="1"/>
                <w:bCs w:val="1"/>
                <w:color w:val="auto"/>
              </w:rPr>
              <w:t>$</w:t>
            </w:r>
          </w:p>
        </w:tc>
        <w:tc>
          <w:tcPr>
            <w:tcW w:w="3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w w:val="94"/>
              </w:rPr>
              <w:t>(785)</w:t>
            </w:r>
          </w:p>
        </w:tc>
        <w:tc>
          <w:tcPr>
            <w:tcW w:w="720" w:type="dxa"/>
            <w:vAlign w:val="bottom"/>
            <w:tcBorders>
              <w:bottom w:val="single" w:sz="8" w:color="D7282F"/>
            </w:tcBorders>
          </w:tcPr>
          <w:p>
            <w:pPr>
              <w:jc w:val="right"/>
              <w:ind w:right="49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125</w:t>
            </w:r>
          </w:p>
        </w:tc>
        <w:tc>
          <w:tcPr>
            <w:tcW w:w="26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(660)</w:t>
            </w:r>
          </w:p>
        </w:tc>
      </w:tr>
      <w:tr>
        <w:trPr>
          <w:trHeight w:val="124"/>
        </w:trPr>
        <w:tc>
          <w:tcPr>
            <w:tcW w:w="550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Year Ended December 31, 2022</w:t>
            </w:r>
          </w:p>
        </w:tc>
        <w:tc>
          <w:tcPr>
            <w:tcW w:w="332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spacing w:after="0"/>
              <w:rPr>
                <w:sz w:val="10"/>
                <w:szCs w:val="10"/>
                <w:color w:val="auto"/>
              </w:rPr>
            </w:pPr>
          </w:p>
        </w:tc>
        <w:tc>
          <w:tcPr>
            <w:tcW w:w="72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26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spacing w:after="0"/>
              <w:rPr>
                <w:sz w:val="10"/>
                <w:szCs w:val="10"/>
                <w:color w:val="auto"/>
              </w:rPr>
            </w:pPr>
          </w:p>
        </w:tc>
      </w:tr>
      <w:tr>
        <w:trPr>
          <w:trHeight w:val="122"/>
        </w:trPr>
        <w:tc>
          <w:tcPr>
            <w:tcW w:w="55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Foreign exchange translation adjustment</w:t>
            </w:r>
          </w:p>
        </w:tc>
        <w:tc>
          <w:tcPr>
            <w:tcW w:w="3320" w:type="dxa"/>
            <w:vAlign w:val="bottom"/>
            <w:tcBorders>
              <w:bottom w:val="single" w:sz="8" w:color="888B8D"/>
            </w:tcBorders>
          </w:tcPr>
          <w:p>
            <w:pPr>
              <w:jc w:val="right"/>
              <w:ind w:right="51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w w:val="94"/>
              </w:rPr>
              <w:t>(354)</w:t>
            </w:r>
          </w:p>
        </w:tc>
        <w:tc>
          <w:tcPr>
            <w:tcW w:w="720" w:type="dxa"/>
            <w:vAlign w:val="bottom"/>
            <w:tcBorders>
              <w:bottom w:val="single" w:sz="8" w:color="888B8D"/>
            </w:tcBorders>
          </w:tcPr>
          <w:p>
            <w:pPr>
              <w:jc w:val="right"/>
              <w:ind w:right="49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(354)</w:t>
            </w:r>
          </w:p>
        </w:tc>
      </w:tr>
      <w:tr>
        <w:trPr>
          <w:trHeight w:val="124"/>
        </w:trPr>
        <w:tc>
          <w:tcPr>
            <w:tcW w:w="55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Pension and other postretirement benefit adjustments</w:t>
            </w:r>
          </w:p>
        </w:tc>
        <w:tc>
          <w:tcPr>
            <w:tcW w:w="332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w w:val="94"/>
              </w:rPr>
              <w:t>(280)</w:t>
            </w:r>
          </w:p>
        </w:tc>
        <w:tc>
          <w:tcPr>
            <w:tcW w:w="72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47</w:t>
            </w:r>
          </w:p>
        </w:tc>
        <w:tc>
          <w:tcPr>
            <w:tcW w:w="2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(233)</w:t>
            </w:r>
          </w:p>
        </w:tc>
      </w:tr>
      <w:tr>
        <w:trPr>
          <w:trHeight w:val="124"/>
        </w:trPr>
        <w:tc>
          <w:tcPr>
            <w:tcW w:w="55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Changes in fair value of available for sale investments</w:t>
            </w:r>
          </w:p>
        </w:tc>
        <w:tc>
          <w:tcPr>
            <w:tcW w:w="332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(8)</w:t>
            </w:r>
          </w:p>
        </w:tc>
        <w:tc>
          <w:tcPr>
            <w:tcW w:w="72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(8)</w:t>
            </w:r>
          </w:p>
        </w:tc>
      </w:tr>
      <w:tr>
        <w:trPr>
          <w:trHeight w:val="124"/>
        </w:trPr>
        <w:tc>
          <w:tcPr>
            <w:tcW w:w="550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Changes in fair value of cash flow hedges</w:t>
            </w:r>
          </w:p>
        </w:tc>
        <w:tc>
          <w:tcPr>
            <w:tcW w:w="332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9</w:t>
            </w:r>
          </w:p>
        </w:tc>
        <w:tc>
          <w:tcPr>
            <w:tcW w:w="72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6</w:t>
            </w:r>
          </w:p>
        </w:tc>
        <w:tc>
          <w:tcPr>
            <w:tcW w:w="26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15</w:t>
            </w:r>
          </w:p>
        </w:tc>
      </w:tr>
      <w:tr>
        <w:trPr>
          <w:trHeight w:val="126"/>
        </w:trPr>
        <w:tc>
          <w:tcPr>
            <w:tcW w:w="5500" w:type="dxa"/>
            <w:vAlign w:val="bottom"/>
            <w:tcBorders>
              <w:bottom w:val="single" w:sz="8" w:color="D7282F"/>
            </w:tcBorders>
          </w:tcPr>
          <w:p>
            <w:pPr>
              <w:ind w:left="100"/>
              <w:spacing w:after="0"/>
              <w:rPr>
                <w:sz w:val="20"/>
                <w:szCs w:val="20"/>
                <w:color w:val="auto"/>
              </w:rPr>
            </w:pPr>
            <w:r>
              <w:rPr>
                <w:rFonts w:ascii="Arial" w:cs="Arial" w:eastAsia="Arial" w:hAnsi="Arial"/>
                <w:sz w:val="10"/>
                <w:szCs w:val="10"/>
                <w:b w:val="1"/>
                <w:bCs w:val="1"/>
                <w:color w:val="auto"/>
              </w:rPr>
              <w:t>Total net current period other comprehensive income (loss)</w:t>
            </w:r>
          </w:p>
        </w:tc>
        <w:tc>
          <w:tcPr>
            <w:tcW w:w="3320" w:type="dxa"/>
            <w:vAlign w:val="bottom"/>
            <w:tcBorders>
              <w:bottom w:val="single" w:sz="8" w:color="D7282F"/>
            </w:tcBorders>
          </w:tcPr>
          <w:p>
            <w:pPr>
              <w:jc w:val="right"/>
              <w:ind w:right="512"/>
              <w:spacing w:after="0"/>
              <w:rPr>
                <w:sz w:val="20"/>
                <w:szCs w:val="20"/>
                <w:color w:val="auto"/>
              </w:rPr>
            </w:pPr>
            <w:r>
              <w:rPr>
                <w:rFonts w:ascii="Arial" w:cs="Arial" w:eastAsia="Arial" w:hAnsi="Arial"/>
                <w:sz w:val="10"/>
                <w:szCs w:val="10"/>
                <w:b w:val="1"/>
                <w:bCs w:val="1"/>
                <w:color w:val="auto"/>
              </w:rPr>
              <w:t>$</w:t>
            </w:r>
          </w:p>
        </w:tc>
        <w:tc>
          <w:tcPr>
            <w:tcW w:w="3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w w:val="94"/>
              </w:rPr>
              <w:t>(633)</w:t>
            </w:r>
          </w:p>
        </w:tc>
        <w:tc>
          <w:tcPr>
            <w:tcW w:w="720" w:type="dxa"/>
            <w:vAlign w:val="bottom"/>
            <w:tcBorders>
              <w:bottom w:val="single" w:sz="8" w:color="D7282F"/>
            </w:tcBorders>
          </w:tcPr>
          <w:p>
            <w:pPr>
              <w:jc w:val="right"/>
              <w:ind w:right="49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53</w:t>
            </w:r>
          </w:p>
        </w:tc>
        <w:tc>
          <w:tcPr>
            <w:tcW w:w="26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(580)</w:t>
            </w:r>
          </w:p>
        </w:tc>
      </w:tr>
      <w:tr>
        <w:trPr>
          <w:trHeight w:val="124"/>
        </w:trPr>
        <w:tc>
          <w:tcPr>
            <w:tcW w:w="550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Year Ended December 31, 2021</w:t>
            </w:r>
          </w:p>
        </w:tc>
        <w:tc>
          <w:tcPr>
            <w:tcW w:w="332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spacing w:after="0"/>
              <w:rPr>
                <w:sz w:val="10"/>
                <w:szCs w:val="10"/>
                <w:color w:val="auto"/>
              </w:rPr>
            </w:pPr>
          </w:p>
        </w:tc>
        <w:tc>
          <w:tcPr>
            <w:tcW w:w="72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26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spacing w:after="0"/>
              <w:rPr>
                <w:sz w:val="10"/>
                <w:szCs w:val="10"/>
                <w:color w:val="auto"/>
              </w:rPr>
            </w:pPr>
          </w:p>
        </w:tc>
      </w:tr>
      <w:tr>
        <w:trPr>
          <w:trHeight w:val="122"/>
        </w:trPr>
        <w:tc>
          <w:tcPr>
            <w:tcW w:w="55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Foreign exchange translation adjustment</w:t>
            </w:r>
          </w:p>
        </w:tc>
        <w:tc>
          <w:tcPr>
            <w:tcW w:w="3320" w:type="dxa"/>
            <w:vAlign w:val="bottom"/>
            <w:tcBorders>
              <w:bottom w:val="single" w:sz="8" w:color="888B8D"/>
            </w:tcBorders>
          </w:tcPr>
          <w:p>
            <w:pPr>
              <w:jc w:val="right"/>
              <w:ind w:right="51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302</w:t>
            </w:r>
          </w:p>
        </w:tc>
        <w:tc>
          <w:tcPr>
            <w:tcW w:w="720" w:type="dxa"/>
            <w:vAlign w:val="bottom"/>
            <w:tcBorders>
              <w:bottom w:val="single" w:sz="8" w:color="888B8D"/>
            </w:tcBorders>
          </w:tcPr>
          <w:p>
            <w:pPr>
              <w:jc w:val="right"/>
              <w:ind w:right="49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302</w:t>
            </w:r>
          </w:p>
        </w:tc>
      </w:tr>
      <w:tr>
        <w:trPr>
          <w:trHeight w:val="124"/>
        </w:trPr>
        <w:tc>
          <w:tcPr>
            <w:tcW w:w="55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Pension and other postretirement benefit adjustments</w:t>
            </w:r>
          </w:p>
        </w:tc>
        <w:tc>
          <w:tcPr>
            <w:tcW w:w="332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245</w:t>
            </w:r>
          </w:p>
        </w:tc>
        <w:tc>
          <w:tcPr>
            <w:tcW w:w="72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(59)</w:t>
            </w:r>
          </w:p>
        </w:tc>
        <w:tc>
          <w:tcPr>
            <w:tcW w:w="2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186</w:t>
            </w:r>
          </w:p>
        </w:tc>
      </w:tr>
      <w:tr>
        <w:trPr>
          <w:trHeight w:val="124"/>
        </w:trPr>
        <w:tc>
          <w:tcPr>
            <w:tcW w:w="55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Changes in fair value of available for sale investments</w:t>
            </w:r>
          </w:p>
        </w:tc>
        <w:tc>
          <w:tcPr>
            <w:tcW w:w="332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(3)</w:t>
            </w:r>
          </w:p>
        </w:tc>
        <w:tc>
          <w:tcPr>
            <w:tcW w:w="72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w:t>
            </w:r>
          </w:p>
        </w:tc>
      </w:tr>
      <w:tr>
        <w:trPr>
          <w:trHeight w:val="124"/>
        </w:trPr>
        <w:tc>
          <w:tcPr>
            <w:tcW w:w="550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Changes in fair value of cash flow hedges</w:t>
            </w:r>
          </w:p>
        </w:tc>
        <w:tc>
          <w:tcPr>
            <w:tcW w:w="332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(4)</w:t>
            </w:r>
          </w:p>
        </w:tc>
        <w:tc>
          <w:tcPr>
            <w:tcW w:w="72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1</w:t>
            </w:r>
          </w:p>
        </w:tc>
        <w:tc>
          <w:tcPr>
            <w:tcW w:w="26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w:t>
            </w:r>
          </w:p>
        </w:tc>
      </w:tr>
      <w:tr>
        <w:trPr>
          <w:trHeight w:val="126"/>
        </w:trPr>
        <w:tc>
          <w:tcPr>
            <w:tcW w:w="550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net current period other comprehensive income (loss)</w:t>
            </w:r>
          </w:p>
        </w:tc>
        <w:tc>
          <w:tcPr>
            <w:tcW w:w="3320" w:type="dxa"/>
            <w:vAlign w:val="bottom"/>
            <w:tcBorders>
              <w:bottom w:val="single" w:sz="8" w:color="D7282F"/>
            </w:tcBorders>
          </w:tcPr>
          <w:p>
            <w:pPr>
              <w:jc w:val="right"/>
              <w:ind w:right="512"/>
              <w:spacing w:after="0"/>
              <w:rPr>
                <w:sz w:val="20"/>
                <w:szCs w:val="20"/>
                <w:color w:val="auto"/>
              </w:rPr>
            </w:pPr>
            <w:r>
              <w:rPr>
                <w:rFonts w:ascii="Arial" w:cs="Arial" w:eastAsia="Arial" w:hAnsi="Arial"/>
                <w:sz w:val="10"/>
                <w:szCs w:val="10"/>
                <w:b w:val="1"/>
                <w:bCs w:val="1"/>
                <w:color w:val="auto"/>
              </w:rPr>
              <w:t>$</w:t>
            </w: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540</w:t>
            </w:r>
          </w:p>
        </w:tc>
        <w:tc>
          <w:tcPr>
            <w:tcW w:w="720" w:type="dxa"/>
            <w:vAlign w:val="bottom"/>
            <w:tcBorders>
              <w:bottom w:val="single" w:sz="8" w:color="D7282F"/>
            </w:tcBorders>
          </w:tcPr>
          <w:p>
            <w:pPr>
              <w:jc w:val="right"/>
              <w:ind w:right="49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(58)</w:t>
            </w:r>
          </w:p>
        </w:tc>
        <w:tc>
          <w:tcPr>
            <w:tcW w:w="26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482</w:t>
            </w:r>
          </w:p>
        </w:tc>
      </w:tr>
    </w:tbl>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ACCUMULATED OTHER COMPREHENSIVE INCOME (LOSS)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9560" w:type="dxa"/>
            <w:vAlign w:val="bottom"/>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1060" w:type="dxa"/>
            <w:vAlign w:val="bottom"/>
            <w:tcBorders>
              <w:bottom w:val="single" w:sz="8" w:color="D7282F"/>
            </w:tcBorders>
            <w:gridSpan w:val="2"/>
          </w:tcPr>
          <w:p>
            <w:pPr>
              <w:jc w:val="right"/>
              <w:spacing w:after="0"/>
              <w:rPr>
                <w:sz w:val="20"/>
                <w:szCs w:val="20"/>
                <w:color w:val="auto"/>
              </w:rPr>
            </w:pPr>
            <w:r>
              <w:rPr>
                <w:rFonts w:ascii="Arial" w:cs="Arial" w:eastAsia="Arial" w:hAnsi="Arial"/>
                <w:sz w:val="10"/>
                <w:szCs w:val="10"/>
                <w:b w:val="1"/>
                <w:bCs w:val="1"/>
                <w:color w:val="auto"/>
              </w:rPr>
              <w:t>December 31,</w:t>
            </w:r>
          </w:p>
        </w:tc>
        <w:tc>
          <w:tcPr>
            <w:tcW w:w="520" w:type="dxa"/>
            <w:vAlign w:val="bottom"/>
            <w:tcBorders>
              <w:bottom w:val="single" w:sz="8" w:color="D7282F"/>
            </w:tcBorders>
          </w:tcPr>
          <w:p>
            <w:pPr>
              <w:spacing w:after="0"/>
              <w:rPr>
                <w:sz w:val="11"/>
                <w:szCs w:val="11"/>
                <w:color w:val="auto"/>
              </w:rPr>
            </w:pPr>
          </w:p>
        </w:tc>
      </w:tr>
      <w:tr>
        <w:trPr>
          <w:trHeight w:val="151"/>
        </w:trPr>
        <w:tc>
          <w:tcPr>
            <w:tcW w:w="9560" w:type="dxa"/>
            <w:vAlign w:val="bottom"/>
            <w:tcBorders>
              <w:bottom w:val="single" w:sz="8" w:color="D7282F"/>
            </w:tcBorders>
          </w:tcPr>
          <w:p>
            <w:pPr>
              <w:spacing w:after="0"/>
              <w:rPr>
                <w:sz w:val="13"/>
                <w:szCs w:val="13"/>
                <w:color w:val="auto"/>
              </w:rPr>
            </w:pPr>
          </w:p>
        </w:tc>
        <w:tc>
          <w:tcPr>
            <w:tcW w:w="160" w:type="dxa"/>
            <w:vAlign w:val="bottom"/>
            <w:tcBorders>
              <w:bottom w:val="single" w:sz="8" w:color="D7282F"/>
            </w:tcBorders>
          </w:tcPr>
          <w:p>
            <w:pPr>
              <w:spacing w:after="0"/>
              <w:rPr>
                <w:sz w:val="13"/>
                <w:szCs w:val="13"/>
                <w:color w:val="auto"/>
              </w:rPr>
            </w:pPr>
          </w:p>
        </w:tc>
        <w:tc>
          <w:tcPr>
            <w:tcW w:w="70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2023</w:t>
            </w:r>
          </w:p>
        </w:tc>
        <w:tc>
          <w:tcPr>
            <w:tcW w:w="360" w:type="dxa"/>
            <w:vAlign w:val="bottom"/>
            <w:tcBorders>
              <w:bottom w:val="single" w:sz="8" w:color="D7282F"/>
            </w:tcBorders>
          </w:tcPr>
          <w:p>
            <w:pPr>
              <w:spacing w:after="0"/>
              <w:rPr>
                <w:sz w:val="13"/>
                <w:szCs w:val="13"/>
                <w:color w:val="auto"/>
              </w:rPr>
            </w:pPr>
          </w:p>
        </w:tc>
        <w:tc>
          <w:tcPr>
            <w:tcW w:w="52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w w:val="98"/>
              </w:rPr>
              <w:t>2022</w:t>
            </w:r>
          </w:p>
        </w:tc>
      </w:tr>
      <w:tr>
        <w:trPr>
          <w:trHeight w:val="122"/>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Cumulative foreign exchange translation adjustment</w:t>
            </w:r>
          </w:p>
        </w:tc>
        <w:tc>
          <w:tcPr>
            <w:tcW w:w="16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(3,101)</w:t>
            </w:r>
          </w:p>
        </w:tc>
        <w:tc>
          <w:tcPr>
            <w:tcW w:w="36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(2,832)</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Pension and other postretirement benefit adjustments</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(1,055)</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(648)</w:t>
            </w:r>
          </w:p>
        </w:tc>
      </w:tr>
      <w:tr>
        <w:trPr>
          <w:trHeight w:val="124"/>
        </w:trPr>
        <w:tc>
          <w:tcPr>
            <w:tcW w:w="95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Fair value adjustments of available for sale investments</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(2)</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w:t>
            </w:r>
          </w:p>
        </w:tc>
      </w:tr>
      <w:tr>
        <w:trPr>
          <w:trHeight w:val="124"/>
        </w:trPr>
        <w:tc>
          <w:tcPr>
            <w:tcW w:w="95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Fair value adjustments of cash flow hedges</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23</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12</w:t>
            </w:r>
          </w:p>
        </w:tc>
      </w:tr>
      <w:tr>
        <w:trPr>
          <w:trHeight w:val="126"/>
        </w:trPr>
        <w:tc>
          <w:tcPr>
            <w:tcW w:w="956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Accumulated other comprehensive income (loss)</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(4,135)</w:t>
            </w:r>
          </w:p>
        </w:tc>
        <w:tc>
          <w:tcPr>
            <w:tcW w:w="36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(3,475)</w:t>
            </w:r>
          </w:p>
        </w:tc>
      </w:tr>
    </w:tbl>
    <w:p>
      <w:pPr>
        <w:spacing w:after="0" w:line="338"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D7282F"/>
        </w:rPr>
        <w:t>92</w:t>
      </w:r>
      <w:r>
        <w:rPr>
          <w:sz w:val="20"/>
          <w:szCs w:val="20"/>
          <w:color w:val="auto"/>
        </w:rPr>
        <w:tab/>
      </w:r>
      <w:r>
        <w:rPr>
          <w:rFonts w:ascii="Arial" w:cs="Arial" w:eastAsia="Arial" w:hAnsi="Arial"/>
          <w:sz w:val="8"/>
          <w:szCs w:val="8"/>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90805</wp:posOffset>
            </wp:positionV>
            <wp:extent cx="7203440"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94" w:name="page95"/>
    <w:bookmarkEnd w:id="94"/>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ACCUMULATED OTHER COMPREHENSIVE INCOME (LOSS) BY COMPONENT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vMerge w:val="restart"/>
          </w:tcPr>
          <w:p>
            <w:pPr>
              <w:jc w:val="center"/>
              <w:ind w:right="232"/>
              <w:spacing w:after="0"/>
              <w:rPr>
                <w:sz w:val="20"/>
                <w:szCs w:val="20"/>
                <w:color w:val="auto"/>
              </w:rPr>
            </w:pPr>
            <w:r>
              <w:rPr>
                <w:rFonts w:ascii="Arial" w:cs="Arial" w:eastAsia="Arial" w:hAnsi="Arial"/>
                <w:sz w:val="10"/>
                <w:szCs w:val="10"/>
                <w:b w:val="1"/>
                <w:bCs w:val="1"/>
                <w:color w:val="auto"/>
                <w:w w:val="92"/>
              </w:rPr>
              <w:t>Foreign</w:t>
            </w:r>
          </w:p>
        </w:tc>
        <w:tc>
          <w:tcPr>
            <w:tcW w:w="220" w:type="dxa"/>
            <w:vAlign w:val="bottom"/>
          </w:tcPr>
          <w:p>
            <w:pPr>
              <w:spacing w:after="0"/>
              <w:rPr>
                <w:sz w:val="10"/>
                <w:szCs w:val="10"/>
                <w:color w:val="auto"/>
              </w:rPr>
            </w:pPr>
          </w:p>
        </w:tc>
        <w:tc>
          <w:tcPr>
            <w:tcW w:w="1340" w:type="dxa"/>
            <w:vAlign w:val="bottom"/>
            <w:vMerge w:val="restart"/>
          </w:tcPr>
          <w:p>
            <w:pPr>
              <w:jc w:val="center"/>
              <w:ind w:right="172"/>
              <w:spacing w:after="0"/>
              <w:rPr>
                <w:sz w:val="20"/>
                <w:szCs w:val="20"/>
                <w:color w:val="auto"/>
              </w:rPr>
            </w:pPr>
            <w:r>
              <w:rPr>
                <w:rFonts w:ascii="Arial" w:cs="Arial" w:eastAsia="Arial" w:hAnsi="Arial"/>
                <w:sz w:val="10"/>
                <w:szCs w:val="10"/>
                <w:b w:val="1"/>
                <w:bCs w:val="1"/>
                <w:color w:val="auto"/>
                <w:w w:val="92"/>
              </w:rPr>
              <w:t>Pension</w:t>
            </w:r>
          </w:p>
        </w:tc>
        <w:tc>
          <w:tcPr>
            <w:tcW w:w="300" w:type="dxa"/>
            <w:vAlign w:val="bottom"/>
          </w:tcPr>
          <w:p>
            <w:pPr>
              <w:spacing w:after="0"/>
              <w:rPr>
                <w:sz w:val="10"/>
                <w:szCs w:val="10"/>
                <w:color w:val="auto"/>
              </w:rPr>
            </w:pPr>
          </w:p>
        </w:tc>
        <w:tc>
          <w:tcPr>
            <w:tcW w:w="1100" w:type="dxa"/>
            <w:vAlign w:val="bottom"/>
          </w:tcPr>
          <w:p>
            <w:pPr>
              <w:jc w:val="center"/>
              <w:ind w:right="252"/>
              <w:spacing w:after="0"/>
              <w:rPr>
                <w:sz w:val="20"/>
                <w:szCs w:val="20"/>
                <w:color w:val="auto"/>
              </w:rPr>
            </w:pPr>
            <w:r>
              <w:rPr>
                <w:rFonts w:ascii="Arial" w:cs="Arial" w:eastAsia="Arial" w:hAnsi="Arial"/>
                <w:sz w:val="10"/>
                <w:szCs w:val="10"/>
                <w:b w:val="1"/>
                <w:bCs w:val="1"/>
                <w:color w:val="auto"/>
                <w:w w:val="96"/>
              </w:rPr>
              <w:t>Changes in</w:t>
            </w:r>
          </w:p>
        </w:tc>
        <w:tc>
          <w:tcPr>
            <w:tcW w:w="280" w:type="dxa"/>
            <w:vAlign w:val="bottom"/>
          </w:tcPr>
          <w:p>
            <w:pPr>
              <w:spacing w:after="0"/>
              <w:rPr>
                <w:sz w:val="10"/>
                <w:szCs w:val="10"/>
                <w:color w:val="auto"/>
              </w:rPr>
            </w:pPr>
          </w:p>
        </w:tc>
        <w:tc>
          <w:tcPr>
            <w:tcW w:w="1080" w:type="dxa"/>
            <w:vAlign w:val="bottom"/>
            <w:vMerge w:val="restart"/>
          </w:tcPr>
          <w:p>
            <w:pPr>
              <w:jc w:val="center"/>
              <w:ind w:right="232"/>
              <w:spacing w:after="0"/>
              <w:rPr>
                <w:sz w:val="20"/>
                <w:szCs w:val="20"/>
                <w:color w:val="auto"/>
              </w:rPr>
            </w:pPr>
            <w:r>
              <w:rPr>
                <w:rFonts w:ascii="Arial" w:cs="Arial" w:eastAsia="Arial" w:hAnsi="Arial"/>
                <w:sz w:val="10"/>
                <w:szCs w:val="10"/>
                <w:b w:val="1"/>
                <w:bCs w:val="1"/>
                <w:color w:val="auto"/>
                <w:w w:val="96"/>
              </w:rPr>
              <w:t>Changes in</w:t>
            </w: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0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jc w:val="center"/>
              <w:ind w:right="232"/>
              <w:spacing w:after="0" w:line="97" w:lineRule="exact"/>
              <w:rPr>
                <w:sz w:val="20"/>
                <w:szCs w:val="20"/>
                <w:color w:val="auto"/>
              </w:rPr>
            </w:pPr>
            <w:r>
              <w:rPr>
                <w:rFonts w:ascii="Arial" w:cs="Arial" w:eastAsia="Arial" w:hAnsi="Arial"/>
                <w:sz w:val="10"/>
                <w:szCs w:val="10"/>
                <w:b w:val="1"/>
                <w:bCs w:val="1"/>
                <w:color w:val="auto"/>
                <w:w w:val="96"/>
              </w:rPr>
              <w:t>Fair Value</w:t>
            </w:r>
          </w:p>
        </w:tc>
        <w:tc>
          <w:tcPr>
            <w:tcW w:w="28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40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20" w:type="dxa"/>
            <w:vAlign w:val="bottom"/>
          </w:tcPr>
          <w:p>
            <w:pPr>
              <w:jc w:val="center"/>
              <w:ind w:right="232"/>
              <w:spacing w:after="0" w:line="90" w:lineRule="exact"/>
              <w:rPr>
                <w:sz w:val="20"/>
                <w:szCs w:val="20"/>
                <w:color w:val="auto"/>
              </w:rPr>
            </w:pPr>
            <w:r>
              <w:rPr>
                <w:rFonts w:ascii="Arial" w:cs="Arial" w:eastAsia="Arial" w:hAnsi="Arial"/>
                <w:sz w:val="10"/>
                <w:szCs w:val="10"/>
                <w:b w:val="1"/>
                <w:bCs w:val="1"/>
                <w:color w:val="auto"/>
                <w:w w:val="97"/>
              </w:rPr>
              <w:t>Exchange</w:t>
            </w:r>
          </w:p>
        </w:tc>
        <w:tc>
          <w:tcPr>
            <w:tcW w:w="220" w:type="dxa"/>
            <w:vAlign w:val="bottom"/>
          </w:tcPr>
          <w:p>
            <w:pPr>
              <w:spacing w:after="0"/>
              <w:rPr>
                <w:sz w:val="7"/>
                <w:szCs w:val="7"/>
                <w:color w:val="auto"/>
              </w:rPr>
            </w:pPr>
          </w:p>
        </w:tc>
        <w:tc>
          <w:tcPr>
            <w:tcW w:w="1340" w:type="dxa"/>
            <w:vAlign w:val="bottom"/>
          </w:tcPr>
          <w:p>
            <w:pPr>
              <w:jc w:val="center"/>
              <w:ind w:right="172"/>
              <w:spacing w:after="0" w:line="90" w:lineRule="exact"/>
              <w:rPr>
                <w:sz w:val="20"/>
                <w:szCs w:val="20"/>
                <w:color w:val="auto"/>
              </w:rPr>
            </w:pPr>
            <w:r>
              <w:rPr>
                <w:rFonts w:ascii="Arial" w:cs="Arial" w:eastAsia="Arial" w:hAnsi="Arial"/>
                <w:sz w:val="10"/>
                <w:szCs w:val="10"/>
                <w:b w:val="1"/>
                <w:bCs w:val="1"/>
                <w:color w:val="auto"/>
                <w:w w:val="93"/>
              </w:rPr>
              <w:t>and Other</w:t>
            </w:r>
          </w:p>
        </w:tc>
        <w:tc>
          <w:tcPr>
            <w:tcW w:w="300" w:type="dxa"/>
            <w:vAlign w:val="bottom"/>
          </w:tcPr>
          <w:p>
            <w:pPr>
              <w:spacing w:after="0"/>
              <w:rPr>
                <w:sz w:val="7"/>
                <w:szCs w:val="7"/>
                <w:color w:val="auto"/>
              </w:rPr>
            </w:pPr>
          </w:p>
        </w:tc>
        <w:tc>
          <w:tcPr>
            <w:tcW w:w="1100" w:type="dxa"/>
            <w:vAlign w:val="bottom"/>
          </w:tcPr>
          <w:p>
            <w:pPr>
              <w:jc w:val="center"/>
              <w:ind w:right="272"/>
              <w:spacing w:after="0" w:line="90" w:lineRule="exact"/>
              <w:rPr>
                <w:sz w:val="20"/>
                <w:szCs w:val="20"/>
                <w:color w:val="auto"/>
              </w:rPr>
            </w:pPr>
            <w:r>
              <w:rPr>
                <w:rFonts w:ascii="Arial" w:cs="Arial" w:eastAsia="Arial" w:hAnsi="Arial"/>
                <w:sz w:val="10"/>
                <w:szCs w:val="10"/>
                <w:b w:val="1"/>
                <w:bCs w:val="1"/>
                <w:color w:val="auto"/>
                <w:w w:val="96"/>
              </w:rPr>
              <w:t>of Available</w:t>
            </w:r>
          </w:p>
        </w:tc>
        <w:tc>
          <w:tcPr>
            <w:tcW w:w="280" w:type="dxa"/>
            <w:vAlign w:val="bottom"/>
          </w:tcPr>
          <w:p>
            <w:pPr>
              <w:spacing w:after="0"/>
              <w:rPr>
                <w:sz w:val="7"/>
                <w:szCs w:val="7"/>
                <w:color w:val="auto"/>
              </w:rPr>
            </w:pPr>
          </w:p>
        </w:tc>
        <w:tc>
          <w:tcPr>
            <w:tcW w:w="1080" w:type="dxa"/>
            <w:vAlign w:val="bottom"/>
          </w:tcPr>
          <w:p>
            <w:pPr>
              <w:jc w:val="center"/>
              <w:ind w:right="232"/>
              <w:spacing w:after="0" w:line="90" w:lineRule="exact"/>
              <w:rPr>
                <w:sz w:val="20"/>
                <w:szCs w:val="20"/>
                <w:color w:val="auto"/>
              </w:rPr>
            </w:pPr>
            <w:r>
              <w:rPr>
                <w:rFonts w:ascii="Arial" w:cs="Arial" w:eastAsia="Arial" w:hAnsi="Arial"/>
                <w:sz w:val="10"/>
                <w:szCs w:val="10"/>
                <w:b w:val="1"/>
                <w:bCs w:val="1"/>
                <w:color w:val="auto"/>
                <w:w w:val="93"/>
              </w:rPr>
              <w:t>Fair Value of</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40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20" w:type="dxa"/>
            <w:vAlign w:val="bottom"/>
          </w:tcPr>
          <w:p>
            <w:pPr>
              <w:jc w:val="center"/>
              <w:ind w:right="232"/>
              <w:spacing w:after="0" w:line="99" w:lineRule="exact"/>
              <w:rPr>
                <w:sz w:val="20"/>
                <w:szCs w:val="20"/>
                <w:color w:val="auto"/>
              </w:rPr>
            </w:pPr>
            <w:r>
              <w:rPr>
                <w:rFonts w:ascii="Arial" w:cs="Arial" w:eastAsia="Arial" w:hAnsi="Arial"/>
                <w:sz w:val="10"/>
                <w:szCs w:val="10"/>
                <w:b w:val="1"/>
                <w:bCs w:val="1"/>
                <w:color w:val="auto"/>
                <w:w w:val="92"/>
              </w:rPr>
              <w:t>Translation</w:t>
            </w:r>
          </w:p>
        </w:tc>
        <w:tc>
          <w:tcPr>
            <w:tcW w:w="220" w:type="dxa"/>
            <w:vAlign w:val="bottom"/>
          </w:tcPr>
          <w:p>
            <w:pPr>
              <w:spacing w:after="0"/>
              <w:rPr>
                <w:sz w:val="8"/>
                <w:szCs w:val="8"/>
                <w:color w:val="auto"/>
              </w:rPr>
            </w:pPr>
          </w:p>
        </w:tc>
        <w:tc>
          <w:tcPr>
            <w:tcW w:w="1340" w:type="dxa"/>
            <w:vAlign w:val="bottom"/>
          </w:tcPr>
          <w:p>
            <w:pPr>
              <w:jc w:val="center"/>
              <w:ind w:right="172"/>
              <w:spacing w:after="0" w:line="99" w:lineRule="exact"/>
              <w:rPr>
                <w:sz w:val="20"/>
                <w:szCs w:val="20"/>
                <w:color w:val="auto"/>
              </w:rPr>
            </w:pPr>
            <w:r>
              <w:rPr>
                <w:rFonts w:ascii="Arial" w:cs="Arial" w:eastAsia="Arial" w:hAnsi="Arial"/>
                <w:sz w:val="10"/>
                <w:szCs w:val="10"/>
                <w:b w:val="1"/>
                <w:bCs w:val="1"/>
                <w:color w:val="auto"/>
                <w:w w:val="96"/>
              </w:rPr>
              <w:t>Postretirement Benefit</w:t>
            </w:r>
          </w:p>
        </w:tc>
        <w:tc>
          <w:tcPr>
            <w:tcW w:w="300" w:type="dxa"/>
            <w:vAlign w:val="bottom"/>
          </w:tcPr>
          <w:p>
            <w:pPr>
              <w:spacing w:after="0"/>
              <w:rPr>
                <w:sz w:val="8"/>
                <w:szCs w:val="8"/>
                <w:color w:val="auto"/>
              </w:rPr>
            </w:pPr>
          </w:p>
        </w:tc>
        <w:tc>
          <w:tcPr>
            <w:tcW w:w="1100" w:type="dxa"/>
            <w:vAlign w:val="bottom"/>
          </w:tcPr>
          <w:p>
            <w:pPr>
              <w:jc w:val="center"/>
              <w:ind w:right="232"/>
              <w:spacing w:after="0" w:line="99" w:lineRule="exact"/>
              <w:rPr>
                <w:sz w:val="20"/>
                <w:szCs w:val="20"/>
                <w:color w:val="auto"/>
              </w:rPr>
            </w:pPr>
            <w:r>
              <w:rPr>
                <w:rFonts w:ascii="Arial" w:cs="Arial" w:eastAsia="Arial" w:hAnsi="Arial"/>
                <w:sz w:val="10"/>
                <w:szCs w:val="10"/>
                <w:b w:val="1"/>
                <w:bCs w:val="1"/>
                <w:color w:val="auto"/>
                <w:w w:val="92"/>
              </w:rPr>
              <w:t>for Sale</w:t>
            </w:r>
          </w:p>
        </w:tc>
        <w:tc>
          <w:tcPr>
            <w:tcW w:w="280" w:type="dxa"/>
            <w:vAlign w:val="bottom"/>
          </w:tcPr>
          <w:p>
            <w:pPr>
              <w:spacing w:after="0"/>
              <w:rPr>
                <w:sz w:val="8"/>
                <w:szCs w:val="8"/>
                <w:color w:val="auto"/>
              </w:rPr>
            </w:pPr>
          </w:p>
        </w:tc>
        <w:tc>
          <w:tcPr>
            <w:tcW w:w="1080" w:type="dxa"/>
            <w:vAlign w:val="bottom"/>
          </w:tcPr>
          <w:p>
            <w:pPr>
              <w:jc w:val="center"/>
              <w:ind w:right="232"/>
              <w:spacing w:after="0" w:line="99" w:lineRule="exact"/>
              <w:rPr>
                <w:sz w:val="20"/>
                <w:szCs w:val="20"/>
                <w:color w:val="auto"/>
              </w:rPr>
            </w:pPr>
            <w:r>
              <w:rPr>
                <w:rFonts w:ascii="Arial" w:cs="Arial" w:eastAsia="Arial" w:hAnsi="Arial"/>
                <w:sz w:val="10"/>
                <w:szCs w:val="10"/>
                <w:b w:val="1"/>
                <w:bCs w:val="1"/>
                <w:color w:val="auto"/>
                <w:w w:val="95"/>
              </w:rPr>
              <w:t>Cash Flow</w:t>
            </w:r>
          </w:p>
        </w:tc>
        <w:tc>
          <w:tcPr>
            <w:tcW w:w="300" w:type="dxa"/>
            <w:vAlign w:val="bottom"/>
          </w:tcPr>
          <w:p>
            <w:pPr>
              <w:spacing w:after="0"/>
              <w:rPr>
                <w:sz w:val="8"/>
                <w:szCs w:val="8"/>
                <w:color w:val="auto"/>
              </w:rPr>
            </w:pPr>
          </w:p>
        </w:tc>
        <w:tc>
          <w:tcPr>
            <w:tcW w:w="660" w:type="dxa"/>
            <w:vAlign w:val="bottom"/>
            <w:vMerge w:val="restart"/>
          </w:tcPr>
          <w:p>
            <w:pPr>
              <w:jc w:val="right"/>
              <w:ind w:right="27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6"/>
        </w:trPr>
        <w:tc>
          <w:tcPr>
            <w:tcW w:w="4060" w:type="dxa"/>
            <w:vAlign w:val="bottom"/>
            <w:tcBorders>
              <w:bottom w:val="single" w:sz="8" w:color="D7282F"/>
            </w:tcBorders>
          </w:tcPr>
          <w:p>
            <w:pPr>
              <w:spacing w:after="0"/>
              <w:rPr>
                <w:sz w:val="10"/>
                <w:szCs w:val="10"/>
                <w:color w:val="auto"/>
              </w:rPr>
            </w:pPr>
          </w:p>
        </w:tc>
        <w:tc>
          <w:tcPr>
            <w:tcW w:w="940" w:type="dxa"/>
            <w:vAlign w:val="bottom"/>
            <w:tcBorders>
              <w:bottom w:val="single" w:sz="8" w:color="D7282F"/>
            </w:tcBorders>
          </w:tcPr>
          <w:p>
            <w:pPr>
              <w:spacing w:after="0"/>
              <w:rPr>
                <w:sz w:val="10"/>
                <w:szCs w:val="10"/>
                <w:color w:val="auto"/>
              </w:rPr>
            </w:pPr>
          </w:p>
        </w:tc>
        <w:tc>
          <w:tcPr>
            <w:tcW w:w="1020" w:type="dxa"/>
            <w:vAlign w:val="bottom"/>
            <w:tcBorders>
              <w:bottom w:val="single" w:sz="8" w:color="D7282F"/>
            </w:tcBorders>
          </w:tcPr>
          <w:p>
            <w:pPr>
              <w:jc w:val="center"/>
              <w:ind w:right="232"/>
              <w:spacing w:after="0"/>
              <w:rPr>
                <w:sz w:val="20"/>
                <w:szCs w:val="20"/>
                <w:color w:val="auto"/>
              </w:rPr>
            </w:pPr>
            <w:r>
              <w:rPr>
                <w:rFonts w:ascii="Arial" w:cs="Arial" w:eastAsia="Arial" w:hAnsi="Arial"/>
                <w:sz w:val="10"/>
                <w:szCs w:val="10"/>
                <w:b w:val="1"/>
                <w:bCs w:val="1"/>
                <w:color w:val="auto"/>
                <w:w w:val="98"/>
              </w:rPr>
              <w:t>Adjustment</w:t>
            </w:r>
          </w:p>
        </w:tc>
        <w:tc>
          <w:tcPr>
            <w:tcW w:w="220" w:type="dxa"/>
            <w:vAlign w:val="bottom"/>
            <w:tcBorders>
              <w:bottom w:val="single" w:sz="8" w:color="D7282F"/>
            </w:tcBorders>
          </w:tcPr>
          <w:p>
            <w:pPr>
              <w:spacing w:after="0"/>
              <w:rPr>
                <w:sz w:val="10"/>
                <w:szCs w:val="10"/>
                <w:color w:val="auto"/>
              </w:rPr>
            </w:pPr>
          </w:p>
        </w:tc>
        <w:tc>
          <w:tcPr>
            <w:tcW w:w="1340" w:type="dxa"/>
            <w:vAlign w:val="bottom"/>
            <w:tcBorders>
              <w:bottom w:val="single" w:sz="8" w:color="D7282F"/>
            </w:tcBorders>
          </w:tcPr>
          <w:p>
            <w:pPr>
              <w:jc w:val="center"/>
              <w:ind w:right="152"/>
              <w:spacing w:after="0"/>
              <w:rPr>
                <w:sz w:val="20"/>
                <w:szCs w:val="20"/>
                <w:color w:val="auto"/>
              </w:rPr>
            </w:pPr>
            <w:r>
              <w:rPr>
                <w:rFonts w:ascii="Arial" w:cs="Arial" w:eastAsia="Arial" w:hAnsi="Arial"/>
                <w:sz w:val="10"/>
                <w:szCs w:val="10"/>
                <w:b w:val="1"/>
                <w:bCs w:val="1"/>
                <w:color w:val="auto"/>
                <w:w w:val="95"/>
              </w:rPr>
              <w:t>Adjustments</w:t>
            </w:r>
          </w:p>
        </w:tc>
        <w:tc>
          <w:tcPr>
            <w:tcW w:w="300" w:type="dxa"/>
            <w:vAlign w:val="bottom"/>
            <w:tcBorders>
              <w:bottom w:val="single" w:sz="8" w:color="D7282F"/>
            </w:tcBorders>
          </w:tcPr>
          <w:p>
            <w:pPr>
              <w:spacing w:after="0"/>
              <w:rPr>
                <w:sz w:val="10"/>
                <w:szCs w:val="10"/>
                <w:color w:val="auto"/>
              </w:rPr>
            </w:pPr>
          </w:p>
        </w:tc>
        <w:tc>
          <w:tcPr>
            <w:tcW w:w="1100" w:type="dxa"/>
            <w:vAlign w:val="bottom"/>
            <w:tcBorders>
              <w:bottom w:val="single" w:sz="8" w:color="D7282F"/>
            </w:tcBorders>
          </w:tcPr>
          <w:p>
            <w:pPr>
              <w:jc w:val="center"/>
              <w:ind w:right="232"/>
              <w:spacing w:after="0"/>
              <w:rPr>
                <w:sz w:val="20"/>
                <w:szCs w:val="20"/>
                <w:color w:val="auto"/>
              </w:rPr>
            </w:pPr>
            <w:r>
              <w:rPr>
                <w:rFonts w:ascii="Arial" w:cs="Arial" w:eastAsia="Arial" w:hAnsi="Arial"/>
                <w:sz w:val="10"/>
                <w:szCs w:val="10"/>
                <w:b w:val="1"/>
                <w:bCs w:val="1"/>
                <w:color w:val="auto"/>
                <w:w w:val="92"/>
              </w:rPr>
              <w:t>Investments</w:t>
            </w:r>
          </w:p>
        </w:tc>
        <w:tc>
          <w:tcPr>
            <w:tcW w:w="280" w:type="dxa"/>
            <w:vAlign w:val="bottom"/>
            <w:tcBorders>
              <w:bottom w:val="single" w:sz="8" w:color="D7282F"/>
            </w:tcBorders>
          </w:tcPr>
          <w:p>
            <w:pPr>
              <w:spacing w:after="0"/>
              <w:rPr>
                <w:sz w:val="10"/>
                <w:szCs w:val="10"/>
                <w:color w:val="auto"/>
              </w:rPr>
            </w:pPr>
          </w:p>
        </w:tc>
        <w:tc>
          <w:tcPr>
            <w:tcW w:w="1080" w:type="dxa"/>
            <w:vAlign w:val="bottom"/>
            <w:tcBorders>
              <w:bottom w:val="single" w:sz="8" w:color="D7282F"/>
            </w:tcBorders>
          </w:tcPr>
          <w:p>
            <w:pPr>
              <w:jc w:val="center"/>
              <w:ind w:right="232"/>
              <w:spacing w:after="0"/>
              <w:rPr>
                <w:sz w:val="20"/>
                <w:szCs w:val="20"/>
                <w:color w:val="auto"/>
              </w:rPr>
            </w:pPr>
            <w:r>
              <w:rPr>
                <w:rFonts w:ascii="Arial" w:cs="Arial" w:eastAsia="Arial" w:hAnsi="Arial"/>
                <w:sz w:val="10"/>
                <w:szCs w:val="10"/>
                <w:b w:val="1"/>
                <w:bCs w:val="1"/>
                <w:color w:val="auto"/>
                <w:w w:val="99"/>
              </w:rPr>
              <w:t>Hedges</w:t>
            </w:r>
          </w:p>
        </w:tc>
        <w:tc>
          <w:tcPr>
            <w:tcW w:w="30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06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Balance at December 31, 2020</w:t>
            </w:r>
          </w:p>
        </w:tc>
        <w:tc>
          <w:tcPr>
            <w:tcW w:w="94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10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(2,780)</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13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(601)</w:t>
            </w:r>
          </w:p>
        </w:tc>
        <w:tc>
          <w:tcPr>
            <w:tcW w:w="3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11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4</w:t>
            </w:r>
          </w:p>
        </w:tc>
        <w:tc>
          <w:tcPr>
            <w:tcW w:w="2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108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3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(3,377)</w:t>
            </w:r>
          </w:p>
        </w:tc>
        <w:tc>
          <w:tcPr>
            <w:tcW w:w="0" w:type="dxa"/>
            <w:vAlign w:val="bottom"/>
          </w:tcPr>
          <w:p>
            <w:pPr>
              <w:spacing w:after="0"/>
              <w:rPr>
                <w:sz w:val="1"/>
                <w:szCs w:val="1"/>
                <w:color w:val="auto"/>
              </w:rPr>
            </w:pPr>
          </w:p>
        </w:tc>
      </w:tr>
      <w:tr>
        <w:trPr>
          <w:trHeight w:val="122"/>
        </w:trPr>
        <w:tc>
          <w:tcPr>
            <w:tcW w:w="406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Other comprehensive income (loss) before reclassifications</w:t>
            </w:r>
          </w:p>
        </w:tc>
        <w:tc>
          <w:tcPr>
            <w:tcW w:w="940" w:type="dxa"/>
            <w:vAlign w:val="bottom"/>
            <w:tcBorders>
              <w:bottom w:val="single" w:sz="8" w:color="61656A"/>
            </w:tcBorders>
          </w:tcPr>
          <w:p>
            <w:pPr>
              <w:spacing w:after="0"/>
              <w:rPr>
                <w:sz w:val="10"/>
                <w:szCs w:val="10"/>
                <w:color w:val="auto"/>
              </w:rPr>
            </w:pPr>
          </w:p>
        </w:tc>
        <w:tc>
          <w:tcPr>
            <w:tcW w:w="102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314</w:t>
            </w:r>
          </w:p>
        </w:tc>
        <w:tc>
          <w:tcPr>
            <w:tcW w:w="220" w:type="dxa"/>
            <w:vAlign w:val="bottom"/>
            <w:tcBorders>
              <w:bottom w:val="single" w:sz="8" w:color="61656A"/>
            </w:tcBorders>
          </w:tcPr>
          <w:p>
            <w:pPr>
              <w:spacing w:after="0"/>
              <w:rPr>
                <w:sz w:val="10"/>
                <w:szCs w:val="10"/>
                <w:color w:val="auto"/>
              </w:rPr>
            </w:pPr>
          </w:p>
        </w:tc>
        <w:tc>
          <w:tcPr>
            <w:tcW w:w="134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268</w:t>
            </w:r>
          </w:p>
        </w:tc>
        <w:tc>
          <w:tcPr>
            <w:tcW w:w="300" w:type="dxa"/>
            <w:vAlign w:val="bottom"/>
            <w:tcBorders>
              <w:bottom w:val="single" w:sz="8" w:color="61656A"/>
            </w:tcBorders>
          </w:tcPr>
          <w:p>
            <w:pPr>
              <w:spacing w:after="0"/>
              <w:rPr>
                <w:sz w:val="10"/>
                <w:szCs w:val="10"/>
                <w:color w:val="auto"/>
              </w:rPr>
            </w:pPr>
          </w:p>
        </w:tc>
        <w:tc>
          <w:tcPr>
            <w:tcW w:w="11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w:t>
            </w:r>
          </w:p>
        </w:tc>
        <w:tc>
          <w:tcPr>
            <w:tcW w:w="280" w:type="dxa"/>
            <w:vAlign w:val="bottom"/>
            <w:tcBorders>
              <w:bottom w:val="single" w:sz="8" w:color="61656A"/>
            </w:tcBorders>
          </w:tcPr>
          <w:p>
            <w:pPr>
              <w:spacing w:after="0"/>
              <w:rPr>
                <w:sz w:val="10"/>
                <w:szCs w:val="10"/>
                <w:color w:val="auto"/>
              </w:rPr>
            </w:pPr>
          </w:p>
        </w:tc>
        <w:tc>
          <w:tcPr>
            <w:tcW w:w="108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17</w:t>
            </w:r>
          </w:p>
        </w:tc>
        <w:tc>
          <w:tcPr>
            <w:tcW w:w="30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596</w:t>
            </w:r>
          </w:p>
        </w:tc>
        <w:tc>
          <w:tcPr>
            <w:tcW w:w="0" w:type="dxa"/>
            <w:vAlign w:val="bottom"/>
          </w:tcPr>
          <w:p>
            <w:pPr>
              <w:spacing w:after="0"/>
              <w:rPr>
                <w:sz w:val="1"/>
                <w:szCs w:val="1"/>
                <w:color w:val="auto"/>
              </w:rPr>
            </w:pPr>
          </w:p>
        </w:tc>
      </w:tr>
      <w:tr>
        <w:trPr>
          <w:trHeight w:val="124"/>
        </w:trPr>
        <w:tc>
          <w:tcPr>
            <w:tcW w:w="406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Amounts reclassified from accumulated other comprehensive income (loss)</w:t>
            </w:r>
          </w:p>
        </w:tc>
        <w:tc>
          <w:tcPr>
            <w:tcW w:w="940" w:type="dxa"/>
            <w:vAlign w:val="bottom"/>
            <w:tcBorders>
              <w:bottom w:val="single" w:sz="8" w:color="D7282F"/>
            </w:tcBorders>
          </w:tcPr>
          <w:p>
            <w:pPr>
              <w:spacing w:after="0"/>
              <w:rPr>
                <w:sz w:val="10"/>
                <w:szCs w:val="10"/>
                <w:color w:val="auto"/>
              </w:rPr>
            </w:pPr>
          </w:p>
        </w:tc>
        <w:tc>
          <w:tcPr>
            <w:tcW w:w="10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(12)</w:t>
            </w:r>
          </w:p>
        </w:tc>
        <w:tc>
          <w:tcPr>
            <w:tcW w:w="220" w:type="dxa"/>
            <w:vAlign w:val="bottom"/>
            <w:tcBorders>
              <w:bottom w:val="single" w:sz="8" w:color="D7282F"/>
            </w:tcBorders>
          </w:tcPr>
          <w:p>
            <w:pPr>
              <w:spacing w:after="0"/>
              <w:rPr>
                <w:sz w:val="10"/>
                <w:szCs w:val="10"/>
                <w:color w:val="auto"/>
              </w:rPr>
            </w:pPr>
          </w:p>
        </w:tc>
        <w:tc>
          <w:tcPr>
            <w:tcW w:w="13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(82)</w:t>
            </w:r>
          </w:p>
        </w:tc>
        <w:tc>
          <w:tcPr>
            <w:tcW w:w="300" w:type="dxa"/>
            <w:vAlign w:val="bottom"/>
            <w:tcBorders>
              <w:bottom w:val="single" w:sz="8" w:color="D7282F"/>
            </w:tcBorders>
          </w:tcPr>
          <w:p>
            <w:pPr>
              <w:spacing w:after="0"/>
              <w:rPr>
                <w:sz w:val="10"/>
                <w:szCs w:val="10"/>
                <w:color w:val="auto"/>
              </w:rPr>
            </w:pPr>
          </w:p>
        </w:tc>
        <w:tc>
          <w:tcPr>
            <w:tcW w:w="11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D7282F"/>
            </w:tcBorders>
          </w:tcPr>
          <w:p>
            <w:pPr>
              <w:spacing w:after="0"/>
              <w:rPr>
                <w:sz w:val="10"/>
                <w:szCs w:val="10"/>
                <w:color w:val="auto"/>
              </w:rPr>
            </w:pPr>
          </w:p>
        </w:tc>
        <w:tc>
          <w:tcPr>
            <w:tcW w:w="10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(20)</w:t>
            </w:r>
          </w:p>
        </w:tc>
        <w:tc>
          <w:tcPr>
            <w:tcW w:w="30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(114)</w:t>
            </w:r>
          </w:p>
        </w:tc>
        <w:tc>
          <w:tcPr>
            <w:tcW w:w="0" w:type="dxa"/>
            <w:vAlign w:val="bottom"/>
          </w:tcPr>
          <w:p>
            <w:pPr>
              <w:spacing w:after="0"/>
              <w:rPr>
                <w:sz w:val="1"/>
                <w:szCs w:val="1"/>
                <w:color w:val="auto"/>
              </w:rPr>
            </w:pPr>
          </w:p>
        </w:tc>
      </w:tr>
      <w:tr>
        <w:trPr>
          <w:trHeight w:val="126"/>
        </w:trPr>
        <w:tc>
          <w:tcPr>
            <w:tcW w:w="406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Net current period other comprehensive income (loss)</w:t>
            </w:r>
          </w:p>
        </w:tc>
        <w:tc>
          <w:tcPr>
            <w:tcW w:w="940" w:type="dxa"/>
            <w:vAlign w:val="bottom"/>
            <w:tcBorders>
              <w:bottom w:val="single" w:sz="8" w:color="D7282F"/>
            </w:tcBorders>
          </w:tcPr>
          <w:p>
            <w:pPr>
              <w:spacing w:after="0"/>
              <w:rPr>
                <w:sz w:val="10"/>
                <w:szCs w:val="10"/>
                <w:color w:val="auto"/>
              </w:rPr>
            </w:pPr>
          </w:p>
        </w:tc>
        <w:tc>
          <w:tcPr>
            <w:tcW w:w="102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302</w:t>
            </w:r>
          </w:p>
        </w:tc>
        <w:tc>
          <w:tcPr>
            <w:tcW w:w="220" w:type="dxa"/>
            <w:vAlign w:val="bottom"/>
            <w:tcBorders>
              <w:bottom w:val="single" w:sz="8" w:color="D7282F"/>
            </w:tcBorders>
          </w:tcPr>
          <w:p>
            <w:pPr>
              <w:spacing w:after="0"/>
              <w:rPr>
                <w:sz w:val="10"/>
                <w:szCs w:val="10"/>
                <w:color w:val="auto"/>
              </w:rPr>
            </w:pPr>
          </w:p>
        </w:tc>
        <w:tc>
          <w:tcPr>
            <w:tcW w:w="13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186</w:t>
            </w:r>
          </w:p>
        </w:tc>
        <w:tc>
          <w:tcPr>
            <w:tcW w:w="300" w:type="dxa"/>
            <w:vAlign w:val="bottom"/>
            <w:tcBorders>
              <w:bottom w:val="single" w:sz="8" w:color="D7282F"/>
            </w:tcBorders>
          </w:tcPr>
          <w:p>
            <w:pPr>
              <w:spacing w:after="0"/>
              <w:rPr>
                <w:sz w:val="10"/>
                <w:szCs w:val="10"/>
                <w:color w:val="auto"/>
              </w:rPr>
            </w:pPr>
          </w:p>
        </w:tc>
        <w:tc>
          <w:tcPr>
            <w:tcW w:w="11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(3)</w:t>
            </w:r>
          </w:p>
        </w:tc>
        <w:tc>
          <w:tcPr>
            <w:tcW w:w="280" w:type="dxa"/>
            <w:vAlign w:val="bottom"/>
            <w:tcBorders>
              <w:bottom w:val="single" w:sz="8" w:color="D7282F"/>
            </w:tcBorders>
          </w:tcPr>
          <w:p>
            <w:pPr>
              <w:spacing w:after="0"/>
              <w:rPr>
                <w:sz w:val="10"/>
                <w:szCs w:val="10"/>
                <w:color w:val="auto"/>
              </w:rPr>
            </w:pPr>
          </w:p>
        </w:tc>
        <w:tc>
          <w:tcPr>
            <w:tcW w:w="10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(3)</w:t>
            </w:r>
          </w:p>
        </w:tc>
        <w:tc>
          <w:tcPr>
            <w:tcW w:w="30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482</w:t>
            </w:r>
          </w:p>
        </w:tc>
        <w:tc>
          <w:tcPr>
            <w:tcW w:w="0" w:type="dxa"/>
            <w:vAlign w:val="bottom"/>
          </w:tcPr>
          <w:p>
            <w:pPr>
              <w:spacing w:after="0"/>
              <w:rPr>
                <w:sz w:val="1"/>
                <w:szCs w:val="1"/>
                <w:color w:val="auto"/>
              </w:rPr>
            </w:pPr>
          </w:p>
        </w:tc>
      </w:tr>
      <w:tr>
        <w:trPr>
          <w:trHeight w:val="124"/>
        </w:trPr>
        <w:tc>
          <w:tcPr>
            <w:tcW w:w="406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Balance at December 31, 2021</w:t>
            </w:r>
          </w:p>
        </w:tc>
        <w:tc>
          <w:tcPr>
            <w:tcW w:w="940" w:type="dxa"/>
            <w:vAlign w:val="bottom"/>
            <w:tcBorders>
              <w:bottom w:val="single" w:sz="8" w:color="D7282F"/>
            </w:tcBorders>
          </w:tcPr>
          <w:p>
            <w:pPr>
              <w:spacing w:after="0"/>
              <w:rPr>
                <w:sz w:val="10"/>
                <w:szCs w:val="10"/>
                <w:color w:val="auto"/>
              </w:rPr>
            </w:pPr>
          </w:p>
        </w:tc>
        <w:tc>
          <w:tcPr>
            <w:tcW w:w="10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(2,478)</w:t>
            </w:r>
          </w:p>
        </w:tc>
        <w:tc>
          <w:tcPr>
            <w:tcW w:w="220" w:type="dxa"/>
            <w:vAlign w:val="bottom"/>
            <w:tcBorders>
              <w:bottom w:val="single" w:sz="8" w:color="D7282F"/>
            </w:tcBorders>
          </w:tcPr>
          <w:p>
            <w:pPr>
              <w:spacing w:after="0"/>
              <w:rPr>
                <w:sz w:val="10"/>
                <w:szCs w:val="10"/>
                <w:color w:val="auto"/>
              </w:rPr>
            </w:pPr>
          </w:p>
        </w:tc>
        <w:tc>
          <w:tcPr>
            <w:tcW w:w="13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(415)</w:t>
            </w:r>
          </w:p>
        </w:tc>
        <w:tc>
          <w:tcPr>
            <w:tcW w:w="300" w:type="dxa"/>
            <w:vAlign w:val="bottom"/>
            <w:tcBorders>
              <w:bottom w:val="single" w:sz="8" w:color="D7282F"/>
            </w:tcBorders>
          </w:tcPr>
          <w:p>
            <w:pPr>
              <w:spacing w:after="0"/>
              <w:rPr>
                <w:sz w:val="10"/>
                <w:szCs w:val="10"/>
                <w:color w:val="auto"/>
              </w:rPr>
            </w:pPr>
          </w:p>
        </w:tc>
        <w:tc>
          <w:tcPr>
            <w:tcW w:w="11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1</w:t>
            </w:r>
          </w:p>
        </w:tc>
        <w:tc>
          <w:tcPr>
            <w:tcW w:w="280" w:type="dxa"/>
            <w:vAlign w:val="bottom"/>
            <w:tcBorders>
              <w:bottom w:val="single" w:sz="8" w:color="D7282F"/>
            </w:tcBorders>
          </w:tcPr>
          <w:p>
            <w:pPr>
              <w:spacing w:after="0"/>
              <w:rPr>
                <w:sz w:val="10"/>
                <w:szCs w:val="10"/>
                <w:color w:val="auto"/>
              </w:rPr>
            </w:pPr>
          </w:p>
        </w:tc>
        <w:tc>
          <w:tcPr>
            <w:tcW w:w="10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(3)</w:t>
            </w:r>
          </w:p>
        </w:tc>
        <w:tc>
          <w:tcPr>
            <w:tcW w:w="30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(2,895)</w:t>
            </w:r>
          </w:p>
        </w:tc>
        <w:tc>
          <w:tcPr>
            <w:tcW w:w="0" w:type="dxa"/>
            <w:vAlign w:val="bottom"/>
          </w:tcPr>
          <w:p>
            <w:pPr>
              <w:spacing w:after="0"/>
              <w:rPr>
                <w:sz w:val="1"/>
                <w:szCs w:val="1"/>
                <w:color w:val="auto"/>
              </w:rPr>
            </w:pPr>
          </w:p>
        </w:tc>
      </w:tr>
      <w:tr>
        <w:trPr>
          <w:trHeight w:val="122"/>
        </w:trPr>
        <w:tc>
          <w:tcPr>
            <w:tcW w:w="406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Other comprehensive income (loss) before reclassifications</w:t>
            </w:r>
          </w:p>
        </w:tc>
        <w:tc>
          <w:tcPr>
            <w:tcW w:w="940" w:type="dxa"/>
            <w:vAlign w:val="bottom"/>
            <w:tcBorders>
              <w:bottom w:val="single" w:sz="8" w:color="888B8D"/>
            </w:tcBorders>
          </w:tcPr>
          <w:p>
            <w:pPr>
              <w:spacing w:after="0"/>
              <w:rPr>
                <w:sz w:val="10"/>
                <w:szCs w:val="10"/>
                <w:color w:val="auto"/>
              </w:rPr>
            </w:pPr>
          </w:p>
        </w:tc>
        <w:tc>
          <w:tcPr>
            <w:tcW w:w="102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(344)</w:t>
            </w:r>
          </w:p>
        </w:tc>
        <w:tc>
          <w:tcPr>
            <w:tcW w:w="220" w:type="dxa"/>
            <w:vAlign w:val="bottom"/>
            <w:tcBorders>
              <w:bottom w:val="single" w:sz="8" w:color="888B8D"/>
            </w:tcBorders>
          </w:tcPr>
          <w:p>
            <w:pPr>
              <w:spacing w:after="0"/>
              <w:rPr>
                <w:sz w:val="10"/>
                <w:szCs w:val="10"/>
                <w:color w:val="auto"/>
              </w:rPr>
            </w:pPr>
          </w:p>
        </w:tc>
        <w:tc>
          <w:tcPr>
            <w:tcW w:w="13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(623)</w:t>
            </w:r>
          </w:p>
        </w:tc>
        <w:tc>
          <w:tcPr>
            <w:tcW w:w="30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(8)</w:t>
            </w:r>
          </w:p>
        </w:tc>
        <w:tc>
          <w:tcPr>
            <w:tcW w:w="280" w:type="dxa"/>
            <w:vAlign w:val="bottom"/>
            <w:tcBorders>
              <w:bottom w:val="single" w:sz="8" w:color="888B8D"/>
            </w:tcBorders>
          </w:tcPr>
          <w:p>
            <w:pPr>
              <w:spacing w:after="0"/>
              <w:rPr>
                <w:sz w:val="10"/>
                <w:szCs w:val="10"/>
                <w:color w:val="auto"/>
              </w:rPr>
            </w:pPr>
          </w:p>
        </w:tc>
        <w:tc>
          <w:tcPr>
            <w:tcW w:w="108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71</w:t>
            </w:r>
          </w:p>
        </w:tc>
        <w:tc>
          <w:tcPr>
            <w:tcW w:w="30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(904)</w:t>
            </w:r>
          </w:p>
        </w:tc>
        <w:tc>
          <w:tcPr>
            <w:tcW w:w="0" w:type="dxa"/>
            <w:vAlign w:val="bottom"/>
          </w:tcPr>
          <w:p>
            <w:pPr>
              <w:spacing w:after="0"/>
              <w:rPr>
                <w:sz w:val="1"/>
                <w:szCs w:val="1"/>
                <w:color w:val="auto"/>
              </w:rPr>
            </w:pPr>
          </w:p>
        </w:tc>
      </w:tr>
      <w:tr>
        <w:trPr>
          <w:trHeight w:val="124"/>
        </w:trPr>
        <w:tc>
          <w:tcPr>
            <w:tcW w:w="406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Amounts reclassified from accumulated other comprehensive income (loss)</w:t>
            </w:r>
          </w:p>
        </w:tc>
        <w:tc>
          <w:tcPr>
            <w:tcW w:w="940" w:type="dxa"/>
            <w:vAlign w:val="bottom"/>
            <w:tcBorders>
              <w:bottom w:val="single" w:sz="8" w:color="D7282F"/>
            </w:tcBorders>
          </w:tcPr>
          <w:p>
            <w:pPr>
              <w:spacing w:after="0"/>
              <w:rPr>
                <w:sz w:val="10"/>
                <w:szCs w:val="10"/>
                <w:color w:val="auto"/>
              </w:rPr>
            </w:pPr>
          </w:p>
        </w:tc>
        <w:tc>
          <w:tcPr>
            <w:tcW w:w="10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(10)</w:t>
            </w:r>
          </w:p>
        </w:tc>
        <w:tc>
          <w:tcPr>
            <w:tcW w:w="220" w:type="dxa"/>
            <w:vAlign w:val="bottom"/>
            <w:tcBorders>
              <w:bottom w:val="single" w:sz="8" w:color="D7282F"/>
            </w:tcBorders>
          </w:tcPr>
          <w:p>
            <w:pPr>
              <w:spacing w:after="0"/>
              <w:rPr>
                <w:sz w:val="10"/>
                <w:szCs w:val="10"/>
                <w:color w:val="auto"/>
              </w:rPr>
            </w:pPr>
          </w:p>
        </w:tc>
        <w:tc>
          <w:tcPr>
            <w:tcW w:w="13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390</w:t>
            </w:r>
          </w:p>
        </w:tc>
        <w:tc>
          <w:tcPr>
            <w:tcW w:w="300" w:type="dxa"/>
            <w:vAlign w:val="bottom"/>
            <w:tcBorders>
              <w:bottom w:val="single" w:sz="8" w:color="D7282F"/>
            </w:tcBorders>
          </w:tcPr>
          <w:p>
            <w:pPr>
              <w:spacing w:after="0"/>
              <w:rPr>
                <w:sz w:val="10"/>
                <w:szCs w:val="10"/>
                <w:color w:val="auto"/>
              </w:rPr>
            </w:pPr>
          </w:p>
        </w:tc>
        <w:tc>
          <w:tcPr>
            <w:tcW w:w="11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D7282F"/>
            </w:tcBorders>
          </w:tcPr>
          <w:p>
            <w:pPr>
              <w:spacing w:after="0"/>
              <w:rPr>
                <w:sz w:val="10"/>
                <w:szCs w:val="10"/>
                <w:color w:val="auto"/>
              </w:rPr>
            </w:pPr>
          </w:p>
        </w:tc>
        <w:tc>
          <w:tcPr>
            <w:tcW w:w="10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(56)</w:t>
            </w:r>
          </w:p>
        </w:tc>
        <w:tc>
          <w:tcPr>
            <w:tcW w:w="30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324</w:t>
            </w:r>
          </w:p>
        </w:tc>
        <w:tc>
          <w:tcPr>
            <w:tcW w:w="0" w:type="dxa"/>
            <w:vAlign w:val="bottom"/>
          </w:tcPr>
          <w:p>
            <w:pPr>
              <w:spacing w:after="0"/>
              <w:rPr>
                <w:sz w:val="1"/>
                <w:szCs w:val="1"/>
                <w:color w:val="auto"/>
              </w:rPr>
            </w:pPr>
          </w:p>
        </w:tc>
      </w:tr>
      <w:tr>
        <w:trPr>
          <w:trHeight w:val="126"/>
        </w:trPr>
        <w:tc>
          <w:tcPr>
            <w:tcW w:w="406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Net current period other comprehensive income (loss)</w:t>
            </w:r>
          </w:p>
        </w:tc>
        <w:tc>
          <w:tcPr>
            <w:tcW w:w="940" w:type="dxa"/>
            <w:vAlign w:val="bottom"/>
            <w:tcBorders>
              <w:bottom w:val="single" w:sz="8" w:color="D7282F"/>
            </w:tcBorders>
          </w:tcPr>
          <w:p>
            <w:pPr>
              <w:spacing w:after="0"/>
              <w:rPr>
                <w:sz w:val="10"/>
                <w:szCs w:val="10"/>
                <w:color w:val="auto"/>
              </w:rPr>
            </w:pPr>
          </w:p>
        </w:tc>
        <w:tc>
          <w:tcPr>
            <w:tcW w:w="10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(354)</w:t>
            </w:r>
          </w:p>
        </w:tc>
        <w:tc>
          <w:tcPr>
            <w:tcW w:w="220" w:type="dxa"/>
            <w:vAlign w:val="bottom"/>
            <w:tcBorders>
              <w:bottom w:val="single" w:sz="8" w:color="D7282F"/>
            </w:tcBorders>
          </w:tcPr>
          <w:p>
            <w:pPr>
              <w:spacing w:after="0"/>
              <w:rPr>
                <w:sz w:val="10"/>
                <w:szCs w:val="10"/>
                <w:color w:val="auto"/>
              </w:rPr>
            </w:pPr>
          </w:p>
        </w:tc>
        <w:tc>
          <w:tcPr>
            <w:tcW w:w="13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(233)</w:t>
            </w:r>
          </w:p>
        </w:tc>
        <w:tc>
          <w:tcPr>
            <w:tcW w:w="300" w:type="dxa"/>
            <w:vAlign w:val="bottom"/>
            <w:tcBorders>
              <w:bottom w:val="single" w:sz="8" w:color="D7282F"/>
            </w:tcBorders>
          </w:tcPr>
          <w:p>
            <w:pPr>
              <w:spacing w:after="0"/>
              <w:rPr>
                <w:sz w:val="10"/>
                <w:szCs w:val="10"/>
                <w:color w:val="auto"/>
              </w:rPr>
            </w:pPr>
          </w:p>
        </w:tc>
        <w:tc>
          <w:tcPr>
            <w:tcW w:w="11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(8)</w:t>
            </w:r>
          </w:p>
        </w:tc>
        <w:tc>
          <w:tcPr>
            <w:tcW w:w="280" w:type="dxa"/>
            <w:vAlign w:val="bottom"/>
            <w:tcBorders>
              <w:bottom w:val="single" w:sz="8" w:color="D7282F"/>
            </w:tcBorders>
          </w:tcPr>
          <w:p>
            <w:pPr>
              <w:spacing w:after="0"/>
              <w:rPr>
                <w:sz w:val="10"/>
                <w:szCs w:val="10"/>
                <w:color w:val="auto"/>
              </w:rPr>
            </w:pPr>
          </w:p>
        </w:tc>
        <w:tc>
          <w:tcPr>
            <w:tcW w:w="108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15</w:t>
            </w:r>
          </w:p>
        </w:tc>
        <w:tc>
          <w:tcPr>
            <w:tcW w:w="30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(580)</w:t>
            </w:r>
          </w:p>
        </w:tc>
        <w:tc>
          <w:tcPr>
            <w:tcW w:w="0" w:type="dxa"/>
            <w:vAlign w:val="bottom"/>
          </w:tcPr>
          <w:p>
            <w:pPr>
              <w:spacing w:after="0"/>
              <w:rPr>
                <w:sz w:val="1"/>
                <w:szCs w:val="1"/>
                <w:color w:val="auto"/>
              </w:rPr>
            </w:pPr>
          </w:p>
        </w:tc>
      </w:tr>
      <w:tr>
        <w:trPr>
          <w:trHeight w:val="124"/>
        </w:trPr>
        <w:tc>
          <w:tcPr>
            <w:tcW w:w="406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Balance at December 31, 2022</w:t>
            </w:r>
          </w:p>
        </w:tc>
        <w:tc>
          <w:tcPr>
            <w:tcW w:w="940" w:type="dxa"/>
            <w:vAlign w:val="bottom"/>
            <w:tcBorders>
              <w:bottom w:val="single" w:sz="8" w:color="D7282F"/>
            </w:tcBorders>
          </w:tcPr>
          <w:p>
            <w:pPr>
              <w:spacing w:after="0"/>
              <w:rPr>
                <w:sz w:val="10"/>
                <w:szCs w:val="10"/>
                <w:color w:val="auto"/>
              </w:rPr>
            </w:pPr>
          </w:p>
        </w:tc>
        <w:tc>
          <w:tcPr>
            <w:tcW w:w="10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(2,832)</w:t>
            </w:r>
          </w:p>
        </w:tc>
        <w:tc>
          <w:tcPr>
            <w:tcW w:w="220" w:type="dxa"/>
            <w:vAlign w:val="bottom"/>
            <w:tcBorders>
              <w:bottom w:val="single" w:sz="8" w:color="D7282F"/>
            </w:tcBorders>
          </w:tcPr>
          <w:p>
            <w:pPr>
              <w:spacing w:after="0"/>
              <w:rPr>
                <w:sz w:val="10"/>
                <w:szCs w:val="10"/>
                <w:color w:val="auto"/>
              </w:rPr>
            </w:pPr>
          </w:p>
        </w:tc>
        <w:tc>
          <w:tcPr>
            <w:tcW w:w="13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(648)</w:t>
            </w:r>
          </w:p>
        </w:tc>
        <w:tc>
          <w:tcPr>
            <w:tcW w:w="300" w:type="dxa"/>
            <w:vAlign w:val="bottom"/>
            <w:tcBorders>
              <w:bottom w:val="single" w:sz="8" w:color="D7282F"/>
            </w:tcBorders>
          </w:tcPr>
          <w:p>
            <w:pPr>
              <w:spacing w:after="0"/>
              <w:rPr>
                <w:sz w:val="10"/>
                <w:szCs w:val="10"/>
                <w:color w:val="auto"/>
              </w:rPr>
            </w:pPr>
          </w:p>
        </w:tc>
        <w:tc>
          <w:tcPr>
            <w:tcW w:w="11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(7)</w:t>
            </w:r>
          </w:p>
        </w:tc>
        <w:tc>
          <w:tcPr>
            <w:tcW w:w="280" w:type="dxa"/>
            <w:vAlign w:val="bottom"/>
            <w:tcBorders>
              <w:bottom w:val="single" w:sz="8" w:color="D7282F"/>
            </w:tcBorders>
          </w:tcPr>
          <w:p>
            <w:pPr>
              <w:spacing w:after="0"/>
              <w:rPr>
                <w:sz w:val="10"/>
                <w:szCs w:val="10"/>
                <w:color w:val="auto"/>
              </w:rPr>
            </w:pPr>
          </w:p>
        </w:tc>
        <w:tc>
          <w:tcPr>
            <w:tcW w:w="108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12</w:t>
            </w:r>
          </w:p>
        </w:tc>
        <w:tc>
          <w:tcPr>
            <w:tcW w:w="30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(3,475)</w:t>
            </w:r>
          </w:p>
        </w:tc>
        <w:tc>
          <w:tcPr>
            <w:tcW w:w="0" w:type="dxa"/>
            <w:vAlign w:val="bottom"/>
          </w:tcPr>
          <w:p>
            <w:pPr>
              <w:spacing w:after="0"/>
              <w:rPr>
                <w:sz w:val="1"/>
                <w:szCs w:val="1"/>
                <w:color w:val="auto"/>
              </w:rPr>
            </w:pPr>
          </w:p>
        </w:tc>
      </w:tr>
      <w:tr>
        <w:trPr>
          <w:trHeight w:val="122"/>
        </w:trPr>
        <w:tc>
          <w:tcPr>
            <w:tcW w:w="406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Other comprehensive income (loss) before reclassifications</w:t>
            </w:r>
          </w:p>
        </w:tc>
        <w:tc>
          <w:tcPr>
            <w:tcW w:w="940" w:type="dxa"/>
            <w:vAlign w:val="bottom"/>
            <w:tcBorders>
              <w:bottom w:val="single" w:sz="8" w:color="61656A"/>
            </w:tcBorders>
          </w:tcPr>
          <w:p>
            <w:pPr>
              <w:spacing w:after="0"/>
              <w:rPr>
                <w:sz w:val="10"/>
                <w:szCs w:val="10"/>
                <w:color w:val="auto"/>
              </w:rPr>
            </w:pPr>
          </w:p>
        </w:tc>
        <w:tc>
          <w:tcPr>
            <w:tcW w:w="102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(269)</w:t>
            </w:r>
          </w:p>
        </w:tc>
        <w:tc>
          <w:tcPr>
            <w:tcW w:w="220" w:type="dxa"/>
            <w:vAlign w:val="bottom"/>
            <w:tcBorders>
              <w:bottom w:val="single" w:sz="8" w:color="61656A"/>
            </w:tcBorders>
          </w:tcPr>
          <w:p>
            <w:pPr>
              <w:spacing w:after="0"/>
              <w:rPr>
                <w:sz w:val="10"/>
                <w:szCs w:val="10"/>
                <w:color w:val="auto"/>
              </w:rPr>
            </w:pPr>
          </w:p>
        </w:tc>
        <w:tc>
          <w:tcPr>
            <w:tcW w:w="134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(477)</w:t>
            </w:r>
          </w:p>
        </w:tc>
        <w:tc>
          <w:tcPr>
            <w:tcW w:w="300" w:type="dxa"/>
            <w:vAlign w:val="bottom"/>
            <w:tcBorders>
              <w:bottom w:val="single" w:sz="8" w:color="61656A"/>
            </w:tcBorders>
          </w:tcPr>
          <w:p>
            <w:pPr>
              <w:spacing w:after="0"/>
              <w:rPr>
                <w:sz w:val="10"/>
                <w:szCs w:val="10"/>
                <w:color w:val="auto"/>
              </w:rPr>
            </w:pPr>
          </w:p>
        </w:tc>
        <w:tc>
          <w:tcPr>
            <w:tcW w:w="110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5</w:t>
            </w:r>
          </w:p>
        </w:tc>
        <w:tc>
          <w:tcPr>
            <w:tcW w:w="280" w:type="dxa"/>
            <w:vAlign w:val="bottom"/>
            <w:tcBorders>
              <w:bottom w:val="single" w:sz="8" w:color="61656A"/>
            </w:tcBorders>
          </w:tcPr>
          <w:p>
            <w:pPr>
              <w:spacing w:after="0"/>
              <w:rPr>
                <w:sz w:val="10"/>
                <w:szCs w:val="10"/>
                <w:color w:val="auto"/>
              </w:rPr>
            </w:pPr>
          </w:p>
        </w:tc>
        <w:tc>
          <w:tcPr>
            <w:tcW w:w="108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60</w:t>
            </w:r>
          </w:p>
        </w:tc>
        <w:tc>
          <w:tcPr>
            <w:tcW w:w="30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(681)</w:t>
            </w:r>
          </w:p>
        </w:tc>
        <w:tc>
          <w:tcPr>
            <w:tcW w:w="0" w:type="dxa"/>
            <w:vAlign w:val="bottom"/>
          </w:tcPr>
          <w:p>
            <w:pPr>
              <w:spacing w:after="0"/>
              <w:rPr>
                <w:sz w:val="1"/>
                <w:szCs w:val="1"/>
                <w:color w:val="auto"/>
              </w:rPr>
            </w:pPr>
          </w:p>
        </w:tc>
      </w:tr>
      <w:tr>
        <w:trPr>
          <w:trHeight w:val="124"/>
        </w:trPr>
        <w:tc>
          <w:tcPr>
            <w:tcW w:w="406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Amounts reclassified from accumulated other comprehensive income (loss)</w:t>
            </w:r>
          </w:p>
        </w:tc>
        <w:tc>
          <w:tcPr>
            <w:tcW w:w="940" w:type="dxa"/>
            <w:vAlign w:val="bottom"/>
            <w:tcBorders>
              <w:bottom w:val="single" w:sz="8" w:color="D7282F"/>
            </w:tcBorders>
          </w:tcPr>
          <w:p>
            <w:pPr>
              <w:spacing w:after="0"/>
              <w:rPr>
                <w:sz w:val="10"/>
                <w:szCs w:val="10"/>
                <w:color w:val="auto"/>
              </w:rPr>
            </w:pPr>
          </w:p>
        </w:tc>
        <w:tc>
          <w:tcPr>
            <w:tcW w:w="102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D7282F"/>
            </w:tcBorders>
          </w:tcPr>
          <w:p>
            <w:pPr>
              <w:spacing w:after="0"/>
              <w:rPr>
                <w:sz w:val="10"/>
                <w:szCs w:val="10"/>
                <w:color w:val="auto"/>
              </w:rPr>
            </w:pPr>
          </w:p>
        </w:tc>
        <w:tc>
          <w:tcPr>
            <w:tcW w:w="13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70</w:t>
            </w:r>
          </w:p>
        </w:tc>
        <w:tc>
          <w:tcPr>
            <w:tcW w:w="300" w:type="dxa"/>
            <w:vAlign w:val="bottom"/>
            <w:tcBorders>
              <w:bottom w:val="single" w:sz="8" w:color="D7282F"/>
            </w:tcBorders>
          </w:tcPr>
          <w:p>
            <w:pPr>
              <w:spacing w:after="0"/>
              <w:rPr>
                <w:sz w:val="10"/>
                <w:szCs w:val="10"/>
                <w:color w:val="auto"/>
              </w:rPr>
            </w:pPr>
          </w:p>
        </w:tc>
        <w:tc>
          <w:tcPr>
            <w:tcW w:w="11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D7282F"/>
            </w:tcBorders>
          </w:tcPr>
          <w:p>
            <w:pPr>
              <w:spacing w:after="0"/>
              <w:rPr>
                <w:sz w:val="10"/>
                <w:szCs w:val="10"/>
                <w:color w:val="auto"/>
              </w:rPr>
            </w:pPr>
          </w:p>
        </w:tc>
        <w:tc>
          <w:tcPr>
            <w:tcW w:w="10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(49)</w:t>
            </w:r>
          </w:p>
        </w:tc>
        <w:tc>
          <w:tcPr>
            <w:tcW w:w="30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21</w:t>
            </w:r>
          </w:p>
        </w:tc>
        <w:tc>
          <w:tcPr>
            <w:tcW w:w="0" w:type="dxa"/>
            <w:vAlign w:val="bottom"/>
          </w:tcPr>
          <w:p>
            <w:pPr>
              <w:spacing w:after="0"/>
              <w:rPr>
                <w:sz w:val="1"/>
                <w:szCs w:val="1"/>
                <w:color w:val="auto"/>
              </w:rPr>
            </w:pPr>
          </w:p>
        </w:tc>
      </w:tr>
      <w:tr>
        <w:trPr>
          <w:trHeight w:val="126"/>
        </w:trPr>
        <w:tc>
          <w:tcPr>
            <w:tcW w:w="406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Net current period other comprehensive income (loss)</w:t>
            </w:r>
          </w:p>
        </w:tc>
        <w:tc>
          <w:tcPr>
            <w:tcW w:w="940" w:type="dxa"/>
            <w:vAlign w:val="bottom"/>
            <w:tcBorders>
              <w:bottom w:val="single" w:sz="8" w:color="D7282F"/>
            </w:tcBorders>
          </w:tcPr>
          <w:p>
            <w:pPr>
              <w:spacing w:after="0"/>
              <w:rPr>
                <w:sz w:val="10"/>
                <w:szCs w:val="10"/>
                <w:color w:val="auto"/>
              </w:rPr>
            </w:pPr>
          </w:p>
        </w:tc>
        <w:tc>
          <w:tcPr>
            <w:tcW w:w="10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(269)</w:t>
            </w:r>
          </w:p>
        </w:tc>
        <w:tc>
          <w:tcPr>
            <w:tcW w:w="220" w:type="dxa"/>
            <w:vAlign w:val="bottom"/>
            <w:tcBorders>
              <w:bottom w:val="single" w:sz="8" w:color="D7282F"/>
            </w:tcBorders>
          </w:tcPr>
          <w:p>
            <w:pPr>
              <w:spacing w:after="0"/>
              <w:rPr>
                <w:sz w:val="10"/>
                <w:szCs w:val="10"/>
                <w:color w:val="auto"/>
              </w:rPr>
            </w:pPr>
          </w:p>
        </w:tc>
        <w:tc>
          <w:tcPr>
            <w:tcW w:w="13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(407)</w:t>
            </w:r>
          </w:p>
        </w:tc>
        <w:tc>
          <w:tcPr>
            <w:tcW w:w="300" w:type="dxa"/>
            <w:vAlign w:val="bottom"/>
            <w:tcBorders>
              <w:bottom w:val="single" w:sz="8" w:color="D7282F"/>
            </w:tcBorders>
          </w:tcPr>
          <w:p>
            <w:pPr>
              <w:spacing w:after="0"/>
              <w:rPr>
                <w:sz w:val="10"/>
                <w:szCs w:val="10"/>
                <w:color w:val="auto"/>
              </w:rPr>
            </w:pPr>
          </w:p>
        </w:tc>
        <w:tc>
          <w:tcPr>
            <w:tcW w:w="11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5</w:t>
            </w:r>
          </w:p>
        </w:tc>
        <w:tc>
          <w:tcPr>
            <w:tcW w:w="280" w:type="dxa"/>
            <w:vAlign w:val="bottom"/>
            <w:tcBorders>
              <w:bottom w:val="single" w:sz="8" w:color="D7282F"/>
            </w:tcBorders>
          </w:tcPr>
          <w:p>
            <w:pPr>
              <w:spacing w:after="0"/>
              <w:rPr>
                <w:sz w:val="10"/>
                <w:szCs w:val="10"/>
                <w:color w:val="auto"/>
              </w:rPr>
            </w:pPr>
          </w:p>
        </w:tc>
        <w:tc>
          <w:tcPr>
            <w:tcW w:w="108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11</w:t>
            </w:r>
          </w:p>
        </w:tc>
        <w:tc>
          <w:tcPr>
            <w:tcW w:w="30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(660)</w:t>
            </w:r>
          </w:p>
        </w:tc>
        <w:tc>
          <w:tcPr>
            <w:tcW w:w="0" w:type="dxa"/>
            <w:vAlign w:val="bottom"/>
          </w:tcPr>
          <w:p>
            <w:pPr>
              <w:spacing w:after="0"/>
              <w:rPr>
                <w:sz w:val="1"/>
                <w:szCs w:val="1"/>
                <w:color w:val="auto"/>
              </w:rPr>
            </w:pPr>
          </w:p>
        </w:tc>
      </w:tr>
      <w:tr>
        <w:trPr>
          <w:trHeight w:val="124"/>
        </w:trPr>
        <w:tc>
          <w:tcPr>
            <w:tcW w:w="406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Balance at December 31, 2023</w:t>
            </w:r>
          </w:p>
        </w:tc>
        <w:tc>
          <w:tcPr>
            <w:tcW w:w="94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10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(3,101)</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13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(1,055)</w:t>
            </w:r>
          </w:p>
        </w:tc>
        <w:tc>
          <w:tcPr>
            <w:tcW w:w="3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11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(2)</w:t>
            </w:r>
          </w:p>
        </w:tc>
        <w:tc>
          <w:tcPr>
            <w:tcW w:w="2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108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23</w:t>
            </w:r>
          </w:p>
        </w:tc>
        <w:tc>
          <w:tcPr>
            <w:tcW w:w="3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(4,135)</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RECLASSIFICATIONS OUT OF ACCUMULATED OTHER COMPREHENSIVE INCOME (LOSS)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980" w:type="dxa"/>
            <w:vAlign w:val="bottom"/>
          </w:tcPr>
          <w:p>
            <w:pPr>
              <w:spacing w:after="0"/>
              <w:rPr>
                <w:sz w:val="11"/>
                <w:szCs w:val="11"/>
                <w:color w:val="auto"/>
              </w:rPr>
            </w:pPr>
          </w:p>
        </w:tc>
        <w:tc>
          <w:tcPr>
            <w:tcW w:w="720" w:type="dxa"/>
            <w:vAlign w:val="bottom"/>
            <w:tcBorders>
              <w:bottom w:val="single" w:sz="8" w:color="D7282F"/>
            </w:tcBorders>
          </w:tcPr>
          <w:p>
            <w:pPr>
              <w:spacing w:after="0"/>
              <w:rPr>
                <w:sz w:val="11"/>
                <w:szCs w:val="11"/>
                <w:color w:val="auto"/>
              </w:rPr>
            </w:pPr>
          </w:p>
        </w:tc>
        <w:tc>
          <w:tcPr>
            <w:tcW w:w="320" w:type="dxa"/>
            <w:vAlign w:val="bottom"/>
            <w:tcBorders>
              <w:bottom w:val="single" w:sz="8" w:color="D7282F"/>
            </w:tcBorders>
          </w:tcPr>
          <w:p>
            <w:pPr>
              <w:spacing w:after="0"/>
              <w:rPr>
                <w:sz w:val="11"/>
                <w:szCs w:val="11"/>
                <w:color w:val="auto"/>
              </w:rPr>
            </w:pPr>
          </w:p>
        </w:tc>
        <w:tc>
          <w:tcPr>
            <w:tcW w:w="220" w:type="dxa"/>
            <w:vAlign w:val="bottom"/>
            <w:tcBorders>
              <w:bottom w:val="single" w:sz="8" w:color="D7282F"/>
            </w:tcBorders>
          </w:tcPr>
          <w:p>
            <w:pPr>
              <w:spacing w:after="0"/>
              <w:rPr>
                <w:sz w:val="11"/>
                <w:szCs w:val="11"/>
                <w:color w:val="auto"/>
              </w:rPr>
            </w:pPr>
          </w:p>
        </w:tc>
        <w:tc>
          <w:tcPr>
            <w:tcW w:w="960" w:type="dxa"/>
            <w:vAlign w:val="bottom"/>
            <w:tcBorders>
              <w:bottom w:val="single" w:sz="8" w:color="D7282F"/>
            </w:tcBorders>
          </w:tcPr>
          <w:p>
            <w:pPr>
              <w:spacing w:after="0"/>
              <w:rPr>
                <w:sz w:val="11"/>
                <w:szCs w:val="11"/>
                <w:color w:val="auto"/>
              </w:rPr>
            </w:pPr>
          </w:p>
        </w:tc>
        <w:tc>
          <w:tcPr>
            <w:tcW w:w="220" w:type="dxa"/>
            <w:vAlign w:val="bottom"/>
            <w:tcBorders>
              <w:bottom w:val="single" w:sz="8" w:color="D7282F"/>
            </w:tcBorders>
          </w:tcPr>
          <w:p>
            <w:pPr>
              <w:spacing w:after="0"/>
              <w:rPr>
                <w:sz w:val="11"/>
                <w:szCs w:val="11"/>
                <w:color w:val="auto"/>
              </w:rPr>
            </w:pPr>
          </w:p>
        </w:tc>
        <w:tc>
          <w:tcPr>
            <w:tcW w:w="920" w:type="dxa"/>
            <w:vAlign w:val="bottom"/>
            <w:tcBorders>
              <w:bottom w:val="single" w:sz="8" w:color="D7282F"/>
            </w:tcBorders>
          </w:tcPr>
          <w:p>
            <w:pPr>
              <w:spacing w:after="0"/>
              <w:rPr>
                <w:sz w:val="11"/>
                <w:szCs w:val="11"/>
                <w:color w:val="auto"/>
              </w:rPr>
            </w:pPr>
          </w:p>
        </w:tc>
        <w:tc>
          <w:tcPr>
            <w:tcW w:w="1580" w:type="dxa"/>
            <w:vAlign w:val="bottom"/>
            <w:tcBorders>
              <w:bottom w:val="single" w:sz="8" w:color="D7282F"/>
            </w:tcBorders>
            <w:gridSpan w:val="2"/>
          </w:tcPr>
          <w:p>
            <w:pPr>
              <w:jc w:val="center"/>
              <w:spacing w:after="0"/>
              <w:rPr>
                <w:sz w:val="20"/>
                <w:szCs w:val="20"/>
                <w:color w:val="auto"/>
              </w:rPr>
            </w:pPr>
            <w:r>
              <w:rPr>
                <w:rFonts w:ascii="Arial" w:cs="Arial" w:eastAsia="Arial" w:hAnsi="Arial"/>
                <w:sz w:val="10"/>
                <w:szCs w:val="10"/>
                <w:b w:val="1"/>
                <w:bCs w:val="1"/>
                <w:color w:val="auto"/>
                <w:w w:val="94"/>
              </w:rPr>
              <w:t>Year Ended December 31, 2023</w:t>
            </w:r>
          </w:p>
        </w:tc>
        <w:tc>
          <w:tcPr>
            <w:tcW w:w="140" w:type="dxa"/>
            <w:vAlign w:val="bottom"/>
            <w:tcBorders>
              <w:bottom w:val="single" w:sz="8" w:color="D7282F"/>
            </w:tcBorders>
          </w:tcPr>
          <w:p>
            <w:pPr>
              <w:spacing w:after="0"/>
              <w:rPr>
                <w:sz w:val="11"/>
                <w:szCs w:val="11"/>
                <w:color w:val="auto"/>
              </w:rPr>
            </w:pPr>
          </w:p>
        </w:tc>
        <w:tc>
          <w:tcPr>
            <w:tcW w:w="1000" w:type="dxa"/>
            <w:vAlign w:val="bottom"/>
            <w:tcBorders>
              <w:bottom w:val="single" w:sz="8" w:color="D7282F"/>
            </w:tcBorders>
          </w:tcPr>
          <w:p>
            <w:pPr>
              <w:spacing w:after="0"/>
              <w:rPr>
                <w:sz w:val="11"/>
                <w:szCs w:val="11"/>
                <w:color w:val="auto"/>
              </w:rPr>
            </w:pPr>
          </w:p>
        </w:tc>
        <w:tc>
          <w:tcPr>
            <w:tcW w:w="180" w:type="dxa"/>
            <w:vAlign w:val="bottom"/>
            <w:tcBorders>
              <w:bottom w:val="single" w:sz="8" w:color="D7282F"/>
            </w:tcBorders>
          </w:tcPr>
          <w:p>
            <w:pPr>
              <w:spacing w:after="0"/>
              <w:rPr>
                <w:sz w:val="11"/>
                <w:szCs w:val="11"/>
                <w:color w:val="auto"/>
              </w:rPr>
            </w:pPr>
          </w:p>
        </w:tc>
        <w:tc>
          <w:tcPr>
            <w:tcW w:w="980" w:type="dxa"/>
            <w:vAlign w:val="bottom"/>
            <w:tcBorders>
              <w:bottom w:val="single" w:sz="8" w:color="D7282F"/>
            </w:tcBorders>
          </w:tcPr>
          <w:p>
            <w:pPr>
              <w:spacing w:after="0"/>
              <w:rPr>
                <w:sz w:val="11"/>
                <w:szCs w:val="11"/>
                <w:color w:val="auto"/>
              </w:rPr>
            </w:pPr>
          </w:p>
        </w:tc>
        <w:tc>
          <w:tcPr>
            <w:tcW w:w="340" w:type="dxa"/>
            <w:vAlign w:val="bottom"/>
            <w:tcBorders>
              <w:bottom w:val="single" w:sz="8" w:color="D7282F"/>
            </w:tcBorders>
          </w:tcPr>
          <w:p>
            <w:pPr>
              <w:spacing w:after="0"/>
              <w:rPr>
                <w:sz w:val="11"/>
                <w:szCs w:val="11"/>
                <w:color w:val="auto"/>
              </w:rPr>
            </w:pPr>
          </w:p>
        </w:tc>
        <w:tc>
          <w:tcPr>
            <w:tcW w:w="740" w:type="dxa"/>
            <w:vAlign w:val="bottom"/>
            <w:tcBorders>
              <w:bottom w:val="single" w:sz="8" w:color="D7282F"/>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980" w:type="dxa"/>
            <w:vAlign w:val="bottom"/>
          </w:tcPr>
          <w:p>
            <w:pPr>
              <w:spacing w:after="0"/>
              <w:rPr>
                <w:sz w:val="13"/>
                <w:szCs w:val="13"/>
                <w:color w:val="auto"/>
              </w:rPr>
            </w:pPr>
          </w:p>
        </w:tc>
        <w:tc>
          <w:tcPr>
            <w:tcW w:w="720" w:type="dxa"/>
            <w:vAlign w:val="bottom"/>
            <w:tcBorders>
              <w:bottom w:val="single" w:sz="8" w:color="D7282F"/>
            </w:tcBorders>
          </w:tcPr>
          <w:p>
            <w:pPr>
              <w:spacing w:after="0"/>
              <w:rPr>
                <w:sz w:val="13"/>
                <w:szCs w:val="13"/>
                <w:color w:val="auto"/>
              </w:rPr>
            </w:pPr>
          </w:p>
        </w:tc>
        <w:tc>
          <w:tcPr>
            <w:tcW w:w="320" w:type="dxa"/>
            <w:vAlign w:val="bottom"/>
            <w:tcBorders>
              <w:bottom w:val="single" w:sz="8" w:color="D7282F"/>
            </w:tcBorders>
          </w:tcPr>
          <w:p>
            <w:pPr>
              <w:spacing w:after="0"/>
              <w:rPr>
                <w:sz w:val="13"/>
                <w:szCs w:val="13"/>
                <w:color w:val="auto"/>
              </w:rPr>
            </w:pPr>
          </w:p>
        </w:tc>
        <w:tc>
          <w:tcPr>
            <w:tcW w:w="220" w:type="dxa"/>
            <w:vAlign w:val="bottom"/>
            <w:tcBorders>
              <w:bottom w:val="single" w:sz="8" w:color="D7282F"/>
            </w:tcBorders>
          </w:tcPr>
          <w:p>
            <w:pPr>
              <w:spacing w:after="0"/>
              <w:rPr>
                <w:sz w:val="13"/>
                <w:szCs w:val="13"/>
                <w:color w:val="auto"/>
              </w:rPr>
            </w:pPr>
          </w:p>
        </w:tc>
        <w:tc>
          <w:tcPr>
            <w:tcW w:w="960" w:type="dxa"/>
            <w:vAlign w:val="bottom"/>
            <w:tcBorders>
              <w:bottom w:val="single" w:sz="8" w:color="D7282F"/>
            </w:tcBorders>
          </w:tcPr>
          <w:p>
            <w:pPr>
              <w:spacing w:after="0"/>
              <w:rPr>
                <w:sz w:val="13"/>
                <w:szCs w:val="13"/>
                <w:color w:val="auto"/>
              </w:rPr>
            </w:pPr>
          </w:p>
        </w:tc>
        <w:tc>
          <w:tcPr>
            <w:tcW w:w="220" w:type="dxa"/>
            <w:vAlign w:val="bottom"/>
            <w:tcBorders>
              <w:bottom w:val="single" w:sz="8" w:color="D7282F"/>
            </w:tcBorders>
          </w:tcPr>
          <w:p>
            <w:pPr>
              <w:spacing w:after="0"/>
              <w:rPr>
                <w:sz w:val="13"/>
                <w:szCs w:val="13"/>
                <w:color w:val="auto"/>
              </w:rPr>
            </w:pPr>
          </w:p>
        </w:tc>
        <w:tc>
          <w:tcPr>
            <w:tcW w:w="3640" w:type="dxa"/>
            <w:vAlign w:val="bottom"/>
            <w:tcBorders>
              <w:bottom w:val="single" w:sz="8" w:color="D7282F"/>
            </w:tcBorders>
            <w:gridSpan w:val="5"/>
          </w:tcPr>
          <w:p>
            <w:pPr>
              <w:jc w:val="center"/>
              <w:ind w:right="152"/>
              <w:spacing w:after="0"/>
              <w:rPr>
                <w:sz w:val="20"/>
                <w:szCs w:val="20"/>
                <w:color w:val="auto"/>
              </w:rPr>
            </w:pPr>
            <w:r>
              <w:rPr>
                <w:rFonts w:ascii="Arial" w:cs="Arial" w:eastAsia="Arial" w:hAnsi="Arial"/>
                <w:sz w:val="10"/>
                <w:szCs w:val="10"/>
                <w:b w:val="1"/>
                <w:bCs w:val="1"/>
                <w:color w:val="auto"/>
                <w:w w:val="96"/>
              </w:rPr>
              <w:t>Affected Line in the Consolidated Statement of Operations</w:t>
            </w:r>
          </w:p>
        </w:tc>
        <w:tc>
          <w:tcPr>
            <w:tcW w:w="180" w:type="dxa"/>
            <w:vAlign w:val="bottom"/>
            <w:tcBorders>
              <w:bottom w:val="single" w:sz="8" w:color="D7282F"/>
            </w:tcBorders>
          </w:tcPr>
          <w:p>
            <w:pPr>
              <w:spacing w:after="0"/>
              <w:rPr>
                <w:sz w:val="13"/>
                <w:szCs w:val="13"/>
                <w:color w:val="auto"/>
              </w:rPr>
            </w:pPr>
          </w:p>
        </w:tc>
        <w:tc>
          <w:tcPr>
            <w:tcW w:w="980" w:type="dxa"/>
            <w:vAlign w:val="bottom"/>
            <w:tcBorders>
              <w:bottom w:val="single" w:sz="8" w:color="D7282F"/>
            </w:tcBorders>
          </w:tcPr>
          <w:p>
            <w:pPr>
              <w:spacing w:after="0"/>
              <w:rPr>
                <w:sz w:val="13"/>
                <w:szCs w:val="13"/>
                <w:color w:val="auto"/>
              </w:rPr>
            </w:pPr>
          </w:p>
        </w:tc>
        <w:tc>
          <w:tcPr>
            <w:tcW w:w="340" w:type="dxa"/>
            <w:vAlign w:val="bottom"/>
            <w:tcBorders>
              <w:bottom w:val="single" w:sz="8" w:color="D7282F"/>
            </w:tcBorders>
          </w:tcPr>
          <w:p>
            <w:pPr>
              <w:spacing w:after="0"/>
              <w:rPr>
                <w:sz w:val="13"/>
                <w:szCs w:val="13"/>
                <w:color w:val="auto"/>
              </w:rPr>
            </w:pPr>
          </w:p>
        </w:tc>
        <w:tc>
          <w:tcPr>
            <w:tcW w:w="740" w:type="dxa"/>
            <w:vAlign w:val="bottom"/>
            <w:tcBorders>
              <w:bottom w:val="single" w:sz="8" w:color="D7282F"/>
            </w:tcBorders>
          </w:tcPr>
          <w:p>
            <w:pPr>
              <w:spacing w:after="0"/>
              <w:rPr>
                <w:sz w:val="13"/>
                <w:szCs w:val="13"/>
                <w:color w:val="auto"/>
              </w:rPr>
            </w:pPr>
          </w:p>
        </w:tc>
        <w:tc>
          <w:tcPr>
            <w:tcW w:w="0" w:type="dxa"/>
            <w:vAlign w:val="bottom"/>
          </w:tcPr>
          <w:p>
            <w:pPr>
              <w:spacing w:after="0"/>
              <w:rPr>
                <w:sz w:val="1"/>
                <w:szCs w:val="1"/>
                <w:color w:val="auto"/>
              </w:rPr>
            </w:pPr>
          </w:p>
        </w:tc>
      </w:tr>
      <w:tr>
        <w:trPr>
          <w:trHeight w:val="314"/>
        </w:trPr>
        <w:tc>
          <w:tcPr>
            <w:tcW w:w="298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Net Sales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372"/>
              <w:spacing w:after="0"/>
              <w:rPr>
                <w:sz w:val="20"/>
                <w:szCs w:val="20"/>
                <w:color w:val="auto"/>
              </w:rPr>
            </w:pPr>
            <w:r>
              <w:rPr>
                <w:rFonts w:ascii="Arial" w:cs="Arial" w:eastAsia="Arial" w:hAnsi="Arial"/>
                <w:sz w:val="10"/>
                <w:szCs w:val="10"/>
                <w:b w:val="1"/>
                <w:bCs w:val="1"/>
                <w:color w:val="auto"/>
              </w:rPr>
              <w:t>Cost of</w:t>
            </w:r>
          </w:p>
        </w:tc>
        <w:tc>
          <w:tcPr>
            <w:tcW w:w="220" w:type="dxa"/>
            <w:vAlign w:val="bottom"/>
          </w:tcPr>
          <w:p>
            <w:pPr>
              <w:spacing w:after="0"/>
              <w:rPr>
                <w:sz w:val="24"/>
                <w:szCs w:val="24"/>
                <w:color w:val="auto"/>
              </w:rPr>
            </w:pPr>
          </w:p>
        </w:tc>
        <w:tc>
          <w:tcPr>
            <w:tcW w:w="920" w:type="dxa"/>
            <w:vAlign w:val="bottom"/>
          </w:tcPr>
          <w:p>
            <w:pPr>
              <w:jc w:val="right"/>
              <w:ind w:right="352"/>
              <w:spacing w:after="0"/>
              <w:rPr>
                <w:sz w:val="20"/>
                <w:szCs w:val="20"/>
                <w:color w:val="auto"/>
              </w:rPr>
            </w:pPr>
            <w:r>
              <w:rPr>
                <w:rFonts w:ascii="Arial" w:cs="Arial" w:eastAsia="Arial" w:hAnsi="Arial"/>
                <w:sz w:val="10"/>
                <w:szCs w:val="10"/>
                <w:b w:val="1"/>
                <w:bCs w:val="1"/>
                <w:color w:val="auto"/>
              </w:rPr>
              <w:t>Cost of</w:t>
            </w:r>
          </w:p>
        </w:tc>
        <w:tc>
          <w:tcPr>
            <w:tcW w:w="200" w:type="dxa"/>
            <w:vAlign w:val="bottom"/>
          </w:tcPr>
          <w:p>
            <w:pPr>
              <w:spacing w:after="0"/>
              <w:rPr>
                <w:sz w:val="24"/>
                <w:szCs w:val="24"/>
                <w:color w:val="auto"/>
              </w:rPr>
            </w:pPr>
          </w:p>
        </w:tc>
        <w:tc>
          <w:tcPr>
            <w:tcW w:w="1380" w:type="dxa"/>
            <w:vAlign w:val="bottom"/>
          </w:tcPr>
          <w:p>
            <w:pPr>
              <w:jc w:val="center"/>
              <w:ind w:right="152"/>
              <w:spacing w:after="0"/>
              <w:rPr>
                <w:sz w:val="20"/>
                <w:szCs w:val="20"/>
                <w:color w:val="auto"/>
              </w:rPr>
            </w:pPr>
            <w:r>
              <w:rPr>
                <w:rFonts w:ascii="Arial" w:cs="Arial" w:eastAsia="Arial" w:hAnsi="Arial"/>
                <w:sz w:val="10"/>
                <w:szCs w:val="10"/>
                <w:b w:val="1"/>
                <w:bCs w:val="1"/>
                <w:color w:val="auto"/>
                <w:w w:val="97"/>
              </w:rPr>
              <w:t>Selling, General and</w:t>
            </w:r>
          </w:p>
        </w:tc>
        <w:tc>
          <w:tcPr>
            <w:tcW w:w="140" w:type="dxa"/>
            <w:vAlign w:val="bottom"/>
          </w:tcPr>
          <w:p>
            <w:pPr>
              <w:spacing w:after="0"/>
              <w:rPr>
                <w:sz w:val="24"/>
                <w:szCs w:val="24"/>
                <w:color w:val="auto"/>
              </w:rPr>
            </w:pPr>
          </w:p>
        </w:tc>
        <w:tc>
          <w:tcPr>
            <w:tcW w:w="1000" w:type="dxa"/>
            <w:vAlign w:val="bottom"/>
          </w:tcPr>
          <w:p>
            <w:pPr>
              <w:jc w:val="right"/>
              <w:ind w:right="412"/>
              <w:spacing w:after="0"/>
              <w:rPr>
                <w:sz w:val="20"/>
                <w:szCs w:val="20"/>
                <w:color w:val="auto"/>
              </w:rPr>
            </w:pPr>
            <w:r>
              <w:rPr>
                <w:rFonts w:ascii="Arial" w:cs="Arial" w:eastAsia="Arial" w:hAnsi="Arial"/>
                <w:sz w:val="10"/>
                <w:szCs w:val="10"/>
                <w:b w:val="1"/>
                <w:bCs w:val="1"/>
                <w:color w:val="auto"/>
              </w:rPr>
              <w:t>Other</w:t>
            </w:r>
          </w:p>
        </w:tc>
        <w:tc>
          <w:tcPr>
            <w:tcW w:w="1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0"/>
                <w:szCs w:val="10"/>
                <w:b w:val="1"/>
                <w:bCs w:val="1"/>
                <w:color w:val="auto"/>
              </w:rPr>
              <w:t>Interest and Other</w:t>
            </w:r>
          </w:p>
        </w:tc>
        <w:tc>
          <w:tcPr>
            <w:tcW w:w="340" w:type="dxa"/>
            <w:vAlign w:val="bottom"/>
          </w:tcPr>
          <w:p>
            <w:pPr>
              <w:spacing w:after="0"/>
              <w:rPr>
                <w:sz w:val="24"/>
                <w:szCs w:val="24"/>
                <w:color w:val="auto"/>
              </w:rPr>
            </w:pPr>
          </w:p>
        </w:tc>
        <w:tc>
          <w:tcPr>
            <w:tcW w:w="740" w:type="dxa"/>
            <w:vAlign w:val="bottom"/>
            <w:vMerge w:val="restart"/>
          </w:tcPr>
          <w:p>
            <w:pPr>
              <w:jc w:val="right"/>
              <w:ind w:right="31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6"/>
        </w:trPr>
        <w:tc>
          <w:tcPr>
            <w:tcW w:w="2980" w:type="dxa"/>
            <w:vAlign w:val="bottom"/>
            <w:tcBorders>
              <w:bottom w:val="single" w:sz="8" w:color="D7282F"/>
            </w:tcBorders>
          </w:tcPr>
          <w:p>
            <w:pPr>
              <w:spacing w:after="0"/>
              <w:rPr>
                <w:sz w:val="10"/>
                <w:szCs w:val="10"/>
                <w:color w:val="auto"/>
              </w:rPr>
            </w:pPr>
          </w:p>
        </w:tc>
        <w:tc>
          <w:tcPr>
            <w:tcW w:w="720" w:type="dxa"/>
            <w:vAlign w:val="bottom"/>
            <w:tcBorders>
              <w:bottom w:val="single" w:sz="8" w:color="D7282F"/>
            </w:tcBorders>
            <w:vMerge w:val="continue"/>
          </w:tcPr>
          <w:p>
            <w:pPr>
              <w:spacing w:after="0"/>
              <w:rPr>
                <w:sz w:val="10"/>
                <w:szCs w:val="10"/>
                <w:color w:val="auto"/>
              </w:rPr>
            </w:pPr>
          </w:p>
        </w:tc>
        <w:tc>
          <w:tcPr>
            <w:tcW w:w="32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b w:val="1"/>
                <w:bCs w:val="1"/>
                <w:color w:val="auto"/>
              </w:rPr>
              <w:t>Products Sold</w:t>
            </w:r>
          </w:p>
        </w:tc>
        <w:tc>
          <w:tcPr>
            <w:tcW w:w="22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right"/>
              <w:ind w:right="192"/>
              <w:spacing w:after="0"/>
              <w:rPr>
                <w:sz w:val="20"/>
                <w:szCs w:val="20"/>
                <w:color w:val="auto"/>
              </w:rPr>
            </w:pPr>
            <w:r>
              <w:rPr>
                <w:rFonts w:ascii="Arial" w:cs="Arial" w:eastAsia="Arial" w:hAnsi="Arial"/>
                <w:sz w:val="10"/>
                <w:szCs w:val="10"/>
                <w:b w:val="1"/>
                <w:bCs w:val="1"/>
                <w:color w:val="auto"/>
              </w:rPr>
              <w:t>Services Sold</w:t>
            </w:r>
          </w:p>
        </w:tc>
        <w:tc>
          <w:tcPr>
            <w:tcW w:w="200" w:type="dxa"/>
            <w:vAlign w:val="bottom"/>
            <w:tcBorders>
              <w:bottom w:val="single" w:sz="8" w:color="D7282F"/>
            </w:tcBorders>
          </w:tcPr>
          <w:p>
            <w:pPr>
              <w:spacing w:after="0"/>
              <w:rPr>
                <w:sz w:val="10"/>
                <w:szCs w:val="10"/>
                <w:color w:val="auto"/>
              </w:rPr>
            </w:pPr>
          </w:p>
        </w:tc>
        <w:tc>
          <w:tcPr>
            <w:tcW w:w="1380" w:type="dxa"/>
            <w:vAlign w:val="bottom"/>
            <w:tcBorders>
              <w:bottom w:val="single" w:sz="8" w:color="D7282F"/>
            </w:tcBorders>
          </w:tcPr>
          <w:p>
            <w:pPr>
              <w:jc w:val="center"/>
              <w:ind w:right="152"/>
              <w:spacing w:after="0"/>
              <w:rPr>
                <w:sz w:val="20"/>
                <w:szCs w:val="20"/>
                <w:color w:val="auto"/>
              </w:rPr>
            </w:pPr>
            <w:r>
              <w:rPr>
                <w:rFonts w:ascii="Arial" w:cs="Arial" w:eastAsia="Arial" w:hAnsi="Arial"/>
                <w:sz w:val="10"/>
                <w:szCs w:val="10"/>
                <w:b w:val="1"/>
                <w:bCs w:val="1"/>
                <w:color w:val="auto"/>
                <w:w w:val="95"/>
              </w:rPr>
              <w:t>Administrative Expenses</w:t>
            </w:r>
          </w:p>
        </w:tc>
        <w:tc>
          <w:tcPr>
            <w:tcW w:w="14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w w:val="93"/>
              </w:rPr>
              <w:t>(Income) Expense</w:t>
            </w:r>
          </w:p>
        </w:tc>
        <w:tc>
          <w:tcPr>
            <w:tcW w:w="180" w:type="dxa"/>
            <w:vAlign w:val="bottom"/>
            <w:tcBorders>
              <w:bottom w:val="single" w:sz="8" w:color="D7282F"/>
            </w:tcBorders>
          </w:tcPr>
          <w:p>
            <w:pPr>
              <w:spacing w:after="0"/>
              <w:rPr>
                <w:sz w:val="10"/>
                <w:szCs w:val="10"/>
                <w:color w:val="auto"/>
              </w:rPr>
            </w:pPr>
          </w:p>
        </w:tc>
        <w:tc>
          <w:tcPr>
            <w:tcW w:w="9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Financial Charges</w:t>
            </w:r>
          </w:p>
        </w:tc>
        <w:tc>
          <w:tcPr>
            <w:tcW w:w="34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Amortization of pension and other postretirement benefit items</w:t>
            </w:r>
          </w:p>
        </w:tc>
        <w:tc>
          <w:tcPr>
            <w:tcW w:w="720" w:type="dxa"/>
            <w:vAlign w:val="bottom"/>
            <w:tcBorders>
              <w:bottom w:val="single" w:sz="8" w:color="888B8D"/>
            </w:tcBorders>
          </w:tcPr>
          <w:p>
            <w:pPr>
              <w:spacing w:after="0"/>
              <w:rPr>
                <w:sz w:val="10"/>
                <w:szCs w:val="10"/>
                <w:color w:val="auto"/>
              </w:rPr>
            </w:pPr>
          </w:p>
        </w:tc>
        <w:tc>
          <w:tcPr>
            <w:tcW w:w="32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92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38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100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980" w:type="dxa"/>
            <w:vAlign w:val="bottom"/>
            <w:tcBorders>
              <w:bottom w:val="single" w:sz="8" w:color="888B8D"/>
            </w:tcBorders>
          </w:tcPr>
          <w:p>
            <w:pPr>
              <w:spacing w:after="0"/>
              <w:rPr>
                <w:sz w:val="10"/>
                <w:szCs w:val="10"/>
                <w:color w:val="auto"/>
              </w:rPr>
            </w:pP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9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Actuarial losses recognized</w:t>
            </w:r>
          </w:p>
        </w:tc>
        <w:tc>
          <w:tcPr>
            <w:tcW w:w="720" w:type="dxa"/>
            <w:vAlign w:val="bottom"/>
            <w:tcBorders>
              <w:bottom w:val="single" w:sz="8" w:color="888B8D"/>
            </w:tcBorders>
          </w:tcPr>
          <w:p>
            <w:pPr>
              <w:jc w:val="right"/>
              <w:ind w:right="612"/>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9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138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141</w:t>
            </w:r>
          </w:p>
        </w:tc>
        <w:tc>
          <w:tcPr>
            <w:tcW w:w="1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888B8D"/>
            </w:tcBorders>
          </w:tcPr>
          <w:p>
            <w:pPr>
              <w:ind w:left="740"/>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141</w:t>
            </w:r>
          </w:p>
        </w:tc>
        <w:tc>
          <w:tcPr>
            <w:tcW w:w="0" w:type="dxa"/>
            <w:vAlign w:val="bottom"/>
          </w:tcPr>
          <w:p>
            <w:pPr>
              <w:spacing w:after="0"/>
              <w:rPr>
                <w:sz w:val="1"/>
                <w:szCs w:val="1"/>
                <w:color w:val="auto"/>
              </w:rPr>
            </w:pPr>
          </w:p>
        </w:tc>
      </w:tr>
      <w:tr>
        <w:trPr>
          <w:trHeight w:val="124"/>
        </w:trPr>
        <w:tc>
          <w:tcPr>
            <w:tcW w:w="29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Prior service (credit) recognized</w:t>
            </w:r>
          </w:p>
        </w:tc>
        <w:tc>
          <w:tcPr>
            <w:tcW w:w="720" w:type="dxa"/>
            <w:vAlign w:val="bottom"/>
            <w:tcBorders>
              <w:bottom w:val="single" w:sz="8" w:color="888B8D"/>
            </w:tcBorders>
          </w:tcPr>
          <w:p>
            <w:pPr>
              <w:spacing w:after="0"/>
              <w:rPr>
                <w:sz w:val="10"/>
                <w:szCs w:val="10"/>
                <w:color w:val="auto"/>
              </w:rPr>
            </w:pPr>
          </w:p>
        </w:tc>
        <w:tc>
          <w:tcPr>
            <w:tcW w:w="3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888B8D"/>
            </w:tcBorders>
          </w:tcPr>
          <w:p>
            <w:pPr>
              <w:spacing w:after="0"/>
              <w:rPr>
                <w:sz w:val="10"/>
                <w:szCs w:val="10"/>
                <w:color w:val="auto"/>
              </w:rPr>
            </w:pPr>
          </w:p>
        </w:tc>
        <w:tc>
          <w:tcPr>
            <w:tcW w:w="92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138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888B8D"/>
            </w:tcBorders>
          </w:tcPr>
          <w:p>
            <w:pPr>
              <w:spacing w:after="0"/>
              <w:rPr>
                <w:sz w:val="10"/>
                <w:szCs w:val="10"/>
                <w:color w:val="auto"/>
              </w:rPr>
            </w:pPr>
          </w:p>
        </w:tc>
        <w:tc>
          <w:tcPr>
            <w:tcW w:w="10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(63)</w:t>
            </w:r>
          </w:p>
        </w:tc>
        <w:tc>
          <w:tcPr>
            <w:tcW w:w="180" w:type="dxa"/>
            <w:vAlign w:val="bottom"/>
            <w:tcBorders>
              <w:bottom w:val="single" w:sz="8" w:color="888B8D"/>
            </w:tcBorders>
          </w:tcPr>
          <w:p>
            <w:pPr>
              <w:spacing w:after="0"/>
              <w:rPr>
                <w:sz w:val="10"/>
                <w:szCs w:val="10"/>
                <w:color w:val="auto"/>
              </w:rPr>
            </w:pPr>
          </w:p>
        </w:tc>
        <w:tc>
          <w:tcPr>
            <w:tcW w:w="980" w:type="dxa"/>
            <w:vAlign w:val="bottom"/>
            <w:tcBorders>
              <w:bottom w:val="single" w:sz="8" w:color="888B8D"/>
            </w:tcBorders>
          </w:tcPr>
          <w:p>
            <w:pPr>
              <w:ind w:left="740"/>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(63)</w:t>
            </w:r>
          </w:p>
        </w:tc>
        <w:tc>
          <w:tcPr>
            <w:tcW w:w="0" w:type="dxa"/>
            <w:vAlign w:val="bottom"/>
          </w:tcPr>
          <w:p>
            <w:pPr>
              <w:spacing w:after="0"/>
              <w:rPr>
                <w:sz w:val="1"/>
                <w:szCs w:val="1"/>
                <w:color w:val="auto"/>
              </w:rPr>
            </w:pPr>
          </w:p>
        </w:tc>
      </w:tr>
      <w:tr>
        <w:trPr>
          <w:trHeight w:val="124"/>
        </w:trPr>
        <w:tc>
          <w:tcPr>
            <w:tcW w:w="29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Losses (gains) on cash flow hedges</w:t>
            </w:r>
          </w:p>
        </w:tc>
        <w:tc>
          <w:tcPr>
            <w:tcW w:w="720" w:type="dxa"/>
            <w:vAlign w:val="bottom"/>
            <w:tcBorders>
              <w:bottom w:val="single" w:sz="8" w:color="888B8D"/>
            </w:tcBorders>
          </w:tcPr>
          <w:p>
            <w:pPr>
              <w:spacing w:after="0"/>
              <w:rPr>
                <w:sz w:val="10"/>
                <w:szCs w:val="10"/>
                <w:color w:val="auto"/>
              </w:rPr>
            </w:pPr>
          </w:p>
        </w:tc>
        <w:tc>
          <w:tcPr>
            <w:tcW w:w="32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(15)</w:t>
            </w:r>
          </w:p>
        </w:tc>
        <w:tc>
          <w:tcPr>
            <w:tcW w:w="22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(28)</w:t>
            </w:r>
          </w:p>
        </w:tc>
        <w:tc>
          <w:tcPr>
            <w:tcW w:w="220" w:type="dxa"/>
            <w:vAlign w:val="bottom"/>
            <w:tcBorders>
              <w:bottom w:val="single" w:sz="8" w:color="888B8D"/>
            </w:tcBorders>
          </w:tcPr>
          <w:p>
            <w:pPr>
              <w:spacing w:after="0"/>
              <w:rPr>
                <w:sz w:val="10"/>
                <w:szCs w:val="10"/>
                <w:color w:val="auto"/>
              </w:rPr>
            </w:pPr>
          </w:p>
        </w:tc>
        <w:tc>
          <w:tcPr>
            <w:tcW w:w="92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(10)</w:t>
            </w:r>
          </w:p>
        </w:tc>
        <w:tc>
          <w:tcPr>
            <w:tcW w:w="200" w:type="dxa"/>
            <w:vAlign w:val="bottom"/>
            <w:tcBorders>
              <w:bottom w:val="single" w:sz="8" w:color="888B8D"/>
            </w:tcBorders>
          </w:tcPr>
          <w:p>
            <w:pPr>
              <w:spacing w:after="0"/>
              <w:rPr>
                <w:sz w:val="10"/>
                <w:szCs w:val="10"/>
                <w:color w:val="auto"/>
              </w:rPr>
            </w:pPr>
          </w:p>
        </w:tc>
        <w:tc>
          <w:tcPr>
            <w:tcW w:w="138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(10)</w:t>
            </w:r>
          </w:p>
        </w:tc>
        <w:tc>
          <w:tcPr>
            <w:tcW w:w="140" w:type="dxa"/>
            <w:vAlign w:val="bottom"/>
            <w:tcBorders>
              <w:bottom w:val="single" w:sz="8" w:color="888B8D"/>
            </w:tcBorders>
          </w:tcPr>
          <w:p>
            <w:pPr>
              <w:spacing w:after="0"/>
              <w:rPr>
                <w:sz w:val="10"/>
                <w:szCs w:val="10"/>
                <w:color w:val="auto"/>
              </w:rPr>
            </w:pPr>
          </w:p>
        </w:tc>
        <w:tc>
          <w:tcPr>
            <w:tcW w:w="10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888B8D"/>
            </w:tcBorders>
          </w:tcPr>
          <w:p>
            <w:pPr>
              <w:spacing w:after="0"/>
              <w:rPr>
                <w:sz w:val="10"/>
                <w:szCs w:val="10"/>
                <w:color w:val="auto"/>
              </w:rPr>
            </w:pPr>
          </w:p>
        </w:tc>
        <w:tc>
          <w:tcPr>
            <w:tcW w:w="980" w:type="dxa"/>
            <w:vAlign w:val="bottom"/>
            <w:tcBorders>
              <w:bottom w:val="single" w:sz="8" w:color="888B8D"/>
            </w:tcBorders>
          </w:tcPr>
          <w:p>
            <w:pPr>
              <w:ind w:left="740"/>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(63)</w:t>
            </w:r>
          </w:p>
        </w:tc>
        <w:tc>
          <w:tcPr>
            <w:tcW w:w="0" w:type="dxa"/>
            <w:vAlign w:val="bottom"/>
          </w:tcPr>
          <w:p>
            <w:pPr>
              <w:spacing w:after="0"/>
              <w:rPr>
                <w:sz w:val="1"/>
                <w:szCs w:val="1"/>
                <w:color w:val="auto"/>
              </w:rPr>
            </w:pPr>
          </w:p>
        </w:tc>
      </w:tr>
      <w:tr>
        <w:trPr>
          <w:trHeight w:val="124"/>
        </w:trPr>
        <w:tc>
          <w:tcPr>
            <w:tcW w:w="29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Losses (gains) on excluded component of net investment hedges</w:t>
            </w:r>
          </w:p>
        </w:tc>
        <w:tc>
          <w:tcPr>
            <w:tcW w:w="72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D7282F"/>
            </w:tcBorders>
          </w:tcPr>
          <w:p>
            <w:pPr>
              <w:spacing w:after="0"/>
              <w:rPr>
                <w:sz w:val="10"/>
                <w:szCs w:val="10"/>
                <w:color w:val="auto"/>
              </w:rPr>
            </w:pPr>
          </w:p>
        </w:tc>
        <w:tc>
          <w:tcPr>
            <w:tcW w:w="138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D7282F"/>
            </w:tcBorders>
          </w:tcPr>
          <w:p>
            <w:pPr>
              <w:spacing w:after="0"/>
              <w:rPr>
                <w:sz w:val="10"/>
                <w:szCs w:val="10"/>
                <w:color w:val="auto"/>
              </w:rPr>
            </w:pPr>
          </w:p>
        </w:tc>
        <w:tc>
          <w:tcPr>
            <w:tcW w:w="980" w:type="dxa"/>
            <w:vAlign w:val="bottom"/>
            <w:tcBorders>
              <w:bottom w:val="single" w:sz="8" w:color="D7282F"/>
            </w:tcBorders>
          </w:tcPr>
          <w:p>
            <w:pPr>
              <w:ind w:left="740"/>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98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before tax</w:t>
            </w:r>
          </w:p>
        </w:tc>
        <w:tc>
          <w:tcPr>
            <w:tcW w:w="720" w:type="dxa"/>
            <w:vAlign w:val="bottom"/>
            <w:tcBorders>
              <w:bottom w:val="single" w:sz="8" w:color="D7282F"/>
            </w:tcBorders>
          </w:tcPr>
          <w:p>
            <w:pPr>
              <w:jc w:val="right"/>
              <w:ind w:right="612"/>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(15)</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9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(28)</w:t>
            </w:r>
          </w:p>
        </w:tc>
        <w:tc>
          <w:tcPr>
            <w:tcW w:w="22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(10)</w:t>
            </w: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138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(10)</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10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78</w:t>
            </w: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980" w:type="dxa"/>
            <w:vAlign w:val="bottom"/>
            <w:tcBorders>
              <w:bottom w:val="single" w:sz="8" w:color="D7282F"/>
            </w:tcBorders>
          </w:tcPr>
          <w:p>
            <w:pPr>
              <w:ind w:left="740"/>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15</w:t>
            </w:r>
          </w:p>
        </w:tc>
        <w:tc>
          <w:tcPr>
            <w:tcW w:w="0" w:type="dxa"/>
            <w:vAlign w:val="bottom"/>
          </w:tcPr>
          <w:p>
            <w:pPr>
              <w:spacing w:after="0"/>
              <w:rPr>
                <w:sz w:val="1"/>
                <w:szCs w:val="1"/>
                <w:color w:val="auto"/>
              </w:rPr>
            </w:pPr>
          </w:p>
        </w:tc>
      </w:tr>
      <w:tr>
        <w:trPr>
          <w:trHeight w:val="124"/>
        </w:trPr>
        <w:tc>
          <w:tcPr>
            <w:tcW w:w="298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Tax (expense) benefit</w:t>
            </w:r>
          </w:p>
        </w:tc>
        <w:tc>
          <w:tcPr>
            <w:tcW w:w="72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1380" w:type="dxa"/>
            <w:vAlign w:val="bottom"/>
            <w:tcBorders>
              <w:bottom w:val="single" w:sz="8" w:color="D7282F"/>
            </w:tcBorders>
          </w:tcPr>
          <w:p>
            <w:pPr>
              <w:spacing w:after="0"/>
              <w:rPr>
                <w:sz w:val="10"/>
                <w:szCs w:val="10"/>
                <w:color w:val="auto"/>
              </w:rPr>
            </w:pPr>
          </w:p>
        </w:tc>
        <w:tc>
          <w:tcPr>
            <w:tcW w:w="14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98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w:t>
            </w:r>
          </w:p>
        </w:tc>
        <w:tc>
          <w:tcPr>
            <w:tcW w:w="0" w:type="dxa"/>
            <w:vAlign w:val="bottom"/>
          </w:tcPr>
          <w:p>
            <w:pPr>
              <w:spacing w:after="0"/>
              <w:rPr>
                <w:sz w:val="1"/>
                <w:szCs w:val="1"/>
                <w:color w:val="auto"/>
              </w:rPr>
            </w:pPr>
          </w:p>
        </w:tc>
      </w:tr>
      <w:tr>
        <w:trPr>
          <w:trHeight w:val="124"/>
        </w:trPr>
        <w:tc>
          <w:tcPr>
            <w:tcW w:w="29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reclassifications for the period, net of tax</w:t>
            </w:r>
          </w:p>
        </w:tc>
        <w:tc>
          <w:tcPr>
            <w:tcW w:w="72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1380" w:type="dxa"/>
            <w:vAlign w:val="bottom"/>
            <w:tcBorders>
              <w:bottom w:val="single" w:sz="8" w:color="D7282F"/>
            </w:tcBorders>
          </w:tcPr>
          <w:p>
            <w:pPr>
              <w:spacing w:after="0"/>
              <w:rPr>
                <w:sz w:val="10"/>
                <w:szCs w:val="10"/>
                <w:color w:val="auto"/>
              </w:rPr>
            </w:pPr>
          </w:p>
        </w:tc>
        <w:tc>
          <w:tcPr>
            <w:tcW w:w="14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98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21</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D7282F"/>
        </w:rPr>
        <w:t>93</w:t>
      </w:r>
      <w:r>
        <w:rPr>
          <w:sz w:val="20"/>
          <w:szCs w:val="20"/>
          <w:color w:val="auto"/>
        </w:rPr>
        <w:tab/>
      </w:r>
      <w:r>
        <w:rPr>
          <w:rFonts w:ascii="Arial" w:cs="Arial" w:eastAsia="Arial" w:hAnsi="Arial"/>
          <w:sz w:val="8"/>
          <w:szCs w:val="8"/>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90805</wp:posOffset>
            </wp:positionV>
            <wp:extent cx="7203440" cy="368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95" w:name="page96"/>
    <w:bookmarkEnd w:id="95"/>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33" w:lineRule="exact"/>
        <w:rPr>
          <w:sz w:val="20"/>
          <w:szCs w:val="20"/>
          <w:color w:val="auto"/>
        </w:rPr>
      </w:pPr>
    </w:p>
    <w:tbl>
      <w:tblPr>
        <w:tblLayout w:type="fixed"/>
        <w:tblInd w:w="8" w:type="dxa"/>
        <w:tblCellMar>
          <w:top w:w="0" w:type="dxa"/>
          <w:left w:w="0" w:type="dxa"/>
          <w:bottom w:w="0" w:type="dxa"/>
          <w:right w:w="0" w:type="dxa"/>
        </w:tblCellMar>
      </w:tblPr>
      <w:tr>
        <w:trPr>
          <w:trHeight w:val="140"/>
        </w:trPr>
        <w:tc>
          <w:tcPr>
            <w:tcW w:w="2960" w:type="dxa"/>
            <w:vAlign w:val="bottom"/>
          </w:tcPr>
          <w:p>
            <w:pPr>
              <w:spacing w:after="0"/>
              <w:rPr>
                <w:sz w:val="12"/>
                <w:szCs w:val="12"/>
                <w:color w:val="auto"/>
              </w:rPr>
            </w:pPr>
          </w:p>
        </w:tc>
        <w:tc>
          <w:tcPr>
            <w:tcW w:w="740" w:type="dxa"/>
            <w:vAlign w:val="bottom"/>
            <w:tcBorders>
              <w:bottom w:val="single" w:sz="8" w:color="D7282F"/>
            </w:tcBorders>
          </w:tcPr>
          <w:p>
            <w:pPr>
              <w:spacing w:after="0"/>
              <w:rPr>
                <w:sz w:val="12"/>
                <w:szCs w:val="12"/>
                <w:color w:val="auto"/>
              </w:rPr>
            </w:pPr>
          </w:p>
        </w:tc>
        <w:tc>
          <w:tcPr>
            <w:tcW w:w="320" w:type="dxa"/>
            <w:vAlign w:val="bottom"/>
            <w:tcBorders>
              <w:bottom w:val="single" w:sz="8" w:color="D7282F"/>
            </w:tcBorders>
          </w:tcPr>
          <w:p>
            <w:pPr>
              <w:spacing w:after="0"/>
              <w:rPr>
                <w:sz w:val="12"/>
                <w:szCs w:val="12"/>
                <w:color w:val="auto"/>
              </w:rPr>
            </w:pPr>
          </w:p>
        </w:tc>
        <w:tc>
          <w:tcPr>
            <w:tcW w:w="220" w:type="dxa"/>
            <w:vAlign w:val="bottom"/>
            <w:tcBorders>
              <w:bottom w:val="single" w:sz="8" w:color="D7282F"/>
            </w:tcBorders>
          </w:tcPr>
          <w:p>
            <w:pPr>
              <w:spacing w:after="0"/>
              <w:rPr>
                <w:sz w:val="12"/>
                <w:szCs w:val="12"/>
                <w:color w:val="auto"/>
              </w:rPr>
            </w:pPr>
          </w:p>
        </w:tc>
        <w:tc>
          <w:tcPr>
            <w:tcW w:w="960" w:type="dxa"/>
            <w:vAlign w:val="bottom"/>
            <w:tcBorders>
              <w:bottom w:val="single" w:sz="8" w:color="D7282F"/>
            </w:tcBorders>
          </w:tcPr>
          <w:p>
            <w:pPr>
              <w:spacing w:after="0"/>
              <w:rPr>
                <w:sz w:val="12"/>
                <w:szCs w:val="12"/>
                <w:color w:val="auto"/>
              </w:rPr>
            </w:pPr>
          </w:p>
        </w:tc>
        <w:tc>
          <w:tcPr>
            <w:tcW w:w="220" w:type="dxa"/>
            <w:vAlign w:val="bottom"/>
            <w:tcBorders>
              <w:bottom w:val="single" w:sz="8" w:color="D7282F"/>
            </w:tcBorders>
          </w:tcPr>
          <w:p>
            <w:pPr>
              <w:spacing w:after="0"/>
              <w:rPr>
                <w:sz w:val="12"/>
                <w:szCs w:val="12"/>
                <w:color w:val="auto"/>
              </w:rPr>
            </w:pPr>
          </w:p>
        </w:tc>
        <w:tc>
          <w:tcPr>
            <w:tcW w:w="920" w:type="dxa"/>
            <w:vAlign w:val="bottom"/>
            <w:tcBorders>
              <w:bottom w:val="single" w:sz="8" w:color="D7282F"/>
            </w:tcBorders>
          </w:tcPr>
          <w:p>
            <w:pPr>
              <w:spacing w:after="0"/>
              <w:rPr>
                <w:sz w:val="12"/>
                <w:szCs w:val="12"/>
                <w:color w:val="auto"/>
              </w:rPr>
            </w:pPr>
          </w:p>
        </w:tc>
        <w:tc>
          <w:tcPr>
            <w:tcW w:w="1580" w:type="dxa"/>
            <w:vAlign w:val="bottom"/>
            <w:tcBorders>
              <w:bottom w:val="single" w:sz="8" w:color="D7282F"/>
            </w:tcBorders>
            <w:gridSpan w:val="2"/>
          </w:tcPr>
          <w:p>
            <w:pPr>
              <w:jc w:val="center"/>
              <w:spacing w:after="0"/>
              <w:rPr>
                <w:sz w:val="20"/>
                <w:szCs w:val="20"/>
                <w:color w:val="auto"/>
              </w:rPr>
            </w:pPr>
            <w:r>
              <w:rPr>
                <w:rFonts w:ascii="Arial" w:cs="Arial" w:eastAsia="Arial" w:hAnsi="Arial"/>
                <w:sz w:val="10"/>
                <w:szCs w:val="10"/>
                <w:b w:val="1"/>
                <w:bCs w:val="1"/>
                <w:color w:val="auto"/>
                <w:w w:val="96"/>
              </w:rPr>
              <w:t>Year Ended December 31, 2022</w:t>
            </w:r>
          </w:p>
        </w:tc>
        <w:tc>
          <w:tcPr>
            <w:tcW w:w="140" w:type="dxa"/>
            <w:vAlign w:val="bottom"/>
            <w:tcBorders>
              <w:bottom w:val="single" w:sz="8" w:color="D7282F"/>
            </w:tcBorders>
          </w:tcPr>
          <w:p>
            <w:pPr>
              <w:spacing w:after="0"/>
              <w:rPr>
                <w:sz w:val="12"/>
                <w:szCs w:val="12"/>
                <w:color w:val="auto"/>
              </w:rPr>
            </w:pPr>
          </w:p>
        </w:tc>
        <w:tc>
          <w:tcPr>
            <w:tcW w:w="1000" w:type="dxa"/>
            <w:vAlign w:val="bottom"/>
            <w:tcBorders>
              <w:bottom w:val="single" w:sz="8" w:color="D7282F"/>
            </w:tcBorders>
          </w:tcPr>
          <w:p>
            <w:pPr>
              <w:spacing w:after="0"/>
              <w:rPr>
                <w:sz w:val="12"/>
                <w:szCs w:val="12"/>
                <w:color w:val="auto"/>
              </w:rPr>
            </w:pPr>
          </w:p>
        </w:tc>
        <w:tc>
          <w:tcPr>
            <w:tcW w:w="180" w:type="dxa"/>
            <w:vAlign w:val="bottom"/>
            <w:tcBorders>
              <w:bottom w:val="single" w:sz="8" w:color="D7282F"/>
            </w:tcBorders>
          </w:tcPr>
          <w:p>
            <w:pPr>
              <w:spacing w:after="0"/>
              <w:rPr>
                <w:sz w:val="12"/>
                <w:szCs w:val="12"/>
                <w:color w:val="auto"/>
              </w:rPr>
            </w:pPr>
          </w:p>
        </w:tc>
        <w:tc>
          <w:tcPr>
            <w:tcW w:w="1000" w:type="dxa"/>
            <w:vAlign w:val="bottom"/>
            <w:tcBorders>
              <w:bottom w:val="single" w:sz="8" w:color="D7282F"/>
            </w:tcBorders>
          </w:tcPr>
          <w:p>
            <w:pPr>
              <w:spacing w:after="0"/>
              <w:rPr>
                <w:sz w:val="12"/>
                <w:szCs w:val="12"/>
                <w:color w:val="auto"/>
              </w:rPr>
            </w:pPr>
          </w:p>
        </w:tc>
        <w:tc>
          <w:tcPr>
            <w:tcW w:w="320" w:type="dxa"/>
            <w:vAlign w:val="bottom"/>
            <w:tcBorders>
              <w:bottom w:val="single" w:sz="8" w:color="D7282F"/>
            </w:tcBorders>
          </w:tcPr>
          <w:p>
            <w:pPr>
              <w:spacing w:after="0"/>
              <w:rPr>
                <w:sz w:val="12"/>
                <w:szCs w:val="12"/>
                <w:color w:val="auto"/>
              </w:rPr>
            </w:pPr>
          </w:p>
        </w:tc>
        <w:tc>
          <w:tcPr>
            <w:tcW w:w="740" w:type="dxa"/>
            <w:vAlign w:val="bottom"/>
            <w:tcBorders>
              <w:bottom w:val="single" w:sz="8" w:color="D7282F"/>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960" w:type="dxa"/>
            <w:vAlign w:val="bottom"/>
          </w:tcPr>
          <w:p>
            <w:pPr>
              <w:spacing w:after="0"/>
              <w:rPr>
                <w:sz w:val="13"/>
                <w:szCs w:val="13"/>
                <w:color w:val="auto"/>
              </w:rPr>
            </w:pPr>
          </w:p>
        </w:tc>
        <w:tc>
          <w:tcPr>
            <w:tcW w:w="740" w:type="dxa"/>
            <w:vAlign w:val="bottom"/>
            <w:tcBorders>
              <w:bottom w:val="single" w:sz="8" w:color="D7282F"/>
            </w:tcBorders>
          </w:tcPr>
          <w:p>
            <w:pPr>
              <w:spacing w:after="0"/>
              <w:rPr>
                <w:sz w:val="13"/>
                <w:szCs w:val="13"/>
                <w:color w:val="auto"/>
              </w:rPr>
            </w:pPr>
          </w:p>
        </w:tc>
        <w:tc>
          <w:tcPr>
            <w:tcW w:w="320" w:type="dxa"/>
            <w:vAlign w:val="bottom"/>
            <w:tcBorders>
              <w:bottom w:val="single" w:sz="8" w:color="D7282F"/>
            </w:tcBorders>
          </w:tcPr>
          <w:p>
            <w:pPr>
              <w:spacing w:after="0"/>
              <w:rPr>
                <w:sz w:val="13"/>
                <w:szCs w:val="13"/>
                <w:color w:val="auto"/>
              </w:rPr>
            </w:pPr>
          </w:p>
        </w:tc>
        <w:tc>
          <w:tcPr>
            <w:tcW w:w="220" w:type="dxa"/>
            <w:vAlign w:val="bottom"/>
            <w:tcBorders>
              <w:bottom w:val="single" w:sz="8" w:color="D7282F"/>
            </w:tcBorders>
          </w:tcPr>
          <w:p>
            <w:pPr>
              <w:spacing w:after="0"/>
              <w:rPr>
                <w:sz w:val="13"/>
                <w:szCs w:val="13"/>
                <w:color w:val="auto"/>
              </w:rPr>
            </w:pPr>
          </w:p>
        </w:tc>
        <w:tc>
          <w:tcPr>
            <w:tcW w:w="960" w:type="dxa"/>
            <w:vAlign w:val="bottom"/>
            <w:tcBorders>
              <w:bottom w:val="single" w:sz="8" w:color="D7282F"/>
            </w:tcBorders>
          </w:tcPr>
          <w:p>
            <w:pPr>
              <w:spacing w:after="0"/>
              <w:rPr>
                <w:sz w:val="13"/>
                <w:szCs w:val="13"/>
                <w:color w:val="auto"/>
              </w:rPr>
            </w:pPr>
          </w:p>
        </w:tc>
        <w:tc>
          <w:tcPr>
            <w:tcW w:w="220" w:type="dxa"/>
            <w:vAlign w:val="bottom"/>
            <w:tcBorders>
              <w:bottom w:val="single" w:sz="8" w:color="D7282F"/>
            </w:tcBorders>
          </w:tcPr>
          <w:p>
            <w:pPr>
              <w:spacing w:after="0"/>
              <w:rPr>
                <w:sz w:val="13"/>
                <w:szCs w:val="13"/>
                <w:color w:val="auto"/>
              </w:rPr>
            </w:pPr>
          </w:p>
        </w:tc>
        <w:tc>
          <w:tcPr>
            <w:tcW w:w="3640" w:type="dxa"/>
            <w:vAlign w:val="bottom"/>
            <w:tcBorders>
              <w:bottom w:val="single" w:sz="8" w:color="D7282F"/>
            </w:tcBorders>
            <w:gridSpan w:val="5"/>
          </w:tcPr>
          <w:p>
            <w:pPr>
              <w:jc w:val="center"/>
              <w:ind w:right="172"/>
              <w:spacing w:after="0"/>
              <w:rPr>
                <w:sz w:val="20"/>
                <w:szCs w:val="20"/>
                <w:color w:val="auto"/>
              </w:rPr>
            </w:pPr>
            <w:r>
              <w:rPr>
                <w:rFonts w:ascii="Arial" w:cs="Arial" w:eastAsia="Arial" w:hAnsi="Arial"/>
                <w:sz w:val="10"/>
                <w:szCs w:val="10"/>
                <w:b w:val="1"/>
                <w:bCs w:val="1"/>
                <w:color w:val="auto"/>
                <w:w w:val="95"/>
              </w:rPr>
              <w:t>Affected Line in the Consolidated Statement of Operations</w:t>
            </w:r>
          </w:p>
        </w:tc>
        <w:tc>
          <w:tcPr>
            <w:tcW w:w="180" w:type="dxa"/>
            <w:vAlign w:val="bottom"/>
            <w:tcBorders>
              <w:bottom w:val="single" w:sz="8" w:color="D7282F"/>
            </w:tcBorders>
          </w:tcPr>
          <w:p>
            <w:pPr>
              <w:spacing w:after="0"/>
              <w:rPr>
                <w:sz w:val="13"/>
                <w:szCs w:val="13"/>
                <w:color w:val="auto"/>
              </w:rPr>
            </w:pPr>
          </w:p>
        </w:tc>
        <w:tc>
          <w:tcPr>
            <w:tcW w:w="1000" w:type="dxa"/>
            <w:vAlign w:val="bottom"/>
            <w:tcBorders>
              <w:bottom w:val="single" w:sz="8" w:color="D7282F"/>
            </w:tcBorders>
          </w:tcPr>
          <w:p>
            <w:pPr>
              <w:spacing w:after="0"/>
              <w:rPr>
                <w:sz w:val="13"/>
                <w:szCs w:val="13"/>
                <w:color w:val="auto"/>
              </w:rPr>
            </w:pPr>
          </w:p>
        </w:tc>
        <w:tc>
          <w:tcPr>
            <w:tcW w:w="320" w:type="dxa"/>
            <w:vAlign w:val="bottom"/>
            <w:tcBorders>
              <w:bottom w:val="single" w:sz="8" w:color="D7282F"/>
            </w:tcBorders>
          </w:tcPr>
          <w:p>
            <w:pPr>
              <w:spacing w:after="0"/>
              <w:rPr>
                <w:sz w:val="13"/>
                <w:szCs w:val="13"/>
                <w:color w:val="auto"/>
              </w:rPr>
            </w:pPr>
          </w:p>
        </w:tc>
        <w:tc>
          <w:tcPr>
            <w:tcW w:w="740" w:type="dxa"/>
            <w:vAlign w:val="bottom"/>
            <w:tcBorders>
              <w:bottom w:val="single" w:sz="8" w:color="D7282F"/>
            </w:tcBorders>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296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Net Sales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center"/>
              <w:ind w:right="172"/>
              <w:spacing w:after="0"/>
              <w:rPr>
                <w:sz w:val="20"/>
                <w:szCs w:val="20"/>
                <w:color w:val="auto"/>
              </w:rPr>
            </w:pPr>
            <w:r>
              <w:rPr>
                <w:rFonts w:ascii="Arial" w:cs="Arial" w:eastAsia="Arial" w:hAnsi="Arial"/>
                <w:sz w:val="10"/>
                <w:szCs w:val="10"/>
                <w:b w:val="1"/>
                <w:bCs w:val="1"/>
                <w:color w:val="auto"/>
                <w:w w:val="98"/>
              </w:rPr>
              <w:t>Cost of</w:t>
            </w:r>
          </w:p>
        </w:tc>
        <w:tc>
          <w:tcPr>
            <w:tcW w:w="220" w:type="dxa"/>
            <w:vAlign w:val="bottom"/>
          </w:tcPr>
          <w:p>
            <w:pPr>
              <w:spacing w:after="0"/>
              <w:rPr>
                <w:sz w:val="24"/>
                <w:szCs w:val="24"/>
                <w:color w:val="auto"/>
              </w:rPr>
            </w:pPr>
          </w:p>
        </w:tc>
        <w:tc>
          <w:tcPr>
            <w:tcW w:w="920" w:type="dxa"/>
            <w:vAlign w:val="bottom"/>
          </w:tcPr>
          <w:p>
            <w:pPr>
              <w:jc w:val="center"/>
              <w:ind w:right="152"/>
              <w:spacing w:after="0"/>
              <w:rPr>
                <w:sz w:val="20"/>
                <w:szCs w:val="20"/>
                <w:color w:val="auto"/>
              </w:rPr>
            </w:pPr>
            <w:r>
              <w:rPr>
                <w:rFonts w:ascii="Arial" w:cs="Arial" w:eastAsia="Arial" w:hAnsi="Arial"/>
                <w:sz w:val="10"/>
                <w:szCs w:val="10"/>
                <w:b w:val="1"/>
                <w:bCs w:val="1"/>
                <w:color w:val="auto"/>
                <w:w w:val="92"/>
              </w:rPr>
              <w:t>Cost of</w:t>
            </w:r>
          </w:p>
        </w:tc>
        <w:tc>
          <w:tcPr>
            <w:tcW w:w="200" w:type="dxa"/>
            <w:vAlign w:val="bottom"/>
          </w:tcPr>
          <w:p>
            <w:pPr>
              <w:spacing w:after="0"/>
              <w:rPr>
                <w:sz w:val="24"/>
                <w:szCs w:val="24"/>
                <w:color w:val="auto"/>
              </w:rPr>
            </w:pPr>
          </w:p>
        </w:tc>
        <w:tc>
          <w:tcPr>
            <w:tcW w:w="1380" w:type="dxa"/>
            <w:vAlign w:val="bottom"/>
          </w:tcPr>
          <w:p>
            <w:pPr>
              <w:jc w:val="center"/>
              <w:ind w:right="152"/>
              <w:spacing w:after="0"/>
              <w:rPr>
                <w:sz w:val="20"/>
                <w:szCs w:val="20"/>
                <w:color w:val="auto"/>
              </w:rPr>
            </w:pPr>
            <w:r>
              <w:rPr>
                <w:rFonts w:ascii="Arial" w:cs="Arial" w:eastAsia="Arial" w:hAnsi="Arial"/>
                <w:sz w:val="10"/>
                <w:szCs w:val="10"/>
                <w:b w:val="1"/>
                <w:bCs w:val="1"/>
                <w:color w:val="auto"/>
                <w:w w:val="97"/>
              </w:rPr>
              <w:t>Selling, General and</w:t>
            </w:r>
          </w:p>
        </w:tc>
        <w:tc>
          <w:tcPr>
            <w:tcW w:w="140" w:type="dxa"/>
            <w:vAlign w:val="bottom"/>
          </w:tcPr>
          <w:p>
            <w:pPr>
              <w:spacing w:after="0"/>
              <w:rPr>
                <w:sz w:val="24"/>
                <w:szCs w:val="24"/>
                <w:color w:val="auto"/>
              </w:rPr>
            </w:pPr>
          </w:p>
        </w:tc>
        <w:tc>
          <w:tcPr>
            <w:tcW w:w="1000" w:type="dxa"/>
            <w:vAlign w:val="bottom"/>
          </w:tcPr>
          <w:p>
            <w:pPr>
              <w:jc w:val="center"/>
              <w:ind w:right="112"/>
              <w:spacing w:after="0"/>
              <w:rPr>
                <w:sz w:val="20"/>
                <w:szCs w:val="20"/>
                <w:color w:val="auto"/>
              </w:rPr>
            </w:pPr>
            <w:r>
              <w:rPr>
                <w:rFonts w:ascii="Arial" w:cs="Arial" w:eastAsia="Arial" w:hAnsi="Arial"/>
                <w:sz w:val="10"/>
                <w:szCs w:val="10"/>
                <w:b w:val="1"/>
                <w:bCs w:val="1"/>
                <w:color w:val="auto"/>
                <w:w w:val="89"/>
              </w:rPr>
              <w:t>Other</w:t>
            </w:r>
          </w:p>
        </w:tc>
        <w:tc>
          <w:tcPr>
            <w:tcW w:w="1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0"/>
                <w:szCs w:val="10"/>
                <w:b w:val="1"/>
                <w:bCs w:val="1"/>
                <w:color w:val="auto"/>
              </w:rPr>
              <w:t>Interest and Other</w:t>
            </w:r>
          </w:p>
        </w:tc>
        <w:tc>
          <w:tcPr>
            <w:tcW w:w="320" w:type="dxa"/>
            <w:vAlign w:val="bottom"/>
          </w:tcPr>
          <w:p>
            <w:pPr>
              <w:spacing w:after="0"/>
              <w:rPr>
                <w:sz w:val="24"/>
                <w:szCs w:val="24"/>
                <w:color w:val="auto"/>
              </w:rPr>
            </w:pPr>
          </w:p>
        </w:tc>
        <w:tc>
          <w:tcPr>
            <w:tcW w:w="740" w:type="dxa"/>
            <w:vAlign w:val="bottom"/>
            <w:vMerge w:val="restart"/>
          </w:tcPr>
          <w:p>
            <w:pPr>
              <w:jc w:val="right"/>
              <w:ind w:right="31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4"/>
        </w:trPr>
        <w:tc>
          <w:tcPr>
            <w:tcW w:w="296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vMerge w:val="continue"/>
          </w:tcPr>
          <w:p>
            <w:pPr>
              <w:spacing w:after="0"/>
              <w:rPr>
                <w:sz w:val="10"/>
                <w:szCs w:val="10"/>
                <w:color w:val="auto"/>
              </w:rPr>
            </w:pPr>
          </w:p>
        </w:tc>
        <w:tc>
          <w:tcPr>
            <w:tcW w:w="32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jc w:val="center"/>
              <w:ind w:right="172"/>
              <w:spacing w:after="0"/>
              <w:rPr>
                <w:sz w:val="20"/>
                <w:szCs w:val="20"/>
                <w:color w:val="auto"/>
              </w:rPr>
            </w:pPr>
            <w:r>
              <w:rPr>
                <w:rFonts w:ascii="Arial" w:cs="Arial" w:eastAsia="Arial" w:hAnsi="Arial"/>
                <w:sz w:val="10"/>
                <w:szCs w:val="10"/>
                <w:b w:val="1"/>
                <w:bCs w:val="1"/>
                <w:color w:val="auto"/>
                <w:w w:val="97"/>
              </w:rPr>
              <w:t>Products Sold</w:t>
            </w:r>
          </w:p>
        </w:tc>
        <w:tc>
          <w:tcPr>
            <w:tcW w:w="22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center"/>
              <w:ind w:right="152"/>
              <w:spacing w:after="0"/>
              <w:rPr>
                <w:sz w:val="20"/>
                <w:szCs w:val="20"/>
                <w:color w:val="auto"/>
              </w:rPr>
            </w:pPr>
            <w:r>
              <w:rPr>
                <w:rFonts w:ascii="Arial" w:cs="Arial" w:eastAsia="Arial" w:hAnsi="Arial"/>
                <w:sz w:val="10"/>
                <w:szCs w:val="10"/>
                <w:b w:val="1"/>
                <w:bCs w:val="1"/>
                <w:color w:val="auto"/>
                <w:w w:val="97"/>
              </w:rPr>
              <w:t>Services Sold</w:t>
            </w:r>
          </w:p>
        </w:tc>
        <w:tc>
          <w:tcPr>
            <w:tcW w:w="200" w:type="dxa"/>
            <w:vAlign w:val="bottom"/>
            <w:tcBorders>
              <w:bottom w:val="single" w:sz="8" w:color="D7282F"/>
            </w:tcBorders>
          </w:tcPr>
          <w:p>
            <w:pPr>
              <w:spacing w:after="0"/>
              <w:rPr>
                <w:sz w:val="10"/>
                <w:szCs w:val="10"/>
                <w:color w:val="auto"/>
              </w:rPr>
            </w:pPr>
          </w:p>
        </w:tc>
        <w:tc>
          <w:tcPr>
            <w:tcW w:w="1380" w:type="dxa"/>
            <w:vAlign w:val="bottom"/>
            <w:tcBorders>
              <w:bottom w:val="single" w:sz="8" w:color="D7282F"/>
            </w:tcBorders>
          </w:tcPr>
          <w:p>
            <w:pPr>
              <w:jc w:val="center"/>
              <w:ind w:right="152"/>
              <w:spacing w:after="0"/>
              <w:rPr>
                <w:sz w:val="20"/>
                <w:szCs w:val="20"/>
                <w:color w:val="auto"/>
              </w:rPr>
            </w:pPr>
            <w:r>
              <w:rPr>
                <w:rFonts w:ascii="Arial" w:cs="Arial" w:eastAsia="Arial" w:hAnsi="Arial"/>
                <w:sz w:val="10"/>
                <w:szCs w:val="10"/>
                <w:b w:val="1"/>
                <w:bCs w:val="1"/>
                <w:color w:val="auto"/>
                <w:w w:val="95"/>
              </w:rPr>
              <w:t>Administrative Expenses</w:t>
            </w:r>
          </w:p>
        </w:tc>
        <w:tc>
          <w:tcPr>
            <w:tcW w:w="14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jc w:val="center"/>
              <w:ind w:right="132"/>
              <w:spacing w:after="0"/>
              <w:rPr>
                <w:sz w:val="20"/>
                <w:szCs w:val="20"/>
                <w:color w:val="auto"/>
              </w:rPr>
            </w:pPr>
            <w:r>
              <w:rPr>
                <w:rFonts w:ascii="Arial" w:cs="Arial" w:eastAsia="Arial" w:hAnsi="Arial"/>
                <w:sz w:val="10"/>
                <w:szCs w:val="10"/>
                <w:b w:val="1"/>
                <w:bCs w:val="1"/>
                <w:color w:val="auto"/>
                <w:w w:val="95"/>
              </w:rPr>
              <w:t>(Income) Expense</w:t>
            </w:r>
          </w:p>
        </w:tc>
        <w:tc>
          <w:tcPr>
            <w:tcW w:w="18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Financial Charges</w:t>
            </w:r>
          </w:p>
        </w:tc>
        <w:tc>
          <w:tcPr>
            <w:tcW w:w="32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Amortization of pension and other postretirement benefit items</w:t>
            </w:r>
          </w:p>
        </w:tc>
        <w:tc>
          <w:tcPr>
            <w:tcW w:w="74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96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920" w:type="dxa"/>
            <w:vAlign w:val="bottom"/>
            <w:tcBorders>
              <w:bottom w:val="single" w:sz="8" w:color="61656A"/>
            </w:tcBorders>
          </w:tcPr>
          <w:p>
            <w:pPr>
              <w:spacing w:after="0"/>
              <w:rPr>
                <w:sz w:val="10"/>
                <w:szCs w:val="10"/>
                <w:color w:val="auto"/>
              </w:rPr>
            </w:pPr>
          </w:p>
        </w:tc>
        <w:tc>
          <w:tcPr>
            <w:tcW w:w="200" w:type="dxa"/>
            <w:vAlign w:val="bottom"/>
            <w:tcBorders>
              <w:bottom w:val="single" w:sz="8" w:color="61656A"/>
            </w:tcBorders>
          </w:tcPr>
          <w:p>
            <w:pPr>
              <w:spacing w:after="0"/>
              <w:rPr>
                <w:sz w:val="10"/>
                <w:szCs w:val="10"/>
                <w:color w:val="auto"/>
              </w:rPr>
            </w:pPr>
          </w:p>
        </w:tc>
        <w:tc>
          <w:tcPr>
            <w:tcW w:w="1380" w:type="dxa"/>
            <w:vAlign w:val="bottom"/>
            <w:tcBorders>
              <w:bottom w:val="single" w:sz="8" w:color="61656A"/>
            </w:tcBorders>
          </w:tcPr>
          <w:p>
            <w:pPr>
              <w:spacing w:after="0"/>
              <w:rPr>
                <w:sz w:val="10"/>
                <w:szCs w:val="10"/>
                <w:color w:val="auto"/>
              </w:rPr>
            </w:pPr>
          </w:p>
        </w:tc>
        <w:tc>
          <w:tcPr>
            <w:tcW w:w="140" w:type="dxa"/>
            <w:vAlign w:val="bottom"/>
            <w:tcBorders>
              <w:bottom w:val="single" w:sz="8" w:color="61656A"/>
            </w:tcBorders>
          </w:tcPr>
          <w:p>
            <w:pPr>
              <w:spacing w:after="0"/>
              <w:rPr>
                <w:sz w:val="10"/>
                <w:szCs w:val="10"/>
                <w:color w:val="auto"/>
              </w:rPr>
            </w:pPr>
          </w:p>
        </w:tc>
        <w:tc>
          <w:tcPr>
            <w:tcW w:w="1000" w:type="dxa"/>
            <w:vAlign w:val="bottom"/>
            <w:tcBorders>
              <w:bottom w:val="single" w:sz="8" w:color="61656A"/>
            </w:tcBorders>
          </w:tcPr>
          <w:p>
            <w:pPr>
              <w:spacing w:after="0"/>
              <w:rPr>
                <w:sz w:val="10"/>
                <w:szCs w:val="10"/>
                <w:color w:val="auto"/>
              </w:rPr>
            </w:pPr>
          </w:p>
        </w:tc>
        <w:tc>
          <w:tcPr>
            <w:tcW w:w="180" w:type="dxa"/>
            <w:vAlign w:val="bottom"/>
            <w:tcBorders>
              <w:bottom w:val="single" w:sz="8" w:color="61656A"/>
            </w:tcBorders>
          </w:tcPr>
          <w:p>
            <w:pPr>
              <w:spacing w:after="0"/>
              <w:rPr>
                <w:sz w:val="10"/>
                <w:szCs w:val="10"/>
                <w:color w:val="auto"/>
              </w:rPr>
            </w:pPr>
          </w:p>
        </w:tc>
        <w:tc>
          <w:tcPr>
            <w:tcW w:w="100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spacing w:after="0"/>
              <w:rPr>
                <w:sz w:val="10"/>
                <w:szCs w:val="10"/>
                <w:color w:val="auto"/>
              </w:rPr>
            </w:pPr>
          </w:p>
        </w:tc>
        <w:tc>
          <w:tcPr>
            <w:tcW w:w="740" w:type="dxa"/>
            <w:vAlign w:val="bottom"/>
            <w:tcBorders>
              <w:bottom w:val="single" w:sz="8" w:color="61656A"/>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96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Actuarial losses recognized</w:t>
            </w:r>
          </w:p>
        </w:tc>
        <w:tc>
          <w:tcPr>
            <w:tcW w:w="740" w:type="dxa"/>
            <w:vAlign w:val="bottom"/>
            <w:tcBorders>
              <w:bottom w:val="single" w:sz="8" w:color="61656A"/>
            </w:tcBorders>
          </w:tcPr>
          <w:p>
            <w:pPr>
              <w:jc w:val="right"/>
              <w:ind w:right="632"/>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96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1380" w:type="dxa"/>
            <w:vAlign w:val="bottom"/>
            <w:tcBorders>
              <w:bottom w:val="single" w:sz="8" w:color="61656A"/>
            </w:tcBorders>
          </w:tcPr>
          <w:p>
            <w:pPr>
              <w:jc w:val="right"/>
              <w:ind w:right="132"/>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516</w:t>
            </w:r>
          </w:p>
        </w:tc>
        <w:tc>
          <w:tcPr>
            <w:tcW w:w="1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516</w:t>
            </w:r>
          </w:p>
        </w:tc>
        <w:tc>
          <w:tcPr>
            <w:tcW w:w="0" w:type="dxa"/>
            <w:vAlign w:val="bottom"/>
          </w:tcPr>
          <w:p>
            <w:pPr>
              <w:spacing w:after="0"/>
              <w:rPr>
                <w:sz w:val="1"/>
                <w:szCs w:val="1"/>
                <w:color w:val="auto"/>
              </w:rPr>
            </w:pPr>
          </w:p>
        </w:tc>
      </w:tr>
      <w:tr>
        <w:trPr>
          <w:trHeight w:val="124"/>
        </w:trPr>
        <w:tc>
          <w:tcPr>
            <w:tcW w:w="296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Prior service (credit) recognized</w:t>
            </w:r>
          </w:p>
        </w:tc>
        <w:tc>
          <w:tcPr>
            <w:tcW w:w="74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61656A"/>
            </w:tcBorders>
          </w:tcPr>
          <w:p>
            <w:pPr>
              <w:spacing w:after="0"/>
              <w:rPr>
                <w:sz w:val="10"/>
                <w:szCs w:val="10"/>
                <w:color w:val="auto"/>
              </w:rPr>
            </w:pPr>
          </w:p>
        </w:tc>
        <w:tc>
          <w:tcPr>
            <w:tcW w:w="96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61656A"/>
            </w:tcBorders>
          </w:tcPr>
          <w:p>
            <w:pPr>
              <w:spacing w:after="0"/>
              <w:rPr>
                <w:sz w:val="10"/>
                <w:szCs w:val="10"/>
                <w:color w:val="auto"/>
              </w:rPr>
            </w:pPr>
          </w:p>
        </w:tc>
        <w:tc>
          <w:tcPr>
            <w:tcW w:w="92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61656A"/>
            </w:tcBorders>
          </w:tcPr>
          <w:p>
            <w:pPr>
              <w:spacing w:after="0"/>
              <w:rPr>
                <w:sz w:val="10"/>
                <w:szCs w:val="10"/>
                <w:color w:val="auto"/>
              </w:rPr>
            </w:pPr>
          </w:p>
        </w:tc>
        <w:tc>
          <w:tcPr>
            <w:tcW w:w="1380" w:type="dxa"/>
            <w:vAlign w:val="bottom"/>
            <w:tcBorders>
              <w:bottom w:val="single" w:sz="8" w:color="61656A"/>
            </w:tcBorders>
          </w:tcPr>
          <w:p>
            <w:pPr>
              <w:jc w:val="right"/>
              <w:ind w:right="132"/>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61656A"/>
            </w:tcBorders>
          </w:tcPr>
          <w:p>
            <w:pPr>
              <w:spacing w:after="0"/>
              <w:rPr>
                <w:sz w:val="10"/>
                <w:szCs w:val="10"/>
                <w:color w:val="auto"/>
              </w:rPr>
            </w:pPr>
          </w:p>
        </w:tc>
        <w:tc>
          <w:tcPr>
            <w:tcW w:w="10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(84)</w:t>
            </w:r>
          </w:p>
        </w:tc>
        <w:tc>
          <w:tcPr>
            <w:tcW w:w="180" w:type="dxa"/>
            <w:vAlign w:val="bottom"/>
            <w:tcBorders>
              <w:bottom w:val="single" w:sz="8" w:color="61656A"/>
            </w:tcBorders>
          </w:tcPr>
          <w:p>
            <w:pPr>
              <w:spacing w:after="0"/>
              <w:rPr>
                <w:sz w:val="10"/>
                <w:szCs w:val="10"/>
                <w:color w:val="auto"/>
              </w:rPr>
            </w:pPr>
          </w:p>
        </w:tc>
        <w:tc>
          <w:tcPr>
            <w:tcW w:w="100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61656A"/>
            </w:tcBorders>
          </w:tcPr>
          <w:p>
            <w:pPr>
              <w:spacing w:after="0"/>
              <w:rPr>
                <w:sz w:val="10"/>
                <w:szCs w:val="10"/>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(84)</w:t>
            </w:r>
          </w:p>
        </w:tc>
        <w:tc>
          <w:tcPr>
            <w:tcW w:w="0" w:type="dxa"/>
            <w:vAlign w:val="bottom"/>
          </w:tcPr>
          <w:p>
            <w:pPr>
              <w:spacing w:after="0"/>
              <w:rPr>
                <w:sz w:val="1"/>
                <w:szCs w:val="1"/>
                <w:color w:val="auto"/>
              </w:rPr>
            </w:pPr>
          </w:p>
        </w:tc>
      </w:tr>
      <w:tr>
        <w:trPr>
          <w:trHeight w:val="124"/>
        </w:trPr>
        <w:tc>
          <w:tcPr>
            <w:tcW w:w="29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Losses (gains) on cash flow hedges</w:t>
            </w:r>
          </w:p>
        </w:tc>
        <w:tc>
          <w:tcPr>
            <w:tcW w:w="74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(13)</w:t>
            </w:r>
          </w:p>
        </w:tc>
        <w:tc>
          <w:tcPr>
            <w:tcW w:w="220" w:type="dxa"/>
            <w:vAlign w:val="bottom"/>
            <w:tcBorders>
              <w:bottom w:val="single" w:sz="8" w:color="61656A"/>
            </w:tcBorders>
          </w:tcPr>
          <w:p>
            <w:pPr>
              <w:spacing w:after="0"/>
              <w:rPr>
                <w:sz w:val="10"/>
                <w:szCs w:val="10"/>
                <w:color w:val="auto"/>
              </w:rPr>
            </w:pPr>
          </w:p>
        </w:tc>
        <w:tc>
          <w:tcPr>
            <w:tcW w:w="9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(48)</w:t>
            </w:r>
          </w:p>
        </w:tc>
        <w:tc>
          <w:tcPr>
            <w:tcW w:w="220" w:type="dxa"/>
            <w:vAlign w:val="bottom"/>
            <w:tcBorders>
              <w:bottom w:val="single" w:sz="8" w:color="61656A"/>
            </w:tcBorders>
          </w:tcPr>
          <w:p>
            <w:pPr>
              <w:spacing w:after="0"/>
              <w:rPr>
                <w:sz w:val="10"/>
                <w:szCs w:val="10"/>
                <w:color w:val="auto"/>
              </w:rPr>
            </w:pPr>
          </w:p>
        </w:tc>
        <w:tc>
          <w:tcPr>
            <w:tcW w:w="92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(14)</w:t>
            </w:r>
          </w:p>
        </w:tc>
        <w:tc>
          <w:tcPr>
            <w:tcW w:w="200" w:type="dxa"/>
            <w:vAlign w:val="bottom"/>
            <w:tcBorders>
              <w:bottom w:val="single" w:sz="8" w:color="61656A"/>
            </w:tcBorders>
          </w:tcPr>
          <w:p>
            <w:pPr>
              <w:spacing w:after="0"/>
              <w:rPr>
                <w:sz w:val="10"/>
                <w:szCs w:val="10"/>
                <w:color w:val="auto"/>
              </w:rPr>
            </w:pPr>
          </w:p>
        </w:tc>
        <w:tc>
          <w:tcPr>
            <w:tcW w:w="1380" w:type="dxa"/>
            <w:vAlign w:val="bottom"/>
            <w:tcBorders>
              <w:bottom w:val="single" w:sz="8" w:color="61656A"/>
            </w:tcBorders>
          </w:tcPr>
          <w:p>
            <w:pPr>
              <w:jc w:val="right"/>
              <w:ind w:right="132"/>
              <w:spacing w:after="0"/>
              <w:rPr>
                <w:sz w:val="20"/>
                <w:szCs w:val="20"/>
                <w:color w:val="auto"/>
              </w:rPr>
            </w:pPr>
            <w:r>
              <w:rPr>
                <w:rFonts w:ascii="Arial" w:cs="Arial" w:eastAsia="Arial" w:hAnsi="Arial"/>
                <w:sz w:val="10"/>
                <w:szCs w:val="10"/>
                <w:color w:val="auto"/>
              </w:rPr>
              <w:t>3</w:t>
            </w:r>
          </w:p>
        </w:tc>
        <w:tc>
          <w:tcPr>
            <w:tcW w:w="140" w:type="dxa"/>
            <w:vAlign w:val="bottom"/>
            <w:tcBorders>
              <w:bottom w:val="single" w:sz="8" w:color="61656A"/>
            </w:tcBorders>
          </w:tcPr>
          <w:p>
            <w:pPr>
              <w:spacing w:after="0"/>
              <w:rPr>
                <w:sz w:val="10"/>
                <w:szCs w:val="10"/>
                <w:color w:val="auto"/>
              </w:rPr>
            </w:pPr>
          </w:p>
        </w:tc>
        <w:tc>
          <w:tcPr>
            <w:tcW w:w="10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61656A"/>
            </w:tcBorders>
          </w:tcPr>
          <w:p>
            <w:pPr>
              <w:spacing w:after="0"/>
              <w:rPr>
                <w:sz w:val="10"/>
                <w:szCs w:val="10"/>
                <w:color w:val="auto"/>
              </w:rPr>
            </w:pPr>
          </w:p>
        </w:tc>
        <w:tc>
          <w:tcPr>
            <w:tcW w:w="100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61656A"/>
            </w:tcBorders>
          </w:tcPr>
          <w:p>
            <w:pPr>
              <w:spacing w:after="0"/>
              <w:rPr>
                <w:sz w:val="10"/>
                <w:szCs w:val="10"/>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(72)</w:t>
            </w:r>
          </w:p>
        </w:tc>
        <w:tc>
          <w:tcPr>
            <w:tcW w:w="0" w:type="dxa"/>
            <w:vAlign w:val="bottom"/>
          </w:tcPr>
          <w:p>
            <w:pPr>
              <w:spacing w:after="0"/>
              <w:rPr>
                <w:sz w:val="1"/>
                <w:szCs w:val="1"/>
                <w:color w:val="auto"/>
              </w:rPr>
            </w:pPr>
          </w:p>
        </w:tc>
      </w:tr>
      <w:tr>
        <w:trPr>
          <w:trHeight w:val="124"/>
        </w:trPr>
        <w:tc>
          <w:tcPr>
            <w:tcW w:w="29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Losses (gains) on excluded component of net investment hedges</w:t>
            </w:r>
          </w:p>
        </w:tc>
        <w:tc>
          <w:tcPr>
            <w:tcW w:w="74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D7282F"/>
            </w:tcBorders>
          </w:tcPr>
          <w:p>
            <w:pPr>
              <w:spacing w:after="0"/>
              <w:rPr>
                <w:sz w:val="10"/>
                <w:szCs w:val="10"/>
                <w:color w:val="auto"/>
              </w:rPr>
            </w:pPr>
          </w:p>
        </w:tc>
        <w:tc>
          <w:tcPr>
            <w:tcW w:w="138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(13)</w:t>
            </w:r>
          </w:p>
        </w:tc>
        <w:tc>
          <w:tcPr>
            <w:tcW w:w="32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26"/>
        </w:trPr>
        <w:tc>
          <w:tcPr>
            <w:tcW w:w="296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before tax</w:t>
            </w:r>
          </w:p>
        </w:tc>
        <w:tc>
          <w:tcPr>
            <w:tcW w:w="740" w:type="dxa"/>
            <w:vAlign w:val="bottom"/>
            <w:tcBorders>
              <w:bottom w:val="single" w:sz="8" w:color="D7282F"/>
            </w:tcBorders>
          </w:tcPr>
          <w:p>
            <w:pPr>
              <w:jc w:val="right"/>
              <w:ind w:right="632"/>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(13)</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9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(48)</w:t>
            </w:r>
          </w:p>
        </w:tc>
        <w:tc>
          <w:tcPr>
            <w:tcW w:w="22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(14)</w:t>
            </w: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138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3</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10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432</w:t>
            </w: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10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(13)</w:t>
            </w:r>
          </w:p>
        </w:tc>
        <w:tc>
          <w:tcPr>
            <w:tcW w:w="32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347</w:t>
            </w:r>
          </w:p>
        </w:tc>
        <w:tc>
          <w:tcPr>
            <w:tcW w:w="0" w:type="dxa"/>
            <w:vAlign w:val="bottom"/>
          </w:tcPr>
          <w:p>
            <w:pPr>
              <w:spacing w:after="0"/>
              <w:rPr>
                <w:sz w:val="1"/>
                <w:szCs w:val="1"/>
                <w:color w:val="auto"/>
              </w:rPr>
            </w:pPr>
          </w:p>
        </w:tc>
      </w:tr>
      <w:tr>
        <w:trPr>
          <w:trHeight w:val="124"/>
        </w:trPr>
        <w:tc>
          <w:tcPr>
            <w:tcW w:w="296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Tax (expense) benefit</w:t>
            </w:r>
          </w:p>
        </w:tc>
        <w:tc>
          <w:tcPr>
            <w:tcW w:w="74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1380" w:type="dxa"/>
            <w:vAlign w:val="bottom"/>
            <w:tcBorders>
              <w:bottom w:val="single" w:sz="8" w:color="D7282F"/>
            </w:tcBorders>
          </w:tcPr>
          <w:p>
            <w:pPr>
              <w:spacing w:after="0"/>
              <w:rPr>
                <w:sz w:val="10"/>
                <w:szCs w:val="10"/>
                <w:color w:val="auto"/>
              </w:rPr>
            </w:pPr>
          </w:p>
        </w:tc>
        <w:tc>
          <w:tcPr>
            <w:tcW w:w="14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(23)</w:t>
            </w:r>
          </w:p>
        </w:tc>
        <w:tc>
          <w:tcPr>
            <w:tcW w:w="0" w:type="dxa"/>
            <w:vAlign w:val="bottom"/>
          </w:tcPr>
          <w:p>
            <w:pPr>
              <w:spacing w:after="0"/>
              <w:rPr>
                <w:sz w:val="1"/>
                <w:szCs w:val="1"/>
                <w:color w:val="auto"/>
              </w:rPr>
            </w:pPr>
          </w:p>
        </w:tc>
      </w:tr>
      <w:tr>
        <w:trPr>
          <w:trHeight w:val="124"/>
        </w:trPr>
        <w:tc>
          <w:tcPr>
            <w:tcW w:w="296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reclassifications for the period, net of tax</w:t>
            </w:r>
          </w:p>
        </w:tc>
        <w:tc>
          <w:tcPr>
            <w:tcW w:w="74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1380" w:type="dxa"/>
            <w:vAlign w:val="bottom"/>
            <w:tcBorders>
              <w:bottom w:val="single" w:sz="8" w:color="D7282F"/>
            </w:tcBorders>
          </w:tcPr>
          <w:p>
            <w:pPr>
              <w:spacing w:after="0"/>
              <w:rPr>
                <w:sz w:val="10"/>
                <w:szCs w:val="10"/>
                <w:color w:val="auto"/>
              </w:rPr>
            </w:pPr>
          </w:p>
        </w:tc>
        <w:tc>
          <w:tcPr>
            <w:tcW w:w="14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324</w:t>
            </w:r>
          </w:p>
        </w:tc>
        <w:tc>
          <w:tcPr>
            <w:tcW w:w="0" w:type="dxa"/>
            <w:vAlign w:val="bottom"/>
          </w:tcPr>
          <w:p>
            <w:pPr>
              <w:spacing w:after="0"/>
              <w:rPr>
                <w:sz w:val="1"/>
                <w:szCs w:val="1"/>
                <w:color w:val="auto"/>
              </w:rPr>
            </w:pPr>
          </w:p>
        </w:tc>
      </w:tr>
      <w:tr>
        <w:trPr>
          <w:trHeight w:val="303"/>
        </w:trPr>
        <w:tc>
          <w:tcPr>
            <w:tcW w:w="2960" w:type="dxa"/>
            <w:vAlign w:val="bottom"/>
          </w:tcPr>
          <w:p>
            <w:pPr>
              <w:spacing w:after="0"/>
              <w:rPr>
                <w:sz w:val="24"/>
                <w:szCs w:val="24"/>
                <w:color w:val="auto"/>
              </w:rPr>
            </w:pPr>
          </w:p>
        </w:tc>
        <w:tc>
          <w:tcPr>
            <w:tcW w:w="740" w:type="dxa"/>
            <w:vAlign w:val="bottom"/>
            <w:tcBorders>
              <w:bottom w:val="single" w:sz="8" w:color="D7282F"/>
            </w:tcBorders>
          </w:tcPr>
          <w:p>
            <w:pPr>
              <w:spacing w:after="0"/>
              <w:rPr>
                <w:sz w:val="24"/>
                <w:szCs w:val="24"/>
                <w:color w:val="auto"/>
              </w:rPr>
            </w:pPr>
          </w:p>
        </w:tc>
        <w:tc>
          <w:tcPr>
            <w:tcW w:w="320" w:type="dxa"/>
            <w:vAlign w:val="bottom"/>
            <w:tcBorders>
              <w:bottom w:val="single" w:sz="8" w:color="D7282F"/>
            </w:tcBorders>
          </w:tcPr>
          <w:p>
            <w:pPr>
              <w:spacing w:after="0"/>
              <w:rPr>
                <w:sz w:val="24"/>
                <w:szCs w:val="24"/>
                <w:color w:val="auto"/>
              </w:rPr>
            </w:pPr>
          </w:p>
        </w:tc>
        <w:tc>
          <w:tcPr>
            <w:tcW w:w="220" w:type="dxa"/>
            <w:vAlign w:val="bottom"/>
            <w:tcBorders>
              <w:bottom w:val="single" w:sz="8" w:color="D7282F"/>
            </w:tcBorders>
          </w:tcPr>
          <w:p>
            <w:pPr>
              <w:spacing w:after="0"/>
              <w:rPr>
                <w:sz w:val="24"/>
                <w:szCs w:val="24"/>
                <w:color w:val="auto"/>
              </w:rPr>
            </w:pPr>
          </w:p>
        </w:tc>
        <w:tc>
          <w:tcPr>
            <w:tcW w:w="960" w:type="dxa"/>
            <w:vAlign w:val="bottom"/>
            <w:tcBorders>
              <w:bottom w:val="single" w:sz="8" w:color="D7282F"/>
            </w:tcBorders>
          </w:tcPr>
          <w:p>
            <w:pPr>
              <w:spacing w:after="0"/>
              <w:rPr>
                <w:sz w:val="24"/>
                <w:szCs w:val="24"/>
                <w:color w:val="auto"/>
              </w:rPr>
            </w:pPr>
          </w:p>
        </w:tc>
        <w:tc>
          <w:tcPr>
            <w:tcW w:w="220" w:type="dxa"/>
            <w:vAlign w:val="bottom"/>
            <w:tcBorders>
              <w:bottom w:val="single" w:sz="8" w:color="D7282F"/>
            </w:tcBorders>
          </w:tcPr>
          <w:p>
            <w:pPr>
              <w:spacing w:after="0"/>
              <w:rPr>
                <w:sz w:val="24"/>
                <w:szCs w:val="24"/>
                <w:color w:val="auto"/>
              </w:rPr>
            </w:pPr>
          </w:p>
        </w:tc>
        <w:tc>
          <w:tcPr>
            <w:tcW w:w="920" w:type="dxa"/>
            <w:vAlign w:val="bottom"/>
            <w:tcBorders>
              <w:bottom w:val="single" w:sz="8" w:color="D7282F"/>
            </w:tcBorders>
          </w:tcPr>
          <w:p>
            <w:pPr>
              <w:spacing w:after="0"/>
              <w:rPr>
                <w:sz w:val="24"/>
                <w:szCs w:val="24"/>
                <w:color w:val="auto"/>
              </w:rPr>
            </w:pPr>
          </w:p>
        </w:tc>
        <w:tc>
          <w:tcPr>
            <w:tcW w:w="1580" w:type="dxa"/>
            <w:vAlign w:val="bottom"/>
            <w:tcBorders>
              <w:bottom w:val="single" w:sz="8" w:color="D7282F"/>
            </w:tcBorders>
            <w:gridSpan w:val="2"/>
          </w:tcPr>
          <w:p>
            <w:pPr>
              <w:jc w:val="center"/>
              <w:spacing w:after="0"/>
              <w:rPr>
                <w:sz w:val="20"/>
                <w:szCs w:val="20"/>
                <w:color w:val="auto"/>
              </w:rPr>
            </w:pPr>
            <w:r>
              <w:rPr>
                <w:rFonts w:ascii="Arial" w:cs="Arial" w:eastAsia="Arial" w:hAnsi="Arial"/>
                <w:sz w:val="10"/>
                <w:szCs w:val="10"/>
                <w:b w:val="1"/>
                <w:bCs w:val="1"/>
                <w:color w:val="auto"/>
                <w:w w:val="96"/>
              </w:rPr>
              <w:t>Year Ended December 31, 2021</w:t>
            </w:r>
          </w:p>
        </w:tc>
        <w:tc>
          <w:tcPr>
            <w:tcW w:w="140" w:type="dxa"/>
            <w:vAlign w:val="bottom"/>
            <w:tcBorders>
              <w:bottom w:val="single" w:sz="8" w:color="D7282F"/>
            </w:tcBorders>
          </w:tcPr>
          <w:p>
            <w:pPr>
              <w:spacing w:after="0"/>
              <w:rPr>
                <w:sz w:val="24"/>
                <w:szCs w:val="24"/>
                <w:color w:val="auto"/>
              </w:rPr>
            </w:pPr>
          </w:p>
        </w:tc>
        <w:tc>
          <w:tcPr>
            <w:tcW w:w="1000" w:type="dxa"/>
            <w:vAlign w:val="bottom"/>
            <w:tcBorders>
              <w:bottom w:val="single" w:sz="8" w:color="D7282F"/>
            </w:tcBorders>
          </w:tcPr>
          <w:p>
            <w:pPr>
              <w:spacing w:after="0"/>
              <w:rPr>
                <w:sz w:val="24"/>
                <w:szCs w:val="24"/>
                <w:color w:val="auto"/>
              </w:rPr>
            </w:pPr>
          </w:p>
        </w:tc>
        <w:tc>
          <w:tcPr>
            <w:tcW w:w="180" w:type="dxa"/>
            <w:vAlign w:val="bottom"/>
            <w:tcBorders>
              <w:bottom w:val="single" w:sz="8" w:color="D7282F"/>
            </w:tcBorders>
          </w:tcPr>
          <w:p>
            <w:pPr>
              <w:spacing w:after="0"/>
              <w:rPr>
                <w:sz w:val="24"/>
                <w:szCs w:val="24"/>
                <w:color w:val="auto"/>
              </w:rPr>
            </w:pPr>
          </w:p>
        </w:tc>
        <w:tc>
          <w:tcPr>
            <w:tcW w:w="1000" w:type="dxa"/>
            <w:vAlign w:val="bottom"/>
            <w:tcBorders>
              <w:bottom w:val="single" w:sz="8" w:color="D7282F"/>
            </w:tcBorders>
          </w:tcPr>
          <w:p>
            <w:pPr>
              <w:spacing w:after="0"/>
              <w:rPr>
                <w:sz w:val="24"/>
                <w:szCs w:val="24"/>
                <w:color w:val="auto"/>
              </w:rPr>
            </w:pPr>
          </w:p>
        </w:tc>
        <w:tc>
          <w:tcPr>
            <w:tcW w:w="320" w:type="dxa"/>
            <w:vAlign w:val="bottom"/>
            <w:tcBorders>
              <w:bottom w:val="single" w:sz="8" w:color="D7282F"/>
            </w:tcBorders>
          </w:tcPr>
          <w:p>
            <w:pPr>
              <w:spacing w:after="0"/>
              <w:rPr>
                <w:sz w:val="24"/>
                <w:szCs w:val="24"/>
                <w:color w:val="auto"/>
              </w:rPr>
            </w:pPr>
          </w:p>
        </w:tc>
        <w:tc>
          <w:tcPr>
            <w:tcW w:w="74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960" w:type="dxa"/>
            <w:vAlign w:val="bottom"/>
          </w:tcPr>
          <w:p>
            <w:pPr>
              <w:spacing w:after="0"/>
              <w:rPr>
                <w:sz w:val="13"/>
                <w:szCs w:val="13"/>
                <w:color w:val="auto"/>
              </w:rPr>
            </w:pPr>
          </w:p>
        </w:tc>
        <w:tc>
          <w:tcPr>
            <w:tcW w:w="740" w:type="dxa"/>
            <w:vAlign w:val="bottom"/>
            <w:tcBorders>
              <w:bottom w:val="single" w:sz="8" w:color="D7282F"/>
            </w:tcBorders>
          </w:tcPr>
          <w:p>
            <w:pPr>
              <w:spacing w:after="0"/>
              <w:rPr>
                <w:sz w:val="13"/>
                <w:szCs w:val="13"/>
                <w:color w:val="auto"/>
              </w:rPr>
            </w:pPr>
          </w:p>
        </w:tc>
        <w:tc>
          <w:tcPr>
            <w:tcW w:w="320" w:type="dxa"/>
            <w:vAlign w:val="bottom"/>
            <w:tcBorders>
              <w:bottom w:val="single" w:sz="8" w:color="D7282F"/>
            </w:tcBorders>
          </w:tcPr>
          <w:p>
            <w:pPr>
              <w:spacing w:after="0"/>
              <w:rPr>
                <w:sz w:val="13"/>
                <w:szCs w:val="13"/>
                <w:color w:val="auto"/>
              </w:rPr>
            </w:pPr>
          </w:p>
        </w:tc>
        <w:tc>
          <w:tcPr>
            <w:tcW w:w="220" w:type="dxa"/>
            <w:vAlign w:val="bottom"/>
            <w:tcBorders>
              <w:bottom w:val="single" w:sz="8" w:color="D7282F"/>
            </w:tcBorders>
          </w:tcPr>
          <w:p>
            <w:pPr>
              <w:spacing w:after="0"/>
              <w:rPr>
                <w:sz w:val="13"/>
                <w:szCs w:val="13"/>
                <w:color w:val="auto"/>
              </w:rPr>
            </w:pPr>
          </w:p>
        </w:tc>
        <w:tc>
          <w:tcPr>
            <w:tcW w:w="960" w:type="dxa"/>
            <w:vAlign w:val="bottom"/>
            <w:tcBorders>
              <w:bottom w:val="single" w:sz="8" w:color="D7282F"/>
            </w:tcBorders>
          </w:tcPr>
          <w:p>
            <w:pPr>
              <w:spacing w:after="0"/>
              <w:rPr>
                <w:sz w:val="13"/>
                <w:szCs w:val="13"/>
                <w:color w:val="auto"/>
              </w:rPr>
            </w:pPr>
          </w:p>
        </w:tc>
        <w:tc>
          <w:tcPr>
            <w:tcW w:w="220" w:type="dxa"/>
            <w:vAlign w:val="bottom"/>
            <w:tcBorders>
              <w:bottom w:val="single" w:sz="8" w:color="D7282F"/>
            </w:tcBorders>
          </w:tcPr>
          <w:p>
            <w:pPr>
              <w:spacing w:after="0"/>
              <w:rPr>
                <w:sz w:val="13"/>
                <w:szCs w:val="13"/>
                <w:color w:val="auto"/>
              </w:rPr>
            </w:pPr>
          </w:p>
        </w:tc>
        <w:tc>
          <w:tcPr>
            <w:tcW w:w="3640" w:type="dxa"/>
            <w:vAlign w:val="bottom"/>
            <w:tcBorders>
              <w:bottom w:val="single" w:sz="8" w:color="D7282F"/>
            </w:tcBorders>
            <w:gridSpan w:val="5"/>
          </w:tcPr>
          <w:p>
            <w:pPr>
              <w:jc w:val="center"/>
              <w:ind w:right="172"/>
              <w:spacing w:after="0"/>
              <w:rPr>
                <w:sz w:val="20"/>
                <w:szCs w:val="20"/>
                <w:color w:val="auto"/>
              </w:rPr>
            </w:pPr>
            <w:r>
              <w:rPr>
                <w:rFonts w:ascii="Arial" w:cs="Arial" w:eastAsia="Arial" w:hAnsi="Arial"/>
                <w:sz w:val="10"/>
                <w:szCs w:val="10"/>
                <w:b w:val="1"/>
                <w:bCs w:val="1"/>
                <w:color w:val="auto"/>
                <w:w w:val="95"/>
              </w:rPr>
              <w:t>Affected Line in the Consolidated Statement of Operations</w:t>
            </w:r>
          </w:p>
        </w:tc>
        <w:tc>
          <w:tcPr>
            <w:tcW w:w="180" w:type="dxa"/>
            <w:vAlign w:val="bottom"/>
            <w:tcBorders>
              <w:bottom w:val="single" w:sz="8" w:color="D7282F"/>
            </w:tcBorders>
          </w:tcPr>
          <w:p>
            <w:pPr>
              <w:spacing w:after="0"/>
              <w:rPr>
                <w:sz w:val="13"/>
                <w:szCs w:val="13"/>
                <w:color w:val="auto"/>
              </w:rPr>
            </w:pPr>
          </w:p>
        </w:tc>
        <w:tc>
          <w:tcPr>
            <w:tcW w:w="1000" w:type="dxa"/>
            <w:vAlign w:val="bottom"/>
            <w:tcBorders>
              <w:bottom w:val="single" w:sz="8" w:color="D7282F"/>
            </w:tcBorders>
          </w:tcPr>
          <w:p>
            <w:pPr>
              <w:spacing w:after="0"/>
              <w:rPr>
                <w:sz w:val="13"/>
                <w:szCs w:val="13"/>
                <w:color w:val="auto"/>
              </w:rPr>
            </w:pPr>
          </w:p>
        </w:tc>
        <w:tc>
          <w:tcPr>
            <w:tcW w:w="320" w:type="dxa"/>
            <w:vAlign w:val="bottom"/>
            <w:tcBorders>
              <w:bottom w:val="single" w:sz="8" w:color="D7282F"/>
            </w:tcBorders>
          </w:tcPr>
          <w:p>
            <w:pPr>
              <w:spacing w:after="0"/>
              <w:rPr>
                <w:sz w:val="13"/>
                <w:szCs w:val="13"/>
                <w:color w:val="auto"/>
              </w:rPr>
            </w:pPr>
          </w:p>
        </w:tc>
        <w:tc>
          <w:tcPr>
            <w:tcW w:w="740" w:type="dxa"/>
            <w:vAlign w:val="bottom"/>
            <w:tcBorders>
              <w:bottom w:val="single" w:sz="8" w:color="D7282F"/>
            </w:tcBorders>
          </w:tcPr>
          <w:p>
            <w:pPr>
              <w:spacing w:after="0"/>
              <w:rPr>
                <w:sz w:val="13"/>
                <w:szCs w:val="13"/>
                <w:color w:val="auto"/>
              </w:rPr>
            </w:pPr>
          </w:p>
        </w:tc>
        <w:tc>
          <w:tcPr>
            <w:tcW w:w="0" w:type="dxa"/>
            <w:vAlign w:val="bottom"/>
          </w:tcPr>
          <w:p>
            <w:pPr>
              <w:spacing w:after="0"/>
              <w:rPr>
                <w:sz w:val="1"/>
                <w:szCs w:val="1"/>
                <w:color w:val="auto"/>
              </w:rPr>
            </w:pPr>
          </w:p>
        </w:tc>
      </w:tr>
      <w:tr>
        <w:trPr>
          <w:trHeight w:val="324"/>
        </w:trPr>
        <w:tc>
          <w:tcPr>
            <w:tcW w:w="296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Net Sales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center"/>
              <w:ind w:right="172"/>
              <w:spacing w:after="0"/>
              <w:rPr>
                <w:sz w:val="20"/>
                <w:szCs w:val="20"/>
                <w:color w:val="auto"/>
              </w:rPr>
            </w:pPr>
            <w:r>
              <w:rPr>
                <w:rFonts w:ascii="Arial" w:cs="Arial" w:eastAsia="Arial" w:hAnsi="Arial"/>
                <w:sz w:val="10"/>
                <w:szCs w:val="10"/>
                <w:b w:val="1"/>
                <w:bCs w:val="1"/>
                <w:color w:val="auto"/>
                <w:w w:val="98"/>
              </w:rPr>
              <w:t>Cost of</w:t>
            </w:r>
          </w:p>
        </w:tc>
        <w:tc>
          <w:tcPr>
            <w:tcW w:w="220" w:type="dxa"/>
            <w:vAlign w:val="bottom"/>
          </w:tcPr>
          <w:p>
            <w:pPr>
              <w:spacing w:after="0"/>
              <w:rPr>
                <w:sz w:val="24"/>
                <w:szCs w:val="24"/>
                <w:color w:val="auto"/>
              </w:rPr>
            </w:pPr>
          </w:p>
        </w:tc>
        <w:tc>
          <w:tcPr>
            <w:tcW w:w="920" w:type="dxa"/>
            <w:vAlign w:val="bottom"/>
          </w:tcPr>
          <w:p>
            <w:pPr>
              <w:jc w:val="center"/>
              <w:ind w:right="152"/>
              <w:spacing w:after="0"/>
              <w:rPr>
                <w:sz w:val="20"/>
                <w:szCs w:val="20"/>
                <w:color w:val="auto"/>
              </w:rPr>
            </w:pPr>
            <w:r>
              <w:rPr>
                <w:rFonts w:ascii="Arial" w:cs="Arial" w:eastAsia="Arial" w:hAnsi="Arial"/>
                <w:sz w:val="10"/>
                <w:szCs w:val="10"/>
                <w:b w:val="1"/>
                <w:bCs w:val="1"/>
                <w:color w:val="auto"/>
                <w:w w:val="92"/>
              </w:rPr>
              <w:t>Cost of</w:t>
            </w:r>
          </w:p>
        </w:tc>
        <w:tc>
          <w:tcPr>
            <w:tcW w:w="200" w:type="dxa"/>
            <w:vAlign w:val="bottom"/>
          </w:tcPr>
          <w:p>
            <w:pPr>
              <w:spacing w:after="0"/>
              <w:rPr>
                <w:sz w:val="24"/>
                <w:szCs w:val="24"/>
                <w:color w:val="auto"/>
              </w:rPr>
            </w:pPr>
          </w:p>
        </w:tc>
        <w:tc>
          <w:tcPr>
            <w:tcW w:w="1380" w:type="dxa"/>
            <w:vAlign w:val="bottom"/>
          </w:tcPr>
          <w:p>
            <w:pPr>
              <w:jc w:val="center"/>
              <w:ind w:right="152"/>
              <w:spacing w:after="0"/>
              <w:rPr>
                <w:sz w:val="20"/>
                <w:szCs w:val="20"/>
                <w:color w:val="auto"/>
              </w:rPr>
            </w:pPr>
            <w:r>
              <w:rPr>
                <w:rFonts w:ascii="Arial" w:cs="Arial" w:eastAsia="Arial" w:hAnsi="Arial"/>
                <w:sz w:val="10"/>
                <w:szCs w:val="10"/>
                <w:b w:val="1"/>
                <w:bCs w:val="1"/>
                <w:color w:val="auto"/>
                <w:w w:val="97"/>
              </w:rPr>
              <w:t>Selling, General and</w:t>
            </w:r>
          </w:p>
        </w:tc>
        <w:tc>
          <w:tcPr>
            <w:tcW w:w="140" w:type="dxa"/>
            <w:vAlign w:val="bottom"/>
          </w:tcPr>
          <w:p>
            <w:pPr>
              <w:spacing w:after="0"/>
              <w:rPr>
                <w:sz w:val="24"/>
                <w:szCs w:val="24"/>
                <w:color w:val="auto"/>
              </w:rPr>
            </w:pPr>
          </w:p>
        </w:tc>
        <w:tc>
          <w:tcPr>
            <w:tcW w:w="1000" w:type="dxa"/>
            <w:vAlign w:val="bottom"/>
          </w:tcPr>
          <w:p>
            <w:pPr>
              <w:jc w:val="center"/>
              <w:ind w:right="112"/>
              <w:spacing w:after="0"/>
              <w:rPr>
                <w:sz w:val="20"/>
                <w:szCs w:val="20"/>
                <w:color w:val="auto"/>
              </w:rPr>
            </w:pPr>
            <w:r>
              <w:rPr>
                <w:rFonts w:ascii="Arial" w:cs="Arial" w:eastAsia="Arial" w:hAnsi="Arial"/>
                <w:sz w:val="10"/>
                <w:szCs w:val="10"/>
                <w:b w:val="1"/>
                <w:bCs w:val="1"/>
                <w:color w:val="auto"/>
                <w:w w:val="89"/>
              </w:rPr>
              <w:t>Other</w:t>
            </w:r>
          </w:p>
        </w:tc>
        <w:tc>
          <w:tcPr>
            <w:tcW w:w="1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0"/>
                <w:szCs w:val="10"/>
                <w:b w:val="1"/>
                <w:bCs w:val="1"/>
                <w:color w:val="auto"/>
              </w:rPr>
              <w:t>Interest and Other</w:t>
            </w:r>
          </w:p>
        </w:tc>
        <w:tc>
          <w:tcPr>
            <w:tcW w:w="320" w:type="dxa"/>
            <w:vAlign w:val="bottom"/>
          </w:tcPr>
          <w:p>
            <w:pPr>
              <w:spacing w:after="0"/>
              <w:rPr>
                <w:sz w:val="24"/>
                <w:szCs w:val="24"/>
                <w:color w:val="auto"/>
              </w:rPr>
            </w:pPr>
          </w:p>
        </w:tc>
        <w:tc>
          <w:tcPr>
            <w:tcW w:w="740" w:type="dxa"/>
            <w:vAlign w:val="bottom"/>
            <w:vMerge w:val="restart"/>
          </w:tcPr>
          <w:p>
            <w:pPr>
              <w:jc w:val="right"/>
              <w:ind w:right="31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6"/>
        </w:trPr>
        <w:tc>
          <w:tcPr>
            <w:tcW w:w="296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vMerge w:val="continue"/>
          </w:tcPr>
          <w:p>
            <w:pPr>
              <w:spacing w:after="0"/>
              <w:rPr>
                <w:sz w:val="10"/>
                <w:szCs w:val="10"/>
                <w:color w:val="auto"/>
              </w:rPr>
            </w:pPr>
          </w:p>
        </w:tc>
        <w:tc>
          <w:tcPr>
            <w:tcW w:w="32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jc w:val="center"/>
              <w:ind w:right="172"/>
              <w:spacing w:after="0"/>
              <w:rPr>
                <w:sz w:val="20"/>
                <w:szCs w:val="20"/>
                <w:color w:val="auto"/>
              </w:rPr>
            </w:pPr>
            <w:r>
              <w:rPr>
                <w:rFonts w:ascii="Arial" w:cs="Arial" w:eastAsia="Arial" w:hAnsi="Arial"/>
                <w:sz w:val="10"/>
                <w:szCs w:val="10"/>
                <w:b w:val="1"/>
                <w:bCs w:val="1"/>
                <w:color w:val="auto"/>
                <w:w w:val="97"/>
              </w:rPr>
              <w:t>Products Sold</w:t>
            </w:r>
          </w:p>
        </w:tc>
        <w:tc>
          <w:tcPr>
            <w:tcW w:w="22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center"/>
              <w:ind w:right="152"/>
              <w:spacing w:after="0"/>
              <w:rPr>
                <w:sz w:val="20"/>
                <w:szCs w:val="20"/>
                <w:color w:val="auto"/>
              </w:rPr>
            </w:pPr>
            <w:r>
              <w:rPr>
                <w:rFonts w:ascii="Arial" w:cs="Arial" w:eastAsia="Arial" w:hAnsi="Arial"/>
                <w:sz w:val="10"/>
                <w:szCs w:val="10"/>
                <w:b w:val="1"/>
                <w:bCs w:val="1"/>
                <w:color w:val="auto"/>
                <w:w w:val="97"/>
              </w:rPr>
              <w:t>Services Sold</w:t>
            </w:r>
          </w:p>
        </w:tc>
        <w:tc>
          <w:tcPr>
            <w:tcW w:w="200" w:type="dxa"/>
            <w:vAlign w:val="bottom"/>
            <w:tcBorders>
              <w:bottom w:val="single" w:sz="8" w:color="D7282F"/>
            </w:tcBorders>
          </w:tcPr>
          <w:p>
            <w:pPr>
              <w:spacing w:after="0"/>
              <w:rPr>
                <w:sz w:val="10"/>
                <w:szCs w:val="10"/>
                <w:color w:val="auto"/>
              </w:rPr>
            </w:pPr>
          </w:p>
        </w:tc>
        <w:tc>
          <w:tcPr>
            <w:tcW w:w="1380" w:type="dxa"/>
            <w:vAlign w:val="bottom"/>
            <w:tcBorders>
              <w:bottom w:val="single" w:sz="8" w:color="D7282F"/>
            </w:tcBorders>
          </w:tcPr>
          <w:p>
            <w:pPr>
              <w:jc w:val="center"/>
              <w:ind w:right="152"/>
              <w:spacing w:after="0"/>
              <w:rPr>
                <w:sz w:val="20"/>
                <w:szCs w:val="20"/>
                <w:color w:val="auto"/>
              </w:rPr>
            </w:pPr>
            <w:r>
              <w:rPr>
                <w:rFonts w:ascii="Arial" w:cs="Arial" w:eastAsia="Arial" w:hAnsi="Arial"/>
                <w:sz w:val="10"/>
                <w:szCs w:val="10"/>
                <w:b w:val="1"/>
                <w:bCs w:val="1"/>
                <w:color w:val="auto"/>
                <w:w w:val="95"/>
              </w:rPr>
              <w:t>Administrative Expenses</w:t>
            </w:r>
          </w:p>
        </w:tc>
        <w:tc>
          <w:tcPr>
            <w:tcW w:w="14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jc w:val="center"/>
              <w:ind w:right="132"/>
              <w:spacing w:after="0"/>
              <w:rPr>
                <w:sz w:val="20"/>
                <w:szCs w:val="20"/>
                <w:color w:val="auto"/>
              </w:rPr>
            </w:pPr>
            <w:r>
              <w:rPr>
                <w:rFonts w:ascii="Arial" w:cs="Arial" w:eastAsia="Arial" w:hAnsi="Arial"/>
                <w:sz w:val="10"/>
                <w:szCs w:val="10"/>
                <w:b w:val="1"/>
                <w:bCs w:val="1"/>
                <w:color w:val="auto"/>
                <w:w w:val="95"/>
              </w:rPr>
              <w:t>(Income) Expense</w:t>
            </w:r>
          </w:p>
        </w:tc>
        <w:tc>
          <w:tcPr>
            <w:tcW w:w="18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Financial Charges</w:t>
            </w:r>
          </w:p>
        </w:tc>
        <w:tc>
          <w:tcPr>
            <w:tcW w:w="32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Amortization of pension and other postretirement benefit items</w:t>
            </w:r>
          </w:p>
        </w:tc>
        <w:tc>
          <w:tcPr>
            <w:tcW w:w="740" w:type="dxa"/>
            <w:vAlign w:val="bottom"/>
            <w:tcBorders>
              <w:bottom w:val="single" w:sz="8" w:color="888B8D"/>
            </w:tcBorders>
          </w:tcPr>
          <w:p>
            <w:pPr>
              <w:spacing w:after="0"/>
              <w:rPr>
                <w:sz w:val="10"/>
                <w:szCs w:val="10"/>
                <w:color w:val="auto"/>
              </w:rPr>
            </w:pPr>
          </w:p>
        </w:tc>
        <w:tc>
          <w:tcPr>
            <w:tcW w:w="32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92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38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100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1000" w:type="dxa"/>
            <w:vAlign w:val="bottom"/>
            <w:tcBorders>
              <w:bottom w:val="single" w:sz="8" w:color="888B8D"/>
            </w:tcBorders>
          </w:tcPr>
          <w:p>
            <w:pPr>
              <w:spacing w:after="0"/>
              <w:rPr>
                <w:sz w:val="10"/>
                <w:szCs w:val="10"/>
                <w:color w:val="auto"/>
              </w:rPr>
            </w:pPr>
          </w:p>
        </w:tc>
        <w:tc>
          <w:tcPr>
            <w:tcW w:w="32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96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Actuarial losses recognized</w:t>
            </w:r>
          </w:p>
        </w:tc>
        <w:tc>
          <w:tcPr>
            <w:tcW w:w="740" w:type="dxa"/>
            <w:vAlign w:val="bottom"/>
            <w:tcBorders>
              <w:bottom w:val="single" w:sz="8" w:color="888B8D"/>
            </w:tcBorders>
          </w:tcPr>
          <w:p>
            <w:pPr>
              <w:jc w:val="right"/>
              <w:ind w:right="632"/>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9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138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7</w:t>
            </w:r>
          </w:p>
        </w:tc>
        <w:tc>
          <w:tcPr>
            <w:tcW w:w="1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24"/>
        </w:trPr>
        <w:tc>
          <w:tcPr>
            <w:tcW w:w="296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Prior service (credit) recognized</w:t>
            </w:r>
          </w:p>
        </w:tc>
        <w:tc>
          <w:tcPr>
            <w:tcW w:w="740" w:type="dxa"/>
            <w:vAlign w:val="bottom"/>
            <w:tcBorders>
              <w:bottom w:val="single" w:sz="8" w:color="888B8D"/>
            </w:tcBorders>
          </w:tcPr>
          <w:p>
            <w:pPr>
              <w:spacing w:after="0"/>
              <w:rPr>
                <w:sz w:val="10"/>
                <w:szCs w:val="10"/>
                <w:color w:val="auto"/>
              </w:rPr>
            </w:pPr>
          </w:p>
        </w:tc>
        <w:tc>
          <w:tcPr>
            <w:tcW w:w="3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888B8D"/>
            </w:tcBorders>
          </w:tcPr>
          <w:p>
            <w:pPr>
              <w:spacing w:after="0"/>
              <w:rPr>
                <w:sz w:val="10"/>
                <w:szCs w:val="10"/>
                <w:color w:val="auto"/>
              </w:rPr>
            </w:pPr>
          </w:p>
        </w:tc>
        <w:tc>
          <w:tcPr>
            <w:tcW w:w="92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138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888B8D"/>
            </w:tcBorders>
          </w:tcPr>
          <w:p>
            <w:pPr>
              <w:spacing w:after="0"/>
              <w:rPr>
                <w:sz w:val="10"/>
                <w:szCs w:val="10"/>
                <w:color w:val="auto"/>
              </w:rPr>
            </w:pPr>
          </w:p>
        </w:tc>
        <w:tc>
          <w:tcPr>
            <w:tcW w:w="10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(116)</w:t>
            </w:r>
          </w:p>
        </w:tc>
        <w:tc>
          <w:tcPr>
            <w:tcW w:w="180" w:type="dxa"/>
            <w:vAlign w:val="bottom"/>
            <w:tcBorders>
              <w:bottom w:val="single" w:sz="8" w:color="888B8D"/>
            </w:tcBorders>
          </w:tcPr>
          <w:p>
            <w:pPr>
              <w:spacing w:after="0"/>
              <w:rPr>
                <w:sz w:val="10"/>
                <w:szCs w:val="10"/>
                <w:color w:val="auto"/>
              </w:rPr>
            </w:pPr>
          </w:p>
        </w:tc>
        <w:tc>
          <w:tcPr>
            <w:tcW w:w="10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(116)</w:t>
            </w:r>
          </w:p>
        </w:tc>
        <w:tc>
          <w:tcPr>
            <w:tcW w:w="0" w:type="dxa"/>
            <w:vAlign w:val="bottom"/>
          </w:tcPr>
          <w:p>
            <w:pPr>
              <w:spacing w:after="0"/>
              <w:rPr>
                <w:sz w:val="1"/>
                <w:szCs w:val="1"/>
                <w:color w:val="auto"/>
              </w:rPr>
            </w:pPr>
          </w:p>
        </w:tc>
      </w:tr>
      <w:tr>
        <w:trPr>
          <w:trHeight w:val="124"/>
        </w:trPr>
        <w:tc>
          <w:tcPr>
            <w:tcW w:w="29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Losses (gains) on cash flow hedges</w:t>
            </w:r>
          </w:p>
        </w:tc>
        <w:tc>
          <w:tcPr>
            <w:tcW w:w="740" w:type="dxa"/>
            <w:vAlign w:val="bottom"/>
            <w:tcBorders>
              <w:bottom w:val="single" w:sz="8" w:color="888B8D"/>
            </w:tcBorders>
          </w:tcPr>
          <w:p>
            <w:pPr>
              <w:spacing w:after="0"/>
              <w:rPr>
                <w:sz w:val="10"/>
                <w:szCs w:val="10"/>
                <w:color w:val="auto"/>
              </w:rPr>
            </w:pPr>
          </w:p>
        </w:tc>
        <w:tc>
          <w:tcPr>
            <w:tcW w:w="32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(5)</w:t>
            </w:r>
          </w:p>
        </w:tc>
        <w:tc>
          <w:tcPr>
            <w:tcW w:w="22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(8)</w:t>
            </w:r>
          </w:p>
        </w:tc>
        <w:tc>
          <w:tcPr>
            <w:tcW w:w="220" w:type="dxa"/>
            <w:vAlign w:val="bottom"/>
            <w:tcBorders>
              <w:bottom w:val="single" w:sz="8" w:color="888B8D"/>
            </w:tcBorders>
          </w:tcPr>
          <w:p>
            <w:pPr>
              <w:spacing w:after="0"/>
              <w:rPr>
                <w:sz w:val="10"/>
                <w:szCs w:val="10"/>
                <w:color w:val="auto"/>
              </w:rPr>
            </w:pPr>
          </w:p>
        </w:tc>
        <w:tc>
          <w:tcPr>
            <w:tcW w:w="92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(2)</w:t>
            </w:r>
          </w:p>
        </w:tc>
        <w:tc>
          <w:tcPr>
            <w:tcW w:w="200" w:type="dxa"/>
            <w:vAlign w:val="bottom"/>
            <w:tcBorders>
              <w:bottom w:val="single" w:sz="8" w:color="888B8D"/>
            </w:tcBorders>
          </w:tcPr>
          <w:p>
            <w:pPr>
              <w:spacing w:after="0"/>
              <w:rPr>
                <w:sz w:val="10"/>
                <w:szCs w:val="10"/>
                <w:color w:val="auto"/>
              </w:rPr>
            </w:pPr>
          </w:p>
        </w:tc>
        <w:tc>
          <w:tcPr>
            <w:tcW w:w="138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(9)</w:t>
            </w:r>
          </w:p>
        </w:tc>
        <w:tc>
          <w:tcPr>
            <w:tcW w:w="140" w:type="dxa"/>
            <w:vAlign w:val="bottom"/>
            <w:tcBorders>
              <w:bottom w:val="single" w:sz="8" w:color="888B8D"/>
            </w:tcBorders>
          </w:tcPr>
          <w:p>
            <w:pPr>
              <w:spacing w:after="0"/>
              <w:rPr>
                <w:sz w:val="10"/>
                <w:szCs w:val="10"/>
                <w:color w:val="auto"/>
              </w:rPr>
            </w:pPr>
          </w:p>
        </w:tc>
        <w:tc>
          <w:tcPr>
            <w:tcW w:w="10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888B8D"/>
            </w:tcBorders>
          </w:tcPr>
          <w:p>
            <w:pPr>
              <w:spacing w:after="0"/>
              <w:rPr>
                <w:sz w:val="10"/>
                <w:szCs w:val="10"/>
                <w:color w:val="auto"/>
              </w:rPr>
            </w:pPr>
          </w:p>
        </w:tc>
        <w:tc>
          <w:tcPr>
            <w:tcW w:w="10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(24)</w:t>
            </w:r>
          </w:p>
        </w:tc>
        <w:tc>
          <w:tcPr>
            <w:tcW w:w="0" w:type="dxa"/>
            <w:vAlign w:val="bottom"/>
          </w:tcPr>
          <w:p>
            <w:pPr>
              <w:spacing w:after="0"/>
              <w:rPr>
                <w:sz w:val="1"/>
                <w:szCs w:val="1"/>
                <w:color w:val="auto"/>
              </w:rPr>
            </w:pPr>
          </w:p>
        </w:tc>
      </w:tr>
      <w:tr>
        <w:trPr>
          <w:trHeight w:val="124"/>
        </w:trPr>
        <w:tc>
          <w:tcPr>
            <w:tcW w:w="29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Losses (gains) on excluded component of net investment hedges</w:t>
            </w:r>
          </w:p>
        </w:tc>
        <w:tc>
          <w:tcPr>
            <w:tcW w:w="74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D7282F"/>
            </w:tcBorders>
          </w:tcPr>
          <w:p>
            <w:pPr>
              <w:spacing w:after="0"/>
              <w:rPr>
                <w:sz w:val="10"/>
                <w:szCs w:val="10"/>
                <w:color w:val="auto"/>
              </w:rPr>
            </w:pPr>
          </w:p>
        </w:tc>
        <w:tc>
          <w:tcPr>
            <w:tcW w:w="138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(16)</w:t>
            </w:r>
          </w:p>
        </w:tc>
        <w:tc>
          <w:tcPr>
            <w:tcW w:w="32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(16)</w:t>
            </w:r>
          </w:p>
        </w:tc>
        <w:tc>
          <w:tcPr>
            <w:tcW w:w="0" w:type="dxa"/>
            <w:vAlign w:val="bottom"/>
          </w:tcPr>
          <w:p>
            <w:pPr>
              <w:spacing w:after="0"/>
              <w:rPr>
                <w:sz w:val="1"/>
                <w:szCs w:val="1"/>
                <w:color w:val="auto"/>
              </w:rPr>
            </w:pPr>
          </w:p>
        </w:tc>
      </w:tr>
      <w:tr>
        <w:trPr>
          <w:trHeight w:val="126"/>
        </w:trPr>
        <w:tc>
          <w:tcPr>
            <w:tcW w:w="296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before tax</w:t>
            </w:r>
          </w:p>
        </w:tc>
        <w:tc>
          <w:tcPr>
            <w:tcW w:w="740" w:type="dxa"/>
            <w:vAlign w:val="bottom"/>
            <w:tcBorders>
              <w:bottom w:val="single" w:sz="8" w:color="D7282F"/>
            </w:tcBorders>
          </w:tcPr>
          <w:p>
            <w:pPr>
              <w:jc w:val="right"/>
              <w:ind w:right="632"/>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(5)</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9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(8)</w:t>
            </w:r>
          </w:p>
        </w:tc>
        <w:tc>
          <w:tcPr>
            <w:tcW w:w="22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(2)</w:t>
            </w: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138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(9)</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10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(109)</w:t>
            </w: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10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(16)</w:t>
            </w:r>
          </w:p>
        </w:tc>
        <w:tc>
          <w:tcPr>
            <w:tcW w:w="32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(149)</w:t>
            </w:r>
          </w:p>
        </w:tc>
        <w:tc>
          <w:tcPr>
            <w:tcW w:w="0" w:type="dxa"/>
            <w:vAlign w:val="bottom"/>
          </w:tcPr>
          <w:p>
            <w:pPr>
              <w:spacing w:after="0"/>
              <w:rPr>
                <w:sz w:val="1"/>
                <w:szCs w:val="1"/>
                <w:color w:val="auto"/>
              </w:rPr>
            </w:pPr>
          </w:p>
        </w:tc>
      </w:tr>
      <w:tr>
        <w:trPr>
          <w:trHeight w:val="124"/>
        </w:trPr>
        <w:tc>
          <w:tcPr>
            <w:tcW w:w="296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Tax (expense) benefit</w:t>
            </w:r>
          </w:p>
        </w:tc>
        <w:tc>
          <w:tcPr>
            <w:tcW w:w="74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1380" w:type="dxa"/>
            <w:vAlign w:val="bottom"/>
            <w:tcBorders>
              <w:bottom w:val="single" w:sz="8" w:color="D7282F"/>
            </w:tcBorders>
          </w:tcPr>
          <w:p>
            <w:pPr>
              <w:spacing w:after="0"/>
              <w:rPr>
                <w:sz w:val="10"/>
                <w:szCs w:val="10"/>
                <w:color w:val="auto"/>
              </w:rPr>
            </w:pPr>
          </w:p>
        </w:tc>
        <w:tc>
          <w:tcPr>
            <w:tcW w:w="14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35</w:t>
            </w:r>
          </w:p>
        </w:tc>
        <w:tc>
          <w:tcPr>
            <w:tcW w:w="0" w:type="dxa"/>
            <w:vAlign w:val="bottom"/>
          </w:tcPr>
          <w:p>
            <w:pPr>
              <w:spacing w:after="0"/>
              <w:rPr>
                <w:sz w:val="1"/>
                <w:szCs w:val="1"/>
                <w:color w:val="auto"/>
              </w:rPr>
            </w:pPr>
          </w:p>
        </w:tc>
      </w:tr>
      <w:tr>
        <w:trPr>
          <w:trHeight w:val="124"/>
        </w:trPr>
        <w:tc>
          <w:tcPr>
            <w:tcW w:w="296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reclassifications for the period, net of tax</w:t>
            </w:r>
          </w:p>
        </w:tc>
        <w:tc>
          <w:tcPr>
            <w:tcW w:w="74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1380" w:type="dxa"/>
            <w:vAlign w:val="bottom"/>
            <w:tcBorders>
              <w:bottom w:val="single" w:sz="8" w:color="D7282F"/>
            </w:tcBorders>
          </w:tcPr>
          <w:p>
            <w:pPr>
              <w:spacing w:after="0"/>
              <w:rPr>
                <w:sz w:val="10"/>
                <w:szCs w:val="10"/>
                <w:color w:val="auto"/>
              </w:rPr>
            </w:pPr>
          </w:p>
        </w:tc>
        <w:tc>
          <w:tcPr>
            <w:tcW w:w="14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(114)</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8"/>
        <w:spacing w:after="0"/>
        <w:rPr>
          <w:sz w:val="20"/>
          <w:szCs w:val="20"/>
          <w:color w:val="auto"/>
        </w:rPr>
      </w:pPr>
      <w:r>
        <w:rPr>
          <w:rFonts w:ascii="Arial" w:cs="Arial" w:eastAsia="Arial" w:hAnsi="Arial"/>
          <w:sz w:val="19"/>
          <w:szCs w:val="19"/>
          <w:color w:val="D7282F"/>
        </w:rPr>
        <w:t>NOTE 18. CAPITAL STOCK</w:t>
      </w:r>
    </w:p>
    <w:p>
      <w:pPr>
        <w:spacing w:after="0" w:line="163" w:lineRule="exact"/>
        <w:rPr>
          <w:sz w:val="20"/>
          <w:szCs w:val="20"/>
          <w:color w:val="auto"/>
        </w:rPr>
      </w:pPr>
    </w:p>
    <w:p>
      <w:pPr>
        <w:jc w:val="both"/>
        <w:ind w:left="8"/>
        <w:spacing w:after="0" w:line="300" w:lineRule="auto"/>
        <w:rPr>
          <w:sz w:val="20"/>
          <w:szCs w:val="20"/>
          <w:color w:val="auto"/>
        </w:rPr>
      </w:pPr>
      <w:r>
        <w:rPr>
          <w:rFonts w:ascii="Arial" w:cs="Arial" w:eastAsia="Arial" w:hAnsi="Arial"/>
          <w:sz w:val="10"/>
          <w:szCs w:val="10"/>
          <w:color w:val="auto"/>
        </w:rPr>
        <w:t>The Company is authorized to issue up to 2,000,000,000 shares of common stock, with a par value of $1. Common shareowners are entitled to receive such dividends as may be declared by the Board of Directors, are entitled to one vote per share, and are entitled, in the event of liquidation, to share ratably in all the assets of the Company which are available for distribution to the common shareowners. Common shareowners do not have preemptive or conversion rights. Shares of common stock issued and outstanding or held in treasury are not liable to further calls or assessments. There are no restrictions on the Company relative to dividends or the repurchase or redemption of common stock.</w:t>
      </w:r>
    </w:p>
    <w:p>
      <w:pPr>
        <w:spacing w:after="0" w:line="28" w:lineRule="exact"/>
        <w:rPr>
          <w:sz w:val="20"/>
          <w:szCs w:val="20"/>
          <w:color w:val="auto"/>
        </w:rPr>
      </w:pPr>
    </w:p>
    <w:p>
      <w:pPr>
        <w:jc w:val="both"/>
        <w:ind w:left="8" w:right="20"/>
        <w:spacing w:after="0" w:line="285" w:lineRule="auto"/>
        <w:rPr>
          <w:sz w:val="20"/>
          <w:szCs w:val="20"/>
          <w:color w:val="auto"/>
        </w:rPr>
      </w:pPr>
      <w:r>
        <w:rPr>
          <w:rFonts w:ascii="Arial" w:cs="Arial" w:eastAsia="Arial" w:hAnsi="Arial"/>
          <w:sz w:val="11"/>
          <w:szCs w:val="11"/>
          <w:color w:val="auto"/>
        </w:rPr>
        <w:t>On April 24, 2023, the Board of Directors authorized the repurchase of up to a total of $10 billion of Honeywell common stock, including approximately $2.1 billion of remaining availability under the previously announced $10 billion share repurchase authorization. Approximately $7.1 billion and $2.9 billion remained available as of December 31, 2023, and 2022, respectively, for additional share repurchases.</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1"/>
          <w:szCs w:val="11"/>
          <w:color w:val="auto"/>
        </w:rPr>
        <w:t>Honeywell repurchased approximately 19.2 million and 21.9 million shares of its common stock during the years ended December 31, 2023, and 2022, for $3.7 billion and $4.2 billion, respectively.</w:t>
      </w:r>
    </w:p>
    <w:p>
      <w:pPr>
        <w:spacing w:after="0" w:line="81"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The Company is authorized to issue up to 40,000,000 shares of preferred stock, without par value, and can determine the number of shares of each series, and the rights, preferences, and limitations of each series. At December 31, 2023, there was no preferred stock outstanding.</w:t>
      </w:r>
    </w:p>
    <w:p>
      <w:pPr>
        <w:spacing w:after="0" w:line="266" w:lineRule="exact"/>
        <w:rPr>
          <w:sz w:val="20"/>
          <w:szCs w:val="20"/>
          <w:color w:val="auto"/>
        </w:rPr>
      </w:pPr>
    </w:p>
    <w:p>
      <w:pPr>
        <w:ind w:left="268" w:hanging="268"/>
        <w:spacing w:after="0"/>
        <w:tabs>
          <w:tab w:leader="none" w:pos="268" w:val="left"/>
        </w:tabs>
        <w:numPr>
          <w:ilvl w:val="0"/>
          <w:numId w:val="135"/>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96" w:name="page97"/>
    <w:bookmarkEnd w:id="96"/>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92" w:lineRule="exact"/>
        <w:rPr>
          <w:sz w:val="20"/>
          <w:szCs w:val="20"/>
          <w:color w:val="auto"/>
        </w:rPr>
      </w:pPr>
    </w:p>
    <w:p>
      <w:pPr>
        <w:ind w:left="8"/>
        <w:spacing w:after="0"/>
        <w:rPr>
          <w:sz w:val="20"/>
          <w:szCs w:val="20"/>
          <w:color w:val="auto"/>
        </w:rPr>
      </w:pPr>
      <w:r>
        <w:rPr>
          <w:rFonts w:ascii="Arial" w:cs="Arial" w:eastAsia="Arial" w:hAnsi="Arial"/>
          <w:sz w:val="19"/>
          <w:szCs w:val="19"/>
          <w:color w:val="D7282F"/>
        </w:rPr>
        <w:t>NOTE 19. COMMITMENTS AND CONTINGENCIES</w:t>
      </w:r>
    </w:p>
    <w:p>
      <w:pPr>
        <w:spacing w:after="0" w:line="192"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ENVIRONMENTAL MATTERS</w:t>
      </w:r>
    </w:p>
    <w:p>
      <w:pPr>
        <w:spacing w:after="0" w:line="81"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The Company is subject to various federal, state, local, and foreign government requirements relating to the protection of the environment. The Company believes that, as a general matter, the Company's policies, practices, and procedures are properly designed to prevent unreasonable risk of environmental damage and personal injury and that the handling, manufacture, use, and disposal of hazardous substances are in accordance with environmental and safety laws and regulations. However, mainly because of past operations and operations of predecessor companies, the Company, like other companies engaged in similar businesses, incurred remedial response and voluntary cleanup costs for site contamination and is a party to lawsuits and claims associated with environmental and safety matters, including past production of products containing hazardous substances. Additional lawsuits, claims, and costs involving environmental matters are likely to continue to arise in the future.</w:t>
      </w:r>
    </w:p>
    <w:p>
      <w:pPr>
        <w:spacing w:after="0" w:line="51" w:lineRule="exact"/>
        <w:rPr>
          <w:sz w:val="20"/>
          <w:szCs w:val="20"/>
          <w:color w:val="auto"/>
        </w:rPr>
      </w:pPr>
    </w:p>
    <w:p>
      <w:pPr>
        <w:jc w:val="both"/>
        <w:ind w:left="8"/>
        <w:spacing w:after="0" w:line="249" w:lineRule="auto"/>
        <w:rPr>
          <w:sz w:val="20"/>
          <w:szCs w:val="20"/>
          <w:color w:val="auto"/>
        </w:rPr>
      </w:pPr>
      <w:r>
        <w:rPr>
          <w:rFonts w:ascii="Arial" w:cs="Arial" w:eastAsia="Arial" w:hAnsi="Arial"/>
          <w:sz w:val="11"/>
          <w:szCs w:val="11"/>
          <w:color w:val="auto"/>
        </w:rPr>
        <w:t>With respect to environmental matters involving site contamination, the Company continually conducts studies, individually or jointly with other potentially responsible parties, to determine the feasibility of various remedial techniques. It is the Company's policy to record appropriate liabilities for environmental matters when remedial efforts or damage claim payments are probable and the costs can be reasonably estimated. Such liabilities are based on our best estimate of the undiscounted future costs required to complete the remedial work. The recorded liabilities are adjusted periodically as remediation efforts progress or as additional technical, regulatory, or legal information becomes available. Given the uncertainties regarding the status of laws, regulations, enforcement policies, the impact of other potentially responsible parties, technology, and information related to individual sites, the Company does not believe it is possible to develop an estimate of the range of reasonably possible environmental loss in excess of the Company's recorded liabilities. The Company expects to fund expenditures for these matters from operating cash flows. The timing of cash expenditures depends on a number of factors, including the timing of remedial investigations and feasibility studies, the timing of litigation and settlements of remediation liability, personal injury and property damage claims, regulatory approval of cleanup projects, remedial techniques to be utilized, and agreements with other parties.</w:t>
      </w:r>
    </w:p>
    <w:p>
      <w:pPr>
        <w:spacing w:after="0" w:line="62"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summarizes information concerning the Company's recorded liabilities for environmental costs:</w:t>
      </w:r>
    </w:p>
    <w:p>
      <w:pPr>
        <w:spacing w:after="0" w:line="127"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8580" w:type="dxa"/>
            <w:vAlign w:val="bottom"/>
          </w:tcPr>
          <w:p>
            <w:pPr>
              <w:spacing w:after="0"/>
              <w:rPr>
                <w:sz w:val="11"/>
                <w:szCs w:val="11"/>
                <w:color w:val="auto"/>
              </w:rPr>
            </w:pPr>
          </w:p>
        </w:tc>
        <w:tc>
          <w:tcPr>
            <w:tcW w:w="500" w:type="dxa"/>
            <w:vAlign w:val="bottom"/>
            <w:tcBorders>
              <w:bottom w:val="single" w:sz="8" w:color="D7282F"/>
            </w:tcBorders>
          </w:tcPr>
          <w:p>
            <w:pPr>
              <w:spacing w:after="0"/>
              <w:rPr>
                <w:sz w:val="11"/>
                <w:szCs w:val="11"/>
                <w:color w:val="auto"/>
              </w:rPr>
            </w:pPr>
          </w:p>
        </w:tc>
        <w:tc>
          <w:tcPr>
            <w:tcW w:w="240" w:type="dxa"/>
            <w:vAlign w:val="bottom"/>
            <w:tcBorders>
              <w:bottom w:val="single" w:sz="8" w:color="D7282F"/>
            </w:tcBorders>
          </w:tcPr>
          <w:p>
            <w:pPr>
              <w:spacing w:after="0"/>
              <w:rPr>
                <w:sz w:val="11"/>
                <w:szCs w:val="11"/>
                <w:color w:val="auto"/>
              </w:rPr>
            </w:pPr>
          </w:p>
        </w:tc>
        <w:tc>
          <w:tcPr>
            <w:tcW w:w="1380" w:type="dxa"/>
            <w:vAlign w:val="bottom"/>
            <w:tcBorders>
              <w:bottom w:val="single" w:sz="8" w:color="D7282F"/>
            </w:tcBorders>
            <w:gridSpan w:val="3"/>
          </w:tcPr>
          <w:p>
            <w:pPr>
              <w:jc w:val="right"/>
              <w:ind w:right="92"/>
              <w:spacing w:after="0"/>
              <w:rPr>
                <w:sz w:val="20"/>
                <w:szCs w:val="20"/>
                <w:color w:val="auto"/>
              </w:rPr>
            </w:pPr>
            <w:r>
              <w:rPr>
                <w:rFonts w:ascii="Arial" w:cs="Arial" w:eastAsia="Arial" w:hAnsi="Arial"/>
                <w:sz w:val="10"/>
                <w:szCs w:val="10"/>
                <w:b w:val="1"/>
                <w:bCs w:val="1"/>
                <w:color w:val="auto"/>
                <w:w w:val="94"/>
              </w:rPr>
              <w:t>Years Ended December 31,</w:t>
            </w:r>
          </w:p>
        </w:tc>
        <w:tc>
          <w:tcPr>
            <w:tcW w:w="600" w:type="dxa"/>
            <w:vAlign w:val="bottom"/>
            <w:tcBorders>
              <w:bottom w:val="single" w:sz="8" w:color="D7282F"/>
            </w:tcBorders>
          </w:tcPr>
          <w:p>
            <w:pPr>
              <w:spacing w:after="0"/>
              <w:rPr>
                <w:sz w:val="11"/>
                <w:szCs w:val="11"/>
                <w:color w:val="auto"/>
              </w:rPr>
            </w:pPr>
          </w:p>
        </w:tc>
      </w:tr>
      <w:tr>
        <w:trPr>
          <w:trHeight w:val="151"/>
        </w:trPr>
        <w:tc>
          <w:tcPr>
            <w:tcW w:w="8580" w:type="dxa"/>
            <w:vAlign w:val="bottom"/>
            <w:tcBorders>
              <w:bottom w:val="single" w:sz="8" w:color="D7282F"/>
            </w:tcBorders>
          </w:tcPr>
          <w:p>
            <w:pPr>
              <w:spacing w:after="0"/>
              <w:rPr>
                <w:sz w:val="13"/>
                <w:szCs w:val="13"/>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2023</w:t>
            </w:r>
          </w:p>
        </w:tc>
        <w:tc>
          <w:tcPr>
            <w:tcW w:w="240" w:type="dxa"/>
            <w:vAlign w:val="bottom"/>
            <w:tcBorders>
              <w:bottom w:val="single" w:sz="8" w:color="D7282F"/>
            </w:tcBorders>
          </w:tcPr>
          <w:p>
            <w:pPr>
              <w:spacing w:after="0"/>
              <w:rPr>
                <w:sz w:val="13"/>
                <w:szCs w:val="13"/>
                <w:color w:val="auto"/>
              </w:rPr>
            </w:pPr>
          </w:p>
        </w:tc>
        <w:tc>
          <w:tcPr>
            <w:tcW w:w="400" w:type="dxa"/>
            <w:vAlign w:val="bottom"/>
            <w:tcBorders>
              <w:bottom w:val="single" w:sz="8" w:color="D7282F"/>
            </w:tcBorders>
          </w:tcPr>
          <w:p>
            <w:pPr>
              <w:spacing w:after="0"/>
              <w:rPr>
                <w:sz w:val="13"/>
                <w:szCs w:val="13"/>
                <w:color w:val="auto"/>
              </w:rPr>
            </w:pPr>
          </w:p>
        </w:tc>
        <w:tc>
          <w:tcPr>
            <w:tcW w:w="70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2022</w:t>
            </w:r>
          </w:p>
        </w:tc>
        <w:tc>
          <w:tcPr>
            <w:tcW w:w="28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2021</w:t>
            </w:r>
          </w:p>
        </w:tc>
      </w:tr>
      <w:tr>
        <w:trPr>
          <w:trHeight w:val="128"/>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Beginning of year</w:t>
            </w:r>
          </w:p>
        </w:tc>
        <w:tc>
          <w:tcPr>
            <w:tcW w:w="500" w:type="dxa"/>
            <w:vAlign w:val="bottom"/>
            <w:tcBorders>
              <w:bottom w:val="single" w:sz="8" w:color="D7282F"/>
            </w:tcBorders>
          </w:tcPr>
          <w:p>
            <w:pPr>
              <w:jc w:val="right"/>
              <w:ind w:right="392"/>
              <w:spacing w:after="0"/>
              <w:rPr>
                <w:sz w:val="20"/>
                <w:szCs w:val="20"/>
                <w:color w:val="auto"/>
              </w:rPr>
            </w:pPr>
            <w:r>
              <w:rPr>
                <w:rFonts w:ascii="Arial" w:cs="Arial" w:eastAsia="Arial" w:hAnsi="Arial"/>
                <w:sz w:val="10"/>
                <w:szCs w:val="10"/>
                <w:b w:val="1"/>
                <w:bCs w:val="1"/>
                <w:color w:val="auto"/>
                <w:w w:val="71"/>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615</w:t>
            </w:r>
          </w:p>
        </w:tc>
        <w:tc>
          <w:tcPr>
            <w:tcW w:w="4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618</w:t>
            </w:r>
          </w:p>
        </w:tc>
        <w:tc>
          <w:tcPr>
            <w:tcW w:w="2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660</w:t>
            </w:r>
          </w:p>
        </w:tc>
      </w:tr>
      <w:tr>
        <w:trPr>
          <w:trHeight w:val="122"/>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Accruals for environmental matters deemed probable and reasonably estimable</w:t>
            </w:r>
          </w:p>
        </w:tc>
        <w:tc>
          <w:tcPr>
            <w:tcW w:w="5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222</w:t>
            </w: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186</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168</w:t>
            </w:r>
          </w:p>
        </w:tc>
      </w:tr>
      <w:tr>
        <w:trPr>
          <w:trHeight w:val="124"/>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Environmental liability payments</w:t>
            </w:r>
          </w:p>
        </w:tc>
        <w:tc>
          <w:tcPr>
            <w:tcW w:w="5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w w:val="94"/>
              </w:rPr>
              <w:t>(196)</w:t>
            </w: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(211)</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(210)</w:t>
            </w:r>
          </w:p>
        </w:tc>
      </w:tr>
      <w:tr>
        <w:trPr>
          <w:trHeight w:val="124"/>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Other</w:t>
            </w:r>
          </w:p>
        </w:tc>
        <w:tc>
          <w:tcPr>
            <w:tcW w:w="50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22</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6"/>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End of year</w:t>
            </w:r>
          </w:p>
        </w:tc>
        <w:tc>
          <w:tcPr>
            <w:tcW w:w="500" w:type="dxa"/>
            <w:vAlign w:val="bottom"/>
            <w:tcBorders>
              <w:bottom w:val="single" w:sz="8" w:color="D7282F"/>
            </w:tcBorders>
          </w:tcPr>
          <w:p>
            <w:pPr>
              <w:jc w:val="right"/>
              <w:ind w:right="392"/>
              <w:spacing w:after="0"/>
              <w:rPr>
                <w:sz w:val="20"/>
                <w:szCs w:val="20"/>
                <w:color w:val="auto"/>
              </w:rPr>
            </w:pPr>
            <w:r>
              <w:rPr>
                <w:rFonts w:ascii="Arial" w:cs="Arial" w:eastAsia="Arial" w:hAnsi="Arial"/>
                <w:sz w:val="10"/>
                <w:szCs w:val="10"/>
                <w:b w:val="1"/>
                <w:bCs w:val="1"/>
                <w:color w:val="auto"/>
                <w:w w:val="71"/>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641</w:t>
            </w:r>
          </w:p>
        </w:tc>
        <w:tc>
          <w:tcPr>
            <w:tcW w:w="4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615</w:t>
            </w:r>
          </w:p>
        </w:tc>
        <w:tc>
          <w:tcPr>
            <w:tcW w:w="2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618</w:t>
            </w:r>
          </w:p>
        </w:tc>
      </w:tr>
    </w:tbl>
    <w:p>
      <w:pPr>
        <w:spacing w:after="0" w:line="126" w:lineRule="exact"/>
        <w:rPr>
          <w:sz w:val="20"/>
          <w:szCs w:val="20"/>
          <w:color w:val="auto"/>
        </w:rPr>
      </w:pPr>
    </w:p>
    <w:p>
      <w:pPr>
        <w:ind w:left="8"/>
        <w:spacing w:after="0"/>
        <w:rPr>
          <w:sz w:val="20"/>
          <w:szCs w:val="20"/>
          <w:color w:val="auto"/>
        </w:rPr>
      </w:pPr>
      <w:r>
        <w:rPr>
          <w:rFonts w:ascii="Arial" w:cs="Arial" w:eastAsia="Arial" w:hAnsi="Arial"/>
          <w:sz w:val="11"/>
          <w:szCs w:val="11"/>
          <w:color w:val="auto"/>
        </w:rPr>
        <w:t>Environmental liabilities are included in the following balance sheet accounts:</w:t>
      </w:r>
    </w:p>
    <w:p>
      <w:pPr>
        <w:spacing w:after="0" w:line="127"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9560" w:type="dxa"/>
            <w:vAlign w:val="bottom"/>
          </w:tcPr>
          <w:p>
            <w:pPr>
              <w:spacing w:after="0"/>
              <w:rPr>
                <w:sz w:val="11"/>
                <w:szCs w:val="11"/>
                <w:color w:val="auto"/>
              </w:rPr>
            </w:pPr>
          </w:p>
        </w:tc>
        <w:tc>
          <w:tcPr>
            <w:tcW w:w="520" w:type="dxa"/>
            <w:vAlign w:val="bottom"/>
            <w:tcBorders>
              <w:bottom w:val="single" w:sz="8" w:color="D7282F"/>
            </w:tcBorders>
          </w:tcPr>
          <w:p>
            <w:pPr>
              <w:spacing w:after="0"/>
              <w:rPr>
                <w:sz w:val="11"/>
                <w:szCs w:val="11"/>
                <w:color w:val="auto"/>
              </w:rPr>
            </w:pPr>
          </w:p>
        </w:tc>
        <w:tc>
          <w:tcPr>
            <w:tcW w:w="700" w:type="dxa"/>
            <w:vAlign w:val="bottom"/>
            <w:tcBorders>
              <w:bottom w:val="single" w:sz="8" w:color="D7282F"/>
            </w:tcBorders>
            <w:gridSpan w:val="2"/>
          </w:tcPr>
          <w:p>
            <w:pPr>
              <w:ind w:left="40"/>
              <w:spacing w:after="0"/>
              <w:rPr>
                <w:sz w:val="20"/>
                <w:szCs w:val="20"/>
                <w:color w:val="auto"/>
              </w:rPr>
            </w:pPr>
            <w:r>
              <w:rPr>
                <w:rFonts w:ascii="Arial" w:cs="Arial" w:eastAsia="Arial" w:hAnsi="Arial"/>
                <w:sz w:val="10"/>
                <w:szCs w:val="10"/>
                <w:b w:val="1"/>
                <w:bCs w:val="1"/>
                <w:color w:val="auto"/>
                <w:w w:val="98"/>
              </w:rPr>
              <w:t>December 31,</w:t>
            </w:r>
          </w:p>
        </w:tc>
        <w:tc>
          <w:tcPr>
            <w:tcW w:w="520" w:type="dxa"/>
            <w:vAlign w:val="bottom"/>
            <w:tcBorders>
              <w:bottom w:val="single" w:sz="8" w:color="D7282F"/>
            </w:tcBorders>
          </w:tcPr>
          <w:p>
            <w:pPr>
              <w:spacing w:after="0"/>
              <w:rPr>
                <w:sz w:val="11"/>
                <w:szCs w:val="11"/>
                <w:color w:val="auto"/>
              </w:rPr>
            </w:pPr>
          </w:p>
        </w:tc>
      </w:tr>
      <w:tr>
        <w:trPr>
          <w:trHeight w:val="151"/>
        </w:trPr>
        <w:tc>
          <w:tcPr>
            <w:tcW w:w="9560" w:type="dxa"/>
            <w:vAlign w:val="bottom"/>
            <w:tcBorders>
              <w:bottom w:val="single" w:sz="8" w:color="D7282F"/>
            </w:tcBorders>
          </w:tcPr>
          <w:p>
            <w:pPr>
              <w:spacing w:after="0"/>
              <w:rPr>
                <w:sz w:val="13"/>
                <w:szCs w:val="13"/>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2023</w:t>
            </w:r>
          </w:p>
        </w:tc>
        <w:tc>
          <w:tcPr>
            <w:tcW w:w="320" w:type="dxa"/>
            <w:vAlign w:val="bottom"/>
            <w:tcBorders>
              <w:bottom w:val="single" w:sz="8" w:color="D7282F"/>
            </w:tcBorders>
          </w:tcPr>
          <w:p>
            <w:pPr>
              <w:spacing w:after="0"/>
              <w:rPr>
                <w:sz w:val="13"/>
                <w:szCs w:val="13"/>
                <w:color w:val="auto"/>
              </w:rPr>
            </w:pPr>
          </w:p>
        </w:tc>
        <w:tc>
          <w:tcPr>
            <w:tcW w:w="380" w:type="dxa"/>
            <w:vAlign w:val="bottom"/>
            <w:tcBorders>
              <w:bottom w:val="single" w:sz="8" w:color="D7282F"/>
            </w:tcBorders>
          </w:tcPr>
          <w:p>
            <w:pPr>
              <w:spacing w:after="0"/>
              <w:rPr>
                <w:sz w:val="13"/>
                <w:szCs w:val="13"/>
                <w:color w:val="auto"/>
              </w:rPr>
            </w:pPr>
          </w:p>
        </w:tc>
        <w:tc>
          <w:tcPr>
            <w:tcW w:w="52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w w:val="98"/>
              </w:rPr>
              <w:t>2022</w:t>
            </w:r>
          </w:p>
        </w:tc>
      </w:tr>
      <w:tr>
        <w:trPr>
          <w:trHeight w:val="126"/>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Accrued liabilities</w:t>
            </w:r>
          </w:p>
        </w:tc>
        <w:tc>
          <w:tcPr>
            <w:tcW w:w="520" w:type="dxa"/>
            <w:vAlign w:val="bottom"/>
            <w:tcBorders>
              <w:bottom w:val="single" w:sz="8" w:color="61656A"/>
            </w:tcBorders>
          </w:tcPr>
          <w:p>
            <w:pPr>
              <w:jc w:val="right"/>
              <w:ind w:right="412"/>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61656A"/>
            </w:tcBorders>
          </w:tcPr>
          <w:p>
            <w:pPr>
              <w:ind w:left="40"/>
              <w:spacing w:after="0"/>
              <w:rPr>
                <w:sz w:val="20"/>
                <w:szCs w:val="20"/>
                <w:color w:val="auto"/>
              </w:rPr>
            </w:pPr>
            <w:r>
              <w:rPr>
                <w:rFonts w:ascii="Arial" w:cs="Arial" w:eastAsia="Arial" w:hAnsi="Arial"/>
                <w:sz w:val="10"/>
                <w:szCs w:val="10"/>
                <w:color w:val="auto"/>
              </w:rPr>
              <w:t>227</w:t>
            </w:r>
          </w:p>
        </w:tc>
        <w:tc>
          <w:tcPr>
            <w:tcW w:w="380" w:type="dxa"/>
            <w:vAlign w:val="bottom"/>
            <w:tcBorders>
              <w:bottom w:val="single" w:sz="8" w:color="61656A"/>
            </w:tcBorders>
          </w:tcPr>
          <w:p>
            <w:pPr>
              <w:jc w:val="right"/>
              <w:ind w:right="13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222</w:t>
            </w:r>
          </w:p>
        </w:tc>
      </w:tr>
      <w:tr>
        <w:trPr>
          <w:trHeight w:val="124"/>
        </w:trPr>
        <w:tc>
          <w:tcPr>
            <w:tcW w:w="95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Other liabilities</w:t>
            </w:r>
          </w:p>
        </w:tc>
        <w:tc>
          <w:tcPr>
            <w:tcW w:w="52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ind w:left="40"/>
              <w:spacing w:after="0"/>
              <w:rPr>
                <w:sz w:val="20"/>
                <w:szCs w:val="20"/>
                <w:color w:val="auto"/>
              </w:rPr>
            </w:pPr>
            <w:r>
              <w:rPr>
                <w:rFonts w:ascii="Arial" w:cs="Arial" w:eastAsia="Arial" w:hAnsi="Arial"/>
                <w:sz w:val="10"/>
                <w:szCs w:val="10"/>
                <w:color w:val="auto"/>
              </w:rPr>
              <w:t>414</w:t>
            </w:r>
          </w:p>
        </w:tc>
        <w:tc>
          <w:tcPr>
            <w:tcW w:w="38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393</w:t>
            </w:r>
          </w:p>
        </w:tc>
      </w:tr>
      <w:tr>
        <w:trPr>
          <w:trHeight w:val="126"/>
        </w:trPr>
        <w:tc>
          <w:tcPr>
            <w:tcW w:w="956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environmental liabilities</w:t>
            </w:r>
          </w:p>
        </w:tc>
        <w:tc>
          <w:tcPr>
            <w:tcW w:w="52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bottom w:val="single" w:sz="8" w:color="D7282F"/>
            </w:tcBorders>
          </w:tcPr>
          <w:p>
            <w:pPr>
              <w:ind w:left="40"/>
              <w:spacing w:after="0"/>
              <w:rPr>
                <w:sz w:val="20"/>
                <w:szCs w:val="20"/>
                <w:color w:val="auto"/>
              </w:rPr>
            </w:pPr>
            <w:r>
              <w:rPr>
                <w:rFonts w:ascii="Arial" w:cs="Arial" w:eastAsia="Arial" w:hAnsi="Arial"/>
                <w:sz w:val="10"/>
                <w:szCs w:val="10"/>
                <w:b w:val="1"/>
                <w:bCs w:val="1"/>
                <w:color w:val="auto"/>
              </w:rPr>
              <w:t>641</w:t>
            </w:r>
          </w:p>
        </w:tc>
        <w:tc>
          <w:tcPr>
            <w:tcW w:w="38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615</w:t>
            </w:r>
          </w:p>
        </w:tc>
      </w:tr>
    </w:tbl>
    <w:p>
      <w:pPr>
        <w:spacing w:after="0" w:line="126"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The Company does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the Company's consolidated results of operations and operating cash flows in the periods recognized or paid. However, considering the Company's past experience and existing reserves, the Company does not expect that environmental matters will have a material adverse effect on its consolidated financial position.</w:t>
      </w:r>
    </w:p>
    <w:p>
      <w:pPr>
        <w:spacing w:after="0" w:line="45"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In conjunction with the Resideo spin-off, the Company entered into an indemnification and reimbursement agreement with a Resideo subsidiary, pursuant to which Resideo’s subsidiary has an ongoing obligation to make cash payments to Honeywell in amounts equal to 90% of Honeywell’s annual net spending for environmental matters at certain sites as defined in the agreement. The amount payable to Honeywell in any given year is subject to a cap of $140 million, and the obligation will continue until the earlier of December 31, 2043, or December 31 of the third consecutive year during which the annual payment obligation is less than $25 million.</w:t>
      </w:r>
    </w:p>
    <w:p>
      <w:pPr>
        <w:spacing w:after="0" w:line="270" w:lineRule="exact"/>
        <w:rPr>
          <w:sz w:val="20"/>
          <w:szCs w:val="20"/>
          <w:color w:val="auto"/>
        </w:rPr>
      </w:pPr>
    </w:p>
    <w:p>
      <w:pPr>
        <w:ind w:left="268" w:hanging="268"/>
        <w:spacing w:after="0"/>
        <w:tabs>
          <w:tab w:leader="none" w:pos="268" w:val="left"/>
        </w:tabs>
        <w:numPr>
          <w:ilvl w:val="0"/>
          <w:numId w:val="136"/>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97" w:name="page98"/>
    <w:bookmarkEnd w:id="97"/>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jc w:val="both"/>
        <w:spacing w:after="0" w:line="254" w:lineRule="auto"/>
        <w:rPr>
          <w:sz w:val="20"/>
          <w:szCs w:val="20"/>
          <w:color w:val="auto"/>
        </w:rPr>
      </w:pPr>
      <w:r>
        <w:rPr>
          <w:rFonts w:ascii="Arial" w:cs="Arial" w:eastAsia="Arial" w:hAnsi="Arial"/>
          <w:sz w:val="11"/>
          <w:szCs w:val="11"/>
          <w:color w:val="auto"/>
        </w:rPr>
        <w:t>Reimbursements associated with this agreement are collected from Resideo quarterly and were $140 million in both 2023 and 2022 and offset operating cash outflows incurred by the Company. As the Company incurs costs for environmental matters deemed probable and reasonably estimable related to the sites covered by the indemnification and reimbursement agreement, a corresponding receivable from Resideo for 90% of such costs is also recorded. This receivable amount recorded in 2023 and 2022 was $187 million and $157 million, respectively. As of December 31, 2023, Other current assets and Other assets included $140 million and $521 million, respectively, for the short-term and long-term portion of the receivable amount due from Resideo under the indemnification and reimbursement agreement. As of December 31, 2022, Other current assets and Other assets included $140 million and $474 million, respectively, for the short-term and long-term portion of the receivable amount due from Resideo under the indemnification and reimbursement agreement.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ASBESTOS MATTERS</w:t>
      </w:r>
    </w:p>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Honeywell is named in asbestos-related personal injury claims related to NARCO, which was sold in 1986, and the Bendix Friction Materials (Bendix) business, which was sold in 2014.</w:t>
      </w:r>
    </w:p>
    <w:p>
      <w:pPr>
        <w:spacing w:after="0" w:line="72"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tables summarize information concerning NARCO and Bendix asbestos-related balances: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ASBESTOS-RELATED LIABILITIES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900" w:type="dxa"/>
            <w:vAlign w:val="bottom"/>
          </w:tcPr>
          <w:p>
            <w:pPr>
              <w:spacing w:after="0"/>
              <w:rPr>
                <w:sz w:val="11"/>
                <w:szCs w:val="11"/>
                <w:color w:val="auto"/>
              </w:rPr>
            </w:pPr>
          </w:p>
        </w:tc>
        <w:tc>
          <w:tcPr>
            <w:tcW w:w="140" w:type="dxa"/>
            <w:vAlign w:val="bottom"/>
            <w:tcBorders>
              <w:bottom w:val="single" w:sz="8" w:color="D7282F"/>
            </w:tcBorders>
          </w:tcPr>
          <w:p>
            <w:pPr>
              <w:spacing w:after="0"/>
              <w:rPr>
                <w:sz w:val="11"/>
                <w:szCs w:val="11"/>
                <w:color w:val="auto"/>
              </w:rPr>
            </w:pPr>
          </w:p>
        </w:tc>
        <w:tc>
          <w:tcPr>
            <w:tcW w:w="1980" w:type="dxa"/>
            <w:vAlign w:val="bottom"/>
            <w:tcBorders>
              <w:bottom w:val="single" w:sz="8" w:color="D7282F"/>
            </w:tcBorders>
            <w:gridSpan w:val="4"/>
          </w:tcPr>
          <w:p>
            <w:pPr>
              <w:jc w:val="right"/>
              <w:ind w:right="32"/>
              <w:spacing w:after="0"/>
              <w:rPr>
                <w:sz w:val="20"/>
                <w:szCs w:val="20"/>
                <w:color w:val="auto"/>
              </w:rPr>
            </w:pPr>
            <w:r>
              <w:rPr>
                <w:rFonts w:ascii="Arial" w:cs="Arial" w:eastAsia="Arial" w:hAnsi="Arial"/>
                <w:sz w:val="10"/>
                <w:szCs w:val="10"/>
                <w:b w:val="1"/>
                <w:bCs w:val="1"/>
                <w:color w:val="auto"/>
              </w:rPr>
              <w:t>Year Ended December 31, 2023</w:t>
            </w:r>
          </w:p>
        </w:tc>
        <w:tc>
          <w:tcPr>
            <w:tcW w:w="560" w:type="dxa"/>
            <w:vAlign w:val="bottom"/>
            <w:tcBorders>
              <w:bottom w:val="single" w:sz="8" w:color="D7282F"/>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D7282F"/>
            </w:tcBorders>
          </w:tcPr>
          <w:p>
            <w:pPr>
              <w:spacing w:after="0"/>
              <w:rPr>
                <w:sz w:val="11"/>
                <w:szCs w:val="11"/>
                <w:color w:val="auto"/>
              </w:rPr>
            </w:pPr>
          </w:p>
        </w:tc>
        <w:tc>
          <w:tcPr>
            <w:tcW w:w="1980" w:type="dxa"/>
            <w:vAlign w:val="bottom"/>
            <w:tcBorders>
              <w:bottom w:val="single" w:sz="8" w:color="D7282F"/>
            </w:tcBorders>
            <w:gridSpan w:val="4"/>
          </w:tcPr>
          <w:p>
            <w:pPr>
              <w:jc w:val="right"/>
              <w:ind w:right="32"/>
              <w:spacing w:after="0"/>
              <w:rPr>
                <w:sz w:val="20"/>
                <w:szCs w:val="20"/>
                <w:color w:val="auto"/>
              </w:rPr>
            </w:pPr>
            <w:r>
              <w:rPr>
                <w:rFonts w:ascii="Arial" w:cs="Arial" w:eastAsia="Arial" w:hAnsi="Arial"/>
                <w:sz w:val="10"/>
                <w:szCs w:val="10"/>
                <w:b w:val="1"/>
                <w:bCs w:val="1"/>
                <w:color w:val="auto"/>
              </w:rPr>
              <w:t>Year Ended December 31, 2022</w:t>
            </w:r>
          </w:p>
        </w:tc>
        <w:tc>
          <w:tcPr>
            <w:tcW w:w="560" w:type="dxa"/>
            <w:vAlign w:val="bottom"/>
            <w:tcBorders>
              <w:bottom w:val="single" w:sz="8" w:color="D7282F"/>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D7282F"/>
            </w:tcBorders>
          </w:tcPr>
          <w:p>
            <w:pPr>
              <w:spacing w:after="0"/>
              <w:rPr>
                <w:sz w:val="11"/>
                <w:szCs w:val="11"/>
                <w:color w:val="auto"/>
              </w:rPr>
            </w:pPr>
          </w:p>
        </w:tc>
        <w:tc>
          <w:tcPr>
            <w:tcW w:w="1980" w:type="dxa"/>
            <w:vAlign w:val="bottom"/>
            <w:tcBorders>
              <w:bottom w:val="single" w:sz="8" w:color="D7282F"/>
            </w:tcBorders>
            <w:gridSpan w:val="4"/>
          </w:tcPr>
          <w:p>
            <w:pPr>
              <w:jc w:val="right"/>
              <w:ind w:right="32"/>
              <w:spacing w:after="0"/>
              <w:rPr>
                <w:sz w:val="20"/>
                <w:szCs w:val="20"/>
                <w:color w:val="auto"/>
              </w:rPr>
            </w:pPr>
            <w:r>
              <w:rPr>
                <w:rFonts w:ascii="Arial" w:cs="Arial" w:eastAsia="Arial" w:hAnsi="Arial"/>
                <w:sz w:val="10"/>
                <w:szCs w:val="10"/>
                <w:b w:val="1"/>
                <w:bCs w:val="1"/>
                <w:color w:val="auto"/>
              </w:rPr>
              <w:t>Year Ended December 31, 2021</w:t>
            </w:r>
          </w:p>
        </w:tc>
        <w:tc>
          <w:tcPr>
            <w:tcW w:w="560" w:type="dxa"/>
            <w:vAlign w:val="bottom"/>
            <w:tcBorders>
              <w:bottom w:val="single" w:sz="8" w:color="D7282F"/>
            </w:tcBorders>
          </w:tcPr>
          <w:p>
            <w:pPr>
              <w:spacing w:after="0"/>
              <w:rPr>
                <w:sz w:val="11"/>
                <w:szCs w:val="11"/>
                <w:color w:val="auto"/>
              </w:rPr>
            </w:pPr>
          </w:p>
        </w:tc>
      </w:tr>
      <w:tr>
        <w:trPr>
          <w:trHeight w:val="142"/>
        </w:trPr>
        <w:tc>
          <w:tcPr>
            <w:tcW w:w="2900" w:type="dxa"/>
            <w:vAlign w:val="bottom"/>
            <w:tcBorders>
              <w:bottom w:val="single" w:sz="8" w:color="D7282F"/>
            </w:tcBorders>
          </w:tcPr>
          <w:p>
            <w:pPr>
              <w:spacing w:after="0"/>
              <w:rPr>
                <w:sz w:val="12"/>
                <w:szCs w:val="12"/>
                <w:color w:val="auto"/>
              </w:rPr>
            </w:pPr>
          </w:p>
        </w:tc>
        <w:tc>
          <w:tcPr>
            <w:tcW w:w="140" w:type="dxa"/>
            <w:vAlign w:val="bottom"/>
            <w:tcBorders>
              <w:bottom w:val="single" w:sz="8" w:color="D7282F"/>
            </w:tcBorders>
          </w:tcPr>
          <w:p>
            <w:pPr>
              <w:spacing w:after="0"/>
              <w:rPr>
                <w:sz w:val="12"/>
                <w:szCs w:val="12"/>
                <w:color w:val="auto"/>
              </w:rPr>
            </w:pPr>
          </w:p>
        </w:tc>
        <w:tc>
          <w:tcPr>
            <w:tcW w:w="72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rPr>
              <w:t>Bendix</w:t>
            </w:r>
          </w:p>
        </w:tc>
        <w:tc>
          <w:tcPr>
            <w:tcW w:w="240" w:type="dxa"/>
            <w:vAlign w:val="bottom"/>
            <w:tcBorders>
              <w:bottom w:val="single" w:sz="8" w:color="D7282F"/>
            </w:tcBorders>
          </w:tcPr>
          <w:p>
            <w:pPr>
              <w:spacing w:after="0"/>
              <w:rPr>
                <w:sz w:val="12"/>
                <w:szCs w:val="12"/>
                <w:color w:val="auto"/>
              </w:rPr>
            </w:pPr>
          </w:p>
        </w:tc>
        <w:tc>
          <w:tcPr>
            <w:tcW w:w="74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rPr>
              <w:t>NARCO</w:t>
            </w:r>
          </w:p>
        </w:tc>
        <w:tc>
          <w:tcPr>
            <w:tcW w:w="280" w:type="dxa"/>
            <w:vAlign w:val="bottom"/>
            <w:tcBorders>
              <w:bottom w:val="single" w:sz="8" w:color="D7282F"/>
            </w:tcBorders>
          </w:tcPr>
          <w:p>
            <w:pPr>
              <w:spacing w:after="0"/>
              <w:rPr>
                <w:sz w:val="12"/>
                <w:szCs w:val="12"/>
                <w:color w:val="auto"/>
              </w:rPr>
            </w:pPr>
          </w:p>
        </w:tc>
        <w:tc>
          <w:tcPr>
            <w:tcW w:w="740" w:type="dxa"/>
            <w:vAlign w:val="bottom"/>
            <w:tcBorders>
              <w:bottom w:val="single" w:sz="8" w:color="D7282F"/>
            </w:tcBorders>
            <w:gridSpan w:val="2"/>
          </w:tcPr>
          <w:p>
            <w:pPr>
              <w:ind w:left="80"/>
              <w:spacing w:after="0"/>
              <w:rPr>
                <w:sz w:val="20"/>
                <w:szCs w:val="20"/>
                <w:color w:val="auto"/>
              </w:rPr>
            </w:pPr>
            <w:r>
              <w:rPr>
                <w:rFonts w:ascii="Arial" w:cs="Arial" w:eastAsia="Arial" w:hAnsi="Arial"/>
                <w:sz w:val="10"/>
                <w:szCs w:val="10"/>
                <w:b w:val="1"/>
                <w:bCs w:val="1"/>
                <w:color w:val="auto"/>
              </w:rPr>
              <w:t>Total</w:t>
            </w:r>
          </w:p>
        </w:tc>
        <w:tc>
          <w:tcPr>
            <w:tcW w:w="140" w:type="dxa"/>
            <w:vAlign w:val="bottom"/>
            <w:tcBorders>
              <w:bottom w:val="single" w:sz="8" w:color="D7282F"/>
            </w:tcBorders>
          </w:tcPr>
          <w:p>
            <w:pPr>
              <w:spacing w:after="0"/>
              <w:rPr>
                <w:sz w:val="12"/>
                <w:szCs w:val="12"/>
                <w:color w:val="auto"/>
              </w:rPr>
            </w:pPr>
          </w:p>
        </w:tc>
        <w:tc>
          <w:tcPr>
            <w:tcW w:w="72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rPr>
              <w:t>Bendix</w:t>
            </w:r>
          </w:p>
        </w:tc>
        <w:tc>
          <w:tcPr>
            <w:tcW w:w="240" w:type="dxa"/>
            <w:vAlign w:val="bottom"/>
            <w:tcBorders>
              <w:bottom w:val="single" w:sz="8" w:color="D7282F"/>
            </w:tcBorders>
          </w:tcPr>
          <w:p>
            <w:pPr>
              <w:spacing w:after="0"/>
              <w:rPr>
                <w:sz w:val="12"/>
                <w:szCs w:val="12"/>
                <w:color w:val="auto"/>
              </w:rPr>
            </w:pPr>
          </w:p>
        </w:tc>
        <w:tc>
          <w:tcPr>
            <w:tcW w:w="74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rPr>
              <w:t>NARCO</w:t>
            </w:r>
          </w:p>
        </w:tc>
        <w:tc>
          <w:tcPr>
            <w:tcW w:w="280" w:type="dxa"/>
            <w:vAlign w:val="bottom"/>
            <w:tcBorders>
              <w:bottom w:val="single" w:sz="8" w:color="D7282F"/>
            </w:tcBorders>
          </w:tcPr>
          <w:p>
            <w:pPr>
              <w:spacing w:after="0"/>
              <w:rPr>
                <w:sz w:val="12"/>
                <w:szCs w:val="12"/>
                <w:color w:val="auto"/>
              </w:rPr>
            </w:pPr>
          </w:p>
        </w:tc>
        <w:tc>
          <w:tcPr>
            <w:tcW w:w="740" w:type="dxa"/>
            <w:vAlign w:val="bottom"/>
            <w:tcBorders>
              <w:bottom w:val="single" w:sz="8" w:color="D7282F"/>
            </w:tcBorders>
            <w:gridSpan w:val="2"/>
          </w:tcPr>
          <w:p>
            <w:pPr>
              <w:ind w:left="80"/>
              <w:spacing w:after="0"/>
              <w:rPr>
                <w:sz w:val="20"/>
                <w:szCs w:val="20"/>
                <w:color w:val="auto"/>
              </w:rPr>
            </w:pPr>
            <w:r>
              <w:rPr>
                <w:rFonts w:ascii="Arial" w:cs="Arial" w:eastAsia="Arial" w:hAnsi="Arial"/>
                <w:sz w:val="10"/>
                <w:szCs w:val="10"/>
                <w:b w:val="1"/>
                <w:bCs w:val="1"/>
                <w:color w:val="auto"/>
              </w:rPr>
              <w:t>Total</w:t>
            </w:r>
          </w:p>
        </w:tc>
        <w:tc>
          <w:tcPr>
            <w:tcW w:w="140" w:type="dxa"/>
            <w:vAlign w:val="bottom"/>
            <w:tcBorders>
              <w:bottom w:val="single" w:sz="8" w:color="D7282F"/>
            </w:tcBorders>
          </w:tcPr>
          <w:p>
            <w:pPr>
              <w:spacing w:after="0"/>
              <w:rPr>
                <w:sz w:val="12"/>
                <w:szCs w:val="12"/>
                <w:color w:val="auto"/>
              </w:rPr>
            </w:pPr>
          </w:p>
        </w:tc>
        <w:tc>
          <w:tcPr>
            <w:tcW w:w="72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rPr>
              <w:t>Bendix</w:t>
            </w:r>
          </w:p>
        </w:tc>
        <w:tc>
          <w:tcPr>
            <w:tcW w:w="240" w:type="dxa"/>
            <w:vAlign w:val="bottom"/>
            <w:tcBorders>
              <w:bottom w:val="single" w:sz="8" w:color="D7282F"/>
            </w:tcBorders>
          </w:tcPr>
          <w:p>
            <w:pPr>
              <w:spacing w:after="0"/>
              <w:rPr>
                <w:sz w:val="12"/>
                <w:szCs w:val="12"/>
                <w:color w:val="auto"/>
              </w:rPr>
            </w:pPr>
          </w:p>
        </w:tc>
        <w:tc>
          <w:tcPr>
            <w:tcW w:w="74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rPr>
              <w:t>NARCO</w:t>
            </w:r>
          </w:p>
        </w:tc>
        <w:tc>
          <w:tcPr>
            <w:tcW w:w="280" w:type="dxa"/>
            <w:vAlign w:val="bottom"/>
            <w:tcBorders>
              <w:bottom w:val="single" w:sz="8" w:color="D7282F"/>
            </w:tcBorders>
          </w:tcPr>
          <w:p>
            <w:pPr>
              <w:spacing w:after="0"/>
              <w:rPr>
                <w:sz w:val="12"/>
                <w:szCs w:val="12"/>
                <w:color w:val="auto"/>
              </w:rPr>
            </w:pPr>
          </w:p>
        </w:tc>
        <w:tc>
          <w:tcPr>
            <w:tcW w:w="56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b w:val="1"/>
                <w:bCs w:val="1"/>
                <w:color w:val="auto"/>
              </w:rPr>
              <w:t>Total</w:t>
            </w:r>
          </w:p>
        </w:tc>
      </w:tr>
      <w:tr>
        <w:trPr>
          <w:trHeight w:val="128"/>
        </w:trPr>
        <w:tc>
          <w:tcPr>
            <w:tcW w:w="290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Beginning of year</w:t>
            </w:r>
          </w:p>
        </w:tc>
        <w:tc>
          <w:tcPr>
            <w:tcW w:w="14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1,291</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1,325</w:t>
            </w:r>
          </w:p>
        </w:tc>
        <w:tc>
          <w:tcPr>
            <w:tcW w:w="2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2,616</w:t>
            </w:r>
          </w:p>
        </w:tc>
        <w:tc>
          <w:tcPr>
            <w:tcW w:w="180" w:type="dxa"/>
            <w:vAlign w:val="bottom"/>
            <w:tcBorders>
              <w:bottom w:val="single" w:sz="8" w:color="D7282F"/>
            </w:tcBorders>
          </w:tcPr>
          <w:p>
            <w:pPr>
              <w:spacing w:after="0"/>
              <w:rPr>
                <w:sz w:val="11"/>
                <w:szCs w:val="11"/>
                <w:color w:val="auto"/>
              </w:rPr>
            </w:pPr>
          </w:p>
        </w:tc>
        <w:tc>
          <w:tcPr>
            <w:tcW w:w="14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1,372</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689</w:t>
            </w:r>
          </w:p>
        </w:tc>
        <w:tc>
          <w:tcPr>
            <w:tcW w:w="2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2,061</w:t>
            </w:r>
          </w:p>
        </w:tc>
        <w:tc>
          <w:tcPr>
            <w:tcW w:w="180" w:type="dxa"/>
            <w:vAlign w:val="bottom"/>
            <w:tcBorders>
              <w:bottom w:val="single" w:sz="8" w:color="D7282F"/>
            </w:tcBorders>
          </w:tcPr>
          <w:p>
            <w:pPr>
              <w:spacing w:after="0"/>
              <w:rPr>
                <w:sz w:val="11"/>
                <w:szCs w:val="11"/>
                <w:color w:val="auto"/>
              </w:rPr>
            </w:pPr>
          </w:p>
        </w:tc>
        <w:tc>
          <w:tcPr>
            <w:tcW w:w="14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1,441</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779</w:t>
            </w:r>
          </w:p>
        </w:tc>
        <w:tc>
          <w:tcPr>
            <w:tcW w:w="2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2,220</w:t>
            </w:r>
          </w:p>
        </w:tc>
      </w:tr>
      <w:tr>
        <w:trPr>
          <w:trHeight w:val="122"/>
        </w:trPr>
        <w:tc>
          <w:tcPr>
            <w:tcW w:w="29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Accrual for update to estimated liability</w:t>
            </w:r>
          </w:p>
        </w:tc>
        <w:tc>
          <w:tcPr>
            <w:tcW w:w="140" w:type="dxa"/>
            <w:vAlign w:val="bottom"/>
            <w:tcBorders>
              <w:bottom w:val="single" w:sz="8" w:color="888B8D"/>
            </w:tcBorders>
          </w:tcPr>
          <w:p>
            <w:pPr>
              <w:spacing w:after="0"/>
              <w:rPr>
                <w:sz w:val="10"/>
                <w:szCs w:val="10"/>
                <w:color w:val="auto"/>
              </w:rPr>
            </w:pPr>
          </w:p>
        </w:tc>
        <w:tc>
          <w:tcPr>
            <w:tcW w:w="7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43</w:t>
            </w:r>
          </w:p>
        </w:tc>
        <w:tc>
          <w:tcPr>
            <w:tcW w:w="2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5</w:t>
            </w:r>
          </w:p>
        </w:tc>
        <w:tc>
          <w:tcPr>
            <w:tcW w:w="28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48</w:t>
            </w:r>
          </w:p>
        </w:tc>
        <w:tc>
          <w:tcPr>
            <w:tcW w:w="18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7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93</w:t>
            </w:r>
          </w:p>
        </w:tc>
        <w:tc>
          <w:tcPr>
            <w:tcW w:w="2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(634)</w:t>
            </w:r>
          </w:p>
        </w:tc>
        <w:tc>
          <w:tcPr>
            <w:tcW w:w="28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(541)</w:t>
            </w:r>
          </w:p>
        </w:tc>
        <w:tc>
          <w:tcPr>
            <w:tcW w:w="18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7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64</w:t>
            </w:r>
          </w:p>
        </w:tc>
        <w:tc>
          <w:tcPr>
            <w:tcW w:w="2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31</w:t>
            </w:r>
          </w:p>
        </w:tc>
        <w:tc>
          <w:tcPr>
            <w:tcW w:w="28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95</w:t>
            </w:r>
          </w:p>
        </w:tc>
      </w:tr>
      <w:tr>
        <w:trPr>
          <w:trHeight w:val="124"/>
        </w:trPr>
        <w:tc>
          <w:tcPr>
            <w:tcW w:w="29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Change in estimated cost of future claims</w:t>
            </w:r>
          </w:p>
        </w:tc>
        <w:tc>
          <w:tcPr>
            <w:tcW w:w="140" w:type="dxa"/>
            <w:vAlign w:val="bottom"/>
            <w:tcBorders>
              <w:bottom w:val="single" w:sz="8" w:color="888B8D"/>
            </w:tcBorders>
          </w:tcPr>
          <w:p>
            <w:pPr>
              <w:spacing w:after="0"/>
              <w:rPr>
                <w:sz w:val="10"/>
                <w:szCs w:val="10"/>
                <w:color w:val="auto"/>
              </w:rPr>
            </w:pPr>
          </w:p>
        </w:tc>
        <w:tc>
          <w:tcPr>
            <w:tcW w:w="7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423</w:t>
            </w:r>
          </w:p>
        </w:tc>
        <w:tc>
          <w:tcPr>
            <w:tcW w:w="2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423</w:t>
            </w:r>
          </w:p>
        </w:tc>
        <w:tc>
          <w:tcPr>
            <w:tcW w:w="18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7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41</w:t>
            </w:r>
          </w:p>
        </w:tc>
        <w:tc>
          <w:tcPr>
            <w:tcW w:w="2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41</w:t>
            </w:r>
          </w:p>
        </w:tc>
        <w:tc>
          <w:tcPr>
            <w:tcW w:w="18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7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29</w:t>
            </w:r>
          </w:p>
        </w:tc>
        <w:tc>
          <w:tcPr>
            <w:tcW w:w="2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29</w:t>
            </w:r>
          </w:p>
        </w:tc>
      </w:tr>
      <w:tr>
        <w:trPr>
          <w:trHeight w:val="124"/>
        </w:trPr>
        <w:tc>
          <w:tcPr>
            <w:tcW w:w="29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Update of expected resolution values for pending claims</w:t>
            </w:r>
          </w:p>
        </w:tc>
        <w:tc>
          <w:tcPr>
            <w:tcW w:w="140" w:type="dxa"/>
            <w:vAlign w:val="bottom"/>
            <w:tcBorders>
              <w:bottom w:val="single" w:sz="8" w:color="888B8D"/>
            </w:tcBorders>
          </w:tcPr>
          <w:p>
            <w:pPr>
              <w:spacing w:after="0"/>
              <w:rPr>
                <w:sz w:val="10"/>
                <w:szCs w:val="10"/>
                <w:color w:val="auto"/>
              </w:rPr>
            </w:pPr>
          </w:p>
        </w:tc>
        <w:tc>
          <w:tcPr>
            <w:tcW w:w="7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56</w:t>
            </w:r>
          </w:p>
        </w:tc>
        <w:tc>
          <w:tcPr>
            <w:tcW w:w="2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56</w:t>
            </w:r>
          </w:p>
        </w:tc>
        <w:tc>
          <w:tcPr>
            <w:tcW w:w="18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7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w:t>
            </w:r>
          </w:p>
        </w:tc>
        <w:tc>
          <w:tcPr>
            <w:tcW w:w="2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w:t>
            </w:r>
          </w:p>
        </w:tc>
        <w:tc>
          <w:tcPr>
            <w:tcW w:w="18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7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w:t>
            </w:r>
          </w:p>
        </w:tc>
        <w:tc>
          <w:tcPr>
            <w:tcW w:w="2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w:t>
            </w:r>
          </w:p>
        </w:tc>
      </w:tr>
      <w:tr>
        <w:trPr>
          <w:trHeight w:val="124"/>
        </w:trPr>
        <w:tc>
          <w:tcPr>
            <w:tcW w:w="29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Asbestos-related liability payments</w:t>
            </w:r>
          </w:p>
        </w:tc>
        <w:tc>
          <w:tcPr>
            <w:tcW w:w="140" w:type="dxa"/>
            <w:vAlign w:val="bottom"/>
            <w:tcBorders>
              <w:bottom w:val="single" w:sz="8" w:color="888B8D"/>
            </w:tcBorders>
          </w:tcPr>
          <w:p>
            <w:pPr>
              <w:spacing w:after="0"/>
              <w:rPr>
                <w:sz w:val="10"/>
                <w:szCs w:val="10"/>
                <w:color w:val="auto"/>
              </w:rPr>
            </w:pPr>
          </w:p>
        </w:tc>
        <w:tc>
          <w:tcPr>
            <w:tcW w:w="72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(169)</w:t>
            </w:r>
          </w:p>
        </w:tc>
        <w:tc>
          <w:tcPr>
            <w:tcW w:w="2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(5)</w:t>
            </w:r>
          </w:p>
        </w:tc>
        <w:tc>
          <w:tcPr>
            <w:tcW w:w="28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(174)</w:t>
            </w:r>
          </w:p>
        </w:tc>
        <w:tc>
          <w:tcPr>
            <w:tcW w:w="18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72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(216)</w:t>
            </w:r>
          </w:p>
        </w:tc>
        <w:tc>
          <w:tcPr>
            <w:tcW w:w="2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(55)</w:t>
            </w:r>
          </w:p>
        </w:tc>
        <w:tc>
          <w:tcPr>
            <w:tcW w:w="28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(271)</w:t>
            </w:r>
          </w:p>
        </w:tc>
        <w:tc>
          <w:tcPr>
            <w:tcW w:w="18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72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(165)</w:t>
            </w:r>
          </w:p>
        </w:tc>
        <w:tc>
          <w:tcPr>
            <w:tcW w:w="2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(121)</w:t>
            </w:r>
          </w:p>
        </w:tc>
        <w:tc>
          <w:tcPr>
            <w:tcW w:w="28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(286)</w:t>
            </w:r>
          </w:p>
        </w:tc>
      </w:tr>
      <w:tr>
        <w:trPr>
          <w:trHeight w:val="124"/>
        </w:trPr>
        <w:tc>
          <w:tcPr>
            <w:tcW w:w="290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NARCO Buyout</w:t>
            </w:r>
          </w:p>
        </w:tc>
        <w:tc>
          <w:tcPr>
            <w:tcW w:w="140" w:type="dxa"/>
            <w:vAlign w:val="bottom"/>
            <w:tcBorders>
              <w:bottom w:val="single" w:sz="8" w:color="D7282F"/>
            </w:tcBorders>
          </w:tcPr>
          <w:p>
            <w:pPr>
              <w:spacing w:after="0"/>
              <w:rPr>
                <w:sz w:val="10"/>
                <w:szCs w:val="10"/>
                <w:color w:val="auto"/>
              </w:rPr>
            </w:pPr>
          </w:p>
        </w:tc>
        <w:tc>
          <w:tcPr>
            <w:tcW w:w="7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(1,325)</w:t>
            </w:r>
          </w:p>
        </w:tc>
        <w:tc>
          <w:tcPr>
            <w:tcW w:w="28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(1,325)</w:t>
            </w:r>
          </w:p>
        </w:tc>
        <w:tc>
          <w:tcPr>
            <w:tcW w:w="180" w:type="dxa"/>
            <w:vAlign w:val="bottom"/>
            <w:tcBorders>
              <w:bottom w:val="single" w:sz="8" w:color="D7282F"/>
            </w:tcBorders>
          </w:tcPr>
          <w:p>
            <w:pPr>
              <w:spacing w:after="0"/>
              <w:rPr>
                <w:sz w:val="10"/>
                <w:szCs w:val="10"/>
                <w:color w:val="auto"/>
              </w:rPr>
            </w:pPr>
          </w:p>
        </w:tc>
        <w:tc>
          <w:tcPr>
            <w:tcW w:w="140" w:type="dxa"/>
            <w:vAlign w:val="bottom"/>
            <w:tcBorders>
              <w:bottom w:val="single" w:sz="8" w:color="D7282F"/>
            </w:tcBorders>
          </w:tcPr>
          <w:p>
            <w:pPr>
              <w:spacing w:after="0"/>
              <w:rPr>
                <w:sz w:val="10"/>
                <w:szCs w:val="10"/>
                <w:color w:val="auto"/>
              </w:rPr>
            </w:pPr>
          </w:p>
        </w:tc>
        <w:tc>
          <w:tcPr>
            <w:tcW w:w="7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1,325</w:t>
            </w:r>
          </w:p>
        </w:tc>
        <w:tc>
          <w:tcPr>
            <w:tcW w:w="28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1,325</w:t>
            </w:r>
          </w:p>
        </w:tc>
        <w:tc>
          <w:tcPr>
            <w:tcW w:w="180" w:type="dxa"/>
            <w:vAlign w:val="bottom"/>
            <w:tcBorders>
              <w:bottom w:val="single" w:sz="8" w:color="D7282F"/>
            </w:tcBorders>
          </w:tcPr>
          <w:p>
            <w:pPr>
              <w:spacing w:after="0"/>
              <w:rPr>
                <w:sz w:val="10"/>
                <w:szCs w:val="10"/>
                <w:color w:val="auto"/>
              </w:rPr>
            </w:pPr>
          </w:p>
        </w:tc>
        <w:tc>
          <w:tcPr>
            <w:tcW w:w="140" w:type="dxa"/>
            <w:vAlign w:val="bottom"/>
            <w:tcBorders>
              <w:bottom w:val="single" w:sz="8" w:color="D7282F"/>
            </w:tcBorders>
          </w:tcPr>
          <w:p>
            <w:pPr>
              <w:spacing w:after="0"/>
              <w:rPr>
                <w:sz w:val="10"/>
                <w:szCs w:val="10"/>
                <w:color w:val="auto"/>
              </w:rPr>
            </w:pPr>
          </w:p>
        </w:tc>
        <w:tc>
          <w:tcPr>
            <w:tcW w:w="7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r>
      <w:tr>
        <w:trPr>
          <w:trHeight w:val="126"/>
        </w:trPr>
        <w:tc>
          <w:tcPr>
            <w:tcW w:w="290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End of year</w:t>
            </w:r>
          </w:p>
        </w:tc>
        <w:tc>
          <w:tcPr>
            <w:tcW w:w="14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1,644</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2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1,644</w:t>
            </w:r>
          </w:p>
        </w:tc>
        <w:tc>
          <w:tcPr>
            <w:tcW w:w="180" w:type="dxa"/>
            <w:vAlign w:val="bottom"/>
            <w:tcBorders>
              <w:bottom w:val="single" w:sz="8" w:color="D7282F"/>
            </w:tcBorders>
          </w:tcPr>
          <w:p>
            <w:pPr>
              <w:spacing w:after="0"/>
              <w:rPr>
                <w:sz w:val="10"/>
                <w:szCs w:val="10"/>
                <w:color w:val="auto"/>
              </w:rPr>
            </w:pPr>
          </w:p>
        </w:tc>
        <w:tc>
          <w:tcPr>
            <w:tcW w:w="14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1,291</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1,325</w:t>
            </w:r>
          </w:p>
        </w:tc>
        <w:tc>
          <w:tcPr>
            <w:tcW w:w="2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2,616</w:t>
            </w:r>
          </w:p>
        </w:tc>
        <w:tc>
          <w:tcPr>
            <w:tcW w:w="180" w:type="dxa"/>
            <w:vAlign w:val="bottom"/>
            <w:tcBorders>
              <w:bottom w:val="single" w:sz="8" w:color="D7282F"/>
            </w:tcBorders>
          </w:tcPr>
          <w:p>
            <w:pPr>
              <w:spacing w:after="0"/>
              <w:rPr>
                <w:sz w:val="10"/>
                <w:szCs w:val="10"/>
                <w:color w:val="auto"/>
              </w:rPr>
            </w:pPr>
          </w:p>
        </w:tc>
        <w:tc>
          <w:tcPr>
            <w:tcW w:w="14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1,372</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689</w:t>
            </w:r>
          </w:p>
        </w:tc>
        <w:tc>
          <w:tcPr>
            <w:tcW w:w="2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2,061</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INSURANCE RECOVERIES FOR ASBESTOS-RELATED LIABILITIES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900" w:type="dxa"/>
            <w:vAlign w:val="bottom"/>
          </w:tcPr>
          <w:p>
            <w:pPr>
              <w:spacing w:after="0"/>
              <w:rPr>
                <w:sz w:val="11"/>
                <w:szCs w:val="11"/>
                <w:color w:val="auto"/>
              </w:rPr>
            </w:pPr>
          </w:p>
        </w:tc>
        <w:tc>
          <w:tcPr>
            <w:tcW w:w="540" w:type="dxa"/>
            <w:vAlign w:val="bottom"/>
            <w:tcBorders>
              <w:bottom w:val="single" w:sz="8" w:color="D7282F"/>
            </w:tcBorders>
          </w:tcPr>
          <w:p>
            <w:pPr>
              <w:spacing w:after="0"/>
              <w:rPr>
                <w:sz w:val="11"/>
                <w:szCs w:val="11"/>
                <w:color w:val="auto"/>
              </w:rPr>
            </w:pPr>
          </w:p>
        </w:tc>
        <w:tc>
          <w:tcPr>
            <w:tcW w:w="1580" w:type="dxa"/>
            <w:vAlign w:val="bottom"/>
            <w:tcBorders>
              <w:bottom w:val="single" w:sz="8" w:color="D7282F"/>
            </w:tcBorders>
            <w:gridSpan w:val="6"/>
          </w:tcPr>
          <w:p>
            <w:pPr>
              <w:jc w:val="center"/>
              <w:spacing w:after="0"/>
              <w:rPr>
                <w:sz w:val="20"/>
                <w:szCs w:val="20"/>
                <w:color w:val="auto"/>
              </w:rPr>
            </w:pPr>
            <w:r>
              <w:rPr>
                <w:rFonts w:ascii="Arial" w:cs="Arial" w:eastAsia="Arial" w:hAnsi="Arial"/>
                <w:sz w:val="10"/>
                <w:szCs w:val="10"/>
                <w:b w:val="1"/>
                <w:bCs w:val="1"/>
                <w:color w:val="auto"/>
                <w:w w:val="96"/>
              </w:rPr>
              <w:t>Year Ended December 31, 2023</w:t>
            </w:r>
          </w:p>
        </w:tc>
        <w:tc>
          <w:tcPr>
            <w:tcW w:w="560" w:type="dxa"/>
            <w:vAlign w:val="bottom"/>
            <w:tcBorders>
              <w:bottom w:val="single" w:sz="8" w:color="D7282F"/>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D7282F"/>
            </w:tcBorders>
          </w:tcPr>
          <w:p>
            <w:pPr>
              <w:spacing w:after="0"/>
              <w:rPr>
                <w:sz w:val="11"/>
                <w:szCs w:val="11"/>
                <w:color w:val="auto"/>
              </w:rPr>
            </w:pPr>
          </w:p>
        </w:tc>
        <w:tc>
          <w:tcPr>
            <w:tcW w:w="1980" w:type="dxa"/>
            <w:vAlign w:val="bottom"/>
            <w:tcBorders>
              <w:bottom w:val="single" w:sz="8" w:color="D7282F"/>
            </w:tcBorders>
            <w:gridSpan w:val="6"/>
          </w:tcPr>
          <w:p>
            <w:pPr>
              <w:jc w:val="center"/>
              <w:ind w:left="372"/>
              <w:spacing w:after="0"/>
              <w:rPr>
                <w:sz w:val="20"/>
                <w:szCs w:val="20"/>
                <w:color w:val="auto"/>
              </w:rPr>
            </w:pPr>
            <w:r>
              <w:rPr>
                <w:rFonts w:ascii="Arial" w:cs="Arial" w:eastAsia="Arial" w:hAnsi="Arial"/>
                <w:sz w:val="10"/>
                <w:szCs w:val="10"/>
                <w:b w:val="1"/>
                <w:bCs w:val="1"/>
                <w:color w:val="auto"/>
                <w:w w:val="94"/>
              </w:rPr>
              <w:t>Year Ended December 31, 2022</w:t>
            </w:r>
          </w:p>
        </w:tc>
        <w:tc>
          <w:tcPr>
            <w:tcW w:w="560" w:type="dxa"/>
            <w:vAlign w:val="bottom"/>
            <w:tcBorders>
              <w:bottom w:val="single" w:sz="8" w:color="D7282F"/>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D7282F"/>
            </w:tcBorders>
          </w:tcPr>
          <w:p>
            <w:pPr>
              <w:spacing w:after="0"/>
              <w:rPr>
                <w:sz w:val="11"/>
                <w:szCs w:val="11"/>
                <w:color w:val="auto"/>
              </w:rPr>
            </w:pPr>
          </w:p>
        </w:tc>
        <w:tc>
          <w:tcPr>
            <w:tcW w:w="1980" w:type="dxa"/>
            <w:vAlign w:val="bottom"/>
            <w:tcBorders>
              <w:bottom w:val="single" w:sz="8" w:color="D7282F"/>
            </w:tcBorders>
            <w:gridSpan w:val="6"/>
          </w:tcPr>
          <w:p>
            <w:pPr>
              <w:jc w:val="center"/>
              <w:ind w:left="372"/>
              <w:spacing w:after="0"/>
              <w:rPr>
                <w:sz w:val="20"/>
                <w:szCs w:val="20"/>
                <w:color w:val="auto"/>
              </w:rPr>
            </w:pPr>
            <w:r>
              <w:rPr>
                <w:rFonts w:ascii="Arial" w:cs="Arial" w:eastAsia="Arial" w:hAnsi="Arial"/>
                <w:sz w:val="10"/>
                <w:szCs w:val="10"/>
                <w:b w:val="1"/>
                <w:bCs w:val="1"/>
                <w:color w:val="auto"/>
                <w:w w:val="94"/>
              </w:rPr>
              <w:t>Year Ended December 31, 2021</w:t>
            </w:r>
          </w:p>
        </w:tc>
        <w:tc>
          <w:tcPr>
            <w:tcW w:w="560" w:type="dxa"/>
            <w:vAlign w:val="bottom"/>
            <w:tcBorders>
              <w:bottom w:val="single" w:sz="8" w:color="D7282F"/>
            </w:tcBorders>
          </w:tcPr>
          <w:p>
            <w:pPr>
              <w:spacing w:after="0"/>
              <w:rPr>
                <w:sz w:val="11"/>
                <w:szCs w:val="11"/>
                <w:color w:val="auto"/>
              </w:rPr>
            </w:pPr>
          </w:p>
        </w:tc>
      </w:tr>
      <w:tr>
        <w:trPr>
          <w:trHeight w:val="142"/>
        </w:trPr>
        <w:tc>
          <w:tcPr>
            <w:tcW w:w="29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b w:val="1"/>
                <w:bCs w:val="1"/>
                <w:color w:val="auto"/>
              </w:rPr>
              <w:t>Bendix</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2"/>
              </w:rPr>
              <w:t>NARCO</w:t>
            </w:r>
          </w:p>
        </w:tc>
        <w:tc>
          <w:tcPr>
            <w:tcW w:w="180" w:type="dxa"/>
            <w:vAlign w:val="bottom"/>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Arial" w:cs="Arial" w:eastAsia="Arial" w:hAnsi="Arial"/>
                <w:sz w:val="10"/>
                <w:szCs w:val="10"/>
                <w:b w:val="1"/>
                <w:bCs w:val="1"/>
                <w:color w:val="auto"/>
              </w:rPr>
              <w:t>Total</w:t>
            </w:r>
          </w:p>
        </w:tc>
        <w:tc>
          <w:tcPr>
            <w:tcW w:w="14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0"/>
                <w:szCs w:val="10"/>
                <w:b w:val="1"/>
                <w:bCs w:val="1"/>
                <w:color w:val="auto"/>
              </w:rPr>
              <w:t>Bendix</w:t>
            </w:r>
          </w:p>
        </w:tc>
        <w:tc>
          <w:tcPr>
            <w:tcW w:w="120" w:type="dxa"/>
            <w:vAlign w:val="bottom"/>
          </w:tcPr>
          <w:p>
            <w:pPr>
              <w:spacing w:after="0"/>
              <w:rPr>
                <w:sz w:val="12"/>
                <w:szCs w:val="12"/>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2"/>
              </w:rPr>
              <w:t>NARCO</w:t>
            </w:r>
          </w:p>
        </w:tc>
        <w:tc>
          <w:tcPr>
            <w:tcW w:w="180" w:type="dxa"/>
            <w:vAlign w:val="bottom"/>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Arial" w:cs="Arial" w:eastAsia="Arial" w:hAnsi="Arial"/>
                <w:sz w:val="10"/>
                <w:szCs w:val="10"/>
                <w:b w:val="1"/>
                <w:bCs w:val="1"/>
                <w:color w:val="auto"/>
              </w:rPr>
              <w:t>Total</w:t>
            </w:r>
          </w:p>
        </w:tc>
        <w:tc>
          <w:tcPr>
            <w:tcW w:w="14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0"/>
                <w:szCs w:val="10"/>
                <w:b w:val="1"/>
                <w:bCs w:val="1"/>
                <w:color w:val="auto"/>
              </w:rPr>
              <w:t>Bendix</w:t>
            </w:r>
          </w:p>
        </w:tc>
        <w:tc>
          <w:tcPr>
            <w:tcW w:w="120" w:type="dxa"/>
            <w:vAlign w:val="bottom"/>
          </w:tcPr>
          <w:p>
            <w:pPr>
              <w:spacing w:after="0"/>
              <w:rPr>
                <w:sz w:val="12"/>
                <w:szCs w:val="12"/>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2"/>
              </w:rPr>
              <w:t>NARCO</w:t>
            </w:r>
          </w:p>
        </w:tc>
        <w:tc>
          <w:tcPr>
            <w:tcW w:w="180" w:type="dxa"/>
            <w:vAlign w:val="bottom"/>
          </w:tcPr>
          <w:p>
            <w:pPr>
              <w:spacing w:after="0"/>
              <w:rPr>
                <w:sz w:val="12"/>
                <w:szCs w:val="12"/>
                <w:color w:val="auto"/>
              </w:rPr>
            </w:pPr>
          </w:p>
        </w:tc>
        <w:tc>
          <w:tcPr>
            <w:tcW w:w="560" w:type="dxa"/>
            <w:vAlign w:val="bottom"/>
          </w:tcPr>
          <w:p>
            <w:pPr>
              <w:jc w:val="right"/>
              <w:ind w:right="212"/>
              <w:spacing w:after="0"/>
              <w:rPr>
                <w:sz w:val="20"/>
                <w:szCs w:val="20"/>
                <w:color w:val="auto"/>
              </w:rPr>
            </w:pPr>
            <w:r>
              <w:rPr>
                <w:rFonts w:ascii="Arial" w:cs="Arial" w:eastAsia="Arial" w:hAnsi="Arial"/>
                <w:sz w:val="10"/>
                <w:szCs w:val="10"/>
                <w:b w:val="1"/>
                <w:bCs w:val="1"/>
                <w:color w:val="auto"/>
              </w:rPr>
              <w:t>Total</w:t>
            </w:r>
          </w:p>
        </w:tc>
      </w:tr>
      <w:tr>
        <w:trPr>
          <w:trHeight w:val="128"/>
        </w:trPr>
        <w:tc>
          <w:tcPr>
            <w:tcW w:w="2900" w:type="dxa"/>
            <w:vAlign w:val="bottom"/>
            <w:tcBorders>
              <w:top w:val="single" w:sz="8" w:color="D7282F"/>
              <w:bottom w:val="single" w:sz="8" w:color="D7282F"/>
            </w:tcBorders>
          </w:tcPr>
          <w:p>
            <w:pPr>
              <w:spacing w:after="0"/>
              <w:rPr>
                <w:sz w:val="20"/>
                <w:szCs w:val="20"/>
                <w:color w:val="auto"/>
              </w:rPr>
            </w:pPr>
            <w:r>
              <w:rPr>
                <w:rFonts w:ascii="Arial" w:cs="Arial" w:eastAsia="Arial" w:hAnsi="Arial"/>
                <w:sz w:val="10"/>
                <w:szCs w:val="10"/>
                <w:b w:val="1"/>
                <w:bCs w:val="1"/>
                <w:color w:val="auto"/>
              </w:rPr>
              <w:t>Beginning of year</w:t>
            </w:r>
          </w:p>
        </w:tc>
        <w:tc>
          <w:tcPr>
            <w:tcW w:w="540" w:type="dxa"/>
            <w:vAlign w:val="bottom"/>
            <w:tcBorders>
              <w:top w:val="single" w:sz="8" w:color="D7282F"/>
              <w:bottom w:val="single" w:sz="8" w:color="D7282F"/>
            </w:tcBorders>
          </w:tcPr>
          <w:p>
            <w:pPr>
              <w:jc w:val="right"/>
              <w:ind w:right="432"/>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0"/>
                <w:szCs w:val="10"/>
                <w:b w:val="1"/>
                <w:bCs w:val="1"/>
                <w:color w:val="auto"/>
                <w:w w:val="95"/>
              </w:rPr>
              <w:t>130</w:t>
            </w:r>
          </w:p>
        </w:tc>
        <w:tc>
          <w:tcPr>
            <w:tcW w:w="220" w:type="dxa"/>
            <w:vAlign w:val="bottom"/>
            <w:tcBorders>
              <w:top w:val="single" w:sz="8" w:color="DC202E"/>
              <w:bottom w:val="single" w:sz="8" w:color="D7282F"/>
            </w:tcBorders>
          </w:tcPr>
          <w:p>
            <w:pPr>
              <w:spacing w:after="0"/>
              <w:rPr>
                <w:sz w:val="11"/>
                <w:szCs w:val="11"/>
                <w:color w:val="auto"/>
              </w:rPr>
            </w:pPr>
          </w:p>
        </w:tc>
        <w:tc>
          <w:tcPr>
            <w:tcW w:w="120" w:type="dxa"/>
            <w:vAlign w:val="bottom"/>
            <w:tcBorders>
              <w:top w:val="single" w:sz="8" w:color="D7282F"/>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135</w:t>
            </w:r>
          </w:p>
        </w:tc>
        <w:tc>
          <w:tcPr>
            <w:tcW w:w="220" w:type="dxa"/>
            <w:vAlign w:val="bottom"/>
            <w:tcBorders>
              <w:top w:val="single" w:sz="8" w:color="DC202E"/>
              <w:bottom w:val="single" w:sz="8" w:color="D7282F"/>
            </w:tcBorders>
          </w:tcPr>
          <w:p>
            <w:pPr>
              <w:spacing w:after="0"/>
              <w:rPr>
                <w:sz w:val="11"/>
                <w:szCs w:val="11"/>
                <w:color w:val="auto"/>
              </w:rPr>
            </w:pPr>
          </w:p>
        </w:tc>
        <w:tc>
          <w:tcPr>
            <w:tcW w:w="180" w:type="dxa"/>
            <w:vAlign w:val="bottom"/>
            <w:tcBorders>
              <w:top w:val="single" w:sz="8" w:color="D7282F"/>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D7282F"/>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265</w:t>
            </w:r>
          </w:p>
        </w:tc>
        <w:tc>
          <w:tcPr>
            <w:tcW w:w="180" w:type="dxa"/>
            <w:vAlign w:val="bottom"/>
            <w:tcBorders>
              <w:top w:val="single" w:sz="8" w:color="D7282F"/>
              <w:bottom w:val="single" w:sz="8" w:color="D7282F"/>
            </w:tcBorders>
          </w:tcPr>
          <w:p>
            <w:pPr>
              <w:spacing w:after="0"/>
              <w:rPr>
                <w:sz w:val="11"/>
                <w:szCs w:val="11"/>
                <w:color w:val="auto"/>
              </w:rPr>
            </w:pPr>
          </w:p>
        </w:tc>
        <w:tc>
          <w:tcPr>
            <w:tcW w:w="140" w:type="dxa"/>
            <w:vAlign w:val="bottom"/>
            <w:tcBorders>
              <w:top w:val="single" w:sz="8" w:color="D7282F"/>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142</w:t>
            </w:r>
          </w:p>
        </w:tc>
        <w:tc>
          <w:tcPr>
            <w:tcW w:w="220" w:type="dxa"/>
            <w:vAlign w:val="bottom"/>
            <w:tcBorders>
              <w:top w:val="single" w:sz="8" w:color="DC202E"/>
              <w:bottom w:val="single" w:sz="8" w:color="D7282F"/>
            </w:tcBorders>
          </w:tcPr>
          <w:p>
            <w:pPr>
              <w:spacing w:after="0"/>
              <w:rPr>
                <w:sz w:val="11"/>
                <w:szCs w:val="11"/>
                <w:color w:val="auto"/>
              </w:rPr>
            </w:pPr>
          </w:p>
        </w:tc>
        <w:tc>
          <w:tcPr>
            <w:tcW w:w="120" w:type="dxa"/>
            <w:vAlign w:val="bottom"/>
            <w:tcBorders>
              <w:top w:val="single" w:sz="8" w:color="D7282F"/>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221</w:t>
            </w:r>
          </w:p>
        </w:tc>
        <w:tc>
          <w:tcPr>
            <w:tcW w:w="220" w:type="dxa"/>
            <w:vAlign w:val="bottom"/>
            <w:tcBorders>
              <w:top w:val="single" w:sz="8" w:color="DC202E"/>
              <w:bottom w:val="single" w:sz="8" w:color="D7282F"/>
            </w:tcBorders>
          </w:tcPr>
          <w:p>
            <w:pPr>
              <w:spacing w:after="0"/>
              <w:rPr>
                <w:sz w:val="11"/>
                <w:szCs w:val="11"/>
                <w:color w:val="auto"/>
              </w:rPr>
            </w:pPr>
          </w:p>
        </w:tc>
        <w:tc>
          <w:tcPr>
            <w:tcW w:w="180" w:type="dxa"/>
            <w:vAlign w:val="bottom"/>
            <w:tcBorders>
              <w:top w:val="single" w:sz="8" w:color="D7282F"/>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560" w:type="dxa"/>
            <w:vAlign w:val="bottom"/>
            <w:tcBorders>
              <w:top w:val="single" w:sz="8" w:color="D7282F"/>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363</w:t>
            </w:r>
          </w:p>
        </w:tc>
        <w:tc>
          <w:tcPr>
            <w:tcW w:w="180" w:type="dxa"/>
            <w:vAlign w:val="bottom"/>
            <w:tcBorders>
              <w:top w:val="single" w:sz="8" w:color="D7282F"/>
              <w:bottom w:val="single" w:sz="8" w:color="D7282F"/>
            </w:tcBorders>
          </w:tcPr>
          <w:p>
            <w:pPr>
              <w:spacing w:after="0"/>
              <w:rPr>
                <w:sz w:val="11"/>
                <w:szCs w:val="11"/>
                <w:color w:val="auto"/>
              </w:rPr>
            </w:pPr>
          </w:p>
        </w:tc>
        <w:tc>
          <w:tcPr>
            <w:tcW w:w="140" w:type="dxa"/>
            <w:vAlign w:val="bottom"/>
            <w:tcBorders>
              <w:top w:val="single" w:sz="8" w:color="D7282F"/>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148</w:t>
            </w:r>
          </w:p>
        </w:tc>
        <w:tc>
          <w:tcPr>
            <w:tcW w:w="220" w:type="dxa"/>
            <w:vAlign w:val="bottom"/>
            <w:tcBorders>
              <w:top w:val="single" w:sz="8" w:color="DC202E"/>
              <w:bottom w:val="single" w:sz="8" w:color="D7282F"/>
            </w:tcBorders>
          </w:tcPr>
          <w:p>
            <w:pPr>
              <w:spacing w:after="0"/>
              <w:rPr>
                <w:sz w:val="11"/>
                <w:szCs w:val="11"/>
                <w:color w:val="auto"/>
              </w:rPr>
            </w:pPr>
          </w:p>
        </w:tc>
        <w:tc>
          <w:tcPr>
            <w:tcW w:w="120" w:type="dxa"/>
            <w:vAlign w:val="bottom"/>
            <w:tcBorders>
              <w:top w:val="single" w:sz="8" w:color="D7282F"/>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D7282F"/>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254</w:t>
            </w:r>
          </w:p>
        </w:tc>
        <w:tc>
          <w:tcPr>
            <w:tcW w:w="200" w:type="dxa"/>
            <w:vAlign w:val="bottom"/>
            <w:tcBorders>
              <w:top w:val="single" w:sz="8" w:color="DC202E"/>
              <w:bottom w:val="single" w:sz="8" w:color="D7282F"/>
            </w:tcBorders>
          </w:tcPr>
          <w:p>
            <w:pPr>
              <w:spacing w:after="0"/>
              <w:rPr>
                <w:sz w:val="11"/>
                <w:szCs w:val="11"/>
                <w:color w:val="auto"/>
              </w:rPr>
            </w:pPr>
          </w:p>
        </w:tc>
        <w:tc>
          <w:tcPr>
            <w:tcW w:w="180" w:type="dxa"/>
            <w:vAlign w:val="bottom"/>
            <w:tcBorders>
              <w:top w:val="single" w:sz="8" w:color="D7282F"/>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56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402</w:t>
            </w:r>
          </w:p>
        </w:tc>
      </w:tr>
      <w:tr>
        <w:trPr>
          <w:trHeight w:val="122"/>
        </w:trPr>
        <w:tc>
          <w:tcPr>
            <w:tcW w:w="290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Probable insurance recoveries related to estimated liability</w:t>
            </w:r>
          </w:p>
        </w:tc>
        <w:tc>
          <w:tcPr>
            <w:tcW w:w="54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11</w:t>
            </w:r>
          </w:p>
        </w:tc>
        <w:tc>
          <w:tcPr>
            <w:tcW w:w="220" w:type="dxa"/>
            <w:vAlign w:val="bottom"/>
            <w:tcBorders>
              <w:bottom w:val="single" w:sz="8" w:color="939598"/>
            </w:tcBorders>
          </w:tcPr>
          <w:p>
            <w:pPr>
              <w:spacing w:after="0"/>
              <w:rPr>
                <w:sz w:val="10"/>
                <w:szCs w:val="10"/>
                <w:color w:val="auto"/>
              </w:rPr>
            </w:pPr>
          </w:p>
        </w:tc>
        <w:tc>
          <w:tcPr>
            <w:tcW w:w="12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939598"/>
            </w:tcBorders>
          </w:tcPr>
          <w:p>
            <w:pPr>
              <w:spacing w:after="0"/>
              <w:rPr>
                <w:sz w:val="10"/>
                <w:szCs w:val="10"/>
                <w:color w:val="auto"/>
              </w:rPr>
            </w:pPr>
          </w:p>
        </w:tc>
        <w:tc>
          <w:tcPr>
            <w:tcW w:w="56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11</w:t>
            </w:r>
          </w:p>
        </w:tc>
        <w:tc>
          <w:tcPr>
            <w:tcW w:w="180" w:type="dxa"/>
            <w:vAlign w:val="bottom"/>
            <w:tcBorders>
              <w:bottom w:val="single" w:sz="8" w:color="939598"/>
            </w:tcBorders>
          </w:tcPr>
          <w:p>
            <w:pPr>
              <w:spacing w:after="0"/>
              <w:rPr>
                <w:sz w:val="10"/>
                <w:szCs w:val="10"/>
                <w:color w:val="auto"/>
              </w:rPr>
            </w:pPr>
          </w:p>
        </w:tc>
        <w:tc>
          <w:tcPr>
            <w:tcW w:w="14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w:t>
            </w:r>
          </w:p>
        </w:tc>
        <w:tc>
          <w:tcPr>
            <w:tcW w:w="220" w:type="dxa"/>
            <w:vAlign w:val="bottom"/>
            <w:tcBorders>
              <w:bottom w:val="single" w:sz="8" w:color="939598"/>
            </w:tcBorders>
          </w:tcPr>
          <w:p>
            <w:pPr>
              <w:spacing w:after="0"/>
              <w:rPr>
                <w:sz w:val="10"/>
                <w:szCs w:val="10"/>
                <w:color w:val="auto"/>
              </w:rPr>
            </w:pPr>
          </w:p>
        </w:tc>
        <w:tc>
          <w:tcPr>
            <w:tcW w:w="12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w:t>
            </w:r>
          </w:p>
        </w:tc>
        <w:tc>
          <w:tcPr>
            <w:tcW w:w="22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56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7</w:t>
            </w:r>
          </w:p>
        </w:tc>
        <w:tc>
          <w:tcPr>
            <w:tcW w:w="180" w:type="dxa"/>
            <w:vAlign w:val="bottom"/>
            <w:tcBorders>
              <w:bottom w:val="single" w:sz="8" w:color="939598"/>
            </w:tcBorders>
          </w:tcPr>
          <w:p>
            <w:pPr>
              <w:spacing w:after="0"/>
              <w:rPr>
                <w:sz w:val="10"/>
                <w:szCs w:val="10"/>
                <w:color w:val="auto"/>
              </w:rPr>
            </w:pPr>
          </w:p>
        </w:tc>
        <w:tc>
          <w:tcPr>
            <w:tcW w:w="14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w:t>
            </w:r>
          </w:p>
        </w:tc>
        <w:tc>
          <w:tcPr>
            <w:tcW w:w="220" w:type="dxa"/>
            <w:vAlign w:val="bottom"/>
            <w:tcBorders>
              <w:bottom w:val="single" w:sz="8" w:color="939598"/>
            </w:tcBorders>
          </w:tcPr>
          <w:p>
            <w:pPr>
              <w:spacing w:after="0"/>
              <w:rPr>
                <w:sz w:val="10"/>
                <w:szCs w:val="10"/>
                <w:color w:val="auto"/>
              </w:rPr>
            </w:pPr>
          </w:p>
        </w:tc>
        <w:tc>
          <w:tcPr>
            <w:tcW w:w="12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939598"/>
            </w:tcBorders>
          </w:tcPr>
          <w:p>
            <w:pPr>
              <w:spacing w:after="0"/>
              <w:rPr>
                <w:sz w:val="10"/>
                <w:szCs w:val="10"/>
                <w:color w:val="auto"/>
              </w:rPr>
            </w:pPr>
          </w:p>
        </w:tc>
        <w:tc>
          <w:tcPr>
            <w:tcW w:w="5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w:t>
            </w:r>
          </w:p>
        </w:tc>
      </w:tr>
      <w:tr>
        <w:trPr>
          <w:trHeight w:val="124"/>
        </w:trPr>
        <w:tc>
          <w:tcPr>
            <w:tcW w:w="290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Insurance receipts for asbestos-related liabilities</w:t>
            </w:r>
          </w:p>
        </w:tc>
        <w:tc>
          <w:tcPr>
            <w:tcW w:w="54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(18)</w:t>
            </w:r>
          </w:p>
        </w:tc>
        <w:tc>
          <w:tcPr>
            <w:tcW w:w="220" w:type="dxa"/>
            <w:vAlign w:val="bottom"/>
            <w:tcBorders>
              <w:bottom w:val="single" w:sz="8" w:color="939598"/>
            </w:tcBorders>
          </w:tcPr>
          <w:p>
            <w:pPr>
              <w:spacing w:after="0"/>
              <w:rPr>
                <w:sz w:val="10"/>
                <w:szCs w:val="10"/>
                <w:color w:val="auto"/>
              </w:rPr>
            </w:pPr>
          </w:p>
        </w:tc>
        <w:tc>
          <w:tcPr>
            <w:tcW w:w="12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(21)</w:t>
            </w:r>
          </w:p>
        </w:tc>
        <w:tc>
          <w:tcPr>
            <w:tcW w:w="22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5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(39)</w:t>
            </w:r>
          </w:p>
        </w:tc>
        <w:tc>
          <w:tcPr>
            <w:tcW w:w="180" w:type="dxa"/>
            <w:vAlign w:val="bottom"/>
            <w:tcBorders>
              <w:bottom w:val="single" w:sz="8" w:color="939598"/>
            </w:tcBorders>
          </w:tcPr>
          <w:p>
            <w:pPr>
              <w:spacing w:after="0"/>
              <w:rPr>
                <w:sz w:val="10"/>
                <w:szCs w:val="10"/>
                <w:color w:val="auto"/>
              </w:rPr>
            </w:pPr>
          </w:p>
        </w:tc>
        <w:tc>
          <w:tcPr>
            <w:tcW w:w="14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(17)</w:t>
            </w:r>
          </w:p>
        </w:tc>
        <w:tc>
          <w:tcPr>
            <w:tcW w:w="220" w:type="dxa"/>
            <w:vAlign w:val="bottom"/>
            <w:tcBorders>
              <w:bottom w:val="single" w:sz="8" w:color="939598"/>
            </w:tcBorders>
          </w:tcPr>
          <w:p>
            <w:pPr>
              <w:spacing w:after="0"/>
              <w:rPr>
                <w:sz w:val="10"/>
                <w:szCs w:val="10"/>
                <w:color w:val="auto"/>
              </w:rPr>
            </w:pPr>
          </w:p>
        </w:tc>
        <w:tc>
          <w:tcPr>
            <w:tcW w:w="12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(20)</w:t>
            </w:r>
          </w:p>
        </w:tc>
        <w:tc>
          <w:tcPr>
            <w:tcW w:w="22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5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(37)</w:t>
            </w:r>
          </w:p>
        </w:tc>
        <w:tc>
          <w:tcPr>
            <w:tcW w:w="180" w:type="dxa"/>
            <w:vAlign w:val="bottom"/>
            <w:tcBorders>
              <w:bottom w:val="single" w:sz="8" w:color="939598"/>
            </w:tcBorders>
          </w:tcPr>
          <w:p>
            <w:pPr>
              <w:spacing w:after="0"/>
              <w:rPr>
                <w:sz w:val="10"/>
                <w:szCs w:val="10"/>
                <w:color w:val="auto"/>
              </w:rPr>
            </w:pPr>
          </w:p>
        </w:tc>
        <w:tc>
          <w:tcPr>
            <w:tcW w:w="14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(13)</w:t>
            </w:r>
          </w:p>
        </w:tc>
        <w:tc>
          <w:tcPr>
            <w:tcW w:w="220" w:type="dxa"/>
            <w:vAlign w:val="bottom"/>
            <w:tcBorders>
              <w:bottom w:val="single" w:sz="8" w:color="939598"/>
            </w:tcBorders>
          </w:tcPr>
          <w:p>
            <w:pPr>
              <w:spacing w:after="0"/>
              <w:rPr>
                <w:sz w:val="10"/>
                <w:szCs w:val="10"/>
                <w:color w:val="auto"/>
              </w:rPr>
            </w:pPr>
          </w:p>
        </w:tc>
        <w:tc>
          <w:tcPr>
            <w:tcW w:w="12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(33)</w:t>
            </w:r>
          </w:p>
        </w:tc>
        <w:tc>
          <w:tcPr>
            <w:tcW w:w="20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5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(46)</w:t>
            </w:r>
          </w:p>
        </w:tc>
      </w:tr>
      <w:tr>
        <w:trPr>
          <w:trHeight w:val="124"/>
        </w:trPr>
        <w:tc>
          <w:tcPr>
            <w:tcW w:w="2900" w:type="dxa"/>
            <w:vAlign w:val="bottom"/>
            <w:tcBorders>
              <w:bottom w:val="single" w:sz="8" w:color="DC202E"/>
            </w:tcBorders>
          </w:tcPr>
          <w:p>
            <w:pPr>
              <w:ind w:left="80"/>
              <w:spacing w:after="0"/>
              <w:rPr>
                <w:sz w:val="20"/>
                <w:szCs w:val="20"/>
                <w:color w:val="auto"/>
              </w:rPr>
            </w:pPr>
            <w:r>
              <w:rPr>
                <w:rFonts w:ascii="Arial" w:cs="Arial" w:eastAsia="Arial" w:hAnsi="Arial"/>
                <w:sz w:val="10"/>
                <w:szCs w:val="10"/>
                <w:color w:val="auto"/>
              </w:rPr>
              <w:t>Insurance receivables settlements and write-offs</w:t>
            </w:r>
          </w:p>
        </w:tc>
        <w:tc>
          <w:tcPr>
            <w:tcW w:w="540" w:type="dxa"/>
            <w:vAlign w:val="bottom"/>
            <w:tcBorders>
              <w:bottom w:val="single" w:sz="8" w:color="DC202E"/>
            </w:tcBorders>
          </w:tcPr>
          <w:p>
            <w:pPr>
              <w:spacing w:after="0"/>
              <w:rPr>
                <w:sz w:val="10"/>
                <w:szCs w:val="10"/>
                <w:color w:val="auto"/>
              </w:rPr>
            </w:pPr>
          </w:p>
        </w:tc>
        <w:tc>
          <w:tcPr>
            <w:tcW w:w="440" w:type="dxa"/>
            <w:vAlign w:val="bottom"/>
            <w:tcBorders>
              <w:bottom w:val="single" w:sz="8" w:color="DC202E"/>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(26)</w:t>
            </w:r>
          </w:p>
        </w:tc>
        <w:tc>
          <w:tcPr>
            <w:tcW w:w="220" w:type="dxa"/>
            <w:vAlign w:val="bottom"/>
            <w:tcBorders>
              <w:bottom w:val="single" w:sz="8" w:color="DC202E"/>
            </w:tcBorders>
          </w:tcPr>
          <w:p>
            <w:pPr>
              <w:spacing w:after="0"/>
              <w:rPr>
                <w:sz w:val="10"/>
                <w:szCs w:val="10"/>
                <w:color w:val="auto"/>
              </w:rPr>
            </w:pPr>
          </w:p>
        </w:tc>
        <w:tc>
          <w:tcPr>
            <w:tcW w:w="180" w:type="dxa"/>
            <w:vAlign w:val="bottom"/>
            <w:tcBorders>
              <w:bottom w:val="single" w:sz="8" w:color="DC202E"/>
            </w:tcBorders>
          </w:tcPr>
          <w:p>
            <w:pPr>
              <w:spacing w:after="0"/>
              <w:rPr>
                <w:sz w:val="10"/>
                <w:szCs w:val="10"/>
                <w:color w:val="auto"/>
              </w:rPr>
            </w:pPr>
          </w:p>
        </w:tc>
        <w:tc>
          <w:tcPr>
            <w:tcW w:w="5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(26)</w:t>
            </w:r>
          </w:p>
        </w:tc>
        <w:tc>
          <w:tcPr>
            <w:tcW w:w="180" w:type="dxa"/>
            <w:vAlign w:val="bottom"/>
            <w:tcBorders>
              <w:bottom w:val="single" w:sz="8" w:color="DC202E"/>
            </w:tcBorders>
          </w:tcPr>
          <w:p>
            <w:pPr>
              <w:spacing w:after="0"/>
              <w:rPr>
                <w:sz w:val="10"/>
                <w:szCs w:val="10"/>
                <w:color w:val="auto"/>
              </w:rPr>
            </w:pPr>
          </w:p>
        </w:tc>
        <w:tc>
          <w:tcPr>
            <w:tcW w:w="140" w:type="dxa"/>
            <w:vAlign w:val="bottom"/>
            <w:tcBorders>
              <w:bottom w:val="single" w:sz="8" w:color="DC202E"/>
            </w:tcBorders>
          </w:tcPr>
          <w:p>
            <w:pPr>
              <w:spacing w:after="0"/>
              <w:rPr>
                <w:sz w:val="10"/>
                <w:szCs w:val="10"/>
                <w:color w:val="auto"/>
              </w:rPr>
            </w:pPr>
          </w:p>
        </w:tc>
        <w:tc>
          <w:tcPr>
            <w:tcW w:w="840" w:type="dxa"/>
            <w:vAlign w:val="bottom"/>
            <w:tcBorders>
              <w:bottom w:val="single" w:sz="8" w:color="DC202E"/>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(68)</w:t>
            </w:r>
          </w:p>
        </w:tc>
        <w:tc>
          <w:tcPr>
            <w:tcW w:w="220" w:type="dxa"/>
            <w:vAlign w:val="bottom"/>
            <w:tcBorders>
              <w:bottom w:val="single" w:sz="8" w:color="DC202E"/>
            </w:tcBorders>
          </w:tcPr>
          <w:p>
            <w:pPr>
              <w:spacing w:after="0"/>
              <w:rPr>
                <w:sz w:val="10"/>
                <w:szCs w:val="10"/>
                <w:color w:val="auto"/>
              </w:rPr>
            </w:pPr>
          </w:p>
        </w:tc>
        <w:tc>
          <w:tcPr>
            <w:tcW w:w="180" w:type="dxa"/>
            <w:vAlign w:val="bottom"/>
            <w:tcBorders>
              <w:bottom w:val="single" w:sz="8" w:color="DC202E"/>
            </w:tcBorders>
          </w:tcPr>
          <w:p>
            <w:pPr>
              <w:spacing w:after="0"/>
              <w:rPr>
                <w:sz w:val="10"/>
                <w:szCs w:val="10"/>
                <w:color w:val="auto"/>
              </w:rPr>
            </w:pPr>
          </w:p>
        </w:tc>
        <w:tc>
          <w:tcPr>
            <w:tcW w:w="5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(68)</w:t>
            </w:r>
          </w:p>
        </w:tc>
        <w:tc>
          <w:tcPr>
            <w:tcW w:w="180" w:type="dxa"/>
            <w:vAlign w:val="bottom"/>
            <w:tcBorders>
              <w:bottom w:val="single" w:sz="8" w:color="DC202E"/>
            </w:tcBorders>
          </w:tcPr>
          <w:p>
            <w:pPr>
              <w:spacing w:after="0"/>
              <w:rPr>
                <w:sz w:val="10"/>
                <w:szCs w:val="10"/>
                <w:color w:val="auto"/>
              </w:rPr>
            </w:pPr>
          </w:p>
        </w:tc>
        <w:tc>
          <w:tcPr>
            <w:tcW w:w="140" w:type="dxa"/>
            <w:vAlign w:val="bottom"/>
            <w:tcBorders>
              <w:bottom w:val="single" w:sz="8" w:color="DC202E"/>
            </w:tcBorders>
          </w:tcPr>
          <w:p>
            <w:pPr>
              <w:spacing w:after="0"/>
              <w:rPr>
                <w:sz w:val="10"/>
                <w:szCs w:val="10"/>
                <w:color w:val="auto"/>
              </w:rPr>
            </w:pPr>
          </w:p>
        </w:tc>
        <w:tc>
          <w:tcPr>
            <w:tcW w:w="840" w:type="dxa"/>
            <w:vAlign w:val="bottom"/>
            <w:tcBorders>
              <w:bottom w:val="single" w:sz="8" w:color="DC202E"/>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DC202E"/>
            </w:tcBorders>
          </w:tcPr>
          <w:p>
            <w:pPr>
              <w:spacing w:after="0"/>
              <w:rPr>
                <w:sz w:val="10"/>
                <w:szCs w:val="10"/>
                <w:color w:val="auto"/>
              </w:rPr>
            </w:pPr>
          </w:p>
        </w:tc>
        <w:tc>
          <w:tcPr>
            <w:tcW w:w="840" w:type="dxa"/>
            <w:vAlign w:val="bottom"/>
            <w:tcBorders>
              <w:bottom w:val="single" w:sz="8" w:color="DC202E"/>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DC202E"/>
            </w:tcBorders>
          </w:tcPr>
          <w:p>
            <w:pPr>
              <w:spacing w:after="0"/>
              <w:rPr>
                <w:sz w:val="10"/>
                <w:szCs w:val="10"/>
                <w:color w:val="auto"/>
              </w:rPr>
            </w:pPr>
          </w:p>
        </w:tc>
        <w:tc>
          <w:tcPr>
            <w:tcW w:w="5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w:t>
            </w:r>
          </w:p>
        </w:tc>
      </w:tr>
      <w:tr>
        <w:trPr>
          <w:trHeight w:val="126"/>
        </w:trPr>
        <w:tc>
          <w:tcPr>
            <w:tcW w:w="290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End of year</w:t>
            </w:r>
          </w:p>
        </w:tc>
        <w:tc>
          <w:tcPr>
            <w:tcW w:w="540" w:type="dxa"/>
            <w:vAlign w:val="bottom"/>
            <w:tcBorders>
              <w:bottom w:val="single" w:sz="8" w:color="DC202E"/>
            </w:tcBorders>
          </w:tcPr>
          <w:p>
            <w:pPr>
              <w:jc w:val="right"/>
              <w:ind w:right="432"/>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w w:val="95"/>
              </w:rPr>
              <w:t>123</w:t>
            </w:r>
          </w:p>
        </w:tc>
        <w:tc>
          <w:tcPr>
            <w:tcW w:w="220" w:type="dxa"/>
            <w:vAlign w:val="bottom"/>
            <w:tcBorders>
              <w:bottom w:val="single" w:sz="8" w:color="DC202E"/>
            </w:tcBorders>
          </w:tcPr>
          <w:p>
            <w:pPr>
              <w:spacing w:after="0"/>
              <w:rPr>
                <w:sz w:val="10"/>
                <w:szCs w:val="10"/>
                <w:color w:val="auto"/>
              </w:rPr>
            </w:pPr>
          </w:p>
        </w:tc>
        <w:tc>
          <w:tcPr>
            <w:tcW w:w="12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88</w:t>
            </w:r>
          </w:p>
        </w:tc>
        <w:tc>
          <w:tcPr>
            <w:tcW w:w="220" w:type="dxa"/>
            <w:vAlign w:val="bottom"/>
            <w:tcBorders>
              <w:bottom w:val="single" w:sz="8" w:color="DC202E"/>
            </w:tcBorders>
          </w:tcPr>
          <w:p>
            <w:pPr>
              <w:spacing w:after="0"/>
              <w:rPr>
                <w:sz w:val="10"/>
                <w:szCs w:val="10"/>
                <w:color w:val="auto"/>
              </w:rPr>
            </w:pPr>
          </w:p>
        </w:tc>
        <w:tc>
          <w:tcPr>
            <w:tcW w:w="18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211</w:t>
            </w:r>
          </w:p>
        </w:tc>
        <w:tc>
          <w:tcPr>
            <w:tcW w:w="180" w:type="dxa"/>
            <w:vAlign w:val="bottom"/>
            <w:tcBorders>
              <w:bottom w:val="single" w:sz="8" w:color="DC202E"/>
            </w:tcBorders>
          </w:tcPr>
          <w:p>
            <w:pPr>
              <w:spacing w:after="0"/>
              <w:rPr>
                <w:sz w:val="10"/>
                <w:szCs w:val="10"/>
                <w:color w:val="auto"/>
              </w:rPr>
            </w:pPr>
          </w:p>
        </w:tc>
        <w:tc>
          <w:tcPr>
            <w:tcW w:w="14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130</w:t>
            </w:r>
          </w:p>
        </w:tc>
        <w:tc>
          <w:tcPr>
            <w:tcW w:w="220" w:type="dxa"/>
            <w:vAlign w:val="bottom"/>
            <w:tcBorders>
              <w:bottom w:val="single" w:sz="8" w:color="DC202E"/>
            </w:tcBorders>
          </w:tcPr>
          <w:p>
            <w:pPr>
              <w:spacing w:after="0"/>
              <w:rPr>
                <w:sz w:val="10"/>
                <w:szCs w:val="10"/>
                <w:color w:val="auto"/>
              </w:rPr>
            </w:pPr>
          </w:p>
        </w:tc>
        <w:tc>
          <w:tcPr>
            <w:tcW w:w="12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135</w:t>
            </w:r>
          </w:p>
        </w:tc>
        <w:tc>
          <w:tcPr>
            <w:tcW w:w="220" w:type="dxa"/>
            <w:vAlign w:val="bottom"/>
            <w:tcBorders>
              <w:bottom w:val="single" w:sz="8" w:color="DC202E"/>
            </w:tcBorders>
          </w:tcPr>
          <w:p>
            <w:pPr>
              <w:spacing w:after="0"/>
              <w:rPr>
                <w:sz w:val="10"/>
                <w:szCs w:val="10"/>
                <w:color w:val="auto"/>
              </w:rPr>
            </w:pPr>
          </w:p>
        </w:tc>
        <w:tc>
          <w:tcPr>
            <w:tcW w:w="18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265</w:t>
            </w:r>
          </w:p>
        </w:tc>
        <w:tc>
          <w:tcPr>
            <w:tcW w:w="180" w:type="dxa"/>
            <w:vAlign w:val="bottom"/>
            <w:tcBorders>
              <w:bottom w:val="single" w:sz="8" w:color="DC202E"/>
            </w:tcBorders>
          </w:tcPr>
          <w:p>
            <w:pPr>
              <w:spacing w:after="0"/>
              <w:rPr>
                <w:sz w:val="10"/>
                <w:szCs w:val="10"/>
                <w:color w:val="auto"/>
              </w:rPr>
            </w:pPr>
          </w:p>
        </w:tc>
        <w:tc>
          <w:tcPr>
            <w:tcW w:w="14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142</w:t>
            </w:r>
          </w:p>
        </w:tc>
        <w:tc>
          <w:tcPr>
            <w:tcW w:w="220" w:type="dxa"/>
            <w:vAlign w:val="bottom"/>
            <w:tcBorders>
              <w:bottom w:val="single" w:sz="8" w:color="DC202E"/>
            </w:tcBorders>
          </w:tcPr>
          <w:p>
            <w:pPr>
              <w:spacing w:after="0"/>
              <w:rPr>
                <w:sz w:val="10"/>
                <w:szCs w:val="10"/>
                <w:color w:val="auto"/>
              </w:rPr>
            </w:pPr>
          </w:p>
        </w:tc>
        <w:tc>
          <w:tcPr>
            <w:tcW w:w="12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221</w:t>
            </w:r>
          </w:p>
        </w:tc>
        <w:tc>
          <w:tcPr>
            <w:tcW w:w="200" w:type="dxa"/>
            <w:vAlign w:val="bottom"/>
            <w:tcBorders>
              <w:bottom w:val="single" w:sz="8" w:color="DC202E"/>
            </w:tcBorders>
          </w:tcPr>
          <w:p>
            <w:pPr>
              <w:spacing w:after="0"/>
              <w:rPr>
                <w:sz w:val="10"/>
                <w:szCs w:val="10"/>
                <w:color w:val="auto"/>
              </w:rPr>
            </w:pPr>
          </w:p>
        </w:tc>
        <w:tc>
          <w:tcPr>
            <w:tcW w:w="18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363</w:t>
            </w:r>
          </w:p>
        </w:tc>
      </w:tr>
    </w:tbl>
    <w:p>
      <w:pPr>
        <w:spacing w:after="0" w:line="329"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D7282F"/>
        </w:rPr>
        <w:t>96</w:t>
      </w:r>
      <w:r>
        <w:rPr>
          <w:sz w:val="20"/>
          <w:szCs w:val="20"/>
          <w:color w:val="auto"/>
        </w:rPr>
        <w:tab/>
      </w:r>
      <w:r>
        <w:rPr>
          <w:rFonts w:ascii="Arial" w:cs="Arial" w:eastAsia="Arial" w:hAnsi="Arial"/>
          <w:sz w:val="8"/>
          <w:szCs w:val="8"/>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90805</wp:posOffset>
            </wp:positionV>
            <wp:extent cx="7203440" cy="36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98" w:name="page99"/>
    <w:bookmarkEnd w:id="98"/>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ind w:left="8"/>
        <w:spacing w:after="0"/>
        <w:rPr>
          <w:sz w:val="20"/>
          <w:szCs w:val="20"/>
          <w:color w:val="auto"/>
        </w:rPr>
      </w:pPr>
      <w:r>
        <w:rPr>
          <w:rFonts w:ascii="Arial" w:cs="Arial" w:eastAsia="Arial" w:hAnsi="Arial"/>
          <w:sz w:val="11"/>
          <w:szCs w:val="11"/>
          <w:color w:val="auto"/>
        </w:rPr>
        <w:t>NARCO and Bendix asbestos-related balances are included in the following balance sheet accounts:</w:t>
      </w:r>
    </w:p>
    <w:p>
      <w:pPr>
        <w:spacing w:after="0" w:line="127"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9560" w:type="dxa"/>
            <w:vAlign w:val="bottom"/>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1060" w:type="dxa"/>
            <w:vAlign w:val="bottom"/>
            <w:tcBorders>
              <w:bottom w:val="single" w:sz="8" w:color="D7282F"/>
            </w:tcBorders>
            <w:gridSpan w:val="2"/>
          </w:tcPr>
          <w:p>
            <w:pPr>
              <w:jc w:val="right"/>
              <w:spacing w:after="0"/>
              <w:rPr>
                <w:sz w:val="20"/>
                <w:szCs w:val="20"/>
                <w:color w:val="auto"/>
              </w:rPr>
            </w:pPr>
            <w:r>
              <w:rPr>
                <w:rFonts w:ascii="Arial" w:cs="Arial" w:eastAsia="Arial" w:hAnsi="Arial"/>
                <w:sz w:val="10"/>
                <w:szCs w:val="10"/>
                <w:b w:val="1"/>
                <w:bCs w:val="1"/>
                <w:color w:val="auto"/>
              </w:rPr>
              <w:t>December 31,</w:t>
            </w:r>
          </w:p>
        </w:tc>
        <w:tc>
          <w:tcPr>
            <w:tcW w:w="520" w:type="dxa"/>
            <w:vAlign w:val="bottom"/>
            <w:tcBorders>
              <w:bottom w:val="single" w:sz="8" w:color="D7282F"/>
            </w:tcBorders>
          </w:tcPr>
          <w:p>
            <w:pPr>
              <w:spacing w:after="0"/>
              <w:rPr>
                <w:sz w:val="11"/>
                <w:szCs w:val="11"/>
                <w:color w:val="auto"/>
              </w:rPr>
            </w:pPr>
          </w:p>
        </w:tc>
      </w:tr>
      <w:tr>
        <w:trPr>
          <w:trHeight w:val="151"/>
        </w:trPr>
        <w:tc>
          <w:tcPr>
            <w:tcW w:w="9560" w:type="dxa"/>
            <w:vAlign w:val="bottom"/>
            <w:tcBorders>
              <w:bottom w:val="single" w:sz="8" w:color="D7282F"/>
            </w:tcBorders>
          </w:tcPr>
          <w:p>
            <w:pPr>
              <w:spacing w:after="0"/>
              <w:rPr>
                <w:sz w:val="13"/>
                <w:szCs w:val="13"/>
                <w:color w:val="auto"/>
              </w:rPr>
            </w:pPr>
          </w:p>
        </w:tc>
        <w:tc>
          <w:tcPr>
            <w:tcW w:w="16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2023</w:t>
            </w:r>
          </w:p>
        </w:tc>
        <w:tc>
          <w:tcPr>
            <w:tcW w:w="380" w:type="dxa"/>
            <w:vAlign w:val="bottom"/>
            <w:tcBorders>
              <w:bottom w:val="single" w:sz="8" w:color="D7282F"/>
            </w:tcBorders>
          </w:tcPr>
          <w:p>
            <w:pPr>
              <w:spacing w:after="0"/>
              <w:rPr>
                <w:sz w:val="13"/>
                <w:szCs w:val="13"/>
                <w:color w:val="auto"/>
              </w:rPr>
            </w:pPr>
          </w:p>
        </w:tc>
        <w:tc>
          <w:tcPr>
            <w:tcW w:w="52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w w:val="98"/>
              </w:rPr>
              <w:t>2022</w:t>
            </w:r>
          </w:p>
        </w:tc>
      </w:tr>
      <w:tr>
        <w:trPr>
          <w:trHeight w:val="127"/>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Other current assets</w:t>
            </w:r>
          </w:p>
        </w:tc>
        <w:tc>
          <w:tcPr>
            <w:tcW w:w="16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41</w:t>
            </w:r>
          </w:p>
        </w:tc>
        <w:tc>
          <w:tcPr>
            <w:tcW w:w="380" w:type="dxa"/>
            <w:vAlign w:val="bottom"/>
            <w:tcBorders>
              <w:bottom w:val="single" w:sz="8" w:color="61656A"/>
            </w:tcBorders>
          </w:tcPr>
          <w:p>
            <w:pPr>
              <w:jc w:val="right"/>
              <w:ind w:right="13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41</w:t>
            </w:r>
          </w:p>
        </w:tc>
      </w:tr>
      <w:tr>
        <w:trPr>
          <w:trHeight w:val="124"/>
        </w:trPr>
        <w:tc>
          <w:tcPr>
            <w:tcW w:w="95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Insurance recoveries for asbestos-related liabilities</w:t>
            </w:r>
          </w:p>
        </w:tc>
        <w:tc>
          <w:tcPr>
            <w:tcW w:w="16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170</w:t>
            </w:r>
          </w:p>
        </w:tc>
        <w:tc>
          <w:tcPr>
            <w:tcW w:w="38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224</w:t>
            </w:r>
          </w:p>
        </w:tc>
      </w:tr>
      <w:tr>
        <w:trPr>
          <w:trHeight w:val="126"/>
        </w:trPr>
        <w:tc>
          <w:tcPr>
            <w:tcW w:w="956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insurance recoveries for asbestos-related liabilities</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211</w:t>
            </w:r>
          </w:p>
        </w:tc>
        <w:tc>
          <w:tcPr>
            <w:tcW w:w="38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265</w:t>
            </w:r>
          </w:p>
        </w:tc>
      </w:tr>
      <w:tr>
        <w:trPr>
          <w:trHeight w:val="122"/>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Accrued liabilities</w:t>
            </w:r>
          </w:p>
        </w:tc>
        <w:tc>
          <w:tcPr>
            <w:tcW w:w="16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154</w:t>
            </w:r>
          </w:p>
        </w:tc>
        <w:tc>
          <w:tcPr>
            <w:tcW w:w="380" w:type="dxa"/>
            <w:vAlign w:val="bottom"/>
            <w:tcBorders>
              <w:bottom w:val="single" w:sz="8" w:color="61656A"/>
            </w:tcBorders>
          </w:tcPr>
          <w:p>
            <w:pPr>
              <w:jc w:val="right"/>
              <w:ind w:right="13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1,436</w:t>
            </w:r>
          </w:p>
        </w:tc>
      </w:tr>
      <w:tr>
        <w:trPr>
          <w:trHeight w:val="124"/>
        </w:trPr>
        <w:tc>
          <w:tcPr>
            <w:tcW w:w="95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Asbestos-related liabilities</w:t>
            </w:r>
          </w:p>
        </w:tc>
        <w:tc>
          <w:tcPr>
            <w:tcW w:w="16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1,490</w:t>
            </w:r>
          </w:p>
        </w:tc>
        <w:tc>
          <w:tcPr>
            <w:tcW w:w="38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1,180</w:t>
            </w:r>
          </w:p>
        </w:tc>
      </w:tr>
      <w:tr>
        <w:trPr>
          <w:trHeight w:val="126"/>
        </w:trPr>
        <w:tc>
          <w:tcPr>
            <w:tcW w:w="956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asbestos-related liabilities</w:t>
            </w:r>
            <w:r>
              <w:rPr>
                <w:rFonts w:ascii="Arial" w:cs="Arial" w:eastAsia="Arial" w:hAnsi="Arial"/>
                <w:sz w:val="6"/>
                <w:szCs w:val="6"/>
                <w:b w:val="1"/>
                <w:bCs w:val="1"/>
                <w:color w:val="auto"/>
              </w:rPr>
              <w:t>1</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1,644</w:t>
            </w:r>
          </w:p>
        </w:tc>
        <w:tc>
          <w:tcPr>
            <w:tcW w:w="38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2,616</w:t>
            </w:r>
          </w:p>
        </w:tc>
      </w:tr>
    </w:tbl>
    <w:p>
      <w:pPr>
        <w:spacing w:after="0" w:line="20" w:lineRule="exact"/>
        <w:rPr>
          <w:sz w:val="20"/>
          <w:szCs w:val="20"/>
          <w:color w:val="auto"/>
        </w:rPr>
      </w:pPr>
    </w:p>
    <w:p>
      <w:pPr>
        <w:ind w:left="428" w:hanging="280"/>
        <w:spacing w:after="0"/>
        <w:tabs>
          <w:tab w:leader="none" w:pos="428" w:val="left"/>
        </w:tabs>
        <w:numPr>
          <w:ilvl w:val="0"/>
          <w:numId w:val="137"/>
        </w:numPr>
        <w:rPr>
          <w:rFonts w:ascii="Arial" w:cs="Arial" w:eastAsia="Arial" w:hAnsi="Arial"/>
          <w:sz w:val="17"/>
          <w:szCs w:val="17"/>
          <w:color w:val="auto"/>
          <w:vertAlign w:val="superscript"/>
        </w:rPr>
      </w:pPr>
      <w:r>
        <w:rPr>
          <w:rFonts w:ascii="Arial" w:cs="Arial" w:eastAsia="Arial" w:hAnsi="Arial"/>
          <w:sz w:val="8"/>
          <w:szCs w:val="8"/>
          <w:color w:val="auto"/>
        </w:rPr>
        <w:t>As of December 31, 2022, Accrued liabilities included the Buyout Amount, as described and defined below, agreed upon between Honeywell and the Trust. The Buyout Amount does not represent an asbestos-related liability.</w:t>
      </w:r>
    </w:p>
    <w:p>
      <w:pPr>
        <w:spacing w:after="0" w:line="136"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b w:val="1"/>
          <w:bCs w:val="1"/>
          <w:i w:val="1"/>
          <w:iCs w:val="1"/>
          <w:color w:val="auto"/>
        </w:rPr>
        <w:t xml:space="preserve">NARCO Products </w:t>
      </w:r>
      <w:r>
        <w:rPr>
          <w:rFonts w:ascii="Arial" w:cs="Arial" w:eastAsia="Arial" w:hAnsi="Arial"/>
          <w:sz w:val="11"/>
          <w:szCs w:val="11"/>
          <w:color w:val="auto"/>
        </w:rPr>
        <w:t>– NARCO manufactured high-grade, heat-resistant, refractory products for various industries. Honeywell’s predecessor, Allied Corporation, owned NARCO from 1979 to 1986. Allied Corporation sold the NARCO</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business in 1986 and entered into a cross-indemnity agreement which included an obligation to indemnify the purchaser for asbestos claims, arising primarily from alleged occupational exposure to asbestos-containing refractory brick and mortar for high-temperature applications. NARCO ceased manufacturing these products in 1980 and filed for bankruptcy in January 2002, at which point in time all then current and future NARCO asbestos claims were stayed against both NARCO and Honeywell pending the reorganization of NARCO. The Company established its initial liability for NARCO asbestos claims in 2002.</w:t>
      </w:r>
    </w:p>
    <w:p>
      <w:pPr>
        <w:spacing w:after="0" w:line="50" w:lineRule="exact"/>
        <w:rPr>
          <w:sz w:val="20"/>
          <w:szCs w:val="20"/>
          <w:color w:val="auto"/>
        </w:rPr>
      </w:pPr>
    </w:p>
    <w:p>
      <w:pPr>
        <w:jc w:val="both"/>
        <w:ind w:left="8"/>
        <w:spacing w:after="0" w:line="300" w:lineRule="auto"/>
        <w:rPr>
          <w:sz w:val="20"/>
          <w:szCs w:val="20"/>
          <w:color w:val="auto"/>
        </w:rPr>
      </w:pPr>
      <w:r>
        <w:rPr>
          <w:rFonts w:ascii="Arial" w:cs="Arial" w:eastAsia="Arial" w:hAnsi="Arial"/>
          <w:sz w:val="10"/>
          <w:szCs w:val="10"/>
          <w:color w:val="auto"/>
        </w:rPr>
        <w:t>NARCO emerged from bankruptcy in April 2013, at which time a federally authorized 524(g) trust was established to evaluate and resolve all existing NARCO asbestos claims (the Trust). Both Honeywell and NARCO are protected by a permanent channeling injunction barring all present and future individual actions in state or federal courts and requiring all asbestos-related claims based on exposure to NARCO asbestos-containing products to be made against the Trust (Channeling Injunction). The NARCO Trust Agreement (TA) and the NARCO Trust Distribution Procedures (TDP) set forth the structure and operating rules of the Trust, and established Honeywell’s evergreen funding obligations.</w:t>
      </w:r>
    </w:p>
    <w:p>
      <w:pPr>
        <w:spacing w:after="0" w:line="28"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color w:val="auto"/>
        </w:rPr>
        <w:t>The operating rules per the TDP define criteria claimants must meet for a claim to be considered valid and paid. Once operational in 2014, the Trust began to receive, process, and pay claims. In September 2021, Honeywell filed suit against the Trust in the United States Bankruptcy Court for the Western District of Pennsylvania (Bankruptcy Court) alleging that the Trust breached its duties in managing the Trust, including breaches of certain provisions of the TA and TDP. Honeywell's lawsuit sought appropriate relief preventing the Trust from continuing these practices. The Trust also filed suit against Honeywell, alleging Honeywell breached its obligations under the Trust's governing documents. Honeywell moved to dismiss the Trust’s suit, and on December 15, 2021, the Bankruptcy Court granted Honeywell’s motion to dismiss subject to granting the Trust leave to file an amended complaint. On December 28, 2021, the Trust filed an answer with counterclaims in response to Honeywell’s complaint and in lieu of filing an amended complaint. The Bankruptcy Court conducted a trial on these matters during May 2022; following the trial, the Company and the Trust began discussing a potential settlement of Honeywell’s remaining obligations to the Trust.</w:t>
      </w:r>
    </w:p>
    <w:p>
      <w:pPr>
        <w:spacing w:after="0" w:line="61"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On November 18, 2022, Honeywell entered into a definitive agreement (Buyout Agreement) with the Trust, and on November 20, 2022, in exchange for the NARCO Trust Advisory Committee (TAC) and Lawrence Fitzpatrick, in his capacity as the NARCO Asbestos Future Claimants Representative (FCR), becoming parties to the Buyout Agreement, Honeywell, the Trust, the TAC, and the FCR entered into an Amended and Restated Buyout Agreement (Amended Buyout Agreement).</w:t>
      </w:r>
    </w:p>
    <w:p>
      <w:pPr>
        <w:spacing w:after="0" w:line="45"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Pursuant to the terms of the Amended Buyout Agreement, Honeywell agreed to make a one-time, lump sum payment in the amount of $1.325 billion to the Trust (Buyout Amount), subject to certain deductions as described in the Amended Buyout Agreement and in exchange for the release by the Trust of Honeywell from all further and future obligations of any kind related to the Trust and/or any claimants who were exposed to asbestos-containing products manufactured, sold, or distributed by NARCO or its predecessors, including Honeywell’s ongoing evergreen obligation to fund (i) claims against the Trust, which comprise Honeywell’s NARCO asbestos-related claims liability, and (ii) the Trust’s annual operating expenses, which are expensed as incurred, including its legal fees (which operating expenses, for reference, were approximately $30 million in 2022) (such evergreen obligations referred to in (i) and (ii), Honeywell Obligations) (the NARCO Buyout).</w:t>
      </w:r>
    </w:p>
    <w:p>
      <w:pPr>
        <w:spacing w:after="0" w:line="51"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On December 8, 2022, the Bankruptcy Court issued an order that (A) approved the Amended Buyout Agreement, and (B) declared that the NARCO Channeling Injunction (which bars all past, present, and future individual actions in state or federal courts based on exposure to NARCO asbestos-containing products and requires all such claims to be made against the Trust) will remain in full force and effect without modification, dissolution, or termination (Order).</w:t>
      </w:r>
    </w:p>
    <w:p>
      <w:pPr>
        <w:spacing w:after="0" w:line="275" w:lineRule="exact"/>
        <w:rPr>
          <w:sz w:val="20"/>
          <w:szCs w:val="20"/>
          <w:color w:val="auto"/>
        </w:rPr>
      </w:pPr>
    </w:p>
    <w:p>
      <w:pPr>
        <w:ind w:left="268" w:hanging="268"/>
        <w:spacing w:after="0"/>
        <w:tabs>
          <w:tab w:leader="none" w:pos="268" w:val="left"/>
        </w:tabs>
        <w:numPr>
          <w:ilvl w:val="0"/>
          <w:numId w:val="138"/>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99" w:name="page100"/>
    <w:bookmarkEnd w:id="99"/>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On December 14, 2022, HWI, the reorganized and renamed entity that emerged from the NARCO bankruptcy, entered into a definitive agreement (Sale Agreement) pursuant to which an affiliate of Platinum Equity, LLC agreed to acquire HWI (HWI Sale) subject to the terms set forth in the Sale Agreement, including customary conditions to closing set forth therein. In accordance with the Amended Buyout Agreement, the economic rights of the Trust in respect of the net proceeds from the HWI Sale inure to the benefit of Honeywell.</w:t>
      </w:r>
    </w:p>
    <w:p>
      <w:pPr>
        <w:spacing w:after="0" w:line="45" w:lineRule="exact"/>
        <w:rPr>
          <w:sz w:val="20"/>
          <w:szCs w:val="20"/>
          <w:color w:val="auto"/>
        </w:rPr>
      </w:pPr>
    </w:p>
    <w:p>
      <w:pPr>
        <w:ind w:left="8"/>
        <w:spacing w:after="0"/>
        <w:rPr>
          <w:sz w:val="20"/>
          <w:szCs w:val="20"/>
          <w:color w:val="auto"/>
        </w:rPr>
      </w:pPr>
      <w:r>
        <w:rPr>
          <w:rFonts w:ascii="Arial" w:cs="Arial" w:eastAsia="Arial" w:hAnsi="Arial"/>
          <w:sz w:val="11"/>
          <w:szCs w:val="11"/>
          <w:color w:val="auto"/>
        </w:rPr>
        <w:t>On January 30, 2023, the Company paid the Buyout Amount to the Trust, the parties closed the transactions contemplated in the Amended Buyout Agreement (Closing), and Honeywell was released from the Honeywell Obligations.</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1"/>
          <w:szCs w:val="11"/>
          <w:color w:val="auto"/>
        </w:rPr>
        <w:t>Honeywell continues to have the right to collect proceeds in connection with its NARCO asbestos-related insurance policies.</w:t>
      </w:r>
    </w:p>
    <w:p>
      <w:pPr>
        <w:spacing w:after="0" w:line="65"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With the issuance of the Order, the Company derecognized the NARCO asbestos-related liability of $688 million from the Consolidated Balance Sheet and recognized a charge of $1.325 billion in the Consolidated Statement of Operations and accrued a corresponding liability in the Consolidated Balance Sheet for the Buyout Amount. In addition, the Company recognized a benefit of $295 million in the Consolidated Statement of Operations and corresponding asset in Other current assets in the Consolidated Balance Sheet for Honeywell's rights to the proceeds from the HWI Sale. The benefit of $295 million offset the charge for the Buyout Amount.</w:t>
      </w:r>
    </w:p>
    <w:p>
      <w:pPr>
        <w:spacing w:after="0" w:line="45"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On February 16, 2023, the HWI Sale closed. Pursuant to the Amended Buyout Agreement, during 2023, Honeywell received $275 million of proceeds from the HWI sale. See Note 12 Fair Value Measurements for further information on the related proceeds and remaining amount under the Amended Buyout Agreement.</w:t>
      </w:r>
    </w:p>
    <w:p>
      <w:pPr>
        <w:spacing w:after="0" w:line="33"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b w:val="1"/>
          <w:bCs w:val="1"/>
          <w:i w:val="1"/>
          <w:iCs w:val="1"/>
          <w:color w:val="auto"/>
        </w:rPr>
        <w:t xml:space="preserve">Bendix Products </w:t>
      </w:r>
      <w:r>
        <w:rPr>
          <w:rFonts w:ascii="Arial" w:cs="Arial" w:eastAsia="Arial" w:hAnsi="Arial"/>
          <w:sz w:val="11"/>
          <w:szCs w:val="11"/>
          <w:color w:val="auto"/>
        </w:rPr>
        <w:t>– Bendix manufactured automotive brake linings that contained chrysotile asbestos in an encapsulated form. Claimants consist largely of individuals who allege exposure to asbestos from brakes from either performing</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or being in the vicinity of individuals who performed brake replacements. The following tables present information regarding Bendix-related asbestos claims activity:</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6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1580" w:type="dxa"/>
            <w:vAlign w:val="bottom"/>
            <w:tcBorders>
              <w:bottom w:val="single" w:sz="8" w:color="D7282F"/>
            </w:tcBorders>
            <w:gridSpan w:val="3"/>
          </w:tcPr>
          <w:p>
            <w:pPr>
              <w:jc w:val="right"/>
              <w:ind w:right="212"/>
              <w:spacing w:after="0"/>
              <w:rPr>
                <w:sz w:val="20"/>
                <w:szCs w:val="20"/>
                <w:color w:val="auto"/>
              </w:rPr>
            </w:pPr>
            <w:r>
              <w:rPr>
                <w:rFonts w:ascii="Arial" w:cs="Arial" w:eastAsia="Arial" w:hAnsi="Arial"/>
                <w:sz w:val="10"/>
                <w:szCs w:val="10"/>
                <w:b w:val="1"/>
                <w:bCs w:val="1"/>
                <w:color w:val="auto"/>
              </w:rPr>
              <w:t>Years Ended December 31,</w:t>
            </w:r>
          </w:p>
        </w:tc>
      </w:tr>
      <w:tr>
        <w:trPr>
          <w:trHeight w:val="151"/>
        </w:trPr>
        <w:tc>
          <w:tcPr>
            <w:tcW w:w="6640" w:type="dxa"/>
            <w:vAlign w:val="bottom"/>
            <w:tcBorders>
              <w:bottom w:val="single" w:sz="8" w:color="D7282F"/>
            </w:tcBorders>
          </w:tcPr>
          <w:p>
            <w:pPr>
              <w:spacing w:after="0"/>
              <w:rPr>
                <w:sz w:val="13"/>
                <w:szCs w:val="13"/>
                <w:color w:val="auto"/>
              </w:rPr>
            </w:pPr>
          </w:p>
        </w:tc>
        <w:tc>
          <w:tcPr>
            <w:tcW w:w="16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spacing w:after="0"/>
              <w:rPr>
                <w:sz w:val="13"/>
                <w:szCs w:val="13"/>
                <w:color w:val="auto"/>
              </w:rPr>
            </w:pPr>
          </w:p>
        </w:tc>
        <w:tc>
          <w:tcPr>
            <w:tcW w:w="300" w:type="dxa"/>
            <w:vAlign w:val="bottom"/>
            <w:tcBorders>
              <w:bottom w:val="single" w:sz="8" w:color="D7282F"/>
            </w:tcBorders>
          </w:tcPr>
          <w:p>
            <w:pPr>
              <w:spacing w:after="0"/>
              <w:rPr>
                <w:sz w:val="13"/>
                <w:szCs w:val="13"/>
                <w:color w:val="auto"/>
              </w:rPr>
            </w:pPr>
          </w:p>
        </w:tc>
        <w:tc>
          <w:tcPr>
            <w:tcW w:w="560" w:type="dxa"/>
            <w:vAlign w:val="bottom"/>
            <w:tcBorders>
              <w:bottom w:val="single" w:sz="8" w:color="D7282F"/>
            </w:tcBorders>
          </w:tcPr>
          <w:p>
            <w:pPr>
              <w:spacing w:after="0"/>
              <w:rPr>
                <w:sz w:val="13"/>
                <w:szCs w:val="13"/>
                <w:color w:val="auto"/>
              </w:rPr>
            </w:pPr>
          </w:p>
        </w:tc>
        <w:tc>
          <w:tcPr>
            <w:tcW w:w="400" w:type="dxa"/>
            <w:vAlign w:val="bottom"/>
            <w:tcBorders>
              <w:bottom w:val="single" w:sz="8" w:color="D7282F"/>
            </w:tcBorders>
          </w:tcPr>
          <w:p>
            <w:pPr>
              <w:spacing w:after="0"/>
              <w:rPr>
                <w:sz w:val="13"/>
                <w:szCs w:val="13"/>
                <w:color w:val="auto"/>
              </w:rPr>
            </w:pPr>
          </w:p>
        </w:tc>
        <w:tc>
          <w:tcPr>
            <w:tcW w:w="820" w:type="dxa"/>
            <w:vAlign w:val="bottom"/>
            <w:tcBorders>
              <w:bottom w:val="single" w:sz="8" w:color="D7282F"/>
            </w:tcBorders>
          </w:tcPr>
          <w:p>
            <w:pPr>
              <w:spacing w:after="0"/>
              <w:rPr>
                <w:sz w:val="13"/>
                <w:szCs w:val="13"/>
                <w:color w:val="auto"/>
              </w:rPr>
            </w:pPr>
          </w:p>
        </w:tc>
        <w:tc>
          <w:tcPr>
            <w:tcW w:w="160" w:type="dxa"/>
            <w:vAlign w:val="bottom"/>
            <w:tcBorders>
              <w:bottom w:val="single" w:sz="8" w:color="D7282F"/>
            </w:tcBorders>
          </w:tcPr>
          <w:p>
            <w:pPr>
              <w:spacing w:after="0"/>
              <w:rPr>
                <w:sz w:val="13"/>
                <w:szCs w:val="13"/>
                <w:color w:val="auto"/>
              </w:rPr>
            </w:pPr>
          </w:p>
        </w:tc>
        <w:tc>
          <w:tcPr>
            <w:tcW w:w="70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2023</w:t>
            </w:r>
          </w:p>
        </w:tc>
        <w:tc>
          <w:tcPr>
            <w:tcW w:w="28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2022</w:t>
            </w:r>
          </w:p>
        </w:tc>
      </w:tr>
      <w:tr>
        <w:trPr>
          <w:trHeight w:val="128"/>
        </w:trPr>
        <w:tc>
          <w:tcPr>
            <w:tcW w:w="66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Claims unresolved at the beginning of year</w:t>
            </w:r>
          </w:p>
        </w:tc>
        <w:tc>
          <w:tcPr>
            <w:tcW w:w="160" w:type="dxa"/>
            <w:vAlign w:val="bottom"/>
            <w:tcBorders>
              <w:bottom w:val="single" w:sz="8" w:color="D7282F"/>
            </w:tcBorders>
          </w:tcPr>
          <w:p>
            <w:pPr>
              <w:spacing w:after="0"/>
              <w:rPr>
                <w:sz w:val="11"/>
                <w:szCs w:val="11"/>
                <w:color w:val="auto"/>
              </w:rPr>
            </w:pPr>
          </w:p>
        </w:tc>
        <w:tc>
          <w:tcPr>
            <w:tcW w:w="680" w:type="dxa"/>
            <w:vAlign w:val="bottom"/>
            <w:tcBorders>
              <w:bottom w:val="single" w:sz="8" w:color="D7282F"/>
            </w:tcBorders>
          </w:tcPr>
          <w:p>
            <w:pPr>
              <w:spacing w:after="0"/>
              <w:rPr>
                <w:sz w:val="11"/>
                <w:szCs w:val="11"/>
                <w:color w:val="auto"/>
              </w:rPr>
            </w:pPr>
          </w:p>
        </w:tc>
        <w:tc>
          <w:tcPr>
            <w:tcW w:w="300" w:type="dxa"/>
            <w:vAlign w:val="bottom"/>
            <w:tcBorders>
              <w:bottom w:val="single" w:sz="8" w:color="D7282F"/>
            </w:tcBorders>
          </w:tcPr>
          <w:p>
            <w:pPr>
              <w:spacing w:after="0"/>
              <w:rPr>
                <w:sz w:val="11"/>
                <w:szCs w:val="11"/>
                <w:color w:val="auto"/>
              </w:rPr>
            </w:pPr>
          </w:p>
        </w:tc>
        <w:tc>
          <w:tcPr>
            <w:tcW w:w="560" w:type="dxa"/>
            <w:vAlign w:val="bottom"/>
            <w:tcBorders>
              <w:bottom w:val="single" w:sz="8" w:color="D7282F"/>
            </w:tcBorders>
          </w:tcPr>
          <w:p>
            <w:pPr>
              <w:spacing w:after="0"/>
              <w:rPr>
                <w:sz w:val="11"/>
                <w:szCs w:val="11"/>
                <w:color w:val="auto"/>
              </w:rPr>
            </w:pPr>
          </w:p>
        </w:tc>
        <w:tc>
          <w:tcPr>
            <w:tcW w:w="400" w:type="dxa"/>
            <w:vAlign w:val="bottom"/>
            <w:tcBorders>
              <w:bottom w:val="single" w:sz="8" w:color="D7282F"/>
            </w:tcBorders>
          </w:tcPr>
          <w:p>
            <w:pPr>
              <w:spacing w:after="0"/>
              <w:rPr>
                <w:sz w:val="11"/>
                <w:szCs w:val="11"/>
                <w:color w:val="auto"/>
              </w:rPr>
            </w:pPr>
          </w:p>
        </w:tc>
        <w:tc>
          <w:tcPr>
            <w:tcW w:w="820" w:type="dxa"/>
            <w:vAlign w:val="bottom"/>
            <w:tcBorders>
              <w:bottom w:val="single" w:sz="8" w:color="D7282F"/>
            </w:tcBorders>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5,608</w:t>
            </w:r>
          </w:p>
        </w:tc>
        <w:tc>
          <w:tcPr>
            <w:tcW w:w="280" w:type="dxa"/>
            <w:vAlign w:val="bottom"/>
            <w:tcBorders>
              <w:bottom w:val="single" w:sz="8" w:color="D7282F"/>
            </w:tcBorders>
          </w:tcPr>
          <w:p>
            <w:pPr>
              <w:spacing w:after="0"/>
              <w:rPr>
                <w:sz w:val="11"/>
                <w:szCs w:val="11"/>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6,401</w:t>
            </w:r>
          </w:p>
        </w:tc>
      </w:tr>
      <w:tr>
        <w:trPr>
          <w:trHeight w:val="122"/>
        </w:trPr>
        <w:tc>
          <w:tcPr>
            <w:tcW w:w="664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Claims filed</w:t>
            </w:r>
          </w:p>
        </w:tc>
        <w:tc>
          <w:tcPr>
            <w:tcW w:w="16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spacing w:after="0"/>
              <w:rPr>
                <w:sz w:val="10"/>
                <w:szCs w:val="10"/>
                <w:color w:val="auto"/>
              </w:rPr>
            </w:pPr>
          </w:p>
        </w:tc>
        <w:tc>
          <w:tcPr>
            <w:tcW w:w="300" w:type="dxa"/>
            <w:vAlign w:val="bottom"/>
            <w:tcBorders>
              <w:bottom w:val="single" w:sz="8" w:color="61656A"/>
            </w:tcBorders>
          </w:tcPr>
          <w:p>
            <w:pPr>
              <w:spacing w:after="0"/>
              <w:rPr>
                <w:sz w:val="10"/>
                <w:szCs w:val="10"/>
                <w:color w:val="auto"/>
              </w:rPr>
            </w:pPr>
          </w:p>
        </w:tc>
        <w:tc>
          <w:tcPr>
            <w:tcW w:w="560" w:type="dxa"/>
            <w:vAlign w:val="bottom"/>
            <w:tcBorders>
              <w:bottom w:val="single" w:sz="8" w:color="61656A"/>
            </w:tcBorders>
          </w:tcPr>
          <w:p>
            <w:pPr>
              <w:spacing w:after="0"/>
              <w:rPr>
                <w:sz w:val="10"/>
                <w:szCs w:val="10"/>
                <w:color w:val="auto"/>
              </w:rPr>
            </w:pPr>
          </w:p>
        </w:tc>
        <w:tc>
          <w:tcPr>
            <w:tcW w:w="40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spacing w:after="0"/>
              <w:rPr>
                <w:sz w:val="10"/>
                <w:szCs w:val="10"/>
                <w:color w:val="auto"/>
              </w:rPr>
            </w:pP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1,803</w:t>
            </w:r>
          </w:p>
        </w:tc>
        <w:tc>
          <w:tcPr>
            <w:tcW w:w="2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2,014</w:t>
            </w:r>
          </w:p>
        </w:tc>
      </w:tr>
      <w:tr>
        <w:trPr>
          <w:trHeight w:val="124"/>
        </w:trPr>
        <w:tc>
          <w:tcPr>
            <w:tcW w:w="664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Claims resolved</w:t>
            </w:r>
          </w:p>
        </w:tc>
        <w:tc>
          <w:tcPr>
            <w:tcW w:w="16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(1,894)</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(2,807)</w:t>
            </w:r>
          </w:p>
        </w:tc>
      </w:tr>
      <w:tr>
        <w:trPr>
          <w:trHeight w:val="126"/>
        </w:trPr>
        <w:tc>
          <w:tcPr>
            <w:tcW w:w="66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Claims unresolved at the end of year</w:t>
            </w:r>
          </w:p>
        </w:tc>
        <w:tc>
          <w:tcPr>
            <w:tcW w:w="16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5,517</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5,608</w:t>
            </w:r>
          </w:p>
        </w:tc>
      </w:tr>
      <w:tr>
        <w:trPr>
          <w:trHeight w:val="381"/>
        </w:trPr>
        <w:tc>
          <w:tcPr>
            <w:tcW w:w="6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Borders>
              <w:bottom w:val="single" w:sz="8" w:color="D7282F"/>
            </w:tcBorders>
          </w:tcPr>
          <w:p>
            <w:pPr>
              <w:spacing w:after="0"/>
              <w:rPr>
                <w:sz w:val="24"/>
                <w:szCs w:val="24"/>
                <w:color w:val="auto"/>
              </w:rPr>
            </w:pPr>
          </w:p>
        </w:tc>
        <w:tc>
          <w:tcPr>
            <w:tcW w:w="1580" w:type="dxa"/>
            <w:vAlign w:val="bottom"/>
            <w:tcBorders>
              <w:bottom w:val="single" w:sz="8" w:color="D7282F"/>
            </w:tcBorders>
            <w:gridSpan w:val="3"/>
          </w:tcPr>
          <w:p>
            <w:pPr>
              <w:jc w:val="right"/>
              <w:ind w:right="212"/>
              <w:spacing w:after="0"/>
              <w:rPr>
                <w:sz w:val="20"/>
                <w:szCs w:val="20"/>
                <w:color w:val="auto"/>
              </w:rPr>
            </w:pPr>
            <w:r>
              <w:rPr>
                <w:rFonts w:ascii="Arial" w:cs="Arial" w:eastAsia="Arial" w:hAnsi="Arial"/>
                <w:sz w:val="10"/>
                <w:szCs w:val="10"/>
                <w:b w:val="1"/>
                <w:bCs w:val="1"/>
                <w:color w:val="auto"/>
              </w:rPr>
              <w:t>Years Ended December 31,</w:t>
            </w:r>
          </w:p>
        </w:tc>
      </w:tr>
      <w:tr>
        <w:trPr>
          <w:trHeight w:val="151"/>
        </w:trPr>
        <w:tc>
          <w:tcPr>
            <w:tcW w:w="66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Disease Distribution of Unresolved Claims</w:t>
            </w:r>
          </w:p>
        </w:tc>
        <w:tc>
          <w:tcPr>
            <w:tcW w:w="16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spacing w:after="0"/>
              <w:rPr>
                <w:sz w:val="13"/>
                <w:szCs w:val="13"/>
                <w:color w:val="auto"/>
              </w:rPr>
            </w:pPr>
          </w:p>
        </w:tc>
        <w:tc>
          <w:tcPr>
            <w:tcW w:w="300" w:type="dxa"/>
            <w:vAlign w:val="bottom"/>
            <w:tcBorders>
              <w:bottom w:val="single" w:sz="8" w:color="D7282F"/>
            </w:tcBorders>
          </w:tcPr>
          <w:p>
            <w:pPr>
              <w:spacing w:after="0"/>
              <w:rPr>
                <w:sz w:val="13"/>
                <w:szCs w:val="13"/>
                <w:color w:val="auto"/>
              </w:rPr>
            </w:pPr>
          </w:p>
        </w:tc>
        <w:tc>
          <w:tcPr>
            <w:tcW w:w="560" w:type="dxa"/>
            <w:vAlign w:val="bottom"/>
            <w:tcBorders>
              <w:bottom w:val="single" w:sz="8" w:color="D7282F"/>
            </w:tcBorders>
          </w:tcPr>
          <w:p>
            <w:pPr>
              <w:spacing w:after="0"/>
              <w:rPr>
                <w:sz w:val="13"/>
                <w:szCs w:val="13"/>
                <w:color w:val="auto"/>
              </w:rPr>
            </w:pPr>
          </w:p>
        </w:tc>
        <w:tc>
          <w:tcPr>
            <w:tcW w:w="400" w:type="dxa"/>
            <w:vAlign w:val="bottom"/>
            <w:tcBorders>
              <w:bottom w:val="single" w:sz="8" w:color="D7282F"/>
            </w:tcBorders>
          </w:tcPr>
          <w:p>
            <w:pPr>
              <w:spacing w:after="0"/>
              <w:rPr>
                <w:sz w:val="13"/>
                <w:szCs w:val="13"/>
                <w:color w:val="auto"/>
              </w:rPr>
            </w:pPr>
          </w:p>
        </w:tc>
        <w:tc>
          <w:tcPr>
            <w:tcW w:w="820" w:type="dxa"/>
            <w:vAlign w:val="bottom"/>
            <w:tcBorders>
              <w:bottom w:val="single" w:sz="8" w:color="D7282F"/>
            </w:tcBorders>
          </w:tcPr>
          <w:p>
            <w:pPr>
              <w:spacing w:after="0"/>
              <w:rPr>
                <w:sz w:val="13"/>
                <w:szCs w:val="13"/>
                <w:color w:val="auto"/>
              </w:rPr>
            </w:pPr>
          </w:p>
        </w:tc>
        <w:tc>
          <w:tcPr>
            <w:tcW w:w="160" w:type="dxa"/>
            <w:vAlign w:val="bottom"/>
            <w:tcBorders>
              <w:bottom w:val="single" w:sz="8" w:color="D7282F"/>
            </w:tcBorders>
          </w:tcPr>
          <w:p>
            <w:pPr>
              <w:spacing w:after="0"/>
              <w:rPr>
                <w:sz w:val="13"/>
                <w:szCs w:val="13"/>
                <w:color w:val="auto"/>
              </w:rPr>
            </w:pPr>
          </w:p>
        </w:tc>
        <w:tc>
          <w:tcPr>
            <w:tcW w:w="70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2023</w:t>
            </w:r>
          </w:p>
        </w:tc>
        <w:tc>
          <w:tcPr>
            <w:tcW w:w="28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2022</w:t>
            </w:r>
          </w:p>
        </w:tc>
      </w:tr>
      <w:tr>
        <w:trPr>
          <w:trHeight w:val="127"/>
        </w:trPr>
        <w:tc>
          <w:tcPr>
            <w:tcW w:w="66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Mesothelioma and other cancer claims</w:t>
            </w:r>
          </w:p>
        </w:tc>
        <w:tc>
          <w:tcPr>
            <w:tcW w:w="160" w:type="dxa"/>
            <w:vAlign w:val="bottom"/>
            <w:tcBorders>
              <w:bottom w:val="single" w:sz="8" w:color="61656A"/>
            </w:tcBorders>
          </w:tcPr>
          <w:p>
            <w:pPr>
              <w:spacing w:after="0"/>
              <w:rPr>
                <w:sz w:val="11"/>
                <w:szCs w:val="11"/>
                <w:color w:val="auto"/>
              </w:rPr>
            </w:pPr>
          </w:p>
        </w:tc>
        <w:tc>
          <w:tcPr>
            <w:tcW w:w="680" w:type="dxa"/>
            <w:vAlign w:val="bottom"/>
            <w:tcBorders>
              <w:bottom w:val="single" w:sz="8" w:color="61656A"/>
            </w:tcBorders>
          </w:tcPr>
          <w:p>
            <w:pPr>
              <w:spacing w:after="0"/>
              <w:rPr>
                <w:sz w:val="11"/>
                <w:szCs w:val="11"/>
                <w:color w:val="auto"/>
              </w:rPr>
            </w:pPr>
          </w:p>
        </w:tc>
        <w:tc>
          <w:tcPr>
            <w:tcW w:w="300" w:type="dxa"/>
            <w:vAlign w:val="bottom"/>
            <w:tcBorders>
              <w:bottom w:val="single" w:sz="8" w:color="61656A"/>
            </w:tcBorders>
          </w:tcPr>
          <w:p>
            <w:pPr>
              <w:spacing w:after="0"/>
              <w:rPr>
                <w:sz w:val="11"/>
                <w:szCs w:val="11"/>
                <w:color w:val="auto"/>
              </w:rPr>
            </w:pPr>
          </w:p>
        </w:tc>
        <w:tc>
          <w:tcPr>
            <w:tcW w:w="560" w:type="dxa"/>
            <w:vAlign w:val="bottom"/>
            <w:tcBorders>
              <w:bottom w:val="single" w:sz="8" w:color="61656A"/>
            </w:tcBorders>
          </w:tcPr>
          <w:p>
            <w:pPr>
              <w:spacing w:after="0"/>
              <w:rPr>
                <w:sz w:val="11"/>
                <w:szCs w:val="11"/>
                <w:color w:val="auto"/>
              </w:rPr>
            </w:pPr>
          </w:p>
        </w:tc>
        <w:tc>
          <w:tcPr>
            <w:tcW w:w="400" w:type="dxa"/>
            <w:vAlign w:val="bottom"/>
            <w:tcBorders>
              <w:bottom w:val="single" w:sz="8" w:color="61656A"/>
            </w:tcBorders>
          </w:tcPr>
          <w:p>
            <w:pPr>
              <w:spacing w:after="0"/>
              <w:rPr>
                <w:sz w:val="11"/>
                <w:szCs w:val="11"/>
                <w:color w:val="auto"/>
              </w:rPr>
            </w:pPr>
          </w:p>
        </w:tc>
        <w:tc>
          <w:tcPr>
            <w:tcW w:w="820" w:type="dxa"/>
            <w:vAlign w:val="bottom"/>
            <w:tcBorders>
              <w:bottom w:val="single" w:sz="8" w:color="61656A"/>
            </w:tcBorders>
          </w:tcPr>
          <w:p>
            <w:pPr>
              <w:spacing w:after="0"/>
              <w:rPr>
                <w:sz w:val="11"/>
                <w:szCs w:val="11"/>
                <w:color w:val="auto"/>
              </w:rPr>
            </w:pPr>
          </w:p>
        </w:tc>
        <w:tc>
          <w:tcPr>
            <w:tcW w:w="160" w:type="dxa"/>
            <w:vAlign w:val="bottom"/>
            <w:tcBorders>
              <w:bottom w:val="single" w:sz="8" w:color="61656A"/>
            </w:tcBorders>
          </w:tcPr>
          <w:p>
            <w:pPr>
              <w:spacing w:after="0"/>
              <w:rPr>
                <w:sz w:val="11"/>
                <w:szCs w:val="11"/>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3,244</w:t>
            </w:r>
          </w:p>
        </w:tc>
        <w:tc>
          <w:tcPr>
            <w:tcW w:w="280" w:type="dxa"/>
            <w:vAlign w:val="bottom"/>
            <w:tcBorders>
              <w:bottom w:val="single" w:sz="8" w:color="61656A"/>
            </w:tcBorders>
          </w:tcPr>
          <w:p>
            <w:pPr>
              <w:spacing w:after="0"/>
              <w:rPr>
                <w:sz w:val="11"/>
                <w:szCs w:val="11"/>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3,283</w:t>
            </w:r>
          </w:p>
        </w:tc>
      </w:tr>
      <w:tr>
        <w:trPr>
          <w:trHeight w:val="124"/>
        </w:trPr>
        <w:tc>
          <w:tcPr>
            <w:tcW w:w="66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Nonmalignant claims</w:t>
            </w:r>
          </w:p>
        </w:tc>
        <w:tc>
          <w:tcPr>
            <w:tcW w:w="16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2,273</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2,325</w:t>
            </w:r>
          </w:p>
        </w:tc>
      </w:tr>
      <w:tr>
        <w:trPr>
          <w:trHeight w:val="126"/>
        </w:trPr>
        <w:tc>
          <w:tcPr>
            <w:tcW w:w="664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claims</w:t>
            </w:r>
          </w:p>
        </w:tc>
        <w:tc>
          <w:tcPr>
            <w:tcW w:w="16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5,517</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5,608</w:t>
            </w:r>
          </w:p>
        </w:tc>
      </w:tr>
      <w:tr>
        <w:trPr>
          <w:trHeight w:val="258"/>
        </w:trPr>
        <w:tc>
          <w:tcPr>
            <w:tcW w:w="6640" w:type="dxa"/>
            <w:vAlign w:val="bottom"/>
          </w:tcPr>
          <w:p>
            <w:pPr>
              <w:spacing w:after="0"/>
              <w:rPr>
                <w:sz w:val="20"/>
                <w:szCs w:val="20"/>
                <w:color w:val="auto"/>
              </w:rPr>
            </w:pPr>
            <w:r>
              <w:rPr>
                <w:rFonts w:ascii="Arial" w:cs="Arial" w:eastAsia="Arial" w:hAnsi="Arial"/>
                <w:sz w:val="11"/>
                <w:szCs w:val="11"/>
                <w:color w:val="auto"/>
              </w:rPr>
              <w:t>Honeywell has experienced average resolution values per claim excluding legal costs as follows:</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48"/>
        </w:trPr>
        <w:tc>
          <w:tcPr>
            <w:tcW w:w="6640" w:type="dxa"/>
            <w:vAlign w:val="bottom"/>
          </w:tcPr>
          <w:p>
            <w:pPr>
              <w:spacing w:after="0"/>
              <w:rPr>
                <w:sz w:val="21"/>
                <w:szCs w:val="21"/>
                <w:color w:val="auto"/>
              </w:rPr>
            </w:pPr>
          </w:p>
        </w:tc>
        <w:tc>
          <w:tcPr>
            <w:tcW w:w="160" w:type="dxa"/>
            <w:vAlign w:val="bottom"/>
            <w:tcBorders>
              <w:bottom w:val="single" w:sz="8" w:color="D7282F"/>
            </w:tcBorders>
          </w:tcPr>
          <w:p>
            <w:pPr>
              <w:spacing w:after="0"/>
              <w:rPr>
                <w:sz w:val="21"/>
                <w:szCs w:val="21"/>
                <w:color w:val="auto"/>
              </w:rPr>
            </w:pPr>
          </w:p>
        </w:tc>
        <w:tc>
          <w:tcPr>
            <w:tcW w:w="680" w:type="dxa"/>
            <w:vAlign w:val="bottom"/>
            <w:tcBorders>
              <w:bottom w:val="single" w:sz="8" w:color="D7282F"/>
            </w:tcBorders>
          </w:tcPr>
          <w:p>
            <w:pPr>
              <w:spacing w:after="0"/>
              <w:rPr>
                <w:sz w:val="21"/>
                <w:szCs w:val="21"/>
                <w:color w:val="auto"/>
              </w:rPr>
            </w:pPr>
          </w:p>
        </w:tc>
        <w:tc>
          <w:tcPr>
            <w:tcW w:w="300" w:type="dxa"/>
            <w:vAlign w:val="bottom"/>
            <w:tcBorders>
              <w:bottom w:val="single" w:sz="8" w:color="D7282F"/>
            </w:tcBorders>
          </w:tcPr>
          <w:p>
            <w:pPr>
              <w:spacing w:after="0"/>
              <w:rPr>
                <w:sz w:val="21"/>
                <w:szCs w:val="21"/>
                <w:color w:val="auto"/>
              </w:rPr>
            </w:pPr>
          </w:p>
        </w:tc>
        <w:tc>
          <w:tcPr>
            <w:tcW w:w="560" w:type="dxa"/>
            <w:vAlign w:val="bottom"/>
            <w:tcBorders>
              <w:bottom w:val="single" w:sz="8" w:color="D7282F"/>
            </w:tcBorders>
          </w:tcPr>
          <w:p>
            <w:pPr>
              <w:spacing w:after="0"/>
              <w:rPr>
                <w:sz w:val="21"/>
                <w:szCs w:val="21"/>
                <w:color w:val="auto"/>
              </w:rPr>
            </w:pPr>
          </w:p>
        </w:tc>
        <w:tc>
          <w:tcPr>
            <w:tcW w:w="1380" w:type="dxa"/>
            <w:vAlign w:val="bottom"/>
            <w:tcBorders>
              <w:bottom w:val="single" w:sz="8" w:color="D7282F"/>
            </w:tcBorders>
            <w:gridSpan w:val="3"/>
          </w:tcPr>
          <w:p>
            <w:pPr>
              <w:jc w:val="center"/>
              <w:ind w:right="72"/>
              <w:spacing w:after="0"/>
              <w:rPr>
                <w:sz w:val="20"/>
                <w:szCs w:val="20"/>
                <w:color w:val="auto"/>
              </w:rPr>
            </w:pPr>
            <w:r>
              <w:rPr>
                <w:rFonts w:ascii="Arial" w:cs="Arial" w:eastAsia="Arial" w:hAnsi="Arial"/>
                <w:sz w:val="10"/>
                <w:szCs w:val="10"/>
                <w:b w:val="1"/>
                <w:bCs w:val="1"/>
                <w:color w:val="auto"/>
                <w:w w:val="94"/>
              </w:rPr>
              <w:t>Years Ended December 31,</w:t>
            </w:r>
          </w:p>
        </w:tc>
        <w:tc>
          <w:tcPr>
            <w:tcW w:w="700" w:type="dxa"/>
            <w:vAlign w:val="bottom"/>
            <w:tcBorders>
              <w:bottom w:val="single" w:sz="8" w:color="D7282F"/>
            </w:tcBorders>
          </w:tcPr>
          <w:p>
            <w:pPr>
              <w:spacing w:after="0"/>
              <w:rPr>
                <w:sz w:val="21"/>
                <w:szCs w:val="21"/>
                <w:color w:val="auto"/>
              </w:rPr>
            </w:pPr>
          </w:p>
        </w:tc>
        <w:tc>
          <w:tcPr>
            <w:tcW w:w="280" w:type="dxa"/>
            <w:vAlign w:val="bottom"/>
            <w:tcBorders>
              <w:bottom w:val="single" w:sz="8" w:color="D7282F"/>
            </w:tcBorders>
          </w:tcPr>
          <w:p>
            <w:pPr>
              <w:spacing w:after="0"/>
              <w:rPr>
                <w:sz w:val="21"/>
                <w:szCs w:val="21"/>
                <w:color w:val="auto"/>
              </w:rPr>
            </w:pPr>
          </w:p>
        </w:tc>
        <w:tc>
          <w:tcPr>
            <w:tcW w:w="600" w:type="dxa"/>
            <w:vAlign w:val="bottom"/>
            <w:tcBorders>
              <w:bottom w:val="single" w:sz="8" w:color="D7282F"/>
            </w:tcBorders>
          </w:tcPr>
          <w:p>
            <w:pPr>
              <w:spacing w:after="0"/>
              <w:rPr>
                <w:sz w:val="21"/>
                <w:szCs w:val="21"/>
                <w:color w:val="auto"/>
              </w:rPr>
            </w:pPr>
          </w:p>
        </w:tc>
      </w:tr>
      <w:tr>
        <w:trPr>
          <w:trHeight w:val="151"/>
        </w:trPr>
        <w:tc>
          <w:tcPr>
            <w:tcW w:w="6640" w:type="dxa"/>
            <w:vAlign w:val="bottom"/>
          </w:tcPr>
          <w:p>
            <w:pPr>
              <w:spacing w:after="0"/>
              <w:rPr>
                <w:sz w:val="13"/>
                <w:szCs w:val="13"/>
                <w:color w:val="auto"/>
              </w:rPr>
            </w:pPr>
          </w:p>
        </w:tc>
        <w:tc>
          <w:tcPr>
            <w:tcW w:w="16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2023</w:t>
            </w:r>
          </w:p>
        </w:tc>
        <w:tc>
          <w:tcPr>
            <w:tcW w:w="300" w:type="dxa"/>
            <w:vAlign w:val="bottom"/>
            <w:tcBorders>
              <w:bottom w:val="single" w:sz="8" w:color="D7282F"/>
            </w:tcBorders>
          </w:tcPr>
          <w:p>
            <w:pPr>
              <w:spacing w:after="0"/>
              <w:rPr>
                <w:sz w:val="13"/>
                <w:szCs w:val="13"/>
                <w:color w:val="auto"/>
              </w:rPr>
            </w:pPr>
          </w:p>
        </w:tc>
        <w:tc>
          <w:tcPr>
            <w:tcW w:w="560" w:type="dxa"/>
            <w:vAlign w:val="bottom"/>
            <w:tcBorders>
              <w:bottom w:val="single" w:sz="8" w:color="D7282F"/>
            </w:tcBorders>
          </w:tcPr>
          <w:p>
            <w:pPr>
              <w:jc w:val="right"/>
              <w:ind w:right="192"/>
              <w:spacing w:after="0"/>
              <w:rPr>
                <w:sz w:val="20"/>
                <w:szCs w:val="20"/>
                <w:color w:val="auto"/>
              </w:rPr>
            </w:pPr>
            <w:r>
              <w:rPr>
                <w:rFonts w:ascii="Arial" w:cs="Arial" w:eastAsia="Arial" w:hAnsi="Arial"/>
                <w:sz w:val="10"/>
                <w:szCs w:val="10"/>
                <w:b w:val="1"/>
                <w:bCs w:val="1"/>
                <w:color w:val="auto"/>
              </w:rPr>
              <w:t>2022</w:t>
            </w:r>
          </w:p>
        </w:tc>
        <w:tc>
          <w:tcPr>
            <w:tcW w:w="400" w:type="dxa"/>
            <w:vAlign w:val="bottom"/>
            <w:tcBorders>
              <w:bottom w:val="single" w:sz="8" w:color="D7282F"/>
            </w:tcBorders>
          </w:tcPr>
          <w:p>
            <w:pPr>
              <w:spacing w:after="0"/>
              <w:rPr>
                <w:sz w:val="13"/>
                <w:szCs w:val="13"/>
                <w:color w:val="auto"/>
              </w:rPr>
            </w:pPr>
          </w:p>
        </w:tc>
        <w:tc>
          <w:tcPr>
            <w:tcW w:w="820" w:type="dxa"/>
            <w:vAlign w:val="bottom"/>
            <w:tcBorders>
              <w:bottom w:val="single" w:sz="8" w:color="D7282F"/>
            </w:tcBorders>
          </w:tcPr>
          <w:p>
            <w:pPr>
              <w:jc w:val="center"/>
              <w:ind w:right="352"/>
              <w:spacing w:after="0"/>
              <w:rPr>
                <w:sz w:val="20"/>
                <w:szCs w:val="20"/>
                <w:color w:val="auto"/>
              </w:rPr>
            </w:pPr>
            <w:r>
              <w:rPr>
                <w:rFonts w:ascii="Arial" w:cs="Arial" w:eastAsia="Arial" w:hAnsi="Arial"/>
                <w:sz w:val="10"/>
                <w:szCs w:val="10"/>
                <w:b w:val="1"/>
                <w:bCs w:val="1"/>
                <w:color w:val="auto"/>
                <w:w w:val="98"/>
              </w:rPr>
              <w:t>2021</w:t>
            </w:r>
          </w:p>
        </w:tc>
        <w:tc>
          <w:tcPr>
            <w:tcW w:w="160" w:type="dxa"/>
            <w:vAlign w:val="bottom"/>
            <w:tcBorders>
              <w:bottom w:val="single" w:sz="8" w:color="D7282F"/>
            </w:tcBorders>
          </w:tcPr>
          <w:p>
            <w:pPr>
              <w:spacing w:after="0"/>
              <w:rPr>
                <w:sz w:val="13"/>
                <w:szCs w:val="13"/>
                <w:color w:val="auto"/>
              </w:rPr>
            </w:pPr>
          </w:p>
        </w:tc>
        <w:tc>
          <w:tcPr>
            <w:tcW w:w="70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2020</w:t>
            </w:r>
          </w:p>
        </w:tc>
        <w:tc>
          <w:tcPr>
            <w:tcW w:w="28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2019</w:t>
            </w:r>
          </w:p>
        </w:tc>
      </w:tr>
      <w:tr>
        <w:trPr>
          <w:trHeight w:val="128"/>
        </w:trPr>
        <w:tc>
          <w:tcPr>
            <w:tcW w:w="6640" w:type="dxa"/>
            <w:vAlign w:val="bottom"/>
            <w:tcBorders>
              <w:bottom w:val="single" w:sz="8" w:color="D7282F"/>
            </w:tcBorders>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680" w:type="dxa"/>
            <w:vAlign w:val="bottom"/>
            <w:tcBorders>
              <w:bottom w:val="single" w:sz="8" w:color="D7282F"/>
            </w:tcBorders>
          </w:tcPr>
          <w:p>
            <w:pPr>
              <w:spacing w:after="0"/>
              <w:rPr>
                <w:sz w:val="11"/>
                <w:szCs w:val="11"/>
                <w:color w:val="auto"/>
              </w:rPr>
            </w:pPr>
          </w:p>
        </w:tc>
        <w:tc>
          <w:tcPr>
            <w:tcW w:w="300" w:type="dxa"/>
            <w:vAlign w:val="bottom"/>
            <w:tcBorders>
              <w:bottom w:val="single" w:sz="8" w:color="D7282F"/>
            </w:tcBorders>
          </w:tcPr>
          <w:p>
            <w:pPr>
              <w:spacing w:after="0"/>
              <w:rPr>
                <w:sz w:val="11"/>
                <w:szCs w:val="11"/>
                <w:color w:val="auto"/>
              </w:rPr>
            </w:pPr>
          </w:p>
        </w:tc>
        <w:tc>
          <w:tcPr>
            <w:tcW w:w="560" w:type="dxa"/>
            <w:vAlign w:val="bottom"/>
            <w:tcBorders>
              <w:bottom w:val="single" w:sz="8" w:color="D7282F"/>
            </w:tcBorders>
          </w:tcPr>
          <w:p>
            <w:pPr>
              <w:spacing w:after="0"/>
              <w:rPr>
                <w:sz w:val="11"/>
                <w:szCs w:val="11"/>
                <w:color w:val="auto"/>
              </w:rPr>
            </w:pPr>
          </w:p>
        </w:tc>
        <w:tc>
          <w:tcPr>
            <w:tcW w:w="1220" w:type="dxa"/>
            <w:vAlign w:val="bottom"/>
            <w:tcBorders>
              <w:bottom w:val="single" w:sz="8" w:color="D7282F"/>
            </w:tcBorders>
            <w:gridSpan w:val="2"/>
          </w:tcPr>
          <w:p>
            <w:pPr>
              <w:jc w:val="center"/>
              <w:spacing w:after="0"/>
              <w:rPr>
                <w:sz w:val="20"/>
                <w:szCs w:val="20"/>
                <w:color w:val="auto"/>
              </w:rPr>
            </w:pPr>
            <w:r>
              <w:rPr>
                <w:rFonts w:ascii="Arial" w:cs="Arial" w:eastAsia="Arial" w:hAnsi="Arial"/>
                <w:sz w:val="10"/>
                <w:szCs w:val="10"/>
                <w:b w:val="1"/>
                <w:bCs w:val="1"/>
                <w:color w:val="auto"/>
                <w:w w:val="94"/>
              </w:rPr>
              <w:t>(in whole dollars)</w:t>
            </w:r>
          </w:p>
        </w:tc>
        <w:tc>
          <w:tcPr>
            <w:tcW w:w="160" w:type="dxa"/>
            <w:vAlign w:val="bottom"/>
            <w:tcBorders>
              <w:bottom w:val="single" w:sz="8" w:color="D7282F"/>
            </w:tcBorders>
          </w:tcPr>
          <w:p>
            <w:pPr>
              <w:spacing w:after="0"/>
              <w:rPr>
                <w:sz w:val="11"/>
                <w:szCs w:val="11"/>
                <w:color w:val="auto"/>
              </w:rPr>
            </w:pPr>
          </w:p>
        </w:tc>
        <w:tc>
          <w:tcPr>
            <w:tcW w:w="700" w:type="dxa"/>
            <w:vAlign w:val="bottom"/>
            <w:tcBorders>
              <w:bottom w:val="single" w:sz="8" w:color="D7282F"/>
            </w:tcBorders>
          </w:tcPr>
          <w:p>
            <w:pPr>
              <w:spacing w:after="0"/>
              <w:rPr>
                <w:sz w:val="11"/>
                <w:szCs w:val="11"/>
                <w:color w:val="auto"/>
              </w:rPr>
            </w:pPr>
          </w:p>
        </w:tc>
        <w:tc>
          <w:tcPr>
            <w:tcW w:w="280" w:type="dxa"/>
            <w:vAlign w:val="bottom"/>
            <w:tcBorders>
              <w:bottom w:val="single" w:sz="8" w:color="D7282F"/>
            </w:tcBorders>
          </w:tcPr>
          <w:p>
            <w:pPr>
              <w:spacing w:after="0"/>
              <w:rPr>
                <w:sz w:val="11"/>
                <w:szCs w:val="11"/>
                <w:color w:val="auto"/>
              </w:rPr>
            </w:pPr>
          </w:p>
        </w:tc>
        <w:tc>
          <w:tcPr>
            <w:tcW w:w="600" w:type="dxa"/>
            <w:vAlign w:val="bottom"/>
            <w:tcBorders>
              <w:bottom w:val="single" w:sz="8" w:color="D7282F"/>
            </w:tcBorders>
          </w:tcPr>
          <w:p>
            <w:pPr>
              <w:spacing w:after="0"/>
              <w:rPr>
                <w:sz w:val="11"/>
                <w:szCs w:val="11"/>
                <w:color w:val="auto"/>
              </w:rPr>
            </w:pPr>
          </w:p>
        </w:tc>
      </w:tr>
      <w:tr>
        <w:trPr>
          <w:trHeight w:val="122"/>
        </w:trPr>
        <w:tc>
          <w:tcPr>
            <w:tcW w:w="66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Mesothelioma and other cancer claims</w:t>
            </w:r>
          </w:p>
        </w:tc>
        <w:tc>
          <w:tcPr>
            <w:tcW w:w="16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66,200</w:t>
            </w:r>
          </w:p>
        </w:tc>
        <w:tc>
          <w:tcPr>
            <w:tcW w:w="30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59,200</w:t>
            </w:r>
          </w:p>
        </w:tc>
        <w:tc>
          <w:tcPr>
            <w:tcW w:w="40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61656A"/>
            </w:tcBorders>
          </w:tcPr>
          <w:p>
            <w:pPr>
              <w:jc w:val="right"/>
              <w:ind w:right="232"/>
              <w:spacing w:after="0"/>
              <w:rPr>
                <w:sz w:val="20"/>
                <w:szCs w:val="20"/>
                <w:color w:val="auto"/>
              </w:rPr>
            </w:pPr>
            <w:r>
              <w:rPr>
                <w:rFonts w:ascii="Arial" w:cs="Arial" w:eastAsia="Arial" w:hAnsi="Arial"/>
                <w:sz w:val="10"/>
                <w:szCs w:val="10"/>
                <w:color w:val="auto"/>
              </w:rPr>
              <w:t>56,000</w:t>
            </w:r>
          </w:p>
        </w:tc>
        <w:tc>
          <w:tcPr>
            <w:tcW w:w="16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61,500</w:t>
            </w:r>
          </w:p>
        </w:tc>
        <w:tc>
          <w:tcPr>
            <w:tcW w:w="2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50,200</w:t>
            </w:r>
          </w:p>
        </w:tc>
      </w:tr>
      <w:tr>
        <w:trPr>
          <w:trHeight w:val="124"/>
        </w:trPr>
        <w:tc>
          <w:tcPr>
            <w:tcW w:w="66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Nonmalignant claims</w:t>
            </w:r>
          </w:p>
        </w:tc>
        <w:tc>
          <w:tcPr>
            <w:tcW w:w="16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1,730</w:t>
            </w:r>
          </w:p>
        </w:tc>
        <w:tc>
          <w:tcPr>
            <w:tcW w:w="30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520</w:t>
            </w:r>
          </w:p>
        </w:tc>
        <w:tc>
          <w:tcPr>
            <w:tcW w:w="40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color w:val="auto"/>
              </w:rPr>
              <w:t>400</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550</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3,900</w:t>
            </w:r>
          </w:p>
        </w:tc>
      </w:tr>
    </w:tbl>
    <w:p>
      <w:pPr>
        <w:spacing w:after="0" w:line="126"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The Consolidated Financial Statements reflect an estimated liability for resolution of asserted (claims filed as of the financial statement date) and unasserted Bendix-related asbestos claims, which exclude the Company’s ongoing legal fees to defend such asbestos claims which will continue to be expensed as they are incurred.</w:t>
      </w:r>
    </w:p>
    <w:p>
      <w:pPr>
        <w:spacing w:after="0" w:line="51"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The Company reflects the inclusion of all years of epidemiological disease projection through 2059 when estimating the liability for unasserted Bendix-related asbestos claims. Such liability for unasserted Bendix-related asbestos claims is based on historic and anticipated claims filing experience and dismissal rates, disease classifications, and average resolution values in the tort system over a defined look-back period. The Company historically valued Bendix asserted and unasserted claims using a five-year look-back period. The Company reviews the valuation assumptions and average resolution values used to estimate the cost of Bendix asserted and unasserted claims during the fourth quarter each year.</w:t>
      </w:r>
    </w:p>
    <w:p>
      <w:pPr>
        <w:spacing w:after="0" w:line="274" w:lineRule="exact"/>
        <w:rPr>
          <w:sz w:val="20"/>
          <w:szCs w:val="20"/>
          <w:color w:val="auto"/>
        </w:rPr>
      </w:pPr>
    </w:p>
    <w:p>
      <w:pPr>
        <w:ind w:left="268" w:hanging="268"/>
        <w:spacing w:after="0"/>
        <w:tabs>
          <w:tab w:leader="none" w:pos="268" w:val="left"/>
        </w:tabs>
        <w:numPr>
          <w:ilvl w:val="0"/>
          <w:numId w:val="139"/>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100" w:name="page101"/>
    <w:bookmarkEnd w:id="100"/>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The Company experienced fluctuations in average resolution values year-over-year in each of the past five years with no well-established trends in either direction. In 2023, the Company observed two consecutive years of increasing average resolution values (2023 and 2022), with more volatility in the earlier years of the five-year period (2019 through 2021). Based on these observations, the Company, during its annual review in the fourth quarter of 2023, reevaluated its valuation methodology and elected to give more weight to the two most recent years by shortening the look-back period from five years to two years (2023 and 2022). The Company believes that the average resolution values in the last two consecutive years are likely more representative of expected resolution values in future periods.</w:t>
      </w:r>
    </w:p>
    <w:p>
      <w:pPr>
        <w:spacing w:after="0" w:line="59"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It is not possible to predict whether such resolution values will increase, decrease, or stabilize in the future, given recent litigation trends within the tort system and the inherent uncertainty in predicting the outcome of such trends. The Company will continue to monitor Bendix claim resolution values and other trends within the tort system to assess the appropriate look-back period for determining average resolution values going forward.</w:t>
      </w:r>
    </w:p>
    <w:p>
      <w:pPr>
        <w:spacing w:after="0" w:line="42" w:lineRule="exact"/>
        <w:rPr>
          <w:sz w:val="20"/>
          <w:szCs w:val="20"/>
          <w:color w:val="auto"/>
        </w:rPr>
      </w:pPr>
    </w:p>
    <w:p>
      <w:pPr>
        <w:jc w:val="both"/>
        <w:ind w:left="8" w:right="20"/>
        <w:spacing w:after="0" w:line="285" w:lineRule="auto"/>
        <w:rPr>
          <w:sz w:val="20"/>
          <w:szCs w:val="20"/>
          <w:color w:val="auto"/>
        </w:rPr>
      </w:pPr>
      <w:r>
        <w:rPr>
          <w:rFonts w:ascii="Arial" w:cs="Arial" w:eastAsia="Arial" w:hAnsi="Arial"/>
          <w:sz w:val="11"/>
          <w:szCs w:val="11"/>
          <w:color w:val="auto"/>
        </w:rPr>
        <w:t>In 2023, the Company recognized a $522 million expense and corresponding adjustment to its estimated liability for Bendix asbestos-related claims. This amount includes $434 million attributable primarily to shortening the look-back period to the two most recent years, and to a lesser extent to increasing expected resolution values for a subset of asserted claims to adjust for higher claim values in that subset than in the modelled two-year data set.</w:t>
      </w:r>
    </w:p>
    <w:p>
      <w:pPr>
        <w:spacing w:after="0" w:line="33"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The Company's insurance receivable corresponding to the liability for settlement of asserted and unasserted Bendix asbestos claims reflects coverage which is provided by a large number of insurance policies written by dozens of insurance companies in both the domestic insurance market and the London excess market. Based on the Company's ongoing analysis of the probable insurance recovery, insurance receivables are recorded in the financial statements simultaneous with the recording of the estimated liability for the underlying asbestos claims. This determination is based on the Company's analysis of the underlying insurance policies, historical experience with insurers, ongoing review of the solvency of insurers, judicial determinations relevant to insurance programs, and consideration of the impacts of any settlements reached with the Company's insurers.</w:t>
      </w:r>
    </w:p>
    <w:p>
      <w:pPr>
        <w:spacing w:after="0" w:line="59"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On October 31, 2018, David Kanefsky (Plaintiff), a Honeywell shareholder, filed a putative class action complaint in the U.S. District Court for the District of New Jersey (the Court) alleging violations of the Securities Exchange Act of 1934 and Rule 10b-5 related to the prior accounting for Bendix asbestos claims. An Amended Complaint was filed on December 30, 2019, and on February 7, 2020, the Company filed a Motion to Dismiss. On May 18, 2020, the Court denied the Motion to Dismiss. On December 7, 2021, the parties filed a Stipulation of Settlement (Settlement Agreement) and Plaintiff filed a motion for preliminary approval of the Settlement Agreement, which included payment by Honeywell of $10 million to settle the claims in dispute. On January 18, 2022, the Court approved the motion for preliminary approval of the Settlement Agreement. On May 3, 2022, the Court entered a final judgment and order approving the Settlement Agreement and dismissed the action. Honeywell continues to believe the claims lacked merit and has denied wrongdoing as well as any liability for the claims made against Honeywell in the action.</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GARRETT LITIGATION AND BANKRUPTCY PROCEEDINGS</w:t>
      </w:r>
    </w:p>
    <w:p>
      <w:pPr>
        <w:spacing w:after="0" w:line="90" w:lineRule="exact"/>
        <w:rPr>
          <w:sz w:val="20"/>
          <w:szCs w:val="20"/>
          <w:color w:val="auto"/>
        </w:rPr>
      </w:pPr>
    </w:p>
    <w:p>
      <w:pPr>
        <w:jc w:val="both"/>
        <w:ind w:left="8" w:right="20"/>
        <w:spacing w:after="0" w:line="254" w:lineRule="auto"/>
        <w:rPr>
          <w:sz w:val="20"/>
          <w:szCs w:val="20"/>
          <w:color w:val="auto"/>
        </w:rPr>
      </w:pPr>
      <w:r>
        <w:rPr>
          <w:rFonts w:ascii="Arial" w:cs="Arial" w:eastAsia="Arial" w:hAnsi="Arial"/>
          <w:sz w:val="11"/>
          <w:szCs w:val="11"/>
          <w:color w:val="auto"/>
        </w:rPr>
        <w:t>In conjunction with the Garrett spin-off, the Company entered into a binding indemnification and reimbursement agreement (Garrett Indemnity) and a binding tax matters agreement (Tax Matters Agreement) with Garrett and a Garrett subsidiary. On December 2, 2019, Garrett and Garrett ASASCO Inc. filed a Summons with Notice and commenced a lawsuit in the Commercial Division of the Supreme Court of the State of New York, County of New York (the State Court), seeking to invalidate the Garrett Indemnity. Garrett sought damages and a declaratory judgment based on various claims set forth in the Summons with Notice. On July 17, 2020, the Company received a notice from Garrett asserting that the Company had caused material breaches of the Tax Matters Agreement and that the Tax Matters Agreement was unenforceable.</w:t>
      </w:r>
    </w:p>
    <w:p>
      <w:pPr>
        <w:spacing w:after="0" w:line="50"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On September 20, 2020, Garrett and 36 of its affiliates filed voluntary petitions for relief under Chapter 11 of the United States Bankruptcy Code in the United States Bankruptcy Court for the Southern District of New York (the Bankruptcy Court). On September 24, 2020, Garrett moved the existing State Court litigation against Honeywell to the Bankruptcy Court. For the year ended December 31, 2020, the Company reviewed the aggregate carrying value of the receivable amounts due in connection with the Garrett Indemnity and Tax Matters Agreement and reduced the aggregate carrying value of the receivable by $509 million to reflect the present value of the amounts owed to the Company over the full term of these agreements.</w:t>
      </w:r>
    </w:p>
    <w:p>
      <w:pPr>
        <w:spacing w:after="0" w:line="59"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On April 26, 2021, the Bankruptcy Court confirmed Garrett’s amended Chapter 11 plan of reorganization (the Confirmed Plan), and on April 30, 2021 (the Effective Date), Garrett emerged from bankruptcy. On the Effective Date, and in accordance with the Confirmed Plan, (i) the Company received from Garrett an initial payment of $375 million and 834.8 million shares of Garrett's Series B Preferred Stock in full and final satisfaction of the Garrett Indemnity and Tax Matters Agreement, (ii) the Garrett Indemnity and Tax Matters Agreement were terminated, (iii) the Company and Garrett mutually released each other from the claims asserted in all pending legal actions related to the Garrett Indemnity and Tax Matters Agreement, and (iv) all pending litigation between the Company and Garrett in connection with those agreements was resolved.</w:t>
      </w:r>
    </w:p>
    <w:p>
      <w:pPr>
        <w:spacing w:after="0" w:line="274" w:lineRule="exact"/>
        <w:rPr>
          <w:sz w:val="20"/>
          <w:szCs w:val="20"/>
          <w:color w:val="auto"/>
        </w:rPr>
      </w:pPr>
    </w:p>
    <w:p>
      <w:pPr>
        <w:ind w:left="268" w:hanging="268"/>
        <w:spacing w:after="0"/>
        <w:tabs>
          <w:tab w:leader="none" w:pos="268" w:val="left"/>
        </w:tabs>
        <w:numPr>
          <w:ilvl w:val="0"/>
          <w:numId w:val="140"/>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101" w:name="page102"/>
    <w:bookmarkEnd w:id="101"/>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ind w:left="8"/>
        <w:spacing w:after="0"/>
        <w:rPr>
          <w:sz w:val="20"/>
          <w:szCs w:val="20"/>
          <w:color w:val="auto"/>
        </w:rPr>
      </w:pPr>
      <w:r>
        <w:rPr>
          <w:rFonts w:ascii="Arial" w:cs="Arial" w:eastAsia="Arial" w:hAnsi="Arial"/>
          <w:sz w:val="10"/>
          <w:szCs w:val="10"/>
          <w:color w:val="auto"/>
        </w:rPr>
        <w:t>The original Series B Preferred Stock Certificate of Designation provided for mandatory redemptions by Garrett of $35 million in 2022 and $100 million per year from 2023 to 2030 (inclusive) at the anniversary of the Effective Date, unless</w:t>
      </w:r>
    </w:p>
    <w:p>
      <w:pPr>
        <w:spacing w:after="0" w:line="21" w:lineRule="exact"/>
        <w:rPr>
          <w:sz w:val="20"/>
          <w:szCs w:val="20"/>
          <w:color w:val="auto"/>
        </w:rPr>
      </w:pPr>
    </w:p>
    <w:p>
      <w:pPr>
        <w:jc w:val="both"/>
        <w:ind w:left="8" w:hanging="8"/>
        <w:spacing w:after="0" w:line="252" w:lineRule="auto"/>
        <w:tabs>
          <w:tab w:leader="none" w:pos="135" w:val="left"/>
        </w:tabs>
        <w:numPr>
          <w:ilvl w:val="0"/>
          <w:numId w:val="141"/>
        </w:numPr>
        <w:rPr>
          <w:rFonts w:ascii="Arial" w:cs="Arial" w:eastAsia="Arial" w:hAnsi="Arial"/>
          <w:sz w:val="11"/>
          <w:szCs w:val="11"/>
          <w:color w:val="auto"/>
        </w:rPr>
      </w:pPr>
      <w:r>
        <w:rPr>
          <w:rFonts w:ascii="Arial" w:cs="Arial" w:eastAsia="Arial" w:hAnsi="Arial"/>
          <w:sz w:val="11"/>
          <w:szCs w:val="11"/>
          <w:color w:val="auto"/>
        </w:rPr>
        <w:t>Garrett’s consolidated EBITDA as of the end of the most recently completed fiscal year was less than $425 million, or (ii) Garrett did not have sufficient funds available to pay the redemption, at which point the redemption amounts past due would accrue interest. The Series B Preferred Stock Certificate of Designation also included rights which allowed (a) the Company to put the Series B Preferred Stock to Garrett if certain EBITDA conditions were met, and (b) Garrett to call the Series B Preferred Stock in whole or in part if certain EBITDA conditions were met.</w:t>
      </w:r>
    </w:p>
    <w:p>
      <w:pPr>
        <w:spacing w:after="0" w:line="60"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On September 30, 2021, Garrett filed an Amended and Restated Series B Preferred Stock Certificate of Designation (Amendment) with the Secretary of State of Delaware. The Amendment required Garrett to partially redeem a portion of the Series B Preferred Stock on or before March 31, 2022, such that the present value of remaining outstanding shares of the Series B Preferred Stock would be $400 million (First Partial Redemption), subject to applicable law, including that Garrett had funds legally available for the partial redemption. The First Partial Redemption would be applied to the latest scheduled redemption dates, beginning with the shares to be redeemed in 2030. The Amendment also provided that the Company could not exercise its right to put the Series B Preferred Stock to Garrett until after December 31, 2022, subject to the EBITDA conditions described in the above section, unless the partial redemption did not occur on or before March 31, 2022. All other material terms and conditions in the Amendment were unchanged from the original Series B Preferred Stock Certificate of Designation.</w:t>
      </w:r>
    </w:p>
    <w:p>
      <w:pPr>
        <w:spacing w:after="0" w:line="61" w:lineRule="exact"/>
        <w:rPr>
          <w:sz w:val="20"/>
          <w:szCs w:val="20"/>
          <w:color w:val="auto"/>
        </w:rPr>
      </w:pPr>
    </w:p>
    <w:p>
      <w:pPr>
        <w:jc w:val="both"/>
        <w:ind w:left="8"/>
        <w:spacing w:after="0" w:line="248" w:lineRule="auto"/>
        <w:rPr>
          <w:sz w:val="20"/>
          <w:szCs w:val="20"/>
          <w:color w:val="auto"/>
        </w:rPr>
      </w:pPr>
      <w:r>
        <w:rPr>
          <w:rFonts w:ascii="Arial" w:cs="Arial" w:eastAsia="Arial" w:hAnsi="Arial"/>
          <w:sz w:val="11"/>
          <w:szCs w:val="11"/>
          <w:color w:val="auto"/>
        </w:rPr>
        <w:t>On December 16, 2021, Garrett filed a Second Amended and Restated Series B Preferred Stock Certificate of Designation (Second Amendment) with the Secretary of State of Delaware. The Second Amendment accelerated the First Partial Redemption from March 31, 2022, to December 30, 2021, and allowed Garrett to partially redeem an additional portion of the Series B Preferred Stock on or before March 31, 2022, such that the present value of remaining outstanding shares of the Series B Preferred Stock would be $207 million (Second Partial Redemption). The Second Partial Redemption is subject to similar terms as the First Partial Redemption, including that Garrett had funds legally available for the partial redemption. However, the Second Partial Redemption was also contingent upon Garrett completing the First Partial Redemption and either (i) increasing their revolving credit facility, or (ii) the Garrett Board of Directors determining that Garrett otherwise had sufficient liquidity to effect the Second Partial Redemption. The Second Partial Redemption would be applied to the earliest scheduled redemptions beginning with the shares to be redeemed on April 30, 2022.</w:t>
      </w:r>
    </w:p>
    <w:p>
      <w:pPr>
        <w:spacing w:after="0" w:line="62" w:lineRule="exact"/>
        <w:rPr>
          <w:sz w:val="20"/>
          <w:szCs w:val="20"/>
          <w:color w:val="auto"/>
        </w:rPr>
      </w:pPr>
    </w:p>
    <w:p>
      <w:pPr>
        <w:jc w:val="both"/>
        <w:ind w:left="8" w:right="20"/>
        <w:spacing w:after="0" w:line="268" w:lineRule="auto"/>
        <w:rPr>
          <w:sz w:val="20"/>
          <w:szCs w:val="20"/>
          <w:color w:val="auto"/>
        </w:rPr>
      </w:pPr>
      <w:r>
        <w:rPr>
          <w:rFonts w:ascii="Arial" w:cs="Arial" w:eastAsia="Arial" w:hAnsi="Arial"/>
          <w:sz w:val="11"/>
          <w:szCs w:val="11"/>
          <w:color w:val="auto"/>
        </w:rPr>
        <w:t>On December 17, 2021, Garrett announced their intention to effect the First Partial Redemption on December 28, 2021, in the amount of $211 million. On December 28, 2021, Garrett paid $211 million for the amount due as the First Partial Redemption.</w:t>
      </w:r>
    </w:p>
    <w:p>
      <w:pPr>
        <w:spacing w:after="0" w:line="51"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On February 18, 2022, Garrett early redeemed $197 million of the Series B Preferred Stock, pursuant to the terms and conditions of the Second Amended and Restated Series B Preferred Stock Certificate of Designation. Immediately following the early redemption, the fair value of the Series B Preferred Stock was $207 million.</w:t>
      </w:r>
    </w:p>
    <w:p>
      <w:pPr>
        <w:spacing w:after="0" w:line="42"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On June 28, 2022, Garrett early redeemed all remaining shares of the Series B Preferred Stock in the amount of $212 million, pursuant to the terms and conditions of the Second Amended and Restated Series B Preferred Stock Certificate of Designation. Following the redemption, the Series B Preferred Stock were no longer outstanding.</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Company recorded the Series B Preferred Stock at fair value at the Effective Date. See Note 12 Fair Value Measurements for additional information on the fair value leveling of the Series B Preferred Stock.</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PETROBRAS AND UNAOIL MATTERS</w:t>
      </w:r>
    </w:p>
    <w:p>
      <w:pPr>
        <w:spacing w:after="0" w:line="90"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On December 19, 2022, the Company reached a comprehensive resolution to the investigations by the U.S. Department of Justice (DOJ), the Securities and Exchange Commission (SEC), and certain Brazilian authorities (Brazilian Authorities) relating to the Company's use of third parties who previously worked for the Company's UOP business in Brazil in relation to a project awarded in 2010 for Petróleo Brasileiro S.A. (Petrobras). The investigations focused on the Company’s compliance with the U.S. Foreign Corrupt Practices Act and similar Brazilian laws (UOP Matters). The comprehensive resolution also resolves DOJ and SEC investigations relating to a matter involving a foreign subsidiary’s prior contract with Unaoil S.A.M. in Algeria executed in 2011 (the Unaoil Matter).</w:t>
      </w:r>
    </w:p>
    <w:p>
      <w:pPr>
        <w:spacing w:after="0" w:line="50"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In connection with the comprehensive resolution, (i) the Company agreed to pay a total equivalent of $202.7 million, which payment occurred in January 2023, to the DOJ, the SEC, and the Brazilian Authorities, collectively, in penalties, disgorgement, and prejudgment interest, (ii) the Company’s subsidiary, UOP, LLC (UOP), entered into a three-year Deferred Prosecution Agreement (DPA) with the DOJ for charges related to the UOP Matters, (iii) UOP entered into leniency agreements with the Brazilian authorities related to the UOP Matter in Brazil, and (iv) the Company entered into an agreement with the SEC that resolves allegations relating to the UOP Matters and the Unaoil Matter. Pursuant to these agreements, the Company agreed to undertake certain compliance measures and compliance reporting obligations. These agreements entirely resolve the Petrobras and Unaoil investigations.</w:t>
      </w:r>
    </w:p>
    <w:p>
      <w:pPr>
        <w:spacing w:after="0" w:line="283" w:lineRule="exact"/>
        <w:rPr>
          <w:sz w:val="20"/>
          <w:szCs w:val="20"/>
          <w:color w:val="auto"/>
        </w:rPr>
      </w:pPr>
    </w:p>
    <w:p>
      <w:pPr>
        <w:ind w:left="328" w:hanging="328"/>
        <w:spacing w:after="0"/>
        <w:tabs>
          <w:tab w:leader="none" w:pos="328" w:val="left"/>
        </w:tabs>
        <w:numPr>
          <w:ilvl w:val="0"/>
          <w:numId w:val="142"/>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102" w:name="page103"/>
    <w:bookmarkEnd w:id="102"/>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79"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OTHER MATTERS</w:t>
      </w:r>
    </w:p>
    <w:p>
      <w:pPr>
        <w:spacing w:after="0" w:line="81"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The Company is subject to a number of other lawsuits, investigations, and disputes (some of which involve substantial amounts claimed) arising out of the conduct of the Company's business, including matters relating to commercial transactions, government contracts, product liability, prior acquisitions and divestitures, employee benefit plans, intellectual property, and environmental, health, and safety matters. The Company recognizes liabilities for any contingency that is probable of occurrence and reasonably estimable. The Company continually assesses the likelihood of adverse judgments or outcomes in such matters, as well as potential ranges of probable losses (taking into consideration any insurance recoveries), based on a careful analysis of each matter with the assistance of outside legal counsel and, if applicable, other experts.</w:t>
      </w:r>
    </w:p>
    <w:p>
      <w:pPr>
        <w:spacing w:after="0" w:line="59"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Given the uncertainty inherent in litigation and investigations, the Company does not believe it is possible to develop estimates of reasonably possible loss (or a range of possible loss) in excess of current accruals for commitment and contingency matters, including those discussed in this Note 19. Considering the Company's past experience and existing accruals, the Company does not expect the outcome of such matters, either individually or in the aggregate, to have a material adverse effect on the Company's consolidated financial position. Because most contingencies are resolved over long periods of time, potential liabilities are subject to change due to new developments, changes in settlement strategy or the impact of evidentiary requirements, which could cause the Company to pay damage awards or settlements (or become subject to equitable remedies) that could have a material adverse effect on the Company's consolidated results of operations or operating cash flows in the periods recognized or paid.</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WARRANTIES AND GUARANTEES</w:t>
      </w:r>
    </w:p>
    <w:p>
      <w:pPr>
        <w:spacing w:after="0" w:line="90" w:lineRule="exact"/>
        <w:rPr>
          <w:sz w:val="20"/>
          <w:szCs w:val="20"/>
          <w:color w:val="auto"/>
        </w:rPr>
      </w:pPr>
    </w:p>
    <w:p>
      <w:pPr>
        <w:jc w:val="both"/>
        <w:ind w:left="8"/>
        <w:spacing w:after="0" w:line="253" w:lineRule="auto"/>
        <w:rPr>
          <w:sz w:val="20"/>
          <w:szCs w:val="20"/>
          <w:color w:val="auto"/>
        </w:rPr>
      </w:pPr>
      <w:r>
        <w:rPr>
          <w:rFonts w:ascii="Arial" w:cs="Arial" w:eastAsia="Arial" w:hAnsi="Arial"/>
          <w:sz w:val="11"/>
          <w:szCs w:val="11"/>
          <w:color w:val="auto"/>
        </w:rPr>
        <w:t>In the normal course of business, the Company issues product warranties and product performance guarantees. The Company accrues for the estimated cost of product warranties and performance guarantees based on contract terms and historical experience at the time of sale. Adjustments to initial obligations for warranties and guarantees are made as changes to the obligations become reasonably estimable. The following table summarizes information concerning the Company's recorded obligations for product warranties and product performance guarantees:</w:t>
      </w:r>
    </w:p>
    <w:p>
      <w:pPr>
        <w:spacing w:after="0" w:line="124"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8580" w:type="dxa"/>
            <w:vAlign w:val="bottom"/>
          </w:tcPr>
          <w:p>
            <w:pPr>
              <w:spacing w:after="0"/>
              <w:rPr>
                <w:sz w:val="11"/>
                <w:szCs w:val="11"/>
                <w:color w:val="auto"/>
              </w:rPr>
            </w:pPr>
          </w:p>
        </w:tc>
        <w:tc>
          <w:tcPr>
            <w:tcW w:w="500" w:type="dxa"/>
            <w:vAlign w:val="bottom"/>
            <w:tcBorders>
              <w:bottom w:val="single" w:sz="8" w:color="D7282F"/>
            </w:tcBorders>
          </w:tcPr>
          <w:p>
            <w:pPr>
              <w:spacing w:after="0"/>
              <w:rPr>
                <w:sz w:val="11"/>
                <w:szCs w:val="11"/>
                <w:color w:val="auto"/>
              </w:rPr>
            </w:pPr>
          </w:p>
        </w:tc>
        <w:tc>
          <w:tcPr>
            <w:tcW w:w="240" w:type="dxa"/>
            <w:vAlign w:val="bottom"/>
            <w:tcBorders>
              <w:bottom w:val="single" w:sz="8" w:color="D7282F"/>
            </w:tcBorders>
          </w:tcPr>
          <w:p>
            <w:pPr>
              <w:spacing w:after="0"/>
              <w:rPr>
                <w:sz w:val="11"/>
                <w:szCs w:val="11"/>
                <w:color w:val="auto"/>
              </w:rPr>
            </w:pPr>
          </w:p>
        </w:tc>
        <w:tc>
          <w:tcPr>
            <w:tcW w:w="1380" w:type="dxa"/>
            <w:vAlign w:val="bottom"/>
            <w:tcBorders>
              <w:bottom w:val="single" w:sz="8" w:color="D7282F"/>
            </w:tcBorders>
            <w:gridSpan w:val="3"/>
          </w:tcPr>
          <w:p>
            <w:pPr>
              <w:jc w:val="right"/>
              <w:ind w:right="92"/>
              <w:spacing w:after="0"/>
              <w:rPr>
                <w:sz w:val="20"/>
                <w:szCs w:val="20"/>
                <w:color w:val="auto"/>
              </w:rPr>
            </w:pPr>
            <w:r>
              <w:rPr>
                <w:rFonts w:ascii="Arial" w:cs="Arial" w:eastAsia="Arial" w:hAnsi="Arial"/>
                <w:sz w:val="10"/>
                <w:szCs w:val="10"/>
                <w:b w:val="1"/>
                <w:bCs w:val="1"/>
                <w:color w:val="auto"/>
                <w:w w:val="94"/>
              </w:rPr>
              <w:t>Years Ended December 31,</w:t>
            </w:r>
          </w:p>
        </w:tc>
        <w:tc>
          <w:tcPr>
            <w:tcW w:w="600" w:type="dxa"/>
            <w:vAlign w:val="bottom"/>
            <w:tcBorders>
              <w:bottom w:val="single" w:sz="8" w:color="D7282F"/>
            </w:tcBorders>
          </w:tcPr>
          <w:p>
            <w:pPr>
              <w:spacing w:after="0"/>
              <w:rPr>
                <w:sz w:val="11"/>
                <w:szCs w:val="11"/>
                <w:color w:val="auto"/>
              </w:rPr>
            </w:pPr>
          </w:p>
        </w:tc>
      </w:tr>
      <w:tr>
        <w:trPr>
          <w:trHeight w:val="151"/>
        </w:trPr>
        <w:tc>
          <w:tcPr>
            <w:tcW w:w="8580" w:type="dxa"/>
            <w:vAlign w:val="bottom"/>
            <w:tcBorders>
              <w:bottom w:val="single" w:sz="8" w:color="D7282F"/>
            </w:tcBorders>
          </w:tcPr>
          <w:p>
            <w:pPr>
              <w:spacing w:after="0"/>
              <w:rPr>
                <w:sz w:val="13"/>
                <w:szCs w:val="13"/>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2023</w:t>
            </w:r>
          </w:p>
        </w:tc>
        <w:tc>
          <w:tcPr>
            <w:tcW w:w="240" w:type="dxa"/>
            <w:vAlign w:val="bottom"/>
            <w:tcBorders>
              <w:bottom w:val="single" w:sz="8" w:color="D7282F"/>
            </w:tcBorders>
          </w:tcPr>
          <w:p>
            <w:pPr>
              <w:spacing w:after="0"/>
              <w:rPr>
                <w:sz w:val="13"/>
                <w:szCs w:val="13"/>
                <w:color w:val="auto"/>
              </w:rPr>
            </w:pPr>
          </w:p>
        </w:tc>
        <w:tc>
          <w:tcPr>
            <w:tcW w:w="400" w:type="dxa"/>
            <w:vAlign w:val="bottom"/>
            <w:tcBorders>
              <w:bottom w:val="single" w:sz="8" w:color="D7282F"/>
            </w:tcBorders>
          </w:tcPr>
          <w:p>
            <w:pPr>
              <w:spacing w:after="0"/>
              <w:rPr>
                <w:sz w:val="13"/>
                <w:szCs w:val="13"/>
                <w:color w:val="auto"/>
              </w:rPr>
            </w:pPr>
          </w:p>
        </w:tc>
        <w:tc>
          <w:tcPr>
            <w:tcW w:w="70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2022</w:t>
            </w:r>
          </w:p>
        </w:tc>
        <w:tc>
          <w:tcPr>
            <w:tcW w:w="28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2021</w:t>
            </w:r>
          </w:p>
        </w:tc>
      </w:tr>
      <w:tr>
        <w:trPr>
          <w:trHeight w:val="124"/>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Beginning of year</w:t>
            </w:r>
          </w:p>
        </w:tc>
        <w:tc>
          <w:tcPr>
            <w:tcW w:w="500" w:type="dxa"/>
            <w:vAlign w:val="bottom"/>
            <w:tcBorders>
              <w:bottom w:val="single" w:sz="8" w:color="D7282F"/>
            </w:tcBorders>
          </w:tcPr>
          <w:p>
            <w:pPr>
              <w:jc w:val="right"/>
              <w:ind w:right="392"/>
              <w:spacing w:after="0"/>
              <w:rPr>
                <w:sz w:val="20"/>
                <w:szCs w:val="20"/>
                <w:color w:val="auto"/>
              </w:rPr>
            </w:pPr>
            <w:r>
              <w:rPr>
                <w:rFonts w:ascii="Arial" w:cs="Arial" w:eastAsia="Arial" w:hAnsi="Arial"/>
                <w:sz w:val="10"/>
                <w:szCs w:val="10"/>
                <w:b w:val="1"/>
                <w:bCs w:val="1"/>
                <w:color w:val="auto"/>
                <w:w w:val="71"/>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213</w:t>
            </w:r>
          </w:p>
        </w:tc>
        <w:tc>
          <w:tcPr>
            <w:tcW w:w="4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223</w:t>
            </w:r>
          </w:p>
        </w:tc>
        <w:tc>
          <w:tcPr>
            <w:tcW w:w="2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243</w:t>
            </w:r>
          </w:p>
        </w:tc>
      </w:tr>
      <w:tr>
        <w:trPr>
          <w:trHeight w:val="122"/>
        </w:trPr>
        <w:tc>
          <w:tcPr>
            <w:tcW w:w="858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Accruals for warranties/guarantees issued during the year</w:t>
            </w:r>
          </w:p>
        </w:tc>
        <w:tc>
          <w:tcPr>
            <w:tcW w:w="50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139</w:t>
            </w:r>
          </w:p>
        </w:tc>
        <w:tc>
          <w:tcPr>
            <w:tcW w:w="40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117</w:t>
            </w:r>
          </w:p>
        </w:tc>
        <w:tc>
          <w:tcPr>
            <w:tcW w:w="2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146</w:t>
            </w:r>
          </w:p>
        </w:tc>
      </w:tr>
      <w:tr>
        <w:trPr>
          <w:trHeight w:val="124"/>
        </w:trPr>
        <w:tc>
          <w:tcPr>
            <w:tcW w:w="858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Adjustment of pre-existing warranties/guarantees</w:t>
            </w:r>
          </w:p>
        </w:tc>
        <w:tc>
          <w:tcPr>
            <w:tcW w:w="50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(27)</w:t>
            </w:r>
          </w:p>
        </w:tc>
        <w:tc>
          <w:tcPr>
            <w:tcW w:w="40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(12)</w:t>
            </w:r>
          </w:p>
        </w:tc>
        <w:tc>
          <w:tcPr>
            <w:tcW w:w="2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(7)</w:t>
            </w:r>
          </w:p>
        </w:tc>
      </w:tr>
      <w:tr>
        <w:trPr>
          <w:trHeight w:val="124"/>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Settlement of warranty/guarantee claims</w:t>
            </w:r>
          </w:p>
        </w:tc>
        <w:tc>
          <w:tcPr>
            <w:tcW w:w="50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w w:val="94"/>
              </w:rPr>
              <w:t>(106)</w:t>
            </w:r>
          </w:p>
        </w:tc>
        <w:tc>
          <w:tcPr>
            <w:tcW w:w="40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(115)</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(159)</w:t>
            </w:r>
          </w:p>
        </w:tc>
      </w:tr>
      <w:tr>
        <w:trPr>
          <w:trHeight w:val="126"/>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End of year</w:t>
            </w:r>
          </w:p>
        </w:tc>
        <w:tc>
          <w:tcPr>
            <w:tcW w:w="500" w:type="dxa"/>
            <w:vAlign w:val="bottom"/>
            <w:tcBorders>
              <w:bottom w:val="single" w:sz="8" w:color="D7282F"/>
            </w:tcBorders>
          </w:tcPr>
          <w:p>
            <w:pPr>
              <w:jc w:val="right"/>
              <w:ind w:right="392"/>
              <w:spacing w:after="0"/>
              <w:rPr>
                <w:sz w:val="20"/>
                <w:szCs w:val="20"/>
                <w:color w:val="auto"/>
              </w:rPr>
            </w:pPr>
            <w:r>
              <w:rPr>
                <w:rFonts w:ascii="Arial" w:cs="Arial" w:eastAsia="Arial" w:hAnsi="Arial"/>
                <w:sz w:val="10"/>
                <w:szCs w:val="10"/>
                <w:b w:val="1"/>
                <w:bCs w:val="1"/>
                <w:color w:val="auto"/>
                <w:w w:val="71"/>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219</w:t>
            </w:r>
          </w:p>
        </w:tc>
        <w:tc>
          <w:tcPr>
            <w:tcW w:w="4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213</w:t>
            </w:r>
          </w:p>
        </w:tc>
        <w:tc>
          <w:tcPr>
            <w:tcW w:w="2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223</w:t>
            </w:r>
          </w:p>
        </w:tc>
      </w:tr>
    </w:tbl>
    <w:p>
      <w:pPr>
        <w:spacing w:after="0" w:line="117" w:lineRule="exact"/>
        <w:rPr>
          <w:sz w:val="20"/>
          <w:szCs w:val="20"/>
          <w:color w:val="auto"/>
        </w:rPr>
      </w:pPr>
    </w:p>
    <w:p>
      <w:pPr>
        <w:ind w:left="8"/>
        <w:spacing w:after="0"/>
        <w:rPr>
          <w:sz w:val="20"/>
          <w:szCs w:val="20"/>
          <w:color w:val="auto"/>
        </w:rPr>
      </w:pPr>
      <w:r>
        <w:rPr>
          <w:rFonts w:ascii="Arial" w:cs="Arial" w:eastAsia="Arial" w:hAnsi="Arial"/>
          <w:sz w:val="11"/>
          <w:szCs w:val="11"/>
          <w:color w:val="auto"/>
        </w:rPr>
        <w:t>Product warranties and product performance guarantees are included in the following balance sheet accounts:</w:t>
      </w:r>
    </w:p>
    <w:p>
      <w:pPr>
        <w:spacing w:after="0" w:line="145"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9560" w:type="dxa"/>
            <w:vAlign w:val="bottom"/>
          </w:tcPr>
          <w:p>
            <w:pPr>
              <w:spacing w:after="0"/>
              <w:rPr>
                <w:sz w:val="11"/>
                <w:szCs w:val="11"/>
                <w:color w:val="auto"/>
              </w:rPr>
            </w:pPr>
          </w:p>
        </w:tc>
        <w:tc>
          <w:tcPr>
            <w:tcW w:w="520" w:type="dxa"/>
            <w:vAlign w:val="bottom"/>
            <w:tcBorders>
              <w:bottom w:val="single" w:sz="8" w:color="D7282F"/>
            </w:tcBorders>
          </w:tcPr>
          <w:p>
            <w:pPr>
              <w:spacing w:after="0"/>
              <w:rPr>
                <w:sz w:val="11"/>
                <w:szCs w:val="11"/>
                <w:color w:val="auto"/>
              </w:rPr>
            </w:pPr>
          </w:p>
        </w:tc>
        <w:tc>
          <w:tcPr>
            <w:tcW w:w="700" w:type="dxa"/>
            <w:vAlign w:val="bottom"/>
            <w:tcBorders>
              <w:bottom w:val="single" w:sz="8" w:color="D7282F"/>
            </w:tcBorders>
            <w:gridSpan w:val="2"/>
          </w:tcPr>
          <w:p>
            <w:pPr>
              <w:jc w:val="right"/>
              <w:spacing w:after="0"/>
              <w:rPr>
                <w:sz w:val="20"/>
                <w:szCs w:val="20"/>
                <w:color w:val="auto"/>
              </w:rPr>
            </w:pPr>
            <w:r>
              <w:rPr>
                <w:rFonts w:ascii="Arial" w:cs="Arial" w:eastAsia="Arial" w:hAnsi="Arial"/>
                <w:sz w:val="10"/>
                <w:szCs w:val="10"/>
                <w:b w:val="1"/>
                <w:bCs w:val="1"/>
                <w:color w:val="auto"/>
                <w:w w:val="98"/>
              </w:rPr>
              <w:t>December 31,</w:t>
            </w:r>
          </w:p>
        </w:tc>
        <w:tc>
          <w:tcPr>
            <w:tcW w:w="520" w:type="dxa"/>
            <w:vAlign w:val="bottom"/>
            <w:tcBorders>
              <w:bottom w:val="single" w:sz="8" w:color="D7282F"/>
            </w:tcBorders>
          </w:tcPr>
          <w:p>
            <w:pPr>
              <w:spacing w:after="0"/>
              <w:rPr>
                <w:sz w:val="11"/>
                <w:szCs w:val="11"/>
                <w:color w:val="auto"/>
              </w:rPr>
            </w:pPr>
          </w:p>
        </w:tc>
      </w:tr>
      <w:tr>
        <w:trPr>
          <w:trHeight w:val="151"/>
        </w:trPr>
        <w:tc>
          <w:tcPr>
            <w:tcW w:w="9560" w:type="dxa"/>
            <w:vAlign w:val="bottom"/>
            <w:tcBorders>
              <w:bottom w:val="single" w:sz="8" w:color="D7282F"/>
            </w:tcBorders>
          </w:tcPr>
          <w:p>
            <w:pPr>
              <w:spacing w:after="0"/>
              <w:rPr>
                <w:sz w:val="13"/>
                <w:szCs w:val="13"/>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2023</w:t>
            </w:r>
          </w:p>
        </w:tc>
        <w:tc>
          <w:tcPr>
            <w:tcW w:w="320" w:type="dxa"/>
            <w:vAlign w:val="bottom"/>
            <w:tcBorders>
              <w:bottom w:val="single" w:sz="8" w:color="D7282F"/>
            </w:tcBorders>
          </w:tcPr>
          <w:p>
            <w:pPr>
              <w:spacing w:after="0"/>
              <w:rPr>
                <w:sz w:val="13"/>
                <w:szCs w:val="13"/>
                <w:color w:val="auto"/>
              </w:rPr>
            </w:pPr>
          </w:p>
        </w:tc>
        <w:tc>
          <w:tcPr>
            <w:tcW w:w="380" w:type="dxa"/>
            <w:vAlign w:val="bottom"/>
            <w:tcBorders>
              <w:bottom w:val="single" w:sz="8" w:color="D7282F"/>
            </w:tcBorders>
          </w:tcPr>
          <w:p>
            <w:pPr>
              <w:spacing w:after="0"/>
              <w:rPr>
                <w:sz w:val="13"/>
                <w:szCs w:val="13"/>
                <w:color w:val="auto"/>
              </w:rPr>
            </w:pPr>
          </w:p>
        </w:tc>
        <w:tc>
          <w:tcPr>
            <w:tcW w:w="52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w w:val="98"/>
              </w:rPr>
              <w:t>2022</w:t>
            </w:r>
          </w:p>
        </w:tc>
      </w:tr>
      <w:tr>
        <w:trPr>
          <w:trHeight w:val="122"/>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Accrued liabilities</w:t>
            </w:r>
          </w:p>
        </w:tc>
        <w:tc>
          <w:tcPr>
            <w:tcW w:w="520" w:type="dxa"/>
            <w:vAlign w:val="bottom"/>
            <w:tcBorders>
              <w:bottom w:val="single" w:sz="8" w:color="61656A"/>
            </w:tcBorders>
          </w:tcPr>
          <w:p>
            <w:pPr>
              <w:jc w:val="right"/>
              <w:ind w:right="412"/>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182</w:t>
            </w:r>
          </w:p>
        </w:tc>
        <w:tc>
          <w:tcPr>
            <w:tcW w:w="380" w:type="dxa"/>
            <w:vAlign w:val="bottom"/>
            <w:tcBorders>
              <w:bottom w:val="single" w:sz="8" w:color="61656A"/>
            </w:tcBorders>
          </w:tcPr>
          <w:p>
            <w:pPr>
              <w:jc w:val="right"/>
              <w:ind w:right="13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175</w:t>
            </w:r>
          </w:p>
        </w:tc>
      </w:tr>
      <w:tr>
        <w:trPr>
          <w:trHeight w:val="124"/>
        </w:trPr>
        <w:tc>
          <w:tcPr>
            <w:tcW w:w="95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Other liabilities</w:t>
            </w:r>
          </w:p>
        </w:tc>
        <w:tc>
          <w:tcPr>
            <w:tcW w:w="52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37</w:t>
            </w:r>
          </w:p>
        </w:tc>
        <w:tc>
          <w:tcPr>
            <w:tcW w:w="38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38</w:t>
            </w:r>
          </w:p>
        </w:tc>
      </w:tr>
      <w:tr>
        <w:trPr>
          <w:trHeight w:val="126"/>
        </w:trPr>
        <w:tc>
          <w:tcPr>
            <w:tcW w:w="956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obligations for product warranties and product performance guarantees</w:t>
            </w:r>
          </w:p>
        </w:tc>
        <w:tc>
          <w:tcPr>
            <w:tcW w:w="52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219</w:t>
            </w:r>
          </w:p>
        </w:tc>
        <w:tc>
          <w:tcPr>
            <w:tcW w:w="38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213</w:t>
            </w:r>
          </w:p>
        </w:tc>
      </w:tr>
    </w:tbl>
    <w:p>
      <w:pPr>
        <w:spacing w:after="0" w:line="231" w:lineRule="exact"/>
        <w:rPr>
          <w:sz w:val="20"/>
          <w:szCs w:val="20"/>
          <w:color w:val="auto"/>
        </w:rPr>
      </w:pPr>
    </w:p>
    <w:p>
      <w:pPr>
        <w:ind w:left="8"/>
        <w:spacing w:after="0"/>
        <w:rPr>
          <w:sz w:val="20"/>
          <w:szCs w:val="20"/>
          <w:color w:val="auto"/>
        </w:rPr>
      </w:pPr>
      <w:r>
        <w:rPr>
          <w:rFonts w:ascii="Arial" w:cs="Arial" w:eastAsia="Arial" w:hAnsi="Arial"/>
          <w:sz w:val="19"/>
          <w:szCs w:val="19"/>
          <w:color w:val="D7282F"/>
        </w:rPr>
        <w:t>NOTE 20. PENSION AND OTHER POSTRETIREMENT BENEFITS</w:t>
      </w:r>
    </w:p>
    <w:p>
      <w:pPr>
        <w:spacing w:after="0" w:line="163" w:lineRule="exact"/>
        <w:rPr>
          <w:sz w:val="20"/>
          <w:szCs w:val="20"/>
          <w:color w:val="auto"/>
        </w:rPr>
      </w:pPr>
    </w:p>
    <w:p>
      <w:pPr>
        <w:jc w:val="both"/>
        <w:ind w:left="8"/>
        <w:spacing w:after="0" w:line="260" w:lineRule="auto"/>
        <w:rPr>
          <w:sz w:val="20"/>
          <w:szCs w:val="20"/>
          <w:color w:val="auto"/>
        </w:rPr>
      </w:pPr>
      <w:r>
        <w:rPr>
          <w:rFonts w:ascii="Arial" w:cs="Arial" w:eastAsia="Arial" w:hAnsi="Arial"/>
          <w:sz w:val="11"/>
          <w:szCs w:val="11"/>
          <w:color w:val="auto"/>
        </w:rPr>
        <w:t>The Company sponsors a number of both funded and unfunded U.S. and non-U.S. defined benefit pension plans. Pension benefits for many of the Company's U.S. employees are provided through non-contributory, qualified, and non-qualified defined benefit plans. All non-union hourly and salaried employees joining Honeywell for the first time after December 31, 2012, are not eligible to participate in Honeywell’s U.S. defined benefit pension plans. The Company also sponsors defined benefit pension plans which cover non-U.S. employees who are not U.S. citizens, in certain jurisdictions, principally the UK, Netherlands, Germany, and Canada. Other pension plans outside of the U.S. are not material to the Company either individually or in the aggregate.</w:t>
      </w:r>
    </w:p>
    <w:p>
      <w:pPr>
        <w:spacing w:after="0" w:line="46"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The Company sponsors postretirement benefit plans that provide health care benefits and life insurance coverage mainly to U.S. eligible retirees. None of Honeywell’s U.S. employees are eligible for a retiree medical subsidy from the Company. In addition, the vast majority of Honeywell’s U.S. retirees either have no Company subsidy or have a fixed-dollar subsidy amount. This significantly limits the Company's exposure to the impact of future health care cost increases. The retiree medical and life insurance plans are not funded. Claims and expenses are paid from the Company's cash flows from operations.</w:t>
      </w:r>
    </w:p>
    <w:p>
      <w:pPr>
        <w:spacing w:after="0" w:line="270" w:lineRule="exact"/>
        <w:rPr>
          <w:sz w:val="20"/>
          <w:szCs w:val="20"/>
          <w:color w:val="auto"/>
        </w:rPr>
      </w:pPr>
    </w:p>
    <w:p>
      <w:pPr>
        <w:ind w:left="328" w:hanging="328"/>
        <w:spacing w:after="0"/>
        <w:tabs>
          <w:tab w:leader="none" w:pos="328" w:val="left"/>
        </w:tabs>
        <w:numPr>
          <w:ilvl w:val="0"/>
          <w:numId w:val="143"/>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103" w:name="page104"/>
    <w:bookmarkEnd w:id="103"/>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tables summarize the balance sheet impact, including the benefit obligations, assets, and funded status associated with the Company's significant pension and other postretirement benefit plans:</w:t>
      </w:r>
    </w:p>
    <w:p>
      <w:pPr>
        <w:spacing w:after="0" w:line="136"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7600" w:type="dxa"/>
            <w:vAlign w:val="bottom"/>
          </w:tcPr>
          <w:p>
            <w:pPr>
              <w:spacing w:after="0"/>
              <w:rPr>
                <w:sz w:val="11"/>
                <w:szCs w:val="11"/>
                <w:color w:val="auto"/>
              </w:rPr>
            </w:pPr>
          </w:p>
        </w:tc>
        <w:tc>
          <w:tcPr>
            <w:tcW w:w="180" w:type="dxa"/>
            <w:vAlign w:val="bottom"/>
            <w:tcBorders>
              <w:bottom w:val="single" w:sz="8" w:color="D7282F"/>
            </w:tcBorders>
          </w:tcPr>
          <w:p>
            <w:pPr>
              <w:spacing w:after="0"/>
              <w:rPr>
                <w:sz w:val="11"/>
                <w:szCs w:val="11"/>
                <w:color w:val="auto"/>
              </w:rPr>
            </w:pPr>
          </w:p>
        </w:tc>
        <w:tc>
          <w:tcPr>
            <w:tcW w:w="680" w:type="dxa"/>
            <w:vAlign w:val="bottom"/>
            <w:tcBorders>
              <w:bottom w:val="single" w:sz="8" w:color="D7282F"/>
            </w:tcBorders>
          </w:tcPr>
          <w:p>
            <w:pPr>
              <w:spacing w:after="0"/>
              <w:rPr>
                <w:sz w:val="11"/>
                <w:szCs w:val="11"/>
                <w:color w:val="auto"/>
              </w:rPr>
            </w:pPr>
          </w:p>
        </w:tc>
        <w:tc>
          <w:tcPr>
            <w:tcW w:w="320" w:type="dxa"/>
            <w:vAlign w:val="bottom"/>
            <w:tcBorders>
              <w:bottom w:val="single" w:sz="8" w:color="D7282F"/>
            </w:tcBorders>
          </w:tcPr>
          <w:p>
            <w:pPr>
              <w:spacing w:after="0"/>
              <w:rPr>
                <w:sz w:val="11"/>
                <w:szCs w:val="11"/>
                <w:color w:val="auto"/>
              </w:rPr>
            </w:pPr>
          </w:p>
        </w:tc>
        <w:tc>
          <w:tcPr>
            <w:tcW w:w="1640" w:type="dxa"/>
            <w:vAlign w:val="bottom"/>
            <w:tcBorders>
              <w:bottom w:val="single" w:sz="8" w:color="D7282F"/>
            </w:tcBorders>
            <w:gridSpan w:val="4"/>
          </w:tcPr>
          <w:p>
            <w:pPr>
              <w:jc w:val="right"/>
              <w:ind w:right="532"/>
              <w:spacing w:after="0"/>
              <w:rPr>
                <w:sz w:val="20"/>
                <w:szCs w:val="20"/>
                <w:color w:val="auto"/>
              </w:rPr>
            </w:pPr>
            <w:r>
              <w:rPr>
                <w:rFonts w:ascii="Arial" w:cs="Arial" w:eastAsia="Arial" w:hAnsi="Arial"/>
                <w:sz w:val="10"/>
                <w:szCs w:val="10"/>
                <w:b w:val="1"/>
                <w:bCs w:val="1"/>
                <w:color w:val="auto"/>
              </w:rPr>
              <w:t>Pension Benefits</w:t>
            </w:r>
          </w:p>
        </w:tc>
        <w:tc>
          <w:tcPr>
            <w:tcW w:w="360" w:type="dxa"/>
            <w:vAlign w:val="bottom"/>
            <w:tcBorders>
              <w:bottom w:val="single" w:sz="8" w:color="D7282F"/>
            </w:tcBorders>
          </w:tcPr>
          <w:p>
            <w:pPr>
              <w:spacing w:after="0"/>
              <w:rPr>
                <w:sz w:val="11"/>
                <w:szCs w:val="11"/>
                <w:color w:val="auto"/>
              </w:rPr>
            </w:pPr>
          </w:p>
        </w:tc>
        <w:tc>
          <w:tcPr>
            <w:tcW w:w="520" w:type="dxa"/>
            <w:vAlign w:val="bottom"/>
            <w:tcBorders>
              <w:bottom w:val="single" w:sz="8" w:color="D7282F"/>
            </w:tcBorders>
          </w:tcPr>
          <w:p>
            <w:pPr>
              <w:spacing w:after="0"/>
              <w:rPr>
                <w:sz w:val="11"/>
                <w:szCs w:val="11"/>
                <w:color w:val="auto"/>
              </w:rPr>
            </w:pPr>
          </w:p>
        </w:tc>
      </w:tr>
      <w:tr>
        <w:trPr>
          <w:trHeight w:val="151"/>
        </w:trPr>
        <w:tc>
          <w:tcPr>
            <w:tcW w:w="7600" w:type="dxa"/>
            <w:vAlign w:val="bottom"/>
          </w:tcPr>
          <w:p>
            <w:pPr>
              <w:spacing w:after="0"/>
              <w:rPr>
                <w:sz w:val="13"/>
                <w:szCs w:val="13"/>
                <w:color w:val="auto"/>
              </w:rPr>
            </w:pPr>
          </w:p>
        </w:tc>
        <w:tc>
          <w:tcPr>
            <w:tcW w:w="180" w:type="dxa"/>
            <w:vAlign w:val="bottom"/>
            <w:tcBorders>
              <w:bottom w:val="single" w:sz="8" w:color="D7282F"/>
            </w:tcBorders>
          </w:tcPr>
          <w:p>
            <w:pPr>
              <w:spacing w:after="0"/>
              <w:rPr>
                <w:sz w:val="13"/>
                <w:szCs w:val="13"/>
                <w:color w:val="auto"/>
              </w:rPr>
            </w:pPr>
          </w:p>
        </w:tc>
        <w:tc>
          <w:tcPr>
            <w:tcW w:w="1000" w:type="dxa"/>
            <w:vAlign w:val="bottom"/>
            <w:tcBorders>
              <w:bottom w:val="single" w:sz="8" w:color="D7282F"/>
            </w:tcBorders>
            <w:gridSpan w:val="2"/>
          </w:tcPr>
          <w:p>
            <w:pPr>
              <w:jc w:val="right"/>
              <w:ind w:right="32"/>
              <w:spacing w:after="0"/>
              <w:rPr>
                <w:sz w:val="20"/>
                <w:szCs w:val="20"/>
                <w:color w:val="auto"/>
              </w:rPr>
            </w:pPr>
            <w:r>
              <w:rPr>
                <w:rFonts w:ascii="Arial" w:cs="Arial" w:eastAsia="Arial" w:hAnsi="Arial"/>
                <w:sz w:val="10"/>
                <w:szCs w:val="10"/>
                <w:b w:val="1"/>
                <w:bCs w:val="1"/>
                <w:color w:val="auto"/>
              </w:rPr>
              <w:t>U.S. Plans</w:t>
            </w:r>
          </w:p>
        </w:tc>
        <w:tc>
          <w:tcPr>
            <w:tcW w:w="560" w:type="dxa"/>
            <w:vAlign w:val="bottom"/>
            <w:tcBorders>
              <w:bottom w:val="single" w:sz="8" w:color="D7282F"/>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D7282F"/>
            </w:tcBorders>
          </w:tcPr>
          <w:p>
            <w:pPr>
              <w:spacing w:after="0"/>
              <w:rPr>
                <w:sz w:val="13"/>
                <w:szCs w:val="13"/>
                <w:color w:val="auto"/>
              </w:rPr>
            </w:pPr>
          </w:p>
        </w:tc>
        <w:tc>
          <w:tcPr>
            <w:tcW w:w="1060" w:type="dxa"/>
            <w:vAlign w:val="bottom"/>
            <w:tcBorders>
              <w:bottom w:val="single" w:sz="8" w:color="D7282F"/>
            </w:tcBorders>
            <w:gridSpan w:val="2"/>
          </w:tcPr>
          <w:p>
            <w:pPr>
              <w:jc w:val="right"/>
              <w:spacing w:after="0"/>
              <w:rPr>
                <w:sz w:val="20"/>
                <w:szCs w:val="20"/>
                <w:color w:val="auto"/>
              </w:rPr>
            </w:pPr>
            <w:r>
              <w:rPr>
                <w:rFonts w:ascii="Arial" w:cs="Arial" w:eastAsia="Arial" w:hAnsi="Arial"/>
                <w:sz w:val="10"/>
                <w:szCs w:val="10"/>
                <w:b w:val="1"/>
                <w:bCs w:val="1"/>
                <w:color w:val="auto"/>
              </w:rPr>
              <w:t>Non-U.S. Plans</w:t>
            </w:r>
          </w:p>
        </w:tc>
        <w:tc>
          <w:tcPr>
            <w:tcW w:w="520" w:type="dxa"/>
            <w:vAlign w:val="bottom"/>
            <w:tcBorders>
              <w:bottom w:val="single" w:sz="8" w:color="D7282F"/>
            </w:tcBorders>
          </w:tcPr>
          <w:p>
            <w:pPr>
              <w:spacing w:after="0"/>
              <w:rPr>
                <w:sz w:val="13"/>
                <w:szCs w:val="13"/>
                <w:color w:val="auto"/>
              </w:rPr>
            </w:pPr>
          </w:p>
        </w:tc>
      </w:tr>
      <w:tr>
        <w:trPr>
          <w:trHeight w:val="151"/>
        </w:trPr>
        <w:tc>
          <w:tcPr>
            <w:tcW w:w="7600" w:type="dxa"/>
            <w:vAlign w:val="bottom"/>
            <w:tcBorders>
              <w:bottom w:val="single" w:sz="8" w:color="D7282F"/>
            </w:tcBorders>
          </w:tcPr>
          <w:p>
            <w:pPr>
              <w:spacing w:after="0"/>
              <w:rPr>
                <w:sz w:val="13"/>
                <w:szCs w:val="13"/>
                <w:color w:val="auto"/>
              </w:rPr>
            </w:pPr>
          </w:p>
        </w:tc>
        <w:tc>
          <w:tcPr>
            <w:tcW w:w="18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2023</w:t>
            </w:r>
          </w:p>
        </w:tc>
        <w:tc>
          <w:tcPr>
            <w:tcW w:w="320" w:type="dxa"/>
            <w:vAlign w:val="bottom"/>
            <w:tcBorders>
              <w:bottom w:val="single" w:sz="8" w:color="D7282F"/>
            </w:tcBorders>
          </w:tcPr>
          <w:p>
            <w:pPr>
              <w:spacing w:after="0"/>
              <w:rPr>
                <w:sz w:val="13"/>
                <w:szCs w:val="13"/>
                <w:color w:val="auto"/>
              </w:rPr>
            </w:pPr>
          </w:p>
        </w:tc>
        <w:tc>
          <w:tcPr>
            <w:tcW w:w="56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2022</w:t>
            </w:r>
          </w:p>
        </w:tc>
        <w:tc>
          <w:tcPr>
            <w:tcW w:w="200" w:type="dxa"/>
            <w:vAlign w:val="bottom"/>
            <w:tcBorders>
              <w:bottom w:val="single" w:sz="8" w:color="D7282F"/>
            </w:tcBorders>
          </w:tcPr>
          <w:p>
            <w:pPr>
              <w:spacing w:after="0"/>
              <w:rPr>
                <w:sz w:val="13"/>
                <w:szCs w:val="13"/>
                <w:color w:val="auto"/>
              </w:rPr>
            </w:pPr>
          </w:p>
        </w:tc>
        <w:tc>
          <w:tcPr>
            <w:tcW w:w="180" w:type="dxa"/>
            <w:vAlign w:val="bottom"/>
            <w:tcBorders>
              <w:bottom w:val="single" w:sz="8" w:color="D7282F"/>
            </w:tcBorders>
          </w:tcPr>
          <w:p>
            <w:pPr>
              <w:spacing w:after="0"/>
              <w:rPr>
                <w:sz w:val="13"/>
                <w:szCs w:val="13"/>
                <w:color w:val="auto"/>
              </w:rPr>
            </w:pPr>
          </w:p>
        </w:tc>
        <w:tc>
          <w:tcPr>
            <w:tcW w:w="70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2023</w:t>
            </w:r>
          </w:p>
        </w:tc>
        <w:tc>
          <w:tcPr>
            <w:tcW w:w="360" w:type="dxa"/>
            <w:vAlign w:val="bottom"/>
            <w:tcBorders>
              <w:bottom w:val="single" w:sz="8" w:color="D7282F"/>
            </w:tcBorders>
          </w:tcPr>
          <w:p>
            <w:pPr>
              <w:spacing w:after="0"/>
              <w:rPr>
                <w:sz w:val="13"/>
                <w:szCs w:val="13"/>
                <w:color w:val="auto"/>
              </w:rPr>
            </w:pPr>
          </w:p>
        </w:tc>
        <w:tc>
          <w:tcPr>
            <w:tcW w:w="52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w w:val="98"/>
              </w:rPr>
              <w:t>2022</w:t>
            </w:r>
          </w:p>
        </w:tc>
      </w:tr>
      <w:tr>
        <w:trPr>
          <w:trHeight w:val="122"/>
        </w:trPr>
        <w:tc>
          <w:tcPr>
            <w:tcW w:w="76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Change in benefit obligation</w:t>
            </w:r>
          </w:p>
        </w:tc>
        <w:tc>
          <w:tcPr>
            <w:tcW w:w="18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spacing w:after="0"/>
              <w:rPr>
                <w:sz w:val="10"/>
                <w:szCs w:val="10"/>
                <w:color w:val="auto"/>
              </w:rPr>
            </w:pPr>
          </w:p>
        </w:tc>
        <w:tc>
          <w:tcPr>
            <w:tcW w:w="560" w:type="dxa"/>
            <w:vAlign w:val="bottom"/>
            <w:tcBorders>
              <w:bottom w:val="single" w:sz="8" w:color="61656A"/>
            </w:tcBorders>
          </w:tcPr>
          <w:p>
            <w:pPr>
              <w:spacing w:after="0"/>
              <w:rPr>
                <w:sz w:val="10"/>
                <w:szCs w:val="10"/>
                <w:color w:val="auto"/>
              </w:rPr>
            </w:pPr>
          </w:p>
        </w:tc>
        <w:tc>
          <w:tcPr>
            <w:tcW w:w="200" w:type="dxa"/>
            <w:vAlign w:val="bottom"/>
            <w:tcBorders>
              <w:bottom w:val="single" w:sz="8" w:color="61656A"/>
            </w:tcBorders>
          </w:tcPr>
          <w:p>
            <w:pPr>
              <w:spacing w:after="0"/>
              <w:rPr>
                <w:sz w:val="10"/>
                <w:szCs w:val="10"/>
                <w:color w:val="auto"/>
              </w:rPr>
            </w:pPr>
          </w:p>
        </w:tc>
        <w:tc>
          <w:tcPr>
            <w:tcW w:w="1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spacing w:after="0"/>
              <w:rPr>
                <w:sz w:val="10"/>
                <w:szCs w:val="10"/>
                <w:color w:val="auto"/>
              </w:rPr>
            </w:pPr>
          </w:p>
        </w:tc>
      </w:tr>
      <w:tr>
        <w:trPr>
          <w:trHeight w:val="124"/>
        </w:trPr>
        <w:tc>
          <w:tcPr>
            <w:tcW w:w="76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Benefit obligation at beginning of year</w:t>
            </w:r>
          </w:p>
        </w:tc>
        <w:tc>
          <w:tcPr>
            <w:tcW w:w="18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13,290</w:t>
            </w:r>
          </w:p>
        </w:tc>
        <w:tc>
          <w:tcPr>
            <w:tcW w:w="3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17,391</w:t>
            </w:r>
          </w:p>
        </w:tc>
        <w:tc>
          <w:tcPr>
            <w:tcW w:w="200" w:type="dxa"/>
            <w:vAlign w:val="bottom"/>
            <w:tcBorders>
              <w:bottom w:val="single" w:sz="8" w:color="61656A"/>
            </w:tcBorders>
          </w:tcPr>
          <w:p>
            <w:pPr>
              <w:spacing w:after="0"/>
              <w:rPr>
                <w:sz w:val="10"/>
                <w:szCs w:val="10"/>
                <w:color w:val="auto"/>
              </w:rPr>
            </w:pPr>
          </w:p>
        </w:tc>
        <w:tc>
          <w:tcPr>
            <w:tcW w:w="18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4,400</w:t>
            </w:r>
          </w:p>
        </w:tc>
        <w:tc>
          <w:tcPr>
            <w:tcW w:w="360" w:type="dxa"/>
            <w:vAlign w:val="bottom"/>
            <w:tcBorders>
              <w:bottom w:val="single" w:sz="8" w:color="61656A"/>
            </w:tcBorders>
          </w:tcPr>
          <w:p>
            <w:pPr>
              <w:jc w:val="right"/>
              <w:ind w:right="15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6,999</w:t>
            </w:r>
          </w:p>
        </w:tc>
      </w:tr>
      <w:tr>
        <w:trPr>
          <w:trHeight w:val="124"/>
        </w:trPr>
        <w:tc>
          <w:tcPr>
            <w:tcW w:w="760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Service cost</w:t>
            </w:r>
          </w:p>
        </w:tc>
        <w:tc>
          <w:tcPr>
            <w:tcW w:w="18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29</w:t>
            </w:r>
          </w:p>
        </w:tc>
        <w:tc>
          <w:tcPr>
            <w:tcW w:w="32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86</w:t>
            </w:r>
          </w:p>
        </w:tc>
        <w:tc>
          <w:tcPr>
            <w:tcW w:w="20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11</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19</w:t>
            </w:r>
          </w:p>
        </w:tc>
      </w:tr>
      <w:tr>
        <w:trPr>
          <w:trHeight w:val="124"/>
        </w:trPr>
        <w:tc>
          <w:tcPr>
            <w:tcW w:w="760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Interest cost</w:t>
            </w:r>
          </w:p>
        </w:tc>
        <w:tc>
          <w:tcPr>
            <w:tcW w:w="18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645</w:t>
            </w:r>
          </w:p>
        </w:tc>
        <w:tc>
          <w:tcPr>
            <w:tcW w:w="32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380</w:t>
            </w:r>
          </w:p>
        </w:tc>
        <w:tc>
          <w:tcPr>
            <w:tcW w:w="20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200</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103</w:t>
            </w:r>
          </w:p>
        </w:tc>
      </w:tr>
      <w:tr>
        <w:trPr>
          <w:trHeight w:val="124"/>
        </w:trPr>
        <w:tc>
          <w:tcPr>
            <w:tcW w:w="760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Plan amendments</w:t>
            </w:r>
          </w:p>
        </w:tc>
        <w:tc>
          <w:tcPr>
            <w:tcW w:w="18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760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Actuarial (gains) losses</w:t>
            </w:r>
            <w:r>
              <w:rPr>
                <w:rFonts w:ascii="Arial" w:cs="Arial" w:eastAsia="Arial" w:hAnsi="Arial"/>
                <w:sz w:val="6"/>
                <w:szCs w:val="6"/>
                <w:color w:val="auto"/>
              </w:rPr>
              <w:t>1</w:t>
            </w:r>
          </w:p>
        </w:tc>
        <w:tc>
          <w:tcPr>
            <w:tcW w:w="18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337</w:t>
            </w:r>
          </w:p>
        </w:tc>
        <w:tc>
          <w:tcPr>
            <w:tcW w:w="32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(3,135)</w:t>
            </w:r>
          </w:p>
        </w:tc>
        <w:tc>
          <w:tcPr>
            <w:tcW w:w="20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191</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(1,929)</w:t>
            </w:r>
          </w:p>
        </w:tc>
      </w:tr>
      <w:tr>
        <w:trPr>
          <w:trHeight w:val="124"/>
        </w:trPr>
        <w:tc>
          <w:tcPr>
            <w:tcW w:w="760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Benefits paid</w:t>
            </w:r>
          </w:p>
        </w:tc>
        <w:tc>
          <w:tcPr>
            <w:tcW w:w="18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(1,509)</w:t>
            </w:r>
          </w:p>
        </w:tc>
        <w:tc>
          <w:tcPr>
            <w:tcW w:w="32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(1,421)</w:t>
            </w:r>
          </w:p>
        </w:tc>
        <w:tc>
          <w:tcPr>
            <w:tcW w:w="20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(250)</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(261)</w:t>
            </w:r>
          </w:p>
        </w:tc>
      </w:tr>
      <w:tr>
        <w:trPr>
          <w:trHeight w:val="124"/>
        </w:trPr>
        <w:tc>
          <w:tcPr>
            <w:tcW w:w="760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Settlements and curtailments</w:t>
            </w:r>
          </w:p>
        </w:tc>
        <w:tc>
          <w:tcPr>
            <w:tcW w:w="18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(13)</w:t>
            </w:r>
          </w:p>
        </w:tc>
        <w:tc>
          <w:tcPr>
            <w:tcW w:w="20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760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Foreign currency translation</w:t>
            </w:r>
          </w:p>
        </w:tc>
        <w:tc>
          <w:tcPr>
            <w:tcW w:w="18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165</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(533)</w:t>
            </w:r>
          </w:p>
        </w:tc>
      </w:tr>
      <w:tr>
        <w:trPr>
          <w:trHeight w:val="124"/>
        </w:trPr>
        <w:tc>
          <w:tcPr>
            <w:tcW w:w="7600" w:type="dxa"/>
            <w:vAlign w:val="bottom"/>
            <w:tcBorders>
              <w:bottom w:val="single" w:sz="8" w:color="D7282F"/>
            </w:tcBorders>
          </w:tcPr>
          <w:p>
            <w:pPr>
              <w:ind w:left="140"/>
              <w:spacing w:after="0"/>
              <w:rPr>
                <w:sz w:val="20"/>
                <w:szCs w:val="20"/>
                <w:color w:val="auto"/>
              </w:rPr>
            </w:pPr>
            <w:r>
              <w:rPr>
                <w:rFonts w:ascii="Arial" w:cs="Arial" w:eastAsia="Arial" w:hAnsi="Arial"/>
                <w:sz w:val="10"/>
                <w:szCs w:val="10"/>
                <w:color w:val="auto"/>
              </w:rPr>
              <w:t>Other</w:t>
            </w:r>
          </w:p>
        </w:tc>
        <w:tc>
          <w:tcPr>
            <w:tcW w:w="18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2</w:t>
            </w:r>
          </w:p>
        </w:tc>
        <w:tc>
          <w:tcPr>
            <w:tcW w:w="20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1</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2</w:t>
            </w:r>
          </w:p>
        </w:tc>
      </w:tr>
      <w:tr>
        <w:trPr>
          <w:trHeight w:val="126"/>
        </w:trPr>
        <w:tc>
          <w:tcPr>
            <w:tcW w:w="760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Benefit obligation at end of year</w:t>
            </w:r>
          </w:p>
        </w:tc>
        <w:tc>
          <w:tcPr>
            <w:tcW w:w="18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12,792</w:t>
            </w:r>
          </w:p>
        </w:tc>
        <w:tc>
          <w:tcPr>
            <w:tcW w:w="32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13,290</w:t>
            </w:r>
          </w:p>
        </w:tc>
        <w:tc>
          <w:tcPr>
            <w:tcW w:w="20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4,718</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4,400</w:t>
            </w:r>
          </w:p>
        </w:tc>
      </w:tr>
      <w:tr>
        <w:trPr>
          <w:trHeight w:val="122"/>
        </w:trPr>
        <w:tc>
          <w:tcPr>
            <w:tcW w:w="76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Change in plan assets</w:t>
            </w:r>
          </w:p>
        </w:tc>
        <w:tc>
          <w:tcPr>
            <w:tcW w:w="18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spacing w:after="0"/>
              <w:rPr>
                <w:sz w:val="10"/>
                <w:szCs w:val="10"/>
                <w:color w:val="auto"/>
              </w:rPr>
            </w:pPr>
          </w:p>
        </w:tc>
        <w:tc>
          <w:tcPr>
            <w:tcW w:w="32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spacing w:after="0"/>
              <w:rPr>
                <w:sz w:val="10"/>
                <w:szCs w:val="10"/>
                <w:color w:val="auto"/>
              </w:rPr>
            </w:pPr>
          </w:p>
        </w:tc>
      </w:tr>
      <w:tr>
        <w:trPr>
          <w:trHeight w:val="124"/>
        </w:trPr>
        <w:tc>
          <w:tcPr>
            <w:tcW w:w="76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Fair value of plan assets at beginning of year</w:t>
            </w:r>
          </w:p>
        </w:tc>
        <w:tc>
          <w:tcPr>
            <w:tcW w:w="18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17,005</w:t>
            </w:r>
          </w:p>
        </w:tc>
        <w:tc>
          <w:tcPr>
            <w:tcW w:w="32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20,560</w:t>
            </w:r>
          </w:p>
        </w:tc>
        <w:tc>
          <w:tcPr>
            <w:tcW w:w="20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5,304</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8,396</w:t>
            </w:r>
          </w:p>
        </w:tc>
      </w:tr>
      <w:tr>
        <w:trPr>
          <w:trHeight w:val="124"/>
        </w:trPr>
        <w:tc>
          <w:tcPr>
            <w:tcW w:w="760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Actual return on plan assets</w:t>
            </w:r>
          </w:p>
        </w:tc>
        <w:tc>
          <w:tcPr>
            <w:tcW w:w="18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1,070</w:t>
            </w:r>
          </w:p>
        </w:tc>
        <w:tc>
          <w:tcPr>
            <w:tcW w:w="32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(2,161)</w:t>
            </w:r>
          </w:p>
        </w:tc>
        <w:tc>
          <w:tcPr>
            <w:tcW w:w="20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267</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(2,187)</w:t>
            </w:r>
          </w:p>
        </w:tc>
      </w:tr>
      <w:tr>
        <w:trPr>
          <w:trHeight w:val="124"/>
        </w:trPr>
        <w:tc>
          <w:tcPr>
            <w:tcW w:w="760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Company contributions</w:t>
            </w:r>
          </w:p>
        </w:tc>
        <w:tc>
          <w:tcPr>
            <w:tcW w:w="18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28</w:t>
            </w:r>
          </w:p>
        </w:tc>
        <w:tc>
          <w:tcPr>
            <w:tcW w:w="32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37</w:t>
            </w:r>
          </w:p>
        </w:tc>
        <w:tc>
          <w:tcPr>
            <w:tcW w:w="20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22</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17</w:t>
            </w:r>
          </w:p>
        </w:tc>
      </w:tr>
      <w:tr>
        <w:trPr>
          <w:trHeight w:val="124"/>
        </w:trPr>
        <w:tc>
          <w:tcPr>
            <w:tcW w:w="760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Benefits paid</w:t>
            </w:r>
          </w:p>
        </w:tc>
        <w:tc>
          <w:tcPr>
            <w:tcW w:w="18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(1,509)</w:t>
            </w:r>
          </w:p>
        </w:tc>
        <w:tc>
          <w:tcPr>
            <w:tcW w:w="32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(1,421)</w:t>
            </w:r>
          </w:p>
        </w:tc>
        <w:tc>
          <w:tcPr>
            <w:tcW w:w="20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(250)</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(261)</w:t>
            </w:r>
          </w:p>
        </w:tc>
      </w:tr>
      <w:tr>
        <w:trPr>
          <w:trHeight w:val="124"/>
        </w:trPr>
        <w:tc>
          <w:tcPr>
            <w:tcW w:w="760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Settlements and curtailments</w:t>
            </w:r>
          </w:p>
        </w:tc>
        <w:tc>
          <w:tcPr>
            <w:tcW w:w="18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(13)</w:t>
            </w:r>
          </w:p>
        </w:tc>
        <w:tc>
          <w:tcPr>
            <w:tcW w:w="20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760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Foreign currency translation</w:t>
            </w:r>
          </w:p>
        </w:tc>
        <w:tc>
          <w:tcPr>
            <w:tcW w:w="18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205</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(664)</w:t>
            </w:r>
          </w:p>
        </w:tc>
      </w:tr>
      <w:tr>
        <w:trPr>
          <w:trHeight w:val="124"/>
        </w:trPr>
        <w:tc>
          <w:tcPr>
            <w:tcW w:w="7600" w:type="dxa"/>
            <w:vAlign w:val="bottom"/>
            <w:tcBorders>
              <w:bottom w:val="single" w:sz="8" w:color="D7282F"/>
            </w:tcBorders>
          </w:tcPr>
          <w:p>
            <w:pPr>
              <w:ind w:left="140"/>
              <w:spacing w:after="0"/>
              <w:rPr>
                <w:sz w:val="20"/>
                <w:szCs w:val="20"/>
                <w:color w:val="auto"/>
              </w:rPr>
            </w:pPr>
            <w:r>
              <w:rPr>
                <w:rFonts w:ascii="Arial" w:cs="Arial" w:eastAsia="Arial" w:hAnsi="Arial"/>
                <w:sz w:val="10"/>
                <w:szCs w:val="10"/>
                <w:color w:val="auto"/>
              </w:rPr>
              <w:t>Other</w:t>
            </w:r>
          </w:p>
        </w:tc>
        <w:tc>
          <w:tcPr>
            <w:tcW w:w="18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3</w:t>
            </w:r>
          </w:p>
        </w:tc>
        <w:tc>
          <w:tcPr>
            <w:tcW w:w="20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1</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3</w:t>
            </w:r>
          </w:p>
        </w:tc>
      </w:tr>
      <w:tr>
        <w:trPr>
          <w:trHeight w:val="126"/>
        </w:trPr>
        <w:tc>
          <w:tcPr>
            <w:tcW w:w="760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Fair value of plan assets at end of year</w:t>
            </w:r>
          </w:p>
        </w:tc>
        <w:tc>
          <w:tcPr>
            <w:tcW w:w="18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16,594</w:t>
            </w:r>
          </w:p>
        </w:tc>
        <w:tc>
          <w:tcPr>
            <w:tcW w:w="32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17,005</w:t>
            </w:r>
          </w:p>
        </w:tc>
        <w:tc>
          <w:tcPr>
            <w:tcW w:w="20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5,549</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5,304</w:t>
            </w:r>
          </w:p>
        </w:tc>
      </w:tr>
      <w:tr>
        <w:trPr>
          <w:trHeight w:val="124"/>
        </w:trPr>
        <w:tc>
          <w:tcPr>
            <w:tcW w:w="760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Funded status of plans</w:t>
            </w:r>
          </w:p>
        </w:tc>
        <w:tc>
          <w:tcPr>
            <w:tcW w:w="1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3,802</w:t>
            </w:r>
          </w:p>
        </w:tc>
        <w:tc>
          <w:tcPr>
            <w:tcW w:w="3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3,715</w:t>
            </w:r>
          </w:p>
        </w:tc>
        <w:tc>
          <w:tcPr>
            <w:tcW w:w="20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831</w:t>
            </w:r>
          </w:p>
        </w:tc>
        <w:tc>
          <w:tcPr>
            <w:tcW w:w="36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904</w:t>
            </w:r>
          </w:p>
        </w:tc>
      </w:tr>
      <w:tr>
        <w:trPr>
          <w:trHeight w:val="122"/>
        </w:trPr>
        <w:tc>
          <w:tcPr>
            <w:tcW w:w="76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Amounts recognized in the Consolidated Balance Sheet consist of</w:t>
            </w:r>
          </w:p>
        </w:tc>
        <w:tc>
          <w:tcPr>
            <w:tcW w:w="18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spacing w:after="0"/>
              <w:rPr>
                <w:sz w:val="10"/>
                <w:szCs w:val="10"/>
                <w:color w:val="auto"/>
              </w:rPr>
            </w:pPr>
          </w:p>
        </w:tc>
        <w:tc>
          <w:tcPr>
            <w:tcW w:w="32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spacing w:after="0"/>
              <w:rPr>
                <w:sz w:val="10"/>
                <w:szCs w:val="10"/>
                <w:color w:val="auto"/>
              </w:rPr>
            </w:pPr>
          </w:p>
        </w:tc>
      </w:tr>
      <w:tr>
        <w:trPr>
          <w:trHeight w:val="124"/>
        </w:trPr>
        <w:tc>
          <w:tcPr>
            <w:tcW w:w="76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Prepaid pension benefit cost</w:t>
            </w:r>
            <w:r>
              <w:rPr>
                <w:rFonts w:ascii="Arial" w:cs="Arial" w:eastAsia="Arial" w:hAnsi="Arial"/>
                <w:sz w:val="6"/>
                <w:szCs w:val="6"/>
                <w:color w:val="auto"/>
              </w:rPr>
              <w:t>2</w:t>
            </w:r>
          </w:p>
        </w:tc>
        <w:tc>
          <w:tcPr>
            <w:tcW w:w="18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4,052</w:t>
            </w:r>
          </w:p>
        </w:tc>
        <w:tc>
          <w:tcPr>
            <w:tcW w:w="3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3,970</w:t>
            </w:r>
          </w:p>
        </w:tc>
        <w:tc>
          <w:tcPr>
            <w:tcW w:w="20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1,335</w:t>
            </w:r>
          </w:p>
        </w:tc>
        <w:tc>
          <w:tcPr>
            <w:tcW w:w="36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1,356</w:t>
            </w:r>
          </w:p>
        </w:tc>
      </w:tr>
      <w:tr>
        <w:trPr>
          <w:trHeight w:val="124"/>
        </w:trPr>
        <w:tc>
          <w:tcPr>
            <w:tcW w:w="76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Accrued pension liabilities—current</w:t>
            </w:r>
            <w:r>
              <w:rPr>
                <w:rFonts w:ascii="Arial" w:cs="Arial" w:eastAsia="Arial" w:hAnsi="Arial"/>
                <w:sz w:val="6"/>
                <w:szCs w:val="6"/>
                <w:color w:val="auto"/>
              </w:rPr>
              <w:t>3</w:t>
            </w:r>
          </w:p>
        </w:tc>
        <w:tc>
          <w:tcPr>
            <w:tcW w:w="18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(26)</w:t>
            </w:r>
          </w:p>
        </w:tc>
        <w:tc>
          <w:tcPr>
            <w:tcW w:w="32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(28)</w:t>
            </w:r>
          </w:p>
        </w:tc>
        <w:tc>
          <w:tcPr>
            <w:tcW w:w="20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(15)</w:t>
            </w:r>
          </w:p>
        </w:tc>
        <w:tc>
          <w:tcPr>
            <w:tcW w:w="3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(14)</w:t>
            </w:r>
          </w:p>
        </w:tc>
      </w:tr>
      <w:tr>
        <w:trPr>
          <w:trHeight w:val="124"/>
        </w:trPr>
        <w:tc>
          <w:tcPr>
            <w:tcW w:w="760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Accrued pension liabilities—noncurrent</w:t>
            </w:r>
            <w:r>
              <w:rPr>
                <w:rFonts w:ascii="Arial" w:cs="Arial" w:eastAsia="Arial" w:hAnsi="Arial"/>
                <w:sz w:val="6"/>
                <w:szCs w:val="6"/>
                <w:color w:val="auto"/>
              </w:rPr>
              <w:t>4</w:t>
            </w:r>
          </w:p>
        </w:tc>
        <w:tc>
          <w:tcPr>
            <w:tcW w:w="18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(224)</w:t>
            </w:r>
          </w:p>
        </w:tc>
        <w:tc>
          <w:tcPr>
            <w:tcW w:w="32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(227)</w:t>
            </w:r>
          </w:p>
        </w:tc>
        <w:tc>
          <w:tcPr>
            <w:tcW w:w="20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(489)</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(438)</w:t>
            </w:r>
          </w:p>
        </w:tc>
      </w:tr>
      <w:tr>
        <w:trPr>
          <w:trHeight w:val="126"/>
        </w:trPr>
        <w:tc>
          <w:tcPr>
            <w:tcW w:w="760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Net amount recognized</w:t>
            </w:r>
          </w:p>
        </w:tc>
        <w:tc>
          <w:tcPr>
            <w:tcW w:w="1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3,802</w:t>
            </w:r>
          </w:p>
        </w:tc>
        <w:tc>
          <w:tcPr>
            <w:tcW w:w="3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3,715</w:t>
            </w:r>
          </w:p>
        </w:tc>
        <w:tc>
          <w:tcPr>
            <w:tcW w:w="20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831</w:t>
            </w:r>
          </w:p>
        </w:tc>
        <w:tc>
          <w:tcPr>
            <w:tcW w:w="36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904</w:t>
            </w:r>
          </w:p>
        </w:tc>
      </w:tr>
    </w:tbl>
    <w:p>
      <w:pPr>
        <w:spacing w:after="0" w:line="105" w:lineRule="exact"/>
        <w:rPr>
          <w:sz w:val="20"/>
          <w:szCs w:val="20"/>
          <w:color w:val="auto"/>
        </w:rPr>
      </w:pPr>
    </w:p>
    <w:p>
      <w:pPr>
        <w:jc w:val="both"/>
        <w:ind w:left="428" w:right="20" w:hanging="280"/>
        <w:spacing w:after="0" w:line="188" w:lineRule="auto"/>
        <w:tabs>
          <w:tab w:leader="none" w:pos="428" w:val="left"/>
        </w:tabs>
        <w:numPr>
          <w:ilvl w:val="0"/>
          <w:numId w:val="144"/>
        </w:numPr>
        <w:rPr>
          <w:rFonts w:ascii="Arial" w:cs="Arial" w:eastAsia="Arial" w:hAnsi="Arial"/>
          <w:sz w:val="17"/>
          <w:szCs w:val="17"/>
          <w:color w:val="auto"/>
          <w:vertAlign w:val="superscript"/>
        </w:rPr>
      </w:pPr>
      <w:r>
        <w:rPr>
          <w:rFonts w:ascii="Arial" w:cs="Arial" w:eastAsia="Arial" w:hAnsi="Arial"/>
          <w:sz w:val="8"/>
          <w:szCs w:val="8"/>
          <w:color w:val="auto"/>
        </w:rPr>
        <w:t>The actuarial losses incurred in 2023 related to the Company's U.S. plans are primarily the result of a decrease in the discount rate assumption, as well as changes in demographic experience and demographic assumptions used to estimate the benefit obligations as of December 31, 2023, compared to December 31, 2022. Actuarial losses incurred in 2023 related to the Company's non-U.S. plans are primarily the result of a decrease in the discount rate assumption, partially offset by inflation related assumptions used to estimate the benefit obligations as of December 31, 2023, compared to December 31, 2022. Actuarial gains incurred in 2022 related to the Company's U.S. plans are primarily the result of an increase in the discount rate assumption, partially offset by changes in demographic experience and demographic assumptions used to estimate the benefit obligations as of December 31, 2022, compared to December 31, 2021. Actuarial gains incurred in 2022 related to the Company's non-U.S. plans are primarily the result of an increase in the discount rate assumption, partially offset by inflation related assumptions used to estimate the benefit obligations as of December 31, 2022, compared to December 31, 2021.</w:t>
      </w:r>
    </w:p>
    <w:p>
      <w:pPr>
        <w:spacing w:after="0" w:line="9" w:lineRule="exact"/>
        <w:rPr>
          <w:sz w:val="20"/>
          <w:szCs w:val="20"/>
          <w:color w:val="auto"/>
        </w:rPr>
      </w:pPr>
    </w:p>
    <w:p>
      <w:pPr>
        <w:ind w:left="428" w:hanging="280"/>
        <w:spacing w:after="0"/>
        <w:tabs>
          <w:tab w:leader="none" w:pos="428" w:val="left"/>
        </w:tabs>
        <w:numPr>
          <w:ilvl w:val="0"/>
          <w:numId w:val="145"/>
        </w:numPr>
        <w:rPr>
          <w:rFonts w:ascii="Arial" w:cs="Arial" w:eastAsia="Arial" w:hAnsi="Arial"/>
          <w:sz w:val="8"/>
          <w:szCs w:val="8"/>
          <w:color w:val="auto"/>
        </w:rPr>
      </w:pPr>
      <w:r>
        <w:rPr>
          <w:rFonts w:ascii="Arial" w:cs="Arial" w:eastAsia="Arial" w:hAnsi="Arial"/>
          <w:sz w:val="8"/>
          <w:szCs w:val="8"/>
          <w:color w:val="auto"/>
        </w:rPr>
        <w:t>Included in Other assets in the Consolidated Balance Sheet.</w:t>
      </w:r>
    </w:p>
    <w:p>
      <w:pPr>
        <w:spacing w:after="0" w:line="25" w:lineRule="exact"/>
        <w:rPr>
          <w:sz w:val="20"/>
          <w:szCs w:val="20"/>
          <w:color w:val="auto"/>
        </w:rPr>
      </w:pPr>
    </w:p>
    <w:p>
      <w:pPr>
        <w:ind w:left="428" w:hanging="280"/>
        <w:spacing w:after="0"/>
        <w:tabs>
          <w:tab w:leader="none" w:pos="428" w:val="left"/>
        </w:tabs>
        <w:numPr>
          <w:ilvl w:val="0"/>
          <w:numId w:val="146"/>
        </w:numPr>
        <w:rPr>
          <w:rFonts w:ascii="Arial" w:cs="Arial" w:eastAsia="Arial" w:hAnsi="Arial"/>
          <w:sz w:val="8"/>
          <w:szCs w:val="8"/>
          <w:color w:val="auto"/>
        </w:rPr>
      </w:pPr>
      <w:r>
        <w:rPr>
          <w:rFonts w:ascii="Arial" w:cs="Arial" w:eastAsia="Arial" w:hAnsi="Arial"/>
          <w:sz w:val="8"/>
          <w:szCs w:val="8"/>
          <w:color w:val="auto"/>
        </w:rPr>
        <w:t>Included in Accrued liabilities in the Consolidated Balance Sheet.</w:t>
      </w:r>
    </w:p>
    <w:p>
      <w:pPr>
        <w:spacing w:after="0" w:line="25" w:lineRule="exact"/>
        <w:rPr>
          <w:rFonts w:ascii="Arial" w:cs="Arial" w:eastAsia="Arial" w:hAnsi="Arial"/>
          <w:sz w:val="8"/>
          <w:szCs w:val="8"/>
          <w:color w:val="auto"/>
        </w:rPr>
      </w:pPr>
    </w:p>
    <w:p>
      <w:pPr>
        <w:ind w:left="148"/>
        <w:spacing w:after="0"/>
        <w:rPr>
          <w:rFonts w:ascii="Arial" w:cs="Arial" w:eastAsia="Arial" w:hAnsi="Arial"/>
          <w:sz w:val="8"/>
          <w:szCs w:val="8"/>
          <w:color w:val="auto"/>
        </w:rPr>
      </w:pPr>
      <w:r>
        <w:rPr>
          <w:rFonts w:ascii="Arial" w:cs="Arial" w:eastAsia="Arial" w:hAnsi="Arial"/>
          <w:sz w:val="8"/>
          <w:szCs w:val="8"/>
          <w:color w:val="auto"/>
        </w:rPr>
        <w:t>4Included in Other liabilities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8" w:hanging="328"/>
        <w:spacing w:after="0"/>
        <w:tabs>
          <w:tab w:leader="none" w:pos="328" w:val="left"/>
        </w:tabs>
        <w:numPr>
          <w:ilvl w:val="0"/>
          <w:numId w:val="147"/>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104" w:name="page105"/>
    <w:bookmarkEnd w:id="104"/>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45" w:lineRule="exact"/>
        <w:rPr>
          <w:sz w:val="20"/>
          <w:szCs w:val="20"/>
          <w:color w:val="auto"/>
        </w:rPr>
      </w:pPr>
    </w:p>
    <w:p>
      <w:pPr>
        <w:ind w:left="10308"/>
        <w:spacing w:after="0"/>
        <w:rPr>
          <w:sz w:val="20"/>
          <w:szCs w:val="20"/>
          <w:color w:val="auto"/>
        </w:rPr>
      </w:pPr>
      <w:r>
        <w:rPr>
          <w:rFonts w:ascii="Arial" w:cs="Arial" w:eastAsia="Arial" w:hAnsi="Arial"/>
          <w:sz w:val="10"/>
          <w:szCs w:val="10"/>
          <w:b w:val="1"/>
          <w:bCs w:val="1"/>
          <w:color w:val="auto"/>
        </w:rPr>
        <w:t>Other</w:t>
      </w:r>
    </w:p>
    <w:p>
      <w:pPr>
        <w:ind w:left="10088"/>
        <w:spacing w:after="0" w:line="187" w:lineRule="auto"/>
        <w:rPr>
          <w:sz w:val="20"/>
          <w:szCs w:val="20"/>
          <w:color w:val="auto"/>
        </w:rPr>
      </w:pPr>
      <w:r>
        <w:rPr>
          <w:rFonts w:ascii="Arial" w:cs="Arial" w:eastAsia="Arial" w:hAnsi="Arial"/>
          <w:sz w:val="10"/>
          <w:szCs w:val="10"/>
          <w:b w:val="1"/>
          <w:bCs w:val="1"/>
          <w:color w:val="auto"/>
        </w:rPr>
        <w:t>Postretirement</w:t>
      </w:r>
    </w:p>
    <w:p>
      <w:pPr>
        <w:ind w:left="10248"/>
        <w:spacing w:after="0"/>
        <w:rPr>
          <w:sz w:val="20"/>
          <w:szCs w:val="20"/>
          <w:color w:val="auto"/>
        </w:rPr>
      </w:pPr>
      <w:r>
        <w:rPr>
          <w:rFonts w:ascii="Arial" w:cs="Arial" w:eastAsia="Arial" w:hAnsi="Arial"/>
          <w:sz w:val="10"/>
          <w:szCs w:val="10"/>
          <w:b w:val="1"/>
          <w:bCs w:val="1"/>
          <w:color w:val="auto"/>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6075045</wp:posOffset>
            </wp:positionH>
            <wp:positionV relativeFrom="paragraph">
              <wp:posOffset>5080</wp:posOffset>
            </wp:positionV>
            <wp:extent cx="1102995"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102995" cy="5715"/>
                    </a:xfrm>
                    <a:prstGeom prst="rect">
                      <a:avLst/>
                    </a:prstGeom>
                    <a:noFill/>
                  </pic:spPr>
                </pic:pic>
              </a:graphicData>
            </a:graphic>
          </wp:anchor>
        </w:drawing>
      </w:r>
    </w:p>
    <w:p>
      <w:pPr>
        <w:spacing w:after="0" w:line="26"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6180" w:type="dxa"/>
            <w:vAlign w:val="bottom"/>
            <w:tcBorders>
              <w:bottom w:val="single" w:sz="8" w:color="D7282F"/>
            </w:tcBorders>
          </w:tcPr>
          <w:p>
            <w:pPr>
              <w:spacing w:after="0"/>
              <w:rPr>
                <w:sz w:val="11"/>
                <w:szCs w:val="11"/>
                <w:color w:val="auto"/>
              </w:rPr>
            </w:pPr>
          </w:p>
        </w:tc>
        <w:tc>
          <w:tcPr>
            <w:tcW w:w="38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2023</w:t>
            </w:r>
          </w:p>
        </w:tc>
        <w:tc>
          <w:tcPr>
            <w:tcW w:w="360" w:type="dxa"/>
            <w:vAlign w:val="bottom"/>
            <w:tcBorders>
              <w:bottom w:val="single" w:sz="8" w:color="D7282F"/>
            </w:tcBorders>
          </w:tcPr>
          <w:p>
            <w:pPr>
              <w:spacing w:after="0"/>
              <w:rPr>
                <w:sz w:val="11"/>
                <w:szCs w:val="11"/>
                <w:color w:val="auto"/>
              </w:rPr>
            </w:pPr>
          </w:p>
        </w:tc>
        <w:tc>
          <w:tcPr>
            <w:tcW w:w="280" w:type="dxa"/>
            <w:vAlign w:val="bottom"/>
            <w:tcBorders>
              <w:bottom w:val="single" w:sz="8" w:color="D7282F"/>
            </w:tcBorders>
          </w:tcPr>
          <w:p>
            <w:pPr>
              <w:spacing w:after="0"/>
              <w:rPr>
                <w:sz w:val="11"/>
                <w:szCs w:val="11"/>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2022</w:t>
            </w:r>
          </w:p>
        </w:tc>
      </w:tr>
      <w:tr>
        <w:trPr>
          <w:trHeight w:val="122"/>
        </w:trPr>
        <w:tc>
          <w:tcPr>
            <w:tcW w:w="61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Change in benefit obligation</w:t>
            </w:r>
          </w:p>
        </w:tc>
        <w:tc>
          <w:tcPr>
            <w:tcW w:w="388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spacing w:after="0"/>
              <w:rPr>
                <w:sz w:val="10"/>
                <w:szCs w:val="10"/>
                <w:color w:val="auto"/>
              </w:rPr>
            </w:pPr>
          </w:p>
        </w:tc>
      </w:tr>
      <w:tr>
        <w:trPr>
          <w:trHeight w:val="124"/>
        </w:trPr>
        <w:tc>
          <w:tcPr>
            <w:tcW w:w="618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Benefit obligation at beginning of year</w:t>
            </w:r>
          </w:p>
        </w:tc>
        <w:tc>
          <w:tcPr>
            <w:tcW w:w="3880" w:type="dxa"/>
            <w:vAlign w:val="bottom"/>
            <w:tcBorders>
              <w:bottom w:val="single" w:sz="8" w:color="61656A"/>
            </w:tcBorders>
          </w:tcPr>
          <w:p>
            <w:pPr>
              <w:jc w:val="right"/>
              <w:ind w:right="39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133</w:t>
            </w:r>
          </w:p>
        </w:tc>
        <w:tc>
          <w:tcPr>
            <w:tcW w:w="28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196</w:t>
            </w:r>
          </w:p>
        </w:tc>
      </w:tr>
      <w:tr>
        <w:trPr>
          <w:trHeight w:val="124"/>
        </w:trPr>
        <w:tc>
          <w:tcPr>
            <w:tcW w:w="6180" w:type="dxa"/>
            <w:vAlign w:val="bottom"/>
            <w:tcBorders>
              <w:bottom w:val="single" w:sz="8" w:color="61656A"/>
            </w:tcBorders>
          </w:tcPr>
          <w:p>
            <w:pPr>
              <w:ind w:left="140"/>
              <w:spacing w:after="0"/>
              <w:rPr>
                <w:sz w:val="20"/>
                <w:szCs w:val="20"/>
                <w:color w:val="auto"/>
              </w:rPr>
            </w:pPr>
            <w:r>
              <w:rPr>
                <w:rFonts w:ascii="Arial" w:cs="Arial" w:eastAsia="Arial" w:hAnsi="Arial"/>
                <w:sz w:val="10"/>
                <w:szCs w:val="10"/>
                <w:color w:val="auto"/>
              </w:rPr>
              <w:t>Service cost</w:t>
            </w:r>
          </w:p>
        </w:tc>
        <w:tc>
          <w:tcPr>
            <w:tcW w:w="388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6180" w:type="dxa"/>
            <w:vAlign w:val="bottom"/>
            <w:tcBorders>
              <w:bottom w:val="single" w:sz="8" w:color="61656A"/>
            </w:tcBorders>
          </w:tcPr>
          <w:p>
            <w:pPr>
              <w:ind w:left="140"/>
              <w:spacing w:after="0"/>
              <w:rPr>
                <w:sz w:val="20"/>
                <w:szCs w:val="20"/>
                <w:color w:val="auto"/>
              </w:rPr>
            </w:pPr>
            <w:r>
              <w:rPr>
                <w:rFonts w:ascii="Arial" w:cs="Arial" w:eastAsia="Arial" w:hAnsi="Arial"/>
                <w:sz w:val="10"/>
                <w:szCs w:val="10"/>
                <w:color w:val="auto"/>
              </w:rPr>
              <w:t>Interest cost</w:t>
            </w:r>
          </w:p>
        </w:tc>
        <w:tc>
          <w:tcPr>
            <w:tcW w:w="388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6</w:t>
            </w:r>
          </w:p>
        </w:tc>
        <w:tc>
          <w:tcPr>
            <w:tcW w:w="2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5</w:t>
            </w:r>
          </w:p>
        </w:tc>
      </w:tr>
      <w:tr>
        <w:trPr>
          <w:trHeight w:val="124"/>
        </w:trPr>
        <w:tc>
          <w:tcPr>
            <w:tcW w:w="6180" w:type="dxa"/>
            <w:vAlign w:val="bottom"/>
            <w:tcBorders>
              <w:bottom w:val="single" w:sz="8" w:color="61656A"/>
            </w:tcBorders>
          </w:tcPr>
          <w:p>
            <w:pPr>
              <w:ind w:left="140"/>
              <w:spacing w:after="0"/>
              <w:rPr>
                <w:sz w:val="20"/>
                <w:szCs w:val="20"/>
                <w:color w:val="auto"/>
              </w:rPr>
            </w:pPr>
            <w:r>
              <w:rPr>
                <w:rFonts w:ascii="Arial" w:cs="Arial" w:eastAsia="Arial" w:hAnsi="Arial"/>
                <w:sz w:val="10"/>
                <w:szCs w:val="10"/>
                <w:color w:val="auto"/>
              </w:rPr>
              <w:t>Plan amendments</w:t>
            </w:r>
          </w:p>
        </w:tc>
        <w:tc>
          <w:tcPr>
            <w:tcW w:w="388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6180" w:type="dxa"/>
            <w:vAlign w:val="bottom"/>
            <w:tcBorders>
              <w:bottom w:val="single" w:sz="8" w:color="61656A"/>
            </w:tcBorders>
          </w:tcPr>
          <w:p>
            <w:pPr>
              <w:ind w:left="140"/>
              <w:spacing w:after="0"/>
              <w:rPr>
                <w:sz w:val="20"/>
                <w:szCs w:val="20"/>
                <w:color w:val="auto"/>
              </w:rPr>
            </w:pPr>
            <w:r>
              <w:rPr>
                <w:rFonts w:ascii="Arial" w:cs="Arial" w:eastAsia="Arial" w:hAnsi="Arial"/>
                <w:sz w:val="10"/>
                <w:szCs w:val="10"/>
                <w:color w:val="auto"/>
              </w:rPr>
              <w:t>Actuarial (gains) losses</w:t>
            </w:r>
          </w:p>
        </w:tc>
        <w:tc>
          <w:tcPr>
            <w:tcW w:w="388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w:t>
            </w:r>
          </w:p>
        </w:tc>
        <w:tc>
          <w:tcPr>
            <w:tcW w:w="2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(54)</w:t>
            </w:r>
          </w:p>
        </w:tc>
      </w:tr>
      <w:tr>
        <w:trPr>
          <w:trHeight w:val="124"/>
        </w:trPr>
        <w:tc>
          <w:tcPr>
            <w:tcW w:w="6180" w:type="dxa"/>
            <w:vAlign w:val="bottom"/>
            <w:tcBorders>
              <w:bottom w:val="single" w:sz="8" w:color="D7282F"/>
            </w:tcBorders>
          </w:tcPr>
          <w:p>
            <w:pPr>
              <w:ind w:left="140"/>
              <w:spacing w:after="0"/>
              <w:rPr>
                <w:sz w:val="20"/>
                <w:szCs w:val="20"/>
                <w:color w:val="auto"/>
              </w:rPr>
            </w:pPr>
            <w:r>
              <w:rPr>
                <w:rFonts w:ascii="Arial" w:cs="Arial" w:eastAsia="Arial" w:hAnsi="Arial"/>
                <w:sz w:val="10"/>
                <w:szCs w:val="10"/>
                <w:color w:val="auto"/>
              </w:rPr>
              <w:t>Benefits paid</w:t>
            </w:r>
          </w:p>
        </w:tc>
        <w:tc>
          <w:tcPr>
            <w:tcW w:w="388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(26)</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(14)</w:t>
            </w:r>
          </w:p>
        </w:tc>
      </w:tr>
      <w:tr>
        <w:trPr>
          <w:trHeight w:val="126"/>
        </w:trPr>
        <w:tc>
          <w:tcPr>
            <w:tcW w:w="618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Benefit obligation at end of year</w:t>
            </w:r>
          </w:p>
        </w:tc>
        <w:tc>
          <w:tcPr>
            <w:tcW w:w="388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116</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133</w:t>
            </w:r>
          </w:p>
        </w:tc>
      </w:tr>
      <w:tr>
        <w:trPr>
          <w:trHeight w:val="122"/>
        </w:trPr>
        <w:tc>
          <w:tcPr>
            <w:tcW w:w="61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Change in plan assets</w:t>
            </w:r>
          </w:p>
        </w:tc>
        <w:tc>
          <w:tcPr>
            <w:tcW w:w="388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spacing w:after="0"/>
              <w:rPr>
                <w:sz w:val="10"/>
                <w:szCs w:val="10"/>
                <w:color w:val="auto"/>
              </w:rPr>
            </w:pPr>
          </w:p>
        </w:tc>
      </w:tr>
      <w:tr>
        <w:trPr>
          <w:trHeight w:val="124"/>
        </w:trPr>
        <w:tc>
          <w:tcPr>
            <w:tcW w:w="618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Fair value of plan assets at beginning of year</w:t>
            </w:r>
          </w:p>
        </w:tc>
        <w:tc>
          <w:tcPr>
            <w:tcW w:w="388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6180" w:type="dxa"/>
            <w:vAlign w:val="bottom"/>
            <w:tcBorders>
              <w:bottom w:val="single" w:sz="8" w:color="61656A"/>
            </w:tcBorders>
          </w:tcPr>
          <w:p>
            <w:pPr>
              <w:ind w:left="140"/>
              <w:spacing w:after="0"/>
              <w:rPr>
                <w:sz w:val="20"/>
                <w:szCs w:val="20"/>
                <w:color w:val="auto"/>
              </w:rPr>
            </w:pPr>
            <w:r>
              <w:rPr>
                <w:rFonts w:ascii="Arial" w:cs="Arial" w:eastAsia="Arial" w:hAnsi="Arial"/>
                <w:sz w:val="10"/>
                <w:szCs w:val="10"/>
                <w:color w:val="auto"/>
              </w:rPr>
              <w:t>Actual return on plan assets</w:t>
            </w:r>
          </w:p>
        </w:tc>
        <w:tc>
          <w:tcPr>
            <w:tcW w:w="388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6180" w:type="dxa"/>
            <w:vAlign w:val="bottom"/>
            <w:tcBorders>
              <w:bottom w:val="single" w:sz="8" w:color="61656A"/>
            </w:tcBorders>
          </w:tcPr>
          <w:p>
            <w:pPr>
              <w:ind w:left="140"/>
              <w:spacing w:after="0"/>
              <w:rPr>
                <w:sz w:val="20"/>
                <w:szCs w:val="20"/>
                <w:color w:val="auto"/>
              </w:rPr>
            </w:pPr>
            <w:r>
              <w:rPr>
                <w:rFonts w:ascii="Arial" w:cs="Arial" w:eastAsia="Arial" w:hAnsi="Arial"/>
                <w:sz w:val="10"/>
                <w:szCs w:val="10"/>
                <w:color w:val="auto"/>
              </w:rPr>
              <w:t>Company contributions</w:t>
            </w:r>
          </w:p>
        </w:tc>
        <w:tc>
          <w:tcPr>
            <w:tcW w:w="388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6180" w:type="dxa"/>
            <w:vAlign w:val="bottom"/>
            <w:tcBorders>
              <w:bottom w:val="single" w:sz="8" w:color="D7282F"/>
            </w:tcBorders>
          </w:tcPr>
          <w:p>
            <w:pPr>
              <w:ind w:left="140"/>
              <w:spacing w:after="0"/>
              <w:rPr>
                <w:sz w:val="20"/>
                <w:szCs w:val="20"/>
                <w:color w:val="auto"/>
              </w:rPr>
            </w:pPr>
            <w:r>
              <w:rPr>
                <w:rFonts w:ascii="Arial" w:cs="Arial" w:eastAsia="Arial" w:hAnsi="Arial"/>
                <w:sz w:val="10"/>
                <w:szCs w:val="10"/>
                <w:color w:val="auto"/>
              </w:rPr>
              <w:t>Benefits paid</w:t>
            </w:r>
          </w:p>
        </w:tc>
        <w:tc>
          <w:tcPr>
            <w:tcW w:w="388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r>
      <w:tr>
        <w:trPr>
          <w:trHeight w:val="126"/>
        </w:trPr>
        <w:tc>
          <w:tcPr>
            <w:tcW w:w="618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Fair value of plan assets at end of year</w:t>
            </w:r>
          </w:p>
        </w:tc>
        <w:tc>
          <w:tcPr>
            <w:tcW w:w="388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r>
      <w:tr>
        <w:trPr>
          <w:trHeight w:val="124"/>
        </w:trPr>
        <w:tc>
          <w:tcPr>
            <w:tcW w:w="61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Funded status of plans</w:t>
            </w:r>
          </w:p>
        </w:tc>
        <w:tc>
          <w:tcPr>
            <w:tcW w:w="3880" w:type="dxa"/>
            <w:vAlign w:val="bottom"/>
            <w:tcBorders>
              <w:bottom w:val="single" w:sz="8" w:color="D7282F"/>
            </w:tcBorders>
          </w:tcPr>
          <w:p>
            <w:pPr>
              <w:jc w:val="right"/>
              <w:ind w:right="392"/>
              <w:spacing w:after="0"/>
              <w:rPr>
                <w:sz w:val="20"/>
                <w:szCs w:val="20"/>
                <w:color w:val="auto"/>
              </w:rPr>
            </w:pPr>
            <w:r>
              <w:rPr>
                <w:rFonts w:ascii="Arial" w:cs="Arial" w:eastAsia="Arial" w:hAnsi="Arial"/>
                <w:sz w:val="10"/>
                <w:szCs w:val="10"/>
                <w:b w:val="1"/>
                <w:bCs w:val="1"/>
                <w:color w:val="auto"/>
              </w:rPr>
              <w:t>$</w:t>
            </w:r>
          </w:p>
        </w:tc>
        <w:tc>
          <w:tcPr>
            <w:tcW w:w="3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w w:val="94"/>
              </w:rPr>
              <w:t>(116)</w:t>
            </w:r>
          </w:p>
        </w:tc>
        <w:tc>
          <w:tcPr>
            <w:tcW w:w="2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(133)</w:t>
            </w:r>
          </w:p>
        </w:tc>
      </w:tr>
      <w:tr>
        <w:trPr>
          <w:trHeight w:val="122"/>
        </w:trPr>
        <w:tc>
          <w:tcPr>
            <w:tcW w:w="61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Amounts recognized in the Consolidated Balance Sheet consist of</w:t>
            </w:r>
          </w:p>
        </w:tc>
        <w:tc>
          <w:tcPr>
            <w:tcW w:w="388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spacing w:after="0"/>
              <w:rPr>
                <w:sz w:val="10"/>
                <w:szCs w:val="10"/>
                <w:color w:val="auto"/>
              </w:rPr>
            </w:pPr>
          </w:p>
        </w:tc>
      </w:tr>
      <w:tr>
        <w:trPr>
          <w:trHeight w:val="124"/>
        </w:trPr>
        <w:tc>
          <w:tcPr>
            <w:tcW w:w="618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Accrued liabilities</w:t>
            </w:r>
          </w:p>
        </w:tc>
        <w:tc>
          <w:tcPr>
            <w:tcW w:w="3880" w:type="dxa"/>
            <w:vAlign w:val="bottom"/>
            <w:tcBorders>
              <w:bottom w:val="single" w:sz="8" w:color="61656A"/>
            </w:tcBorders>
          </w:tcPr>
          <w:p>
            <w:pPr>
              <w:jc w:val="right"/>
              <w:ind w:right="39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(12)</w:t>
            </w:r>
          </w:p>
        </w:tc>
        <w:tc>
          <w:tcPr>
            <w:tcW w:w="28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(21)</w:t>
            </w:r>
          </w:p>
        </w:tc>
      </w:tr>
      <w:tr>
        <w:trPr>
          <w:trHeight w:val="127"/>
        </w:trPr>
        <w:tc>
          <w:tcPr>
            <w:tcW w:w="6180" w:type="dxa"/>
            <w:vAlign w:val="bottom"/>
            <w:tcBorders>
              <w:bottom w:val="single" w:sz="8" w:color="D7282F"/>
            </w:tcBorders>
          </w:tcPr>
          <w:p>
            <w:pPr>
              <w:ind w:left="80"/>
              <w:spacing w:after="0" w:line="127" w:lineRule="exact"/>
              <w:rPr>
                <w:sz w:val="20"/>
                <w:szCs w:val="20"/>
                <w:color w:val="auto"/>
              </w:rPr>
            </w:pPr>
            <w:r>
              <w:rPr>
                <w:rFonts w:ascii="Arial" w:cs="Arial" w:eastAsia="Arial" w:hAnsi="Arial"/>
                <w:sz w:val="10"/>
                <w:szCs w:val="10"/>
                <w:color w:val="auto"/>
              </w:rPr>
              <w:t>Postretirement benefit obligations other than pensions</w:t>
            </w:r>
            <w:r>
              <w:rPr>
                <w:rFonts w:ascii="Arial" w:cs="Arial" w:eastAsia="Arial" w:hAnsi="Arial"/>
                <w:sz w:val="12"/>
                <w:szCs w:val="12"/>
                <w:color w:val="auto"/>
                <w:vertAlign w:val="superscript"/>
              </w:rPr>
              <w:t>1</w:t>
            </w:r>
          </w:p>
        </w:tc>
        <w:tc>
          <w:tcPr>
            <w:tcW w:w="3880" w:type="dxa"/>
            <w:vAlign w:val="bottom"/>
            <w:tcBorders>
              <w:bottom w:val="single" w:sz="8" w:color="D7282F"/>
            </w:tcBorders>
          </w:tcPr>
          <w:p>
            <w:pPr>
              <w:spacing w:after="0"/>
              <w:rPr>
                <w:sz w:val="11"/>
                <w:szCs w:val="11"/>
                <w:color w:val="auto"/>
              </w:rPr>
            </w:pPr>
          </w:p>
        </w:tc>
        <w:tc>
          <w:tcPr>
            <w:tcW w:w="3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w w:val="94"/>
              </w:rPr>
              <w:t>(104)</w:t>
            </w:r>
          </w:p>
        </w:tc>
        <w:tc>
          <w:tcPr>
            <w:tcW w:w="280" w:type="dxa"/>
            <w:vAlign w:val="bottom"/>
            <w:tcBorders>
              <w:bottom w:val="single" w:sz="8" w:color="D7282F"/>
            </w:tcBorders>
          </w:tcPr>
          <w:p>
            <w:pPr>
              <w:spacing w:after="0"/>
              <w:rPr>
                <w:sz w:val="11"/>
                <w:szCs w:val="11"/>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(112)</w:t>
            </w:r>
          </w:p>
        </w:tc>
      </w:tr>
      <w:tr>
        <w:trPr>
          <w:trHeight w:val="123"/>
        </w:trPr>
        <w:tc>
          <w:tcPr>
            <w:tcW w:w="61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Net amount recognized</w:t>
            </w:r>
          </w:p>
        </w:tc>
        <w:tc>
          <w:tcPr>
            <w:tcW w:w="3880" w:type="dxa"/>
            <w:vAlign w:val="bottom"/>
            <w:tcBorders>
              <w:bottom w:val="single" w:sz="8" w:color="D7282F"/>
            </w:tcBorders>
          </w:tcPr>
          <w:p>
            <w:pPr>
              <w:jc w:val="right"/>
              <w:ind w:right="392"/>
              <w:spacing w:after="0"/>
              <w:rPr>
                <w:sz w:val="20"/>
                <w:szCs w:val="20"/>
                <w:color w:val="auto"/>
              </w:rPr>
            </w:pPr>
            <w:r>
              <w:rPr>
                <w:rFonts w:ascii="Arial" w:cs="Arial" w:eastAsia="Arial" w:hAnsi="Arial"/>
                <w:sz w:val="10"/>
                <w:szCs w:val="10"/>
                <w:b w:val="1"/>
                <w:bCs w:val="1"/>
                <w:color w:val="auto"/>
              </w:rPr>
              <w:t>$</w:t>
            </w:r>
          </w:p>
        </w:tc>
        <w:tc>
          <w:tcPr>
            <w:tcW w:w="3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w w:val="94"/>
              </w:rPr>
              <w:t>(116)</w:t>
            </w:r>
          </w:p>
        </w:tc>
        <w:tc>
          <w:tcPr>
            <w:tcW w:w="2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(133)</w:t>
            </w:r>
          </w:p>
        </w:tc>
      </w:tr>
    </w:tbl>
    <w:p>
      <w:pPr>
        <w:spacing w:after="0" w:line="11" w:lineRule="exact"/>
        <w:rPr>
          <w:sz w:val="20"/>
          <w:szCs w:val="20"/>
          <w:color w:val="auto"/>
        </w:rPr>
      </w:pPr>
    </w:p>
    <w:p>
      <w:pPr>
        <w:ind w:left="428" w:hanging="280"/>
        <w:spacing w:after="0"/>
        <w:tabs>
          <w:tab w:leader="none" w:pos="428" w:val="left"/>
        </w:tabs>
        <w:numPr>
          <w:ilvl w:val="0"/>
          <w:numId w:val="148"/>
        </w:numPr>
        <w:rPr>
          <w:rFonts w:ascii="Arial" w:cs="Arial" w:eastAsia="Arial" w:hAnsi="Arial"/>
          <w:sz w:val="17"/>
          <w:szCs w:val="17"/>
          <w:color w:val="auto"/>
          <w:vertAlign w:val="superscript"/>
        </w:rPr>
      </w:pPr>
      <w:r>
        <w:rPr>
          <w:rFonts w:ascii="Arial" w:cs="Arial" w:eastAsia="Arial" w:hAnsi="Arial"/>
          <w:sz w:val="8"/>
          <w:szCs w:val="8"/>
          <w:color w:val="auto"/>
        </w:rPr>
        <w:t>Excludes non-U.S. plan of $30 million and $34 million as of December 31, 2023, and 2022, respectively.</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1"/>
          <w:szCs w:val="11"/>
          <w:color w:val="auto"/>
        </w:rPr>
        <w:t>Amounts recognized in Accumulated other comprehensive (income) loss associated with the Company's significant pension and other postretirement benefit plans at December 31, 2023, and 2022, are as follows:</w:t>
      </w:r>
    </w:p>
    <w:p>
      <w:pPr>
        <w:spacing w:after="0" w:line="145"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7600" w:type="dxa"/>
            <w:vAlign w:val="bottom"/>
          </w:tcPr>
          <w:p>
            <w:pPr>
              <w:spacing w:after="0"/>
              <w:rPr>
                <w:sz w:val="11"/>
                <w:szCs w:val="11"/>
                <w:color w:val="auto"/>
              </w:rPr>
            </w:pPr>
          </w:p>
        </w:tc>
        <w:tc>
          <w:tcPr>
            <w:tcW w:w="180" w:type="dxa"/>
            <w:vAlign w:val="bottom"/>
            <w:tcBorders>
              <w:bottom w:val="single" w:sz="8" w:color="D7282F"/>
            </w:tcBorders>
          </w:tcPr>
          <w:p>
            <w:pPr>
              <w:spacing w:after="0"/>
              <w:rPr>
                <w:sz w:val="11"/>
                <w:szCs w:val="11"/>
                <w:color w:val="auto"/>
              </w:rPr>
            </w:pPr>
          </w:p>
        </w:tc>
        <w:tc>
          <w:tcPr>
            <w:tcW w:w="680" w:type="dxa"/>
            <w:vAlign w:val="bottom"/>
            <w:tcBorders>
              <w:bottom w:val="single" w:sz="8" w:color="D7282F"/>
            </w:tcBorders>
          </w:tcPr>
          <w:p>
            <w:pPr>
              <w:spacing w:after="0"/>
              <w:rPr>
                <w:sz w:val="11"/>
                <w:szCs w:val="11"/>
                <w:color w:val="auto"/>
              </w:rPr>
            </w:pPr>
          </w:p>
        </w:tc>
        <w:tc>
          <w:tcPr>
            <w:tcW w:w="320" w:type="dxa"/>
            <w:vAlign w:val="bottom"/>
            <w:tcBorders>
              <w:bottom w:val="single" w:sz="8" w:color="D7282F"/>
            </w:tcBorders>
          </w:tcPr>
          <w:p>
            <w:pPr>
              <w:spacing w:after="0"/>
              <w:rPr>
                <w:sz w:val="11"/>
                <w:szCs w:val="11"/>
                <w:color w:val="auto"/>
              </w:rPr>
            </w:pPr>
          </w:p>
        </w:tc>
        <w:tc>
          <w:tcPr>
            <w:tcW w:w="1280" w:type="dxa"/>
            <w:vAlign w:val="bottom"/>
            <w:tcBorders>
              <w:bottom w:val="single" w:sz="8" w:color="D7282F"/>
            </w:tcBorders>
            <w:gridSpan w:val="4"/>
          </w:tcPr>
          <w:p>
            <w:pPr>
              <w:jc w:val="right"/>
              <w:ind w:right="220"/>
              <w:spacing w:after="0"/>
              <w:rPr>
                <w:sz w:val="20"/>
                <w:szCs w:val="20"/>
                <w:color w:val="auto"/>
              </w:rPr>
            </w:pPr>
            <w:r>
              <w:rPr>
                <w:rFonts w:ascii="Arial" w:cs="Arial" w:eastAsia="Arial" w:hAnsi="Arial"/>
                <w:sz w:val="10"/>
                <w:szCs w:val="10"/>
                <w:b w:val="1"/>
                <w:bCs w:val="1"/>
                <w:color w:val="auto"/>
              </w:rPr>
              <w:t>Pension Benefits</w:t>
            </w:r>
          </w:p>
        </w:tc>
        <w:tc>
          <w:tcPr>
            <w:tcW w:w="240" w:type="dxa"/>
            <w:vAlign w:val="bottom"/>
            <w:tcBorders>
              <w:bottom w:val="single" w:sz="8" w:color="D7282F"/>
            </w:tcBorders>
          </w:tcPr>
          <w:p>
            <w:pPr>
              <w:spacing w:after="0"/>
              <w:rPr>
                <w:sz w:val="11"/>
                <w:szCs w:val="11"/>
                <w:color w:val="auto"/>
              </w:rPr>
            </w:pPr>
          </w:p>
        </w:tc>
        <w:tc>
          <w:tcPr>
            <w:tcW w:w="480" w:type="dxa"/>
            <w:vAlign w:val="bottom"/>
            <w:tcBorders>
              <w:bottom w:val="single" w:sz="8" w:color="D7282F"/>
            </w:tcBorders>
          </w:tcPr>
          <w:p>
            <w:pPr>
              <w:spacing w:after="0"/>
              <w:rPr>
                <w:sz w:val="11"/>
                <w:szCs w:val="11"/>
                <w:color w:val="auto"/>
              </w:rPr>
            </w:pPr>
          </w:p>
        </w:tc>
        <w:tc>
          <w:tcPr>
            <w:tcW w:w="520" w:type="dxa"/>
            <w:vAlign w:val="bottom"/>
            <w:tcBorders>
              <w:bottom w:val="single" w:sz="8" w:color="D7282F"/>
            </w:tcBorders>
          </w:tcPr>
          <w:p>
            <w:pPr>
              <w:spacing w:after="0"/>
              <w:rPr>
                <w:sz w:val="11"/>
                <w:szCs w:val="11"/>
                <w:color w:val="auto"/>
              </w:rPr>
            </w:pPr>
          </w:p>
        </w:tc>
      </w:tr>
      <w:tr>
        <w:trPr>
          <w:trHeight w:val="151"/>
        </w:trPr>
        <w:tc>
          <w:tcPr>
            <w:tcW w:w="7600" w:type="dxa"/>
            <w:vAlign w:val="bottom"/>
          </w:tcPr>
          <w:p>
            <w:pPr>
              <w:spacing w:after="0"/>
              <w:rPr>
                <w:sz w:val="13"/>
                <w:szCs w:val="13"/>
                <w:color w:val="auto"/>
              </w:rPr>
            </w:pPr>
          </w:p>
        </w:tc>
        <w:tc>
          <w:tcPr>
            <w:tcW w:w="180" w:type="dxa"/>
            <w:vAlign w:val="bottom"/>
            <w:tcBorders>
              <w:bottom w:val="single" w:sz="8" w:color="D7282F"/>
            </w:tcBorders>
          </w:tcPr>
          <w:p>
            <w:pPr>
              <w:spacing w:after="0"/>
              <w:rPr>
                <w:sz w:val="13"/>
                <w:szCs w:val="13"/>
                <w:color w:val="auto"/>
              </w:rPr>
            </w:pPr>
          </w:p>
        </w:tc>
        <w:tc>
          <w:tcPr>
            <w:tcW w:w="1000" w:type="dxa"/>
            <w:vAlign w:val="bottom"/>
            <w:tcBorders>
              <w:bottom w:val="single" w:sz="8" w:color="D7282F"/>
            </w:tcBorders>
            <w:gridSpan w:val="2"/>
          </w:tcPr>
          <w:p>
            <w:pPr>
              <w:jc w:val="right"/>
              <w:ind w:right="32"/>
              <w:spacing w:after="0"/>
              <w:rPr>
                <w:sz w:val="20"/>
                <w:szCs w:val="20"/>
                <w:color w:val="auto"/>
              </w:rPr>
            </w:pPr>
            <w:r>
              <w:rPr>
                <w:rFonts w:ascii="Arial" w:cs="Arial" w:eastAsia="Arial" w:hAnsi="Arial"/>
                <w:sz w:val="10"/>
                <w:szCs w:val="10"/>
                <w:b w:val="1"/>
                <w:bCs w:val="1"/>
                <w:color w:val="auto"/>
              </w:rPr>
              <w:t>U.S. Plans</w:t>
            </w:r>
          </w:p>
        </w:tc>
        <w:tc>
          <w:tcPr>
            <w:tcW w:w="560" w:type="dxa"/>
            <w:vAlign w:val="bottom"/>
            <w:tcBorders>
              <w:bottom w:val="single" w:sz="8" w:color="D7282F"/>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Borders>
              <w:bottom w:val="single" w:sz="8" w:color="D7282F"/>
            </w:tcBorders>
          </w:tcPr>
          <w:p>
            <w:pPr>
              <w:spacing w:after="0"/>
              <w:rPr>
                <w:sz w:val="13"/>
                <w:szCs w:val="13"/>
                <w:color w:val="auto"/>
              </w:rPr>
            </w:pPr>
          </w:p>
        </w:tc>
        <w:tc>
          <w:tcPr>
            <w:tcW w:w="500" w:type="dxa"/>
            <w:vAlign w:val="bottom"/>
            <w:tcBorders>
              <w:bottom w:val="single" w:sz="8" w:color="D7282F"/>
            </w:tcBorders>
          </w:tcPr>
          <w:p>
            <w:pPr>
              <w:spacing w:after="0"/>
              <w:rPr>
                <w:sz w:val="13"/>
                <w:szCs w:val="13"/>
                <w:color w:val="auto"/>
              </w:rPr>
            </w:pPr>
          </w:p>
        </w:tc>
        <w:tc>
          <w:tcPr>
            <w:tcW w:w="720" w:type="dxa"/>
            <w:vAlign w:val="bottom"/>
            <w:tcBorders>
              <w:bottom w:val="single" w:sz="8" w:color="D7282F"/>
            </w:tcBorders>
            <w:gridSpan w:val="2"/>
          </w:tcPr>
          <w:p>
            <w:pPr>
              <w:jc w:val="center"/>
              <w:spacing w:after="0"/>
              <w:rPr>
                <w:sz w:val="20"/>
                <w:szCs w:val="20"/>
                <w:color w:val="auto"/>
              </w:rPr>
            </w:pPr>
            <w:r>
              <w:rPr>
                <w:rFonts w:ascii="Arial" w:cs="Arial" w:eastAsia="Arial" w:hAnsi="Arial"/>
                <w:sz w:val="10"/>
                <w:szCs w:val="10"/>
                <w:b w:val="1"/>
                <w:bCs w:val="1"/>
                <w:color w:val="auto"/>
                <w:w w:val="94"/>
              </w:rPr>
              <w:t>Non-U.S. Plans</w:t>
            </w:r>
          </w:p>
        </w:tc>
        <w:tc>
          <w:tcPr>
            <w:tcW w:w="520" w:type="dxa"/>
            <w:vAlign w:val="bottom"/>
            <w:tcBorders>
              <w:bottom w:val="single" w:sz="8" w:color="D7282F"/>
            </w:tcBorders>
          </w:tcPr>
          <w:p>
            <w:pPr>
              <w:spacing w:after="0"/>
              <w:rPr>
                <w:sz w:val="13"/>
                <w:szCs w:val="13"/>
                <w:color w:val="auto"/>
              </w:rPr>
            </w:pPr>
          </w:p>
        </w:tc>
      </w:tr>
      <w:tr>
        <w:trPr>
          <w:trHeight w:val="151"/>
        </w:trPr>
        <w:tc>
          <w:tcPr>
            <w:tcW w:w="7600" w:type="dxa"/>
            <w:vAlign w:val="bottom"/>
            <w:tcBorders>
              <w:bottom w:val="single" w:sz="8" w:color="D7282F"/>
            </w:tcBorders>
          </w:tcPr>
          <w:p>
            <w:pPr>
              <w:spacing w:after="0"/>
              <w:rPr>
                <w:sz w:val="13"/>
                <w:szCs w:val="13"/>
                <w:color w:val="auto"/>
              </w:rPr>
            </w:pPr>
          </w:p>
        </w:tc>
        <w:tc>
          <w:tcPr>
            <w:tcW w:w="18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2023</w:t>
            </w:r>
          </w:p>
        </w:tc>
        <w:tc>
          <w:tcPr>
            <w:tcW w:w="320" w:type="dxa"/>
            <w:vAlign w:val="bottom"/>
            <w:tcBorders>
              <w:bottom w:val="single" w:sz="8" w:color="D7282F"/>
            </w:tcBorders>
          </w:tcPr>
          <w:p>
            <w:pPr>
              <w:spacing w:after="0"/>
              <w:rPr>
                <w:sz w:val="13"/>
                <w:szCs w:val="13"/>
                <w:color w:val="auto"/>
              </w:rPr>
            </w:pPr>
          </w:p>
        </w:tc>
        <w:tc>
          <w:tcPr>
            <w:tcW w:w="56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2022</w:t>
            </w:r>
          </w:p>
        </w:tc>
        <w:tc>
          <w:tcPr>
            <w:tcW w:w="200" w:type="dxa"/>
            <w:vAlign w:val="bottom"/>
            <w:tcBorders>
              <w:bottom w:val="single" w:sz="8" w:color="D7282F"/>
            </w:tcBorders>
          </w:tcPr>
          <w:p>
            <w:pPr>
              <w:spacing w:after="0"/>
              <w:rPr>
                <w:sz w:val="13"/>
                <w:szCs w:val="13"/>
                <w:color w:val="auto"/>
              </w:rPr>
            </w:pPr>
          </w:p>
        </w:tc>
        <w:tc>
          <w:tcPr>
            <w:tcW w:w="520" w:type="dxa"/>
            <w:vAlign w:val="bottom"/>
            <w:tcBorders>
              <w:bottom w:val="single" w:sz="8" w:color="D7282F"/>
            </w:tcBorders>
            <w:gridSpan w:val="2"/>
          </w:tcPr>
          <w:p>
            <w:pPr>
              <w:jc w:val="right"/>
              <w:ind w:right="20"/>
              <w:spacing w:after="0"/>
              <w:rPr>
                <w:sz w:val="20"/>
                <w:szCs w:val="20"/>
                <w:color w:val="auto"/>
              </w:rPr>
            </w:pPr>
            <w:r>
              <w:rPr>
                <w:rFonts w:ascii="Arial" w:cs="Arial" w:eastAsia="Arial" w:hAnsi="Arial"/>
                <w:sz w:val="10"/>
                <w:szCs w:val="10"/>
                <w:b w:val="1"/>
                <w:bCs w:val="1"/>
                <w:color w:val="auto"/>
              </w:rPr>
              <w:t>2023</w:t>
            </w:r>
          </w:p>
        </w:tc>
        <w:tc>
          <w:tcPr>
            <w:tcW w:w="240" w:type="dxa"/>
            <w:vAlign w:val="bottom"/>
            <w:tcBorders>
              <w:bottom w:val="single" w:sz="8" w:color="D7282F"/>
            </w:tcBorders>
          </w:tcPr>
          <w:p>
            <w:pPr>
              <w:spacing w:after="0"/>
              <w:rPr>
                <w:sz w:val="13"/>
                <w:szCs w:val="13"/>
                <w:color w:val="auto"/>
              </w:rPr>
            </w:pPr>
          </w:p>
        </w:tc>
        <w:tc>
          <w:tcPr>
            <w:tcW w:w="480" w:type="dxa"/>
            <w:vAlign w:val="bottom"/>
            <w:tcBorders>
              <w:bottom w:val="single" w:sz="8" w:color="D7282F"/>
            </w:tcBorders>
          </w:tcPr>
          <w:p>
            <w:pPr>
              <w:spacing w:after="0"/>
              <w:rPr>
                <w:sz w:val="13"/>
                <w:szCs w:val="13"/>
                <w:color w:val="auto"/>
              </w:rPr>
            </w:pPr>
          </w:p>
        </w:tc>
        <w:tc>
          <w:tcPr>
            <w:tcW w:w="52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w w:val="98"/>
              </w:rPr>
              <w:t>2022</w:t>
            </w:r>
          </w:p>
        </w:tc>
      </w:tr>
      <w:tr>
        <w:trPr>
          <w:trHeight w:val="122"/>
        </w:trPr>
        <w:tc>
          <w:tcPr>
            <w:tcW w:w="76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Prior service (credit) cost</w:t>
            </w:r>
          </w:p>
        </w:tc>
        <w:tc>
          <w:tcPr>
            <w:tcW w:w="18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(7)</w:t>
            </w:r>
          </w:p>
        </w:tc>
        <w:tc>
          <w:tcPr>
            <w:tcW w:w="3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(50)</w:t>
            </w:r>
          </w:p>
        </w:tc>
        <w:tc>
          <w:tcPr>
            <w:tcW w:w="20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gridSpan w:val="2"/>
          </w:tcPr>
          <w:p>
            <w:pPr>
              <w:jc w:val="right"/>
              <w:ind w:right="440"/>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18</w:t>
            </w:r>
          </w:p>
        </w:tc>
        <w:tc>
          <w:tcPr>
            <w:tcW w:w="480" w:type="dxa"/>
            <w:vAlign w:val="bottom"/>
            <w:tcBorders>
              <w:bottom w:val="single" w:sz="8" w:color="61656A"/>
            </w:tcBorders>
          </w:tcPr>
          <w:p>
            <w:pPr>
              <w:jc w:val="right"/>
              <w:ind w:right="15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18</w:t>
            </w:r>
          </w:p>
        </w:tc>
      </w:tr>
      <w:tr>
        <w:trPr>
          <w:trHeight w:val="124"/>
        </w:trPr>
        <w:tc>
          <w:tcPr>
            <w:tcW w:w="760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Net actuarial (gain) loss</w:t>
            </w:r>
          </w:p>
        </w:tc>
        <w:tc>
          <w:tcPr>
            <w:tcW w:w="18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1,191</w:t>
            </w:r>
          </w:p>
        </w:tc>
        <w:tc>
          <w:tcPr>
            <w:tcW w:w="32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814</w:t>
            </w:r>
          </w:p>
        </w:tc>
        <w:tc>
          <w:tcPr>
            <w:tcW w:w="200" w:type="dxa"/>
            <w:vAlign w:val="bottom"/>
            <w:tcBorders>
              <w:bottom w:val="single" w:sz="8" w:color="D7282F"/>
            </w:tcBorders>
          </w:tcPr>
          <w:p>
            <w:pPr>
              <w:spacing w:after="0"/>
              <w:rPr>
                <w:sz w:val="10"/>
                <w:szCs w:val="10"/>
                <w:color w:val="auto"/>
              </w:rPr>
            </w:pPr>
          </w:p>
        </w:tc>
        <w:tc>
          <w:tcPr>
            <w:tcW w:w="20" w:type="dxa"/>
            <w:vAlign w:val="bottom"/>
            <w:tcBorders>
              <w:bottom w:val="single" w:sz="8" w:color="D7282F"/>
            </w:tcBorders>
          </w:tcPr>
          <w:p>
            <w:pPr>
              <w:spacing w:after="0"/>
              <w:rPr>
                <w:sz w:val="10"/>
                <w:szCs w:val="10"/>
                <w:color w:val="auto"/>
              </w:rPr>
            </w:pPr>
          </w:p>
        </w:tc>
        <w:tc>
          <w:tcPr>
            <w:tcW w:w="50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422</w:t>
            </w:r>
          </w:p>
        </w:tc>
        <w:tc>
          <w:tcPr>
            <w:tcW w:w="48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360</w:t>
            </w:r>
          </w:p>
        </w:tc>
      </w:tr>
      <w:tr>
        <w:trPr>
          <w:trHeight w:val="126"/>
        </w:trPr>
        <w:tc>
          <w:tcPr>
            <w:tcW w:w="760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Net amount recognized</w:t>
            </w:r>
          </w:p>
        </w:tc>
        <w:tc>
          <w:tcPr>
            <w:tcW w:w="1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1,184</w:t>
            </w:r>
          </w:p>
        </w:tc>
        <w:tc>
          <w:tcPr>
            <w:tcW w:w="3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764</w:t>
            </w:r>
          </w:p>
        </w:tc>
        <w:tc>
          <w:tcPr>
            <w:tcW w:w="20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gridSpan w:val="2"/>
          </w:tcPr>
          <w:p>
            <w:pPr>
              <w:jc w:val="right"/>
              <w:ind w:right="440"/>
              <w:spacing w:after="0"/>
              <w:rPr>
                <w:sz w:val="20"/>
                <w:szCs w:val="20"/>
                <w:color w:val="auto"/>
              </w:rPr>
            </w:pPr>
            <w:r>
              <w:rPr>
                <w:rFonts w:ascii="Arial" w:cs="Arial" w:eastAsia="Arial" w:hAnsi="Arial"/>
                <w:sz w:val="10"/>
                <w:szCs w:val="10"/>
                <w:b w:val="1"/>
                <w:bCs w:val="1"/>
                <w:color w:val="auto"/>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440</w:t>
            </w:r>
          </w:p>
        </w:tc>
        <w:tc>
          <w:tcPr>
            <w:tcW w:w="48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378</w:t>
            </w:r>
          </w:p>
        </w:tc>
      </w:tr>
      <w:tr>
        <w:trPr>
          <w:trHeight w:val="271"/>
        </w:trPr>
        <w:tc>
          <w:tcPr>
            <w:tcW w:w="7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jc w:val="center"/>
              <w:ind w:right="172"/>
              <w:spacing w:after="0"/>
              <w:rPr>
                <w:sz w:val="20"/>
                <w:szCs w:val="20"/>
                <w:color w:val="auto"/>
              </w:rPr>
            </w:pPr>
            <w:r>
              <w:rPr>
                <w:rFonts w:ascii="Arial" w:cs="Arial" w:eastAsia="Arial" w:hAnsi="Arial"/>
                <w:sz w:val="10"/>
                <w:szCs w:val="10"/>
                <w:b w:val="1"/>
                <w:bCs w:val="1"/>
                <w:color w:val="auto"/>
                <w:w w:val="97"/>
              </w:rPr>
              <w:t>Other</w:t>
            </w:r>
          </w:p>
        </w:tc>
        <w:tc>
          <w:tcPr>
            <w:tcW w:w="520" w:type="dxa"/>
            <w:vAlign w:val="bottom"/>
          </w:tcPr>
          <w:p>
            <w:pPr>
              <w:spacing w:after="0"/>
              <w:rPr>
                <w:sz w:val="23"/>
                <w:szCs w:val="23"/>
                <w:color w:val="auto"/>
              </w:rPr>
            </w:pPr>
          </w:p>
        </w:tc>
      </w:tr>
      <w:tr>
        <w:trPr>
          <w:trHeight w:val="99"/>
        </w:trPr>
        <w:tc>
          <w:tcPr>
            <w:tcW w:w="7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gridSpan w:val="2"/>
          </w:tcPr>
          <w:p>
            <w:pPr>
              <w:jc w:val="center"/>
              <w:spacing w:after="0" w:line="99" w:lineRule="exact"/>
              <w:rPr>
                <w:sz w:val="20"/>
                <w:szCs w:val="20"/>
                <w:color w:val="auto"/>
              </w:rPr>
            </w:pPr>
            <w:r>
              <w:rPr>
                <w:rFonts w:ascii="Arial" w:cs="Arial" w:eastAsia="Arial" w:hAnsi="Arial"/>
                <w:sz w:val="10"/>
                <w:szCs w:val="10"/>
                <w:b w:val="1"/>
                <w:bCs w:val="1"/>
                <w:color w:val="auto"/>
                <w:w w:val="96"/>
              </w:rPr>
              <w:t>Postretirement</w:t>
            </w:r>
          </w:p>
        </w:tc>
        <w:tc>
          <w:tcPr>
            <w:tcW w:w="520" w:type="dxa"/>
            <w:vAlign w:val="bottom"/>
          </w:tcPr>
          <w:p>
            <w:pPr>
              <w:spacing w:after="0"/>
              <w:rPr>
                <w:sz w:val="8"/>
                <w:szCs w:val="8"/>
                <w:color w:val="auto"/>
              </w:rPr>
            </w:pPr>
          </w:p>
        </w:tc>
      </w:tr>
      <w:tr>
        <w:trPr>
          <w:trHeight w:val="124"/>
        </w:trPr>
        <w:tc>
          <w:tcPr>
            <w:tcW w:w="7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bottom w:val="single" w:sz="8" w:color="D7282F"/>
            </w:tcBorders>
          </w:tcPr>
          <w:p>
            <w:pPr>
              <w:spacing w:after="0"/>
              <w:rPr>
                <w:sz w:val="10"/>
                <w:szCs w:val="10"/>
                <w:color w:val="auto"/>
              </w:rPr>
            </w:pPr>
          </w:p>
        </w:tc>
        <w:tc>
          <w:tcPr>
            <w:tcW w:w="720" w:type="dxa"/>
            <w:vAlign w:val="bottom"/>
            <w:tcBorders>
              <w:bottom w:val="single" w:sz="8" w:color="D7282F"/>
            </w:tcBorders>
            <w:gridSpan w:val="2"/>
          </w:tcPr>
          <w:p>
            <w:pPr>
              <w:jc w:val="center"/>
              <w:spacing w:after="0"/>
              <w:rPr>
                <w:sz w:val="20"/>
                <w:szCs w:val="20"/>
                <w:color w:val="auto"/>
              </w:rPr>
            </w:pPr>
            <w:r>
              <w:rPr>
                <w:rFonts w:ascii="Arial" w:cs="Arial" w:eastAsia="Arial" w:hAnsi="Arial"/>
                <w:sz w:val="10"/>
                <w:szCs w:val="10"/>
                <w:b w:val="1"/>
                <w:bCs w:val="1"/>
                <w:color w:val="auto"/>
                <w:w w:val="96"/>
              </w:rPr>
              <w:t>Benefits</w:t>
            </w:r>
          </w:p>
        </w:tc>
        <w:tc>
          <w:tcPr>
            <w:tcW w:w="520" w:type="dxa"/>
            <w:vAlign w:val="bottom"/>
            <w:tcBorders>
              <w:bottom w:val="single" w:sz="8" w:color="D7282F"/>
            </w:tcBorders>
          </w:tcPr>
          <w:p>
            <w:pPr>
              <w:spacing w:after="0"/>
              <w:rPr>
                <w:sz w:val="10"/>
                <w:szCs w:val="10"/>
                <w:color w:val="auto"/>
              </w:rPr>
            </w:pPr>
          </w:p>
        </w:tc>
      </w:tr>
      <w:tr>
        <w:trPr>
          <w:trHeight w:val="150"/>
        </w:trPr>
        <w:tc>
          <w:tcPr>
            <w:tcW w:w="7600" w:type="dxa"/>
            <w:vAlign w:val="bottom"/>
            <w:tcBorders>
              <w:bottom w:val="single" w:sz="8" w:color="D7282F"/>
            </w:tcBorders>
          </w:tcPr>
          <w:p>
            <w:pPr>
              <w:spacing w:after="0"/>
              <w:rPr>
                <w:sz w:val="13"/>
                <w:szCs w:val="13"/>
                <w:color w:val="auto"/>
              </w:rPr>
            </w:pPr>
          </w:p>
        </w:tc>
        <w:tc>
          <w:tcPr>
            <w:tcW w:w="18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spacing w:after="0"/>
              <w:rPr>
                <w:sz w:val="13"/>
                <w:szCs w:val="13"/>
                <w:color w:val="auto"/>
              </w:rPr>
            </w:pPr>
          </w:p>
        </w:tc>
        <w:tc>
          <w:tcPr>
            <w:tcW w:w="320" w:type="dxa"/>
            <w:vAlign w:val="bottom"/>
            <w:tcBorders>
              <w:bottom w:val="single" w:sz="8" w:color="D7282F"/>
            </w:tcBorders>
          </w:tcPr>
          <w:p>
            <w:pPr>
              <w:spacing w:after="0"/>
              <w:rPr>
                <w:sz w:val="13"/>
                <w:szCs w:val="13"/>
                <w:color w:val="auto"/>
              </w:rPr>
            </w:pPr>
          </w:p>
        </w:tc>
        <w:tc>
          <w:tcPr>
            <w:tcW w:w="560" w:type="dxa"/>
            <w:vAlign w:val="bottom"/>
            <w:tcBorders>
              <w:bottom w:val="single" w:sz="8" w:color="D7282F"/>
            </w:tcBorders>
          </w:tcPr>
          <w:p>
            <w:pPr>
              <w:spacing w:after="0"/>
              <w:rPr>
                <w:sz w:val="13"/>
                <w:szCs w:val="13"/>
                <w:color w:val="auto"/>
              </w:rPr>
            </w:pPr>
          </w:p>
        </w:tc>
        <w:tc>
          <w:tcPr>
            <w:tcW w:w="200" w:type="dxa"/>
            <w:vAlign w:val="bottom"/>
            <w:tcBorders>
              <w:bottom w:val="single" w:sz="8" w:color="D7282F"/>
            </w:tcBorders>
          </w:tcPr>
          <w:p>
            <w:pPr>
              <w:spacing w:after="0"/>
              <w:rPr>
                <w:sz w:val="13"/>
                <w:szCs w:val="13"/>
                <w:color w:val="auto"/>
              </w:rPr>
            </w:pPr>
          </w:p>
        </w:tc>
        <w:tc>
          <w:tcPr>
            <w:tcW w:w="520" w:type="dxa"/>
            <w:vAlign w:val="bottom"/>
            <w:tcBorders>
              <w:bottom w:val="single" w:sz="8" w:color="D7282F"/>
            </w:tcBorders>
            <w:gridSpan w:val="2"/>
          </w:tcPr>
          <w:p>
            <w:pPr>
              <w:jc w:val="right"/>
              <w:ind w:right="20"/>
              <w:spacing w:after="0"/>
              <w:rPr>
                <w:sz w:val="20"/>
                <w:szCs w:val="20"/>
                <w:color w:val="auto"/>
              </w:rPr>
            </w:pPr>
            <w:r>
              <w:rPr>
                <w:rFonts w:ascii="Arial" w:cs="Arial" w:eastAsia="Arial" w:hAnsi="Arial"/>
                <w:sz w:val="10"/>
                <w:szCs w:val="10"/>
                <w:b w:val="1"/>
                <w:bCs w:val="1"/>
                <w:color w:val="auto"/>
              </w:rPr>
              <w:t>2023</w:t>
            </w:r>
          </w:p>
        </w:tc>
        <w:tc>
          <w:tcPr>
            <w:tcW w:w="240" w:type="dxa"/>
            <w:vAlign w:val="bottom"/>
            <w:tcBorders>
              <w:bottom w:val="single" w:sz="8" w:color="D7282F"/>
            </w:tcBorders>
          </w:tcPr>
          <w:p>
            <w:pPr>
              <w:spacing w:after="0"/>
              <w:rPr>
                <w:sz w:val="13"/>
                <w:szCs w:val="13"/>
                <w:color w:val="auto"/>
              </w:rPr>
            </w:pPr>
          </w:p>
        </w:tc>
        <w:tc>
          <w:tcPr>
            <w:tcW w:w="480" w:type="dxa"/>
            <w:vAlign w:val="bottom"/>
            <w:tcBorders>
              <w:bottom w:val="single" w:sz="8" w:color="D7282F"/>
            </w:tcBorders>
          </w:tcPr>
          <w:p>
            <w:pPr>
              <w:spacing w:after="0"/>
              <w:rPr>
                <w:sz w:val="13"/>
                <w:szCs w:val="13"/>
                <w:color w:val="auto"/>
              </w:rPr>
            </w:pPr>
          </w:p>
        </w:tc>
        <w:tc>
          <w:tcPr>
            <w:tcW w:w="52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w w:val="98"/>
              </w:rPr>
              <w:t>2022</w:t>
            </w:r>
          </w:p>
        </w:tc>
      </w:tr>
      <w:tr>
        <w:trPr>
          <w:trHeight w:val="122"/>
        </w:trPr>
        <w:tc>
          <w:tcPr>
            <w:tcW w:w="76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Prior service (credit) cost</w:t>
            </w:r>
          </w:p>
        </w:tc>
        <w:tc>
          <w:tcPr>
            <w:tcW w:w="18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spacing w:after="0"/>
              <w:rPr>
                <w:sz w:val="10"/>
                <w:szCs w:val="10"/>
                <w:color w:val="auto"/>
              </w:rPr>
            </w:pPr>
          </w:p>
        </w:tc>
        <w:tc>
          <w:tcPr>
            <w:tcW w:w="560" w:type="dxa"/>
            <w:vAlign w:val="bottom"/>
            <w:tcBorders>
              <w:bottom w:val="single" w:sz="8" w:color="61656A"/>
            </w:tcBorders>
          </w:tcPr>
          <w:p>
            <w:pPr>
              <w:spacing w:after="0"/>
              <w:rPr>
                <w:sz w:val="10"/>
                <w:szCs w:val="10"/>
                <w:color w:val="auto"/>
              </w:rPr>
            </w:pPr>
          </w:p>
        </w:tc>
        <w:tc>
          <w:tcPr>
            <w:tcW w:w="20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gridSpan w:val="2"/>
          </w:tcPr>
          <w:p>
            <w:pPr>
              <w:jc w:val="right"/>
              <w:ind w:right="440"/>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(30)</w:t>
            </w:r>
          </w:p>
        </w:tc>
        <w:tc>
          <w:tcPr>
            <w:tcW w:w="480" w:type="dxa"/>
            <w:vAlign w:val="bottom"/>
            <w:tcBorders>
              <w:bottom w:val="single" w:sz="8" w:color="61656A"/>
            </w:tcBorders>
          </w:tcPr>
          <w:p>
            <w:pPr>
              <w:jc w:val="right"/>
              <w:ind w:right="13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(50)</w:t>
            </w:r>
          </w:p>
        </w:tc>
      </w:tr>
      <w:tr>
        <w:trPr>
          <w:trHeight w:val="124"/>
        </w:trPr>
        <w:tc>
          <w:tcPr>
            <w:tcW w:w="760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Net actuarial (gain) loss</w:t>
            </w:r>
          </w:p>
        </w:tc>
        <w:tc>
          <w:tcPr>
            <w:tcW w:w="18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20" w:type="dxa"/>
            <w:vAlign w:val="bottom"/>
            <w:tcBorders>
              <w:bottom w:val="single" w:sz="8" w:color="D7282F"/>
            </w:tcBorders>
          </w:tcPr>
          <w:p>
            <w:pPr>
              <w:spacing w:after="0"/>
              <w:rPr>
                <w:sz w:val="10"/>
                <w:szCs w:val="10"/>
                <w:color w:val="auto"/>
              </w:rPr>
            </w:pPr>
          </w:p>
        </w:tc>
        <w:tc>
          <w:tcPr>
            <w:tcW w:w="50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(68)</w:t>
            </w:r>
          </w:p>
        </w:tc>
        <w:tc>
          <w:tcPr>
            <w:tcW w:w="48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(84)</w:t>
            </w:r>
          </w:p>
        </w:tc>
      </w:tr>
      <w:tr>
        <w:trPr>
          <w:trHeight w:val="126"/>
        </w:trPr>
        <w:tc>
          <w:tcPr>
            <w:tcW w:w="760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Net amount recognized</w:t>
            </w:r>
          </w:p>
        </w:tc>
        <w:tc>
          <w:tcPr>
            <w:tcW w:w="18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gridSpan w:val="2"/>
          </w:tcPr>
          <w:p>
            <w:pPr>
              <w:jc w:val="right"/>
              <w:ind w:right="440"/>
              <w:spacing w:after="0"/>
              <w:rPr>
                <w:sz w:val="20"/>
                <w:szCs w:val="20"/>
                <w:color w:val="auto"/>
              </w:rPr>
            </w:pPr>
            <w:r>
              <w:rPr>
                <w:rFonts w:ascii="Arial" w:cs="Arial" w:eastAsia="Arial" w:hAnsi="Arial"/>
                <w:sz w:val="10"/>
                <w:szCs w:val="10"/>
                <w:b w:val="1"/>
                <w:bCs w:val="1"/>
                <w:color w:val="auto"/>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(98)</w:t>
            </w:r>
          </w:p>
        </w:tc>
        <w:tc>
          <w:tcPr>
            <w:tcW w:w="48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(134)</w:t>
            </w:r>
          </w:p>
        </w:tc>
      </w:tr>
    </w:tbl>
    <w:p>
      <w:pPr>
        <w:spacing w:after="0" w:line="351" w:lineRule="exact"/>
        <w:rPr>
          <w:sz w:val="20"/>
          <w:szCs w:val="20"/>
          <w:color w:val="auto"/>
        </w:rPr>
      </w:pPr>
    </w:p>
    <w:p>
      <w:pPr>
        <w:ind w:left="328" w:hanging="328"/>
        <w:spacing w:after="0"/>
        <w:tabs>
          <w:tab w:leader="none" w:pos="328" w:val="left"/>
        </w:tabs>
        <w:numPr>
          <w:ilvl w:val="0"/>
          <w:numId w:val="149"/>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105" w:name="page106"/>
    <w:bookmarkEnd w:id="105"/>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spacing w:after="0"/>
        <w:rPr>
          <w:sz w:val="20"/>
          <w:szCs w:val="20"/>
          <w:color w:val="auto"/>
        </w:rPr>
      </w:pPr>
      <w:r>
        <w:rPr>
          <w:rFonts w:ascii="Arial" w:cs="Arial" w:eastAsia="Arial" w:hAnsi="Arial"/>
          <w:sz w:val="11"/>
          <w:szCs w:val="11"/>
          <w:color w:val="auto"/>
        </w:rPr>
        <w:t>Net periodic benefit (income) cost and other amounts recognized in Other comprehensive (income) loss for the Company's significant pension and other postretirement benefit plans include the following components: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660" w:type="dxa"/>
            <w:vAlign w:val="bottom"/>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70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760" w:type="dxa"/>
            <w:vAlign w:val="bottom"/>
            <w:tcBorders>
              <w:bottom w:val="single" w:sz="8" w:color="D7282F"/>
            </w:tcBorders>
          </w:tcPr>
          <w:p>
            <w:pPr>
              <w:spacing w:after="0"/>
              <w:rPr>
                <w:sz w:val="11"/>
                <w:szCs w:val="11"/>
                <w:color w:val="auto"/>
              </w:rPr>
            </w:pPr>
          </w:p>
        </w:tc>
        <w:tc>
          <w:tcPr>
            <w:tcW w:w="280" w:type="dxa"/>
            <w:vAlign w:val="bottom"/>
            <w:tcBorders>
              <w:bottom w:val="single" w:sz="8" w:color="D7282F"/>
            </w:tcBorders>
          </w:tcPr>
          <w:p>
            <w:pPr>
              <w:spacing w:after="0"/>
              <w:rPr>
                <w:sz w:val="11"/>
                <w:szCs w:val="11"/>
                <w:color w:val="auto"/>
              </w:rPr>
            </w:pPr>
          </w:p>
        </w:tc>
        <w:tc>
          <w:tcPr>
            <w:tcW w:w="1320" w:type="dxa"/>
            <w:vAlign w:val="bottom"/>
            <w:tcBorders>
              <w:bottom w:val="single" w:sz="8" w:color="D7282F"/>
            </w:tcBorders>
            <w:gridSpan w:val="4"/>
          </w:tcPr>
          <w:p>
            <w:pPr>
              <w:jc w:val="right"/>
              <w:ind w:right="220"/>
              <w:spacing w:after="0"/>
              <w:rPr>
                <w:sz w:val="20"/>
                <w:szCs w:val="20"/>
                <w:color w:val="auto"/>
              </w:rPr>
            </w:pPr>
            <w:r>
              <w:rPr>
                <w:rFonts w:ascii="Arial" w:cs="Arial" w:eastAsia="Arial" w:hAnsi="Arial"/>
                <w:sz w:val="10"/>
                <w:szCs w:val="10"/>
                <w:b w:val="1"/>
                <w:bCs w:val="1"/>
                <w:color w:val="auto"/>
              </w:rPr>
              <w:t>Pension Benefits</w:t>
            </w:r>
          </w:p>
        </w:tc>
        <w:tc>
          <w:tcPr>
            <w:tcW w:w="240" w:type="dxa"/>
            <w:vAlign w:val="bottom"/>
            <w:tcBorders>
              <w:bottom w:val="single" w:sz="8" w:color="D7282F"/>
            </w:tcBorders>
          </w:tcPr>
          <w:p>
            <w:pPr>
              <w:spacing w:after="0"/>
              <w:rPr>
                <w:sz w:val="11"/>
                <w:szCs w:val="11"/>
                <w:color w:val="auto"/>
              </w:rPr>
            </w:pPr>
          </w:p>
        </w:tc>
        <w:tc>
          <w:tcPr>
            <w:tcW w:w="400" w:type="dxa"/>
            <w:vAlign w:val="bottom"/>
            <w:tcBorders>
              <w:bottom w:val="single" w:sz="8" w:color="D7282F"/>
            </w:tcBorders>
          </w:tcPr>
          <w:p>
            <w:pPr>
              <w:spacing w:after="0"/>
              <w:rPr>
                <w:sz w:val="11"/>
                <w:szCs w:val="11"/>
                <w:color w:val="auto"/>
              </w:rPr>
            </w:pPr>
          </w:p>
        </w:tc>
        <w:tc>
          <w:tcPr>
            <w:tcW w:w="680" w:type="dxa"/>
            <w:vAlign w:val="bottom"/>
            <w:tcBorders>
              <w:bottom w:val="single" w:sz="8" w:color="D7282F"/>
            </w:tcBorders>
          </w:tcPr>
          <w:p>
            <w:pPr>
              <w:spacing w:after="0"/>
              <w:rPr>
                <w:sz w:val="11"/>
                <w:szCs w:val="11"/>
                <w:color w:val="auto"/>
              </w:rPr>
            </w:pPr>
          </w:p>
        </w:tc>
        <w:tc>
          <w:tcPr>
            <w:tcW w:w="300" w:type="dxa"/>
            <w:vAlign w:val="bottom"/>
            <w:tcBorders>
              <w:bottom w:val="single" w:sz="8" w:color="D7282F"/>
            </w:tcBorders>
          </w:tcPr>
          <w:p>
            <w:pPr>
              <w:spacing w:after="0"/>
              <w:rPr>
                <w:sz w:val="11"/>
                <w:szCs w:val="11"/>
                <w:color w:val="auto"/>
              </w:rPr>
            </w:pPr>
          </w:p>
        </w:tc>
        <w:tc>
          <w:tcPr>
            <w:tcW w:w="600" w:type="dxa"/>
            <w:vAlign w:val="bottom"/>
            <w:tcBorders>
              <w:bottom w:val="single" w:sz="8" w:color="D7282F"/>
            </w:tcBorders>
          </w:tcPr>
          <w:p>
            <w:pPr>
              <w:spacing w:after="0"/>
              <w:rPr>
                <w:sz w:val="11"/>
                <w:szCs w:val="11"/>
                <w:color w:val="auto"/>
              </w:rPr>
            </w:pPr>
          </w:p>
        </w:tc>
      </w:tr>
      <w:tr>
        <w:trPr>
          <w:trHeight w:val="151"/>
        </w:trPr>
        <w:tc>
          <w:tcPr>
            <w:tcW w:w="5660" w:type="dxa"/>
            <w:vAlign w:val="bottom"/>
          </w:tcPr>
          <w:p>
            <w:pPr>
              <w:spacing w:after="0"/>
              <w:rPr>
                <w:sz w:val="13"/>
                <w:szCs w:val="13"/>
                <w:color w:val="auto"/>
              </w:rPr>
            </w:pPr>
          </w:p>
        </w:tc>
        <w:tc>
          <w:tcPr>
            <w:tcW w:w="160" w:type="dxa"/>
            <w:vAlign w:val="bottom"/>
            <w:tcBorders>
              <w:bottom w:val="single" w:sz="8" w:color="D7282F"/>
            </w:tcBorders>
          </w:tcPr>
          <w:p>
            <w:pPr>
              <w:spacing w:after="0"/>
              <w:rPr>
                <w:sz w:val="13"/>
                <w:szCs w:val="13"/>
                <w:color w:val="auto"/>
              </w:rPr>
            </w:pPr>
          </w:p>
        </w:tc>
        <w:tc>
          <w:tcPr>
            <w:tcW w:w="700" w:type="dxa"/>
            <w:vAlign w:val="bottom"/>
            <w:tcBorders>
              <w:bottom w:val="single" w:sz="8" w:color="D7282F"/>
            </w:tcBorders>
          </w:tcPr>
          <w:p>
            <w:pPr>
              <w:spacing w:after="0"/>
              <w:rPr>
                <w:sz w:val="13"/>
                <w:szCs w:val="13"/>
                <w:color w:val="auto"/>
              </w:rPr>
            </w:pPr>
          </w:p>
        </w:tc>
        <w:tc>
          <w:tcPr>
            <w:tcW w:w="200" w:type="dxa"/>
            <w:vAlign w:val="bottom"/>
            <w:tcBorders>
              <w:bottom w:val="single" w:sz="8" w:color="D7282F"/>
            </w:tcBorders>
          </w:tcPr>
          <w:p>
            <w:pPr>
              <w:spacing w:after="0"/>
              <w:rPr>
                <w:sz w:val="13"/>
                <w:szCs w:val="13"/>
                <w:color w:val="auto"/>
              </w:rPr>
            </w:pPr>
          </w:p>
        </w:tc>
        <w:tc>
          <w:tcPr>
            <w:tcW w:w="760" w:type="dxa"/>
            <w:vAlign w:val="bottom"/>
            <w:tcBorders>
              <w:bottom w:val="single" w:sz="8" w:color="D7282F"/>
            </w:tcBorders>
          </w:tcPr>
          <w:p>
            <w:pPr>
              <w:jc w:val="center"/>
              <w:ind w:right="152"/>
              <w:spacing w:after="0"/>
              <w:rPr>
                <w:sz w:val="20"/>
                <w:szCs w:val="20"/>
                <w:color w:val="auto"/>
              </w:rPr>
            </w:pPr>
            <w:r>
              <w:rPr>
                <w:rFonts w:ascii="Arial" w:cs="Arial" w:eastAsia="Arial" w:hAnsi="Arial"/>
                <w:sz w:val="10"/>
                <w:szCs w:val="10"/>
                <w:b w:val="1"/>
                <w:bCs w:val="1"/>
                <w:color w:val="auto"/>
                <w:w w:val="98"/>
              </w:rPr>
              <w:t>U.S. Plans</w:t>
            </w:r>
          </w:p>
        </w:tc>
        <w:tc>
          <w:tcPr>
            <w:tcW w:w="28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Borders>
              <w:bottom w:val="single" w:sz="8" w:color="D7282F"/>
            </w:tcBorders>
          </w:tcPr>
          <w:p>
            <w:pPr>
              <w:spacing w:after="0"/>
              <w:rPr>
                <w:sz w:val="13"/>
                <w:szCs w:val="13"/>
                <w:color w:val="auto"/>
              </w:rPr>
            </w:pPr>
          </w:p>
        </w:tc>
        <w:tc>
          <w:tcPr>
            <w:tcW w:w="500" w:type="dxa"/>
            <w:vAlign w:val="bottom"/>
            <w:tcBorders>
              <w:bottom w:val="single" w:sz="8" w:color="D7282F"/>
            </w:tcBorders>
          </w:tcPr>
          <w:p>
            <w:pPr>
              <w:spacing w:after="0"/>
              <w:rPr>
                <w:sz w:val="13"/>
                <w:szCs w:val="13"/>
                <w:color w:val="auto"/>
              </w:rPr>
            </w:pPr>
          </w:p>
        </w:tc>
        <w:tc>
          <w:tcPr>
            <w:tcW w:w="240" w:type="dxa"/>
            <w:vAlign w:val="bottom"/>
            <w:tcBorders>
              <w:bottom w:val="single" w:sz="8" w:color="D7282F"/>
            </w:tcBorders>
          </w:tcPr>
          <w:p>
            <w:pPr>
              <w:spacing w:after="0"/>
              <w:rPr>
                <w:sz w:val="13"/>
                <w:szCs w:val="13"/>
                <w:color w:val="auto"/>
              </w:rPr>
            </w:pPr>
          </w:p>
        </w:tc>
        <w:tc>
          <w:tcPr>
            <w:tcW w:w="1080" w:type="dxa"/>
            <w:vAlign w:val="bottom"/>
            <w:tcBorders>
              <w:bottom w:val="single" w:sz="8" w:color="D7282F"/>
            </w:tcBorders>
            <w:gridSpan w:val="2"/>
          </w:tcPr>
          <w:p>
            <w:pPr>
              <w:jc w:val="center"/>
              <w:ind w:left="92"/>
              <w:spacing w:after="0"/>
              <w:rPr>
                <w:sz w:val="20"/>
                <w:szCs w:val="20"/>
                <w:color w:val="auto"/>
              </w:rPr>
            </w:pPr>
            <w:r>
              <w:rPr>
                <w:rFonts w:ascii="Arial" w:cs="Arial" w:eastAsia="Arial" w:hAnsi="Arial"/>
                <w:sz w:val="10"/>
                <w:szCs w:val="10"/>
                <w:b w:val="1"/>
                <w:bCs w:val="1"/>
                <w:color w:val="auto"/>
                <w:w w:val="97"/>
              </w:rPr>
              <w:t>Non-U.S. Plans</w:t>
            </w:r>
          </w:p>
        </w:tc>
        <w:tc>
          <w:tcPr>
            <w:tcW w:w="30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spacing w:after="0"/>
              <w:rPr>
                <w:sz w:val="13"/>
                <w:szCs w:val="13"/>
                <w:color w:val="auto"/>
              </w:rPr>
            </w:pPr>
          </w:p>
        </w:tc>
      </w:tr>
      <w:tr>
        <w:trPr>
          <w:trHeight w:val="151"/>
        </w:trPr>
        <w:tc>
          <w:tcPr>
            <w:tcW w:w="5660" w:type="dxa"/>
            <w:vAlign w:val="bottom"/>
            <w:tcBorders>
              <w:bottom w:val="single" w:sz="8" w:color="D7282F"/>
            </w:tcBorders>
          </w:tcPr>
          <w:p>
            <w:pPr>
              <w:spacing w:after="0"/>
              <w:rPr>
                <w:sz w:val="13"/>
                <w:szCs w:val="13"/>
                <w:color w:val="auto"/>
              </w:rPr>
            </w:pPr>
          </w:p>
        </w:tc>
        <w:tc>
          <w:tcPr>
            <w:tcW w:w="160" w:type="dxa"/>
            <w:vAlign w:val="bottom"/>
            <w:tcBorders>
              <w:bottom w:val="single" w:sz="8" w:color="D7282F"/>
            </w:tcBorders>
          </w:tcPr>
          <w:p>
            <w:pPr>
              <w:spacing w:after="0"/>
              <w:rPr>
                <w:sz w:val="13"/>
                <w:szCs w:val="13"/>
                <w:color w:val="auto"/>
              </w:rPr>
            </w:pPr>
          </w:p>
        </w:tc>
        <w:tc>
          <w:tcPr>
            <w:tcW w:w="70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2023</w:t>
            </w:r>
          </w:p>
        </w:tc>
        <w:tc>
          <w:tcPr>
            <w:tcW w:w="200" w:type="dxa"/>
            <w:vAlign w:val="bottom"/>
            <w:tcBorders>
              <w:bottom w:val="single" w:sz="8" w:color="D7282F"/>
            </w:tcBorders>
          </w:tcPr>
          <w:p>
            <w:pPr>
              <w:spacing w:after="0"/>
              <w:rPr>
                <w:sz w:val="13"/>
                <w:szCs w:val="13"/>
                <w:color w:val="auto"/>
              </w:rPr>
            </w:pPr>
          </w:p>
        </w:tc>
        <w:tc>
          <w:tcPr>
            <w:tcW w:w="760" w:type="dxa"/>
            <w:vAlign w:val="bottom"/>
            <w:tcBorders>
              <w:bottom w:val="single" w:sz="8" w:color="D7282F"/>
            </w:tcBorders>
          </w:tcPr>
          <w:p>
            <w:pPr>
              <w:jc w:val="center"/>
              <w:ind w:right="152"/>
              <w:spacing w:after="0"/>
              <w:rPr>
                <w:sz w:val="20"/>
                <w:szCs w:val="20"/>
                <w:color w:val="auto"/>
              </w:rPr>
            </w:pPr>
            <w:r>
              <w:rPr>
                <w:rFonts w:ascii="Arial" w:cs="Arial" w:eastAsia="Arial" w:hAnsi="Arial"/>
                <w:sz w:val="10"/>
                <w:szCs w:val="10"/>
                <w:b w:val="1"/>
                <w:bCs w:val="1"/>
                <w:color w:val="auto"/>
                <w:w w:val="89"/>
              </w:rPr>
              <w:t>2022</w:t>
            </w:r>
          </w:p>
        </w:tc>
        <w:tc>
          <w:tcPr>
            <w:tcW w:w="28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2021</w:t>
            </w:r>
          </w:p>
        </w:tc>
        <w:tc>
          <w:tcPr>
            <w:tcW w:w="200" w:type="dxa"/>
            <w:vAlign w:val="bottom"/>
            <w:tcBorders>
              <w:bottom w:val="single" w:sz="8" w:color="D7282F"/>
            </w:tcBorders>
          </w:tcPr>
          <w:p>
            <w:pPr>
              <w:spacing w:after="0"/>
              <w:rPr>
                <w:sz w:val="13"/>
                <w:szCs w:val="13"/>
                <w:color w:val="auto"/>
              </w:rPr>
            </w:pPr>
          </w:p>
        </w:tc>
        <w:tc>
          <w:tcPr>
            <w:tcW w:w="520" w:type="dxa"/>
            <w:vAlign w:val="bottom"/>
            <w:tcBorders>
              <w:bottom w:val="single" w:sz="8" w:color="D7282F"/>
            </w:tcBorders>
            <w:gridSpan w:val="2"/>
          </w:tcPr>
          <w:p>
            <w:pPr>
              <w:jc w:val="right"/>
              <w:ind w:right="20"/>
              <w:spacing w:after="0"/>
              <w:rPr>
                <w:sz w:val="20"/>
                <w:szCs w:val="20"/>
                <w:color w:val="auto"/>
              </w:rPr>
            </w:pPr>
            <w:r>
              <w:rPr>
                <w:rFonts w:ascii="Arial" w:cs="Arial" w:eastAsia="Arial" w:hAnsi="Arial"/>
                <w:sz w:val="10"/>
                <w:szCs w:val="10"/>
                <w:b w:val="1"/>
                <w:bCs w:val="1"/>
                <w:color w:val="auto"/>
              </w:rPr>
              <w:t>2023</w:t>
            </w:r>
          </w:p>
        </w:tc>
        <w:tc>
          <w:tcPr>
            <w:tcW w:w="240" w:type="dxa"/>
            <w:vAlign w:val="bottom"/>
            <w:tcBorders>
              <w:bottom w:val="single" w:sz="8" w:color="D7282F"/>
            </w:tcBorders>
          </w:tcPr>
          <w:p>
            <w:pPr>
              <w:spacing w:after="0"/>
              <w:rPr>
                <w:sz w:val="13"/>
                <w:szCs w:val="13"/>
                <w:color w:val="auto"/>
              </w:rPr>
            </w:pPr>
          </w:p>
        </w:tc>
        <w:tc>
          <w:tcPr>
            <w:tcW w:w="40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2022</w:t>
            </w:r>
          </w:p>
        </w:tc>
        <w:tc>
          <w:tcPr>
            <w:tcW w:w="30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2021</w:t>
            </w:r>
          </w:p>
        </w:tc>
      </w:tr>
      <w:tr>
        <w:trPr>
          <w:trHeight w:val="122"/>
        </w:trPr>
        <w:tc>
          <w:tcPr>
            <w:tcW w:w="56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Service cost</w:t>
            </w:r>
          </w:p>
        </w:tc>
        <w:tc>
          <w:tcPr>
            <w:tcW w:w="16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29</w:t>
            </w:r>
          </w:p>
        </w:tc>
        <w:tc>
          <w:tcPr>
            <w:tcW w:w="2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86</w:t>
            </w:r>
          </w:p>
        </w:tc>
        <w:tc>
          <w:tcPr>
            <w:tcW w:w="28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105</w:t>
            </w:r>
          </w:p>
        </w:tc>
        <w:tc>
          <w:tcPr>
            <w:tcW w:w="20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gridSpan w:val="2"/>
          </w:tcPr>
          <w:p>
            <w:pPr>
              <w:jc w:val="right"/>
              <w:ind w:right="440"/>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11</w:t>
            </w:r>
          </w:p>
        </w:tc>
        <w:tc>
          <w:tcPr>
            <w:tcW w:w="4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19</w:t>
            </w:r>
          </w:p>
        </w:tc>
        <w:tc>
          <w:tcPr>
            <w:tcW w:w="3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26</w:t>
            </w:r>
          </w:p>
        </w:tc>
      </w:tr>
      <w:tr>
        <w:trPr>
          <w:trHeight w:val="124"/>
        </w:trPr>
        <w:tc>
          <w:tcPr>
            <w:tcW w:w="56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Interest cost</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645</w:t>
            </w:r>
          </w:p>
        </w:tc>
        <w:tc>
          <w:tcPr>
            <w:tcW w:w="20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380</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306</w:t>
            </w:r>
          </w:p>
        </w:tc>
        <w:tc>
          <w:tcPr>
            <w:tcW w:w="200" w:type="dxa"/>
            <w:vAlign w:val="bottom"/>
            <w:tcBorders>
              <w:bottom w:val="single" w:sz="8" w:color="888B8D"/>
            </w:tcBorders>
          </w:tcPr>
          <w:p>
            <w:pPr>
              <w:spacing w:after="0"/>
              <w:rPr>
                <w:sz w:val="10"/>
                <w:szCs w:val="10"/>
                <w:color w:val="auto"/>
              </w:rPr>
            </w:pPr>
          </w:p>
        </w:tc>
        <w:tc>
          <w:tcPr>
            <w:tcW w:w="2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200</w:t>
            </w:r>
          </w:p>
        </w:tc>
        <w:tc>
          <w:tcPr>
            <w:tcW w:w="40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103</w:t>
            </w:r>
          </w:p>
        </w:tc>
        <w:tc>
          <w:tcPr>
            <w:tcW w:w="30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77</w:t>
            </w:r>
          </w:p>
        </w:tc>
      </w:tr>
      <w:tr>
        <w:trPr>
          <w:trHeight w:val="124"/>
        </w:trPr>
        <w:tc>
          <w:tcPr>
            <w:tcW w:w="56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Expected return on plan assets</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(1,111)</w:t>
            </w:r>
          </w:p>
        </w:tc>
        <w:tc>
          <w:tcPr>
            <w:tcW w:w="20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(1,281)</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(1,220)</w:t>
            </w:r>
          </w:p>
        </w:tc>
        <w:tc>
          <w:tcPr>
            <w:tcW w:w="200" w:type="dxa"/>
            <w:vAlign w:val="bottom"/>
            <w:tcBorders>
              <w:bottom w:val="single" w:sz="8" w:color="888B8D"/>
            </w:tcBorders>
          </w:tcPr>
          <w:p>
            <w:pPr>
              <w:spacing w:after="0"/>
              <w:rPr>
                <w:sz w:val="10"/>
                <w:szCs w:val="10"/>
                <w:color w:val="auto"/>
              </w:rPr>
            </w:pPr>
          </w:p>
        </w:tc>
        <w:tc>
          <w:tcPr>
            <w:tcW w:w="2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w w:val="85"/>
              </w:rPr>
              <w:t>(274)</w:t>
            </w:r>
          </w:p>
        </w:tc>
        <w:tc>
          <w:tcPr>
            <w:tcW w:w="40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(278)</w:t>
            </w:r>
          </w:p>
        </w:tc>
        <w:tc>
          <w:tcPr>
            <w:tcW w:w="30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(348)</w:t>
            </w:r>
          </w:p>
        </w:tc>
      </w:tr>
      <w:tr>
        <w:trPr>
          <w:trHeight w:val="124"/>
        </w:trPr>
        <w:tc>
          <w:tcPr>
            <w:tcW w:w="56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Amortization of prior service (credit) cost</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(42)</w:t>
            </w:r>
          </w:p>
        </w:tc>
        <w:tc>
          <w:tcPr>
            <w:tcW w:w="20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(42)</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(42)</w:t>
            </w:r>
          </w:p>
        </w:tc>
        <w:tc>
          <w:tcPr>
            <w:tcW w:w="200" w:type="dxa"/>
            <w:vAlign w:val="bottom"/>
            <w:tcBorders>
              <w:bottom w:val="single" w:sz="8" w:color="888B8D"/>
            </w:tcBorders>
          </w:tcPr>
          <w:p>
            <w:pPr>
              <w:spacing w:after="0"/>
              <w:rPr>
                <w:sz w:val="10"/>
                <w:szCs w:val="10"/>
                <w:color w:val="auto"/>
              </w:rPr>
            </w:pPr>
          </w:p>
        </w:tc>
        <w:tc>
          <w:tcPr>
            <w:tcW w:w="2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56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Recognition of actuarial (gains) losses</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(14)</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31</w:t>
            </w:r>
          </w:p>
        </w:tc>
        <w:tc>
          <w:tcPr>
            <w:tcW w:w="200" w:type="dxa"/>
            <w:vAlign w:val="bottom"/>
            <w:tcBorders>
              <w:bottom w:val="single" w:sz="8" w:color="888B8D"/>
            </w:tcBorders>
          </w:tcPr>
          <w:p>
            <w:pPr>
              <w:spacing w:after="0"/>
              <w:rPr>
                <w:sz w:val="10"/>
                <w:szCs w:val="10"/>
                <w:color w:val="auto"/>
              </w:rPr>
            </w:pPr>
          </w:p>
        </w:tc>
        <w:tc>
          <w:tcPr>
            <w:tcW w:w="2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153</w:t>
            </w:r>
          </w:p>
        </w:tc>
        <w:tc>
          <w:tcPr>
            <w:tcW w:w="40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537</w:t>
            </w:r>
          </w:p>
        </w:tc>
        <w:tc>
          <w:tcPr>
            <w:tcW w:w="30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9</w:t>
            </w:r>
          </w:p>
        </w:tc>
      </w:tr>
      <w:tr>
        <w:trPr>
          <w:trHeight w:val="124"/>
        </w:trPr>
        <w:tc>
          <w:tcPr>
            <w:tcW w:w="56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Settlements and curtailments</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(2)</w:t>
            </w:r>
          </w:p>
        </w:tc>
        <w:tc>
          <w:tcPr>
            <w:tcW w:w="280" w:type="dxa"/>
            <w:vAlign w:val="bottom"/>
            <w:tcBorders>
              <w:bottom w:val="single" w:sz="8" w:color="D7282F"/>
            </w:tcBorders>
          </w:tcPr>
          <w:p>
            <w:pPr>
              <w:spacing w:after="0"/>
              <w:rPr>
                <w:sz w:val="10"/>
                <w:szCs w:val="10"/>
                <w:color w:val="auto"/>
              </w:rPr>
            </w:pPr>
          </w:p>
        </w:tc>
        <w:tc>
          <w:tcPr>
            <w:tcW w:w="800" w:type="dxa"/>
            <w:vAlign w:val="bottom"/>
            <w:tcBorders>
              <w:bottom w:val="single" w:sz="8" w:color="D7282F"/>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D7282F"/>
            </w:tcBorders>
          </w:tcPr>
          <w:p>
            <w:pPr>
              <w:spacing w:after="0"/>
              <w:rPr>
                <w:sz w:val="10"/>
                <w:szCs w:val="10"/>
                <w:color w:val="auto"/>
              </w:rPr>
            </w:pPr>
          </w:p>
        </w:tc>
        <w:tc>
          <w:tcPr>
            <w:tcW w:w="50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6"/>
        </w:trPr>
        <w:tc>
          <w:tcPr>
            <w:tcW w:w="566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Net periodic benefit (income) cost</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(479)</w:t>
            </w: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(873)</w:t>
            </w:r>
          </w:p>
        </w:tc>
        <w:tc>
          <w:tcPr>
            <w:tcW w:w="2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(820)</w:t>
            </w:r>
          </w:p>
        </w:tc>
        <w:tc>
          <w:tcPr>
            <w:tcW w:w="20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gridSpan w:val="2"/>
          </w:tcPr>
          <w:p>
            <w:pPr>
              <w:jc w:val="right"/>
              <w:ind w:right="440"/>
              <w:spacing w:after="0"/>
              <w:rPr>
                <w:sz w:val="20"/>
                <w:szCs w:val="20"/>
                <w:color w:val="auto"/>
              </w:rPr>
            </w:pPr>
            <w:r>
              <w:rPr>
                <w:rFonts w:ascii="Arial" w:cs="Arial" w:eastAsia="Arial" w:hAnsi="Arial"/>
                <w:sz w:val="10"/>
                <w:szCs w:val="10"/>
                <w:b w:val="1"/>
                <w:bCs w:val="1"/>
                <w:color w:val="auto"/>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90</w:t>
            </w:r>
          </w:p>
        </w:tc>
        <w:tc>
          <w:tcPr>
            <w:tcW w:w="4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381</w:t>
            </w:r>
          </w:p>
        </w:tc>
        <w:tc>
          <w:tcPr>
            <w:tcW w:w="3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(236)</w:t>
            </w:r>
          </w:p>
        </w:tc>
      </w:tr>
      <w:tr>
        <w:trPr>
          <w:trHeight w:val="313"/>
        </w:trPr>
        <w:tc>
          <w:tcPr>
            <w:tcW w:w="5660" w:type="dxa"/>
            <w:vAlign w:val="bottom"/>
          </w:tcPr>
          <w:p>
            <w:pPr>
              <w:spacing w:after="0"/>
              <w:rPr>
                <w:sz w:val="24"/>
                <w:szCs w:val="24"/>
                <w:color w:val="auto"/>
              </w:rPr>
            </w:pPr>
          </w:p>
        </w:tc>
        <w:tc>
          <w:tcPr>
            <w:tcW w:w="160" w:type="dxa"/>
            <w:vAlign w:val="bottom"/>
            <w:tcBorders>
              <w:bottom w:val="single" w:sz="8" w:color="D7282F"/>
            </w:tcBorders>
          </w:tcPr>
          <w:p>
            <w:pPr>
              <w:spacing w:after="0"/>
              <w:rPr>
                <w:sz w:val="24"/>
                <w:szCs w:val="24"/>
                <w:color w:val="auto"/>
              </w:rPr>
            </w:pPr>
          </w:p>
        </w:tc>
        <w:tc>
          <w:tcPr>
            <w:tcW w:w="700" w:type="dxa"/>
            <w:vAlign w:val="bottom"/>
            <w:tcBorders>
              <w:bottom w:val="single" w:sz="8" w:color="D7282F"/>
            </w:tcBorders>
          </w:tcPr>
          <w:p>
            <w:pPr>
              <w:spacing w:after="0"/>
              <w:rPr>
                <w:sz w:val="24"/>
                <w:szCs w:val="24"/>
                <w:color w:val="auto"/>
              </w:rPr>
            </w:pPr>
          </w:p>
        </w:tc>
        <w:tc>
          <w:tcPr>
            <w:tcW w:w="200" w:type="dxa"/>
            <w:vAlign w:val="bottom"/>
            <w:tcBorders>
              <w:bottom w:val="single" w:sz="8" w:color="D7282F"/>
            </w:tcBorders>
          </w:tcPr>
          <w:p>
            <w:pPr>
              <w:spacing w:after="0"/>
              <w:rPr>
                <w:sz w:val="24"/>
                <w:szCs w:val="24"/>
                <w:color w:val="auto"/>
              </w:rPr>
            </w:pPr>
          </w:p>
        </w:tc>
        <w:tc>
          <w:tcPr>
            <w:tcW w:w="760" w:type="dxa"/>
            <w:vAlign w:val="bottom"/>
            <w:tcBorders>
              <w:bottom w:val="single" w:sz="8" w:color="D7282F"/>
            </w:tcBorders>
          </w:tcPr>
          <w:p>
            <w:pPr>
              <w:jc w:val="center"/>
              <w:ind w:right="152"/>
              <w:spacing w:after="0"/>
              <w:rPr>
                <w:sz w:val="20"/>
                <w:szCs w:val="20"/>
                <w:color w:val="auto"/>
              </w:rPr>
            </w:pPr>
            <w:r>
              <w:rPr>
                <w:rFonts w:ascii="Arial" w:cs="Arial" w:eastAsia="Arial" w:hAnsi="Arial"/>
                <w:sz w:val="10"/>
                <w:szCs w:val="10"/>
                <w:b w:val="1"/>
                <w:bCs w:val="1"/>
                <w:color w:val="auto"/>
                <w:w w:val="98"/>
              </w:rPr>
              <w:t>U.S. Plans</w:t>
            </w:r>
          </w:p>
        </w:tc>
        <w:tc>
          <w:tcPr>
            <w:tcW w:w="280" w:type="dxa"/>
            <w:vAlign w:val="bottom"/>
            <w:tcBorders>
              <w:bottom w:val="single" w:sz="8" w:color="D7282F"/>
            </w:tcBorders>
          </w:tcPr>
          <w:p>
            <w:pPr>
              <w:spacing w:after="0"/>
              <w:rPr>
                <w:sz w:val="24"/>
                <w:szCs w:val="24"/>
                <w:color w:val="auto"/>
              </w:rPr>
            </w:pPr>
          </w:p>
        </w:tc>
        <w:tc>
          <w:tcPr>
            <w:tcW w:w="600" w:type="dxa"/>
            <w:vAlign w:val="bottom"/>
            <w:tcBorders>
              <w:bottom w:val="single" w:sz="8" w:color="D7282F"/>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bottom w:val="single" w:sz="8" w:color="D7282F"/>
            </w:tcBorders>
          </w:tcPr>
          <w:p>
            <w:pPr>
              <w:spacing w:after="0"/>
              <w:rPr>
                <w:sz w:val="24"/>
                <w:szCs w:val="24"/>
                <w:color w:val="auto"/>
              </w:rPr>
            </w:pPr>
          </w:p>
        </w:tc>
        <w:tc>
          <w:tcPr>
            <w:tcW w:w="500" w:type="dxa"/>
            <w:vAlign w:val="bottom"/>
            <w:tcBorders>
              <w:bottom w:val="single" w:sz="8" w:color="D7282F"/>
            </w:tcBorders>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1080" w:type="dxa"/>
            <w:vAlign w:val="bottom"/>
            <w:tcBorders>
              <w:bottom w:val="single" w:sz="8" w:color="D7282F"/>
            </w:tcBorders>
            <w:gridSpan w:val="2"/>
          </w:tcPr>
          <w:p>
            <w:pPr>
              <w:jc w:val="center"/>
              <w:ind w:left="92"/>
              <w:spacing w:after="0"/>
              <w:rPr>
                <w:sz w:val="20"/>
                <w:szCs w:val="20"/>
                <w:color w:val="auto"/>
              </w:rPr>
            </w:pPr>
            <w:r>
              <w:rPr>
                <w:rFonts w:ascii="Arial" w:cs="Arial" w:eastAsia="Arial" w:hAnsi="Arial"/>
                <w:sz w:val="10"/>
                <w:szCs w:val="10"/>
                <w:b w:val="1"/>
                <w:bCs w:val="1"/>
                <w:color w:val="auto"/>
                <w:w w:val="97"/>
              </w:rPr>
              <w:t>Non-U.S. Plans</w:t>
            </w:r>
          </w:p>
        </w:tc>
        <w:tc>
          <w:tcPr>
            <w:tcW w:w="300" w:type="dxa"/>
            <w:vAlign w:val="bottom"/>
            <w:tcBorders>
              <w:bottom w:val="single" w:sz="8" w:color="D7282F"/>
            </w:tcBorders>
          </w:tcPr>
          <w:p>
            <w:pPr>
              <w:spacing w:after="0"/>
              <w:rPr>
                <w:sz w:val="24"/>
                <w:szCs w:val="24"/>
                <w:color w:val="auto"/>
              </w:rPr>
            </w:pPr>
          </w:p>
        </w:tc>
        <w:tc>
          <w:tcPr>
            <w:tcW w:w="600" w:type="dxa"/>
            <w:vAlign w:val="bottom"/>
            <w:tcBorders>
              <w:bottom w:val="single" w:sz="8" w:color="D7282F"/>
            </w:tcBorders>
          </w:tcPr>
          <w:p>
            <w:pPr>
              <w:spacing w:after="0"/>
              <w:rPr>
                <w:sz w:val="24"/>
                <w:szCs w:val="24"/>
                <w:color w:val="auto"/>
              </w:rPr>
            </w:pPr>
          </w:p>
        </w:tc>
      </w:tr>
      <w:tr>
        <w:trPr>
          <w:trHeight w:val="151"/>
        </w:trPr>
        <w:tc>
          <w:tcPr>
            <w:tcW w:w="5660" w:type="dxa"/>
            <w:vAlign w:val="bottom"/>
            <w:tcBorders>
              <w:bottom w:val="single" w:sz="8" w:color="D7282F"/>
            </w:tcBorders>
          </w:tcPr>
          <w:p>
            <w:pPr>
              <w:spacing w:after="0"/>
              <w:rPr>
                <w:sz w:val="13"/>
                <w:szCs w:val="13"/>
                <w:color w:val="auto"/>
              </w:rPr>
            </w:pPr>
          </w:p>
        </w:tc>
        <w:tc>
          <w:tcPr>
            <w:tcW w:w="160" w:type="dxa"/>
            <w:vAlign w:val="bottom"/>
            <w:tcBorders>
              <w:bottom w:val="single" w:sz="8" w:color="D7282F"/>
            </w:tcBorders>
          </w:tcPr>
          <w:p>
            <w:pPr>
              <w:spacing w:after="0"/>
              <w:rPr>
                <w:sz w:val="13"/>
                <w:szCs w:val="13"/>
                <w:color w:val="auto"/>
              </w:rPr>
            </w:pPr>
          </w:p>
        </w:tc>
        <w:tc>
          <w:tcPr>
            <w:tcW w:w="70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2023</w:t>
            </w:r>
          </w:p>
        </w:tc>
        <w:tc>
          <w:tcPr>
            <w:tcW w:w="200" w:type="dxa"/>
            <w:vAlign w:val="bottom"/>
            <w:tcBorders>
              <w:bottom w:val="single" w:sz="8" w:color="D7282F"/>
            </w:tcBorders>
          </w:tcPr>
          <w:p>
            <w:pPr>
              <w:spacing w:after="0"/>
              <w:rPr>
                <w:sz w:val="13"/>
                <w:szCs w:val="13"/>
                <w:color w:val="auto"/>
              </w:rPr>
            </w:pPr>
          </w:p>
        </w:tc>
        <w:tc>
          <w:tcPr>
            <w:tcW w:w="760" w:type="dxa"/>
            <w:vAlign w:val="bottom"/>
            <w:tcBorders>
              <w:bottom w:val="single" w:sz="8" w:color="D7282F"/>
            </w:tcBorders>
          </w:tcPr>
          <w:p>
            <w:pPr>
              <w:jc w:val="center"/>
              <w:ind w:right="152"/>
              <w:spacing w:after="0"/>
              <w:rPr>
                <w:sz w:val="20"/>
                <w:szCs w:val="20"/>
                <w:color w:val="auto"/>
              </w:rPr>
            </w:pPr>
            <w:r>
              <w:rPr>
                <w:rFonts w:ascii="Arial" w:cs="Arial" w:eastAsia="Arial" w:hAnsi="Arial"/>
                <w:sz w:val="10"/>
                <w:szCs w:val="10"/>
                <w:b w:val="1"/>
                <w:bCs w:val="1"/>
                <w:color w:val="auto"/>
                <w:w w:val="89"/>
              </w:rPr>
              <w:t>2022</w:t>
            </w:r>
          </w:p>
        </w:tc>
        <w:tc>
          <w:tcPr>
            <w:tcW w:w="28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2021</w:t>
            </w:r>
          </w:p>
        </w:tc>
        <w:tc>
          <w:tcPr>
            <w:tcW w:w="200" w:type="dxa"/>
            <w:vAlign w:val="bottom"/>
            <w:tcBorders>
              <w:bottom w:val="single" w:sz="8" w:color="D7282F"/>
            </w:tcBorders>
          </w:tcPr>
          <w:p>
            <w:pPr>
              <w:spacing w:after="0"/>
              <w:rPr>
                <w:sz w:val="13"/>
                <w:szCs w:val="13"/>
                <w:color w:val="auto"/>
              </w:rPr>
            </w:pPr>
          </w:p>
        </w:tc>
        <w:tc>
          <w:tcPr>
            <w:tcW w:w="520" w:type="dxa"/>
            <w:vAlign w:val="bottom"/>
            <w:tcBorders>
              <w:bottom w:val="single" w:sz="8" w:color="D7282F"/>
            </w:tcBorders>
            <w:gridSpan w:val="2"/>
          </w:tcPr>
          <w:p>
            <w:pPr>
              <w:jc w:val="right"/>
              <w:ind w:right="20"/>
              <w:spacing w:after="0"/>
              <w:rPr>
                <w:sz w:val="20"/>
                <w:szCs w:val="20"/>
                <w:color w:val="auto"/>
              </w:rPr>
            </w:pPr>
            <w:r>
              <w:rPr>
                <w:rFonts w:ascii="Arial" w:cs="Arial" w:eastAsia="Arial" w:hAnsi="Arial"/>
                <w:sz w:val="10"/>
                <w:szCs w:val="10"/>
                <w:b w:val="1"/>
                <w:bCs w:val="1"/>
                <w:color w:val="auto"/>
              </w:rPr>
              <w:t>2023</w:t>
            </w:r>
          </w:p>
        </w:tc>
        <w:tc>
          <w:tcPr>
            <w:tcW w:w="240" w:type="dxa"/>
            <w:vAlign w:val="bottom"/>
            <w:tcBorders>
              <w:bottom w:val="single" w:sz="8" w:color="D7282F"/>
            </w:tcBorders>
          </w:tcPr>
          <w:p>
            <w:pPr>
              <w:spacing w:after="0"/>
              <w:rPr>
                <w:sz w:val="13"/>
                <w:szCs w:val="13"/>
                <w:color w:val="auto"/>
              </w:rPr>
            </w:pPr>
          </w:p>
        </w:tc>
        <w:tc>
          <w:tcPr>
            <w:tcW w:w="40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2022</w:t>
            </w:r>
          </w:p>
        </w:tc>
        <w:tc>
          <w:tcPr>
            <w:tcW w:w="30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2021</w:t>
            </w:r>
          </w:p>
        </w:tc>
      </w:tr>
      <w:tr>
        <w:trPr>
          <w:trHeight w:val="122"/>
        </w:trPr>
        <w:tc>
          <w:tcPr>
            <w:tcW w:w="56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Actuarial (gains) losses</w:t>
            </w:r>
          </w:p>
        </w:tc>
        <w:tc>
          <w:tcPr>
            <w:tcW w:w="16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378</w:t>
            </w:r>
          </w:p>
        </w:tc>
        <w:tc>
          <w:tcPr>
            <w:tcW w:w="2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307</w:t>
            </w:r>
          </w:p>
        </w:tc>
        <w:tc>
          <w:tcPr>
            <w:tcW w:w="28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(14)</w:t>
            </w:r>
          </w:p>
        </w:tc>
        <w:tc>
          <w:tcPr>
            <w:tcW w:w="20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gridSpan w:val="2"/>
          </w:tcPr>
          <w:p>
            <w:pPr>
              <w:jc w:val="right"/>
              <w:ind w:right="440"/>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198</w:t>
            </w:r>
          </w:p>
        </w:tc>
        <w:tc>
          <w:tcPr>
            <w:tcW w:w="4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294</w:t>
            </w:r>
          </w:p>
        </w:tc>
        <w:tc>
          <w:tcPr>
            <w:tcW w:w="3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(221)</w:t>
            </w:r>
          </w:p>
        </w:tc>
      </w:tr>
      <w:tr>
        <w:trPr>
          <w:trHeight w:val="124"/>
        </w:trPr>
        <w:tc>
          <w:tcPr>
            <w:tcW w:w="56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Prior service (credit) cost</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888B8D"/>
            </w:tcBorders>
          </w:tcPr>
          <w:p>
            <w:pPr>
              <w:spacing w:after="0"/>
              <w:rPr>
                <w:sz w:val="10"/>
                <w:szCs w:val="10"/>
                <w:color w:val="auto"/>
              </w:rPr>
            </w:pPr>
          </w:p>
        </w:tc>
        <w:tc>
          <w:tcPr>
            <w:tcW w:w="800" w:type="dxa"/>
            <w:vAlign w:val="bottom"/>
            <w:tcBorders>
              <w:bottom w:val="single" w:sz="8" w:color="888B8D"/>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w:t>
            </w:r>
          </w:p>
        </w:tc>
      </w:tr>
      <w:tr>
        <w:trPr>
          <w:trHeight w:val="124"/>
        </w:trPr>
        <w:tc>
          <w:tcPr>
            <w:tcW w:w="56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Prior service credit recognized during year</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42</w:t>
            </w:r>
          </w:p>
        </w:tc>
        <w:tc>
          <w:tcPr>
            <w:tcW w:w="20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43</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43</w:t>
            </w:r>
          </w:p>
        </w:tc>
        <w:tc>
          <w:tcPr>
            <w:tcW w:w="200" w:type="dxa"/>
            <w:vAlign w:val="bottom"/>
            <w:tcBorders>
              <w:bottom w:val="single" w:sz="8" w:color="888B8D"/>
            </w:tcBorders>
          </w:tcPr>
          <w:p>
            <w:pPr>
              <w:spacing w:after="0"/>
              <w:rPr>
                <w:sz w:val="10"/>
                <w:szCs w:val="10"/>
                <w:color w:val="auto"/>
              </w:rPr>
            </w:pPr>
          </w:p>
        </w:tc>
        <w:tc>
          <w:tcPr>
            <w:tcW w:w="2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w:t>
            </w:r>
          </w:p>
        </w:tc>
        <w:tc>
          <w:tcPr>
            <w:tcW w:w="30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w:t>
            </w:r>
          </w:p>
        </w:tc>
      </w:tr>
      <w:tr>
        <w:trPr>
          <w:trHeight w:val="124"/>
        </w:trPr>
        <w:tc>
          <w:tcPr>
            <w:tcW w:w="56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Actuarial (gains) losses recognized during year</w:t>
            </w: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15</w:t>
            </w:r>
          </w:p>
        </w:tc>
        <w:tc>
          <w:tcPr>
            <w:tcW w:w="280" w:type="dxa"/>
            <w:vAlign w:val="bottom"/>
            <w:tcBorders>
              <w:bottom w:val="single" w:sz="8" w:color="888B8D"/>
            </w:tcBorders>
          </w:tcPr>
          <w:p>
            <w:pPr>
              <w:spacing w:after="0"/>
              <w:rPr>
                <w:sz w:val="10"/>
                <w:szCs w:val="10"/>
                <w:color w:val="auto"/>
              </w:rPr>
            </w:pPr>
          </w:p>
        </w:tc>
        <w:tc>
          <w:tcPr>
            <w:tcW w:w="800" w:type="dxa"/>
            <w:vAlign w:val="bottom"/>
            <w:tcBorders>
              <w:bottom w:val="single" w:sz="8" w:color="888B8D"/>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w w:val="85"/>
              </w:rPr>
              <w:t>(153)</w:t>
            </w:r>
          </w:p>
        </w:tc>
        <w:tc>
          <w:tcPr>
            <w:tcW w:w="40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(537)</w:t>
            </w:r>
          </w:p>
        </w:tc>
        <w:tc>
          <w:tcPr>
            <w:tcW w:w="30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(9)</w:t>
            </w:r>
          </w:p>
        </w:tc>
      </w:tr>
      <w:tr>
        <w:trPr>
          <w:trHeight w:val="124"/>
        </w:trPr>
        <w:tc>
          <w:tcPr>
            <w:tcW w:w="56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Foreign currency translation</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D7282F"/>
            </w:tcBorders>
          </w:tcPr>
          <w:p>
            <w:pPr>
              <w:spacing w:after="0"/>
              <w:rPr>
                <w:sz w:val="10"/>
                <w:szCs w:val="10"/>
                <w:color w:val="auto"/>
              </w:rPr>
            </w:pPr>
          </w:p>
        </w:tc>
        <w:tc>
          <w:tcPr>
            <w:tcW w:w="800" w:type="dxa"/>
            <w:vAlign w:val="bottom"/>
            <w:tcBorders>
              <w:bottom w:val="single" w:sz="8" w:color="D7282F"/>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D7282F"/>
            </w:tcBorders>
          </w:tcPr>
          <w:p>
            <w:pPr>
              <w:spacing w:after="0"/>
              <w:rPr>
                <w:sz w:val="10"/>
                <w:szCs w:val="10"/>
                <w:color w:val="auto"/>
              </w:rPr>
            </w:pPr>
          </w:p>
        </w:tc>
        <w:tc>
          <w:tcPr>
            <w:tcW w:w="50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17</w:t>
            </w:r>
          </w:p>
        </w:tc>
        <w:tc>
          <w:tcPr>
            <w:tcW w:w="40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204</w:t>
            </w:r>
          </w:p>
        </w:tc>
        <w:tc>
          <w:tcPr>
            <w:tcW w:w="30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w:t>
            </w:r>
          </w:p>
        </w:tc>
      </w:tr>
      <w:tr>
        <w:trPr>
          <w:trHeight w:val="126"/>
        </w:trPr>
        <w:tc>
          <w:tcPr>
            <w:tcW w:w="566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recognized in Other comprehensive (income) loss</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420</w:t>
            </w: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365</w:t>
            </w:r>
          </w:p>
        </w:tc>
        <w:tc>
          <w:tcPr>
            <w:tcW w:w="2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29</w:t>
            </w:r>
          </w:p>
        </w:tc>
        <w:tc>
          <w:tcPr>
            <w:tcW w:w="20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gridSpan w:val="2"/>
          </w:tcPr>
          <w:p>
            <w:pPr>
              <w:jc w:val="right"/>
              <w:ind w:right="440"/>
              <w:spacing w:after="0"/>
              <w:rPr>
                <w:sz w:val="20"/>
                <w:szCs w:val="20"/>
                <w:color w:val="auto"/>
              </w:rPr>
            </w:pPr>
            <w:r>
              <w:rPr>
                <w:rFonts w:ascii="Arial" w:cs="Arial" w:eastAsia="Arial" w:hAnsi="Arial"/>
                <w:sz w:val="10"/>
                <w:szCs w:val="10"/>
                <w:b w:val="1"/>
                <w:bCs w:val="1"/>
                <w:color w:val="auto"/>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62</w:t>
            </w:r>
          </w:p>
        </w:tc>
        <w:tc>
          <w:tcPr>
            <w:tcW w:w="4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(40)</w:t>
            </w:r>
          </w:p>
        </w:tc>
        <w:tc>
          <w:tcPr>
            <w:tcW w:w="3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(235)</w:t>
            </w:r>
          </w:p>
        </w:tc>
      </w:tr>
      <w:tr>
        <w:trPr>
          <w:trHeight w:val="124"/>
        </w:trPr>
        <w:tc>
          <w:tcPr>
            <w:tcW w:w="566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recognized in net periodic benefit (income) cost and Other comprehensive (income) loss</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(59)</w:t>
            </w: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(508)</w:t>
            </w:r>
          </w:p>
        </w:tc>
        <w:tc>
          <w:tcPr>
            <w:tcW w:w="2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(791)</w:t>
            </w:r>
          </w:p>
        </w:tc>
        <w:tc>
          <w:tcPr>
            <w:tcW w:w="20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gridSpan w:val="2"/>
          </w:tcPr>
          <w:p>
            <w:pPr>
              <w:jc w:val="right"/>
              <w:ind w:right="440"/>
              <w:spacing w:after="0"/>
              <w:rPr>
                <w:sz w:val="20"/>
                <w:szCs w:val="20"/>
                <w:color w:val="auto"/>
              </w:rPr>
            </w:pPr>
            <w:r>
              <w:rPr>
                <w:rFonts w:ascii="Arial" w:cs="Arial" w:eastAsia="Arial" w:hAnsi="Arial"/>
                <w:sz w:val="10"/>
                <w:szCs w:val="10"/>
                <w:b w:val="1"/>
                <w:bCs w:val="1"/>
                <w:color w:val="auto"/>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152</w:t>
            </w:r>
          </w:p>
        </w:tc>
        <w:tc>
          <w:tcPr>
            <w:tcW w:w="4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341</w:t>
            </w:r>
          </w:p>
        </w:tc>
        <w:tc>
          <w:tcPr>
            <w:tcW w:w="3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(471)</w:t>
            </w:r>
          </w:p>
        </w:tc>
      </w:tr>
      <w:tr>
        <w:trPr>
          <w:trHeight w:val="313"/>
        </w:trPr>
        <w:tc>
          <w:tcPr>
            <w:tcW w:w="5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bottom w:val="single" w:sz="8" w:color="D7282F"/>
            </w:tcBorders>
          </w:tcPr>
          <w:p>
            <w:pPr>
              <w:spacing w:after="0"/>
              <w:rPr>
                <w:sz w:val="24"/>
                <w:szCs w:val="24"/>
                <w:color w:val="auto"/>
              </w:rPr>
            </w:pPr>
          </w:p>
        </w:tc>
        <w:tc>
          <w:tcPr>
            <w:tcW w:w="1620" w:type="dxa"/>
            <w:vAlign w:val="bottom"/>
            <w:tcBorders>
              <w:bottom w:val="single" w:sz="8" w:color="D7282F"/>
            </w:tcBorders>
            <w:gridSpan w:val="4"/>
          </w:tcPr>
          <w:p>
            <w:pPr>
              <w:jc w:val="center"/>
              <w:ind w:left="52"/>
              <w:spacing w:after="0"/>
              <w:rPr>
                <w:sz w:val="20"/>
                <w:szCs w:val="20"/>
                <w:color w:val="auto"/>
              </w:rPr>
            </w:pPr>
            <w:r>
              <w:rPr>
                <w:rFonts w:ascii="Arial" w:cs="Arial" w:eastAsia="Arial" w:hAnsi="Arial"/>
                <w:sz w:val="10"/>
                <w:szCs w:val="10"/>
                <w:b w:val="1"/>
                <w:bCs w:val="1"/>
                <w:color w:val="auto"/>
                <w:w w:val="95"/>
              </w:rPr>
              <w:t>Other Postretirement Benefits</w:t>
            </w:r>
          </w:p>
        </w:tc>
        <w:tc>
          <w:tcPr>
            <w:tcW w:w="600" w:type="dxa"/>
            <w:vAlign w:val="bottom"/>
            <w:tcBorders>
              <w:bottom w:val="single" w:sz="8" w:color="D7282F"/>
            </w:tcBorders>
          </w:tcPr>
          <w:p>
            <w:pPr>
              <w:spacing w:after="0"/>
              <w:rPr>
                <w:sz w:val="24"/>
                <w:szCs w:val="24"/>
                <w:color w:val="auto"/>
              </w:rPr>
            </w:pPr>
          </w:p>
        </w:tc>
      </w:tr>
      <w:tr>
        <w:trPr>
          <w:trHeight w:val="151"/>
        </w:trPr>
        <w:tc>
          <w:tcPr>
            <w:tcW w:w="5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Borders>
              <w:bottom w:val="single" w:sz="8" w:color="D7282F"/>
            </w:tcBorders>
          </w:tcPr>
          <w:p>
            <w:pPr>
              <w:spacing w:after="0"/>
              <w:rPr>
                <w:sz w:val="13"/>
                <w:szCs w:val="13"/>
                <w:color w:val="auto"/>
              </w:rPr>
            </w:pPr>
          </w:p>
        </w:tc>
        <w:tc>
          <w:tcPr>
            <w:tcW w:w="240" w:type="dxa"/>
            <w:vAlign w:val="bottom"/>
            <w:tcBorders>
              <w:bottom w:val="single" w:sz="8" w:color="D7282F"/>
            </w:tcBorders>
          </w:tcPr>
          <w:p>
            <w:pPr>
              <w:spacing w:after="0"/>
              <w:rPr>
                <w:sz w:val="13"/>
                <w:szCs w:val="13"/>
                <w:color w:val="auto"/>
              </w:rPr>
            </w:pPr>
          </w:p>
        </w:tc>
        <w:tc>
          <w:tcPr>
            <w:tcW w:w="1380" w:type="dxa"/>
            <w:vAlign w:val="bottom"/>
            <w:tcBorders>
              <w:bottom w:val="single" w:sz="8" w:color="D7282F"/>
            </w:tcBorders>
            <w:gridSpan w:val="3"/>
          </w:tcPr>
          <w:p>
            <w:pPr>
              <w:jc w:val="center"/>
              <w:ind w:right="92"/>
              <w:spacing w:after="0"/>
              <w:rPr>
                <w:sz w:val="20"/>
                <w:szCs w:val="20"/>
                <w:color w:val="auto"/>
              </w:rPr>
            </w:pPr>
            <w:r>
              <w:rPr>
                <w:rFonts w:ascii="Arial" w:cs="Arial" w:eastAsia="Arial" w:hAnsi="Arial"/>
                <w:sz w:val="10"/>
                <w:szCs w:val="10"/>
                <w:b w:val="1"/>
                <w:bCs w:val="1"/>
                <w:color w:val="auto"/>
                <w:w w:val="96"/>
              </w:rPr>
              <w:t>Years Ended December 31,</w:t>
            </w:r>
          </w:p>
        </w:tc>
        <w:tc>
          <w:tcPr>
            <w:tcW w:w="600" w:type="dxa"/>
            <w:vAlign w:val="bottom"/>
            <w:tcBorders>
              <w:bottom w:val="single" w:sz="8" w:color="D7282F"/>
            </w:tcBorders>
          </w:tcPr>
          <w:p>
            <w:pPr>
              <w:spacing w:after="0"/>
              <w:rPr>
                <w:sz w:val="13"/>
                <w:szCs w:val="13"/>
                <w:color w:val="auto"/>
              </w:rPr>
            </w:pPr>
          </w:p>
        </w:tc>
      </w:tr>
      <w:tr>
        <w:trPr>
          <w:trHeight w:val="151"/>
        </w:trPr>
        <w:tc>
          <w:tcPr>
            <w:tcW w:w="5660" w:type="dxa"/>
            <w:vAlign w:val="bottom"/>
            <w:tcBorders>
              <w:bottom w:val="single" w:sz="8" w:color="D7282F"/>
            </w:tcBorders>
          </w:tcPr>
          <w:p>
            <w:pPr>
              <w:spacing w:after="0"/>
              <w:rPr>
                <w:sz w:val="13"/>
                <w:szCs w:val="13"/>
                <w:color w:val="auto"/>
              </w:rPr>
            </w:pPr>
          </w:p>
        </w:tc>
        <w:tc>
          <w:tcPr>
            <w:tcW w:w="160" w:type="dxa"/>
            <w:vAlign w:val="bottom"/>
            <w:tcBorders>
              <w:bottom w:val="single" w:sz="8" w:color="D7282F"/>
            </w:tcBorders>
          </w:tcPr>
          <w:p>
            <w:pPr>
              <w:spacing w:after="0"/>
              <w:rPr>
                <w:sz w:val="13"/>
                <w:szCs w:val="13"/>
                <w:color w:val="auto"/>
              </w:rPr>
            </w:pPr>
          </w:p>
        </w:tc>
        <w:tc>
          <w:tcPr>
            <w:tcW w:w="700" w:type="dxa"/>
            <w:vAlign w:val="bottom"/>
            <w:tcBorders>
              <w:bottom w:val="single" w:sz="8" w:color="D7282F"/>
            </w:tcBorders>
          </w:tcPr>
          <w:p>
            <w:pPr>
              <w:spacing w:after="0"/>
              <w:rPr>
                <w:sz w:val="13"/>
                <w:szCs w:val="13"/>
                <w:color w:val="auto"/>
              </w:rPr>
            </w:pPr>
          </w:p>
        </w:tc>
        <w:tc>
          <w:tcPr>
            <w:tcW w:w="200" w:type="dxa"/>
            <w:vAlign w:val="bottom"/>
            <w:tcBorders>
              <w:bottom w:val="single" w:sz="8" w:color="D7282F"/>
            </w:tcBorders>
          </w:tcPr>
          <w:p>
            <w:pPr>
              <w:spacing w:after="0"/>
              <w:rPr>
                <w:sz w:val="13"/>
                <w:szCs w:val="13"/>
                <w:color w:val="auto"/>
              </w:rPr>
            </w:pPr>
          </w:p>
        </w:tc>
        <w:tc>
          <w:tcPr>
            <w:tcW w:w="760" w:type="dxa"/>
            <w:vAlign w:val="bottom"/>
            <w:tcBorders>
              <w:bottom w:val="single" w:sz="8" w:color="D7282F"/>
            </w:tcBorders>
          </w:tcPr>
          <w:p>
            <w:pPr>
              <w:spacing w:after="0"/>
              <w:rPr>
                <w:sz w:val="13"/>
                <w:szCs w:val="13"/>
                <w:color w:val="auto"/>
              </w:rPr>
            </w:pPr>
          </w:p>
        </w:tc>
        <w:tc>
          <w:tcPr>
            <w:tcW w:w="28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spacing w:after="0"/>
              <w:rPr>
                <w:sz w:val="13"/>
                <w:szCs w:val="13"/>
                <w:color w:val="auto"/>
              </w:rPr>
            </w:pPr>
          </w:p>
        </w:tc>
        <w:tc>
          <w:tcPr>
            <w:tcW w:w="200" w:type="dxa"/>
            <w:vAlign w:val="bottom"/>
            <w:tcBorders>
              <w:bottom w:val="single" w:sz="8" w:color="D7282F"/>
            </w:tcBorders>
          </w:tcPr>
          <w:p>
            <w:pPr>
              <w:spacing w:after="0"/>
              <w:rPr>
                <w:sz w:val="13"/>
                <w:szCs w:val="13"/>
                <w:color w:val="auto"/>
              </w:rPr>
            </w:pPr>
          </w:p>
        </w:tc>
        <w:tc>
          <w:tcPr>
            <w:tcW w:w="520" w:type="dxa"/>
            <w:vAlign w:val="bottom"/>
            <w:tcBorders>
              <w:bottom w:val="single" w:sz="8" w:color="D7282F"/>
            </w:tcBorders>
            <w:gridSpan w:val="2"/>
          </w:tcPr>
          <w:p>
            <w:pPr>
              <w:jc w:val="right"/>
              <w:ind w:right="20"/>
              <w:spacing w:after="0"/>
              <w:rPr>
                <w:sz w:val="20"/>
                <w:szCs w:val="20"/>
                <w:color w:val="auto"/>
              </w:rPr>
            </w:pPr>
            <w:r>
              <w:rPr>
                <w:rFonts w:ascii="Arial" w:cs="Arial" w:eastAsia="Arial" w:hAnsi="Arial"/>
                <w:sz w:val="10"/>
                <w:szCs w:val="10"/>
                <w:b w:val="1"/>
                <w:bCs w:val="1"/>
                <w:color w:val="auto"/>
              </w:rPr>
              <w:t>2023</w:t>
            </w:r>
          </w:p>
        </w:tc>
        <w:tc>
          <w:tcPr>
            <w:tcW w:w="240" w:type="dxa"/>
            <w:vAlign w:val="bottom"/>
            <w:tcBorders>
              <w:bottom w:val="single" w:sz="8" w:color="D7282F"/>
            </w:tcBorders>
          </w:tcPr>
          <w:p>
            <w:pPr>
              <w:spacing w:after="0"/>
              <w:rPr>
                <w:sz w:val="13"/>
                <w:szCs w:val="13"/>
                <w:color w:val="auto"/>
              </w:rPr>
            </w:pPr>
          </w:p>
        </w:tc>
        <w:tc>
          <w:tcPr>
            <w:tcW w:w="40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jc w:val="center"/>
              <w:ind w:right="212"/>
              <w:spacing w:after="0"/>
              <w:rPr>
                <w:sz w:val="20"/>
                <w:szCs w:val="20"/>
                <w:color w:val="auto"/>
              </w:rPr>
            </w:pPr>
            <w:r>
              <w:rPr>
                <w:rFonts w:ascii="Arial" w:cs="Arial" w:eastAsia="Arial" w:hAnsi="Arial"/>
                <w:sz w:val="10"/>
                <w:szCs w:val="10"/>
                <w:b w:val="1"/>
                <w:bCs w:val="1"/>
                <w:color w:val="auto"/>
                <w:w w:val="98"/>
              </w:rPr>
              <w:t>2022</w:t>
            </w:r>
          </w:p>
        </w:tc>
        <w:tc>
          <w:tcPr>
            <w:tcW w:w="30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2021</w:t>
            </w:r>
          </w:p>
        </w:tc>
      </w:tr>
      <w:tr>
        <w:trPr>
          <w:trHeight w:val="122"/>
        </w:trPr>
        <w:tc>
          <w:tcPr>
            <w:tcW w:w="56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Service cost</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200" w:type="dxa"/>
            <w:vAlign w:val="bottom"/>
            <w:tcBorders>
              <w:bottom w:val="single" w:sz="8" w:color="61656A"/>
            </w:tcBorders>
          </w:tcPr>
          <w:p>
            <w:pPr>
              <w:spacing w:after="0"/>
              <w:rPr>
                <w:sz w:val="10"/>
                <w:szCs w:val="10"/>
                <w:color w:val="auto"/>
              </w:rPr>
            </w:pPr>
          </w:p>
        </w:tc>
        <w:tc>
          <w:tcPr>
            <w:tcW w:w="76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spacing w:after="0"/>
              <w:rPr>
                <w:sz w:val="10"/>
                <w:szCs w:val="10"/>
                <w:color w:val="auto"/>
              </w:rPr>
            </w:pPr>
          </w:p>
        </w:tc>
        <w:tc>
          <w:tcPr>
            <w:tcW w:w="20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gridSpan w:val="2"/>
          </w:tcPr>
          <w:p>
            <w:pPr>
              <w:jc w:val="right"/>
              <w:ind w:right="440"/>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56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Interest cost</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200" w:type="dxa"/>
            <w:vAlign w:val="bottom"/>
            <w:tcBorders>
              <w:bottom w:val="single" w:sz="8" w:color="61656A"/>
            </w:tcBorders>
          </w:tcPr>
          <w:p>
            <w:pPr>
              <w:spacing w:after="0"/>
              <w:rPr>
                <w:sz w:val="10"/>
                <w:szCs w:val="10"/>
                <w:color w:val="auto"/>
              </w:rPr>
            </w:pPr>
          </w:p>
        </w:tc>
        <w:tc>
          <w:tcPr>
            <w:tcW w:w="76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spacing w:after="0"/>
              <w:rPr>
                <w:sz w:val="10"/>
                <w:szCs w:val="10"/>
                <w:color w:val="auto"/>
              </w:rPr>
            </w:pPr>
          </w:p>
        </w:tc>
        <w:tc>
          <w:tcPr>
            <w:tcW w:w="200" w:type="dxa"/>
            <w:vAlign w:val="bottom"/>
            <w:tcBorders>
              <w:bottom w:val="single" w:sz="8" w:color="61656A"/>
            </w:tcBorders>
          </w:tcPr>
          <w:p>
            <w:pPr>
              <w:spacing w:after="0"/>
              <w:rPr>
                <w:sz w:val="10"/>
                <w:szCs w:val="10"/>
                <w:color w:val="auto"/>
              </w:rPr>
            </w:pPr>
          </w:p>
        </w:tc>
        <w:tc>
          <w:tcPr>
            <w:tcW w:w="20" w:type="dxa"/>
            <w:vAlign w:val="bottom"/>
            <w:tcBorders>
              <w:bottom w:val="single" w:sz="8" w:color="61656A"/>
            </w:tcBorders>
          </w:tcPr>
          <w:p>
            <w:pPr>
              <w:spacing w:after="0"/>
              <w:rPr>
                <w:sz w:val="10"/>
                <w:szCs w:val="10"/>
                <w:color w:val="auto"/>
              </w:rPr>
            </w:pPr>
          </w:p>
        </w:tc>
        <w:tc>
          <w:tcPr>
            <w:tcW w:w="50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6</w:t>
            </w:r>
          </w:p>
        </w:tc>
        <w:tc>
          <w:tcPr>
            <w:tcW w:w="40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5</w:t>
            </w:r>
          </w:p>
        </w:tc>
        <w:tc>
          <w:tcPr>
            <w:tcW w:w="30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5</w:t>
            </w:r>
          </w:p>
        </w:tc>
      </w:tr>
      <w:tr>
        <w:trPr>
          <w:trHeight w:val="124"/>
        </w:trPr>
        <w:tc>
          <w:tcPr>
            <w:tcW w:w="56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Amortization of prior service (credit) cost</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200" w:type="dxa"/>
            <w:vAlign w:val="bottom"/>
            <w:tcBorders>
              <w:bottom w:val="single" w:sz="8" w:color="61656A"/>
            </w:tcBorders>
          </w:tcPr>
          <w:p>
            <w:pPr>
              <w:spacing w:after="0"/>
              <w:rPr>
                <w:sz w:val="10"/>
                <w:szCs w:val="10"/>
                <w:color w:val="auto"/>
              </w:rPr>
            </w:pPr>
          </w:p>
        </w:tc>
        <w:tc>
          <w:tcPr>
            <w:tcW w:w="76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spacing w:after="0"/>
              <w:rPr>
                <w:sz w:val="10"/>
                <w:szCs w:val="10"/>
                <w:color w:val="auto"/>
              </w:rPr>
            </w:pPr>
          </w:p>
        </w:tc>
        <w:tc>
          <w:tcPr>
            <w:tcW w:w="200" w:type="dxa"/>
            <w:vAlign w:val="bottom"/>
            <w:tcBorders>
              <w:bottom w:val="single" w:sz="8" w:color="61656A"/>
            </w:tcBorders>
          </w:tcPr>
          <w:p>
            <w:pPr>
              <w:spacing w:after="0"/>
              <w:rPr>
                <w:sz w:val="10"/>
                <w:szCs w:val="10"/>
                <w:color w:val="auto"/>
              </w:rPr>
            </w:pPr>
          </w:p>
        </w:tc>
        <w:tc>
          <w:tcPr>
            <w:tcW w:w="20" w:type="dxa"/>
            <w:vAlign w:val="bottom"/>
            <w:tcBorders>
              <w:bottom w:val="single" w:sz="8" w:color="61656A"/>
            </w:tcBorders>
          </w:tcPr>
          <w:p>
            <w:pPr>
              <w:spacing w:after="0"/>
              <w:rPr>
                <w:sz w:val="10"/>
                <w:szCs w:val="10"/>
                <w:color w:val="auto"/>
              </w:rPr>
            </w:pPr>
          </w:p>
        </w:tc>
        <w:tc>
          <w:tcPr>
            <w:tcW w:w="50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(20)</w:t>
            </w:r>
          </w:p>
        </w:tc>
        <w:tc>
          <w:tcPr>
            <w:tcW w:w="40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(42)</w:t>
            </w:r>
          </w:p>
        </w:tc>
        <w:tc>
          <w:tcPr>
            <w:tcW w:w="30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(74)</w:t>
            </w:r>
          </w:p>
        </w:tc>
      </w:tr>
      <w:tr>
        <w:trPr>
          <w:trHeight w:val="124"/>
        </w:trPr>
        <w:tc>
          <w:tcPr>
            <w:tcW w:w="56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Recognition of actuarial (gains) losses</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20" w:type="dxa"/>
            <w:vAlign w:val="bottom"/>
            <w:tcBorders>
              <w:bottom w:val="single" w:sz="8" w:color="D7282F"/>
            </w:tcBorders>
          </w:tcPr>
          <w:p>
            <w:pPr>
              <w:spacing w:after="0"/>
              <w:rPr>
                <w:sz w:val="10"/>
                <w:szCs w:val="10"/>
                <w:color w:val="auto"/>
              </w:rPr>
            </w:pPr>
          </w:p>
        </w:tc>
        <w:tc>
          <w:tcPr>
            <w:tcW w:w="50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(13)</w:t>
            </w:r>
          </w:p>
        </w:tc>
        <w:tc>
          <w:tcPr>
            <w:tcW w:w="40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(4)</w:t>
            </w:r>
          </w:p>
        </w:tc>
        <w:tc>
          <w:tcPr>
            <w:tcW w:w="30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w:t>
            </w:r>
          </w:p>
        </w:tc>
      </w:tr>
      <w:tr>
        <w:trPr>
          <w:trHeight w:val="126"/>
        </w:trPr>
        <w:tc>
          <w:tcPr>
            <w:tcW w:w="566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Net periodic benefit (income) cost</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gridSpan w:val="2"/>
          </w:tcPr>
          <w:p>
            <w:pPr>
              <w:jc w:val="right"/>
              <w:ind w:right="440"/>
              <w:spacing w:after="0"/>
              <w:rPr>
                <w:sz w:val="20"/>
                <w:szCs w:val="20"/>
                <w:color w:val="auto"/>
              </w:rPr>
            </w:pPr>
            <w:r>
              <w:rPr>
                <w:rFonts w:ascii="Arial" w:cs="Arial" w:eastAsia="Arial" w:hAnsi="Arial"/>
                <w:sz w:val="10"/>
                <w:szCs w:val="10"/>
                <w:b w:val="1"/>
                <w:bCs w:val="1"/>
                <w:color w:val="auto"/>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(27)</w:t>
            </w:r>
          </w:p>
        </w:tc>
        <w:tc>
          <w:tcPr>
            <w:tcW w:w="4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(41)</w:t>
            </w:r>
          </w:p>
        </w:tc>
        <w:tc>
          <w:tcPr>
            <w:tcW w:w="3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(71)</w:t>
            </w:r>
          </w:p>
        </w:tc>
      </w:tr>
      <w:tr>
        <w:trPr>
          <w:trHeight w:val="304"/>
        </w:trPr>
        <w:tc>
          <w:tcPr>
            <w:tcW w:w="5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bottom w:val="single" w:sz="8" w:color="D7282F"/>
            </w:tcBorders>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1380" w:type="dxa"/>
            <w:vAlign w:val="bottom"/>
            <w:tcBorders>
              <w:bottom w:val="single" w:sz="8" w:color="D7282F"/>
            </w:tcBorders>
            <w:gridSpan w:val="3"/>
          </w:tcPr>
          <w:p>
            <w:pPr>
              <w:jc w:val="center"/>
              <w:ind w:right="92"/>
              <w:spacing w:after="0"/>
              <w:rPr>
                <w:sz w:val="20"/>
                <w:szCs w:val="20"/>
                <w:color w:val="auto"/>
              </w:rPr>
            </w:pPr>
            <w:r>
              <w:rPr>
                <w:rFonts w:ascii="Arial" w:cs="Arial" w:eastAsia="Arial" w:hAnsi="Arial"/>
                <w:sz w:val="10"/>
                <w:szCs w:val="10"/>
                <w:b w:val="1"/>
                <w:bCs w:val="1"/>
                <w:color w:val="auto"/>
                <w:w w:val="96"/>
              </w:rPr>
              <w:t>Years Ended December 31,</w:t>
            </w:r>
          </w:p>
        </w:tc>
        <w:tc>
          <w:tcPr>
            <w:tcW w:w="600" w:type="dxa"/>
            <w:vAlign w:val="bottom"/>
            <w:tcBorders>
              <w:bottom w:val="single" w:sz="8" w:color="D7282F"/>
            </w:tcBorders>
          </w:tcPr>
          <w:p>
            <w:pPr>
              <w:spacing w:after="0"/>
              <w:rPr>
                <w:sz w:val="24"/>
                <w:szCs w:val="24"/>
                <w:color w:val="auto"/>
              </w:rPr>
            </w:pPr>
          </w:p>
        </w:tc>
      </w:tr>
      <w:tr>
        <w:trPr>
          <w:trHeight w:val="151"/>
        </w:trPr>
        <w:tc>
          <w:tcPr>
            <w:tcW w:w="5660" w:type="dxa"/>
            <w:vAlign w:val="bottom"/>
            <w:tcBorders>
              <w:bottom w:val="single" w:sz="8" w:color="D7282F"/>
            </w:tcBorders>
          </w:tcPr>
          <w:p>
            <w:pPr>
              <w:spacing w:after="0"/>
              <w:rPr>
                <w:sz w:val="13"/>
                <w:szCs w:val="13"/>
                <w:color w:val="auto"/>
              </w:rPr>
            </w:pPr>
          </w:p>
        </w:tc>
        <w:tc>
          <w:tcPr>
            <w:tcW w:w="160" w:type="dxa"/>
            <w:vAlign w:val="bottom"/>
            <w:tcBorders>
              <w:bottom w:val="single" w:sz="8" w:color="D7282F"/>
            </w:tcBorders>
          </w:tcPr>
          <w:p>
            <w:pPr>
              <w:spacing w:after="0"/>
              <w:rPr>
                <w:sz w:val="13"/>
                <w:szCs w:val="13"/>
                <w:color w:val="auto"/>
              </w:rPr>
            </w:pPr>
          </w:p>
        </w:tc>
        <w:tc>
          <w:tcPr>
            <w:tcW w:w="700" w:type="dxa"/>
            <w:vAlign w:val="bottom"/>
            <w:tcBorders>
              <w:bottom w:val="single" w:sz="8" w:color="D7282F"/>
            </w:tcBorders>
          </w:tcPr>
          <w:p>
            <w:pPr>
              <w:spacing w:after="0"/>
              <w:rPr>
                <w:sz w:val="13"/>
                <w:szCs w:val="13"/>
                <w:color w:val="auto"/>
              </w:rPr>
            </w:pPr>
          </w:p>
        </w:tc>
        <w:tc>
          <w:tcPr>
            <w:tcW w:w="200" w:type="dxa"/>
            <w:vAlign w:val="bottom"/>
            <w:tcBorders>
              <w:bottom w:val="single" w:sz="8" w:color="D7282F"/>
            </w:tcBorders>
          </w:tcPr>
          <w:p>
            <w:pPr>
              <w:spacing w:after="0"/>
              <w:rPr>
                <w:sz w:val="13"/>
                <w:szCs w:val="13"/>
                <w:color w:val="auto"/>
              </w:rPr>
            </w:pPr>
          </w:p>
        </w:tc>
        <w:tc>
          <w:tcPr>
            <w:tcW w:w="760" w:type="dxa"/>
            <w:vAlign w:val="bottom"/>
            <w:tcBorders>
              <w:bottom w:val="single" w:sz="8" w:color="D7282F"/>
            </w:tcBorders>
          </w:tcPr>
          <w:p>
            <w:pPr>
              <w:spacing w:after="0"/>
              <w:rPr>
                <w:sz w:val="13"/>
                <w:szCs w:val="13"/>
                <w:color w:val="auto"/>
              </w:rPr>
            </w:pPr>
          </w:p>
        </w:tc>
        <w:tc>
          <w:tcPr>
            <w:tcW w:w="28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spacing w:after="0"/>
              <w:rPr>
                <w:sz w:val="13"/>
                <w:szCs w:val="13"/>
                <w:color w:val="auto"/>
              </w:rPr>
            </w:pPr>
          </w:p>
        </w:tc>
        <w:tc>
          <w:tcPr>
            <w:tcW w:w="200" w:type="dxa"/>
            <w:vAlign w:val="bottom"/>
            <w:tcBorders>
              <w:bottom w:val="single" w:sz="8" w:color="D7282F"/>
            </w:tcBorders>
          </w:tcPr>
          <w:p>
            <w:pPr>
              <w:spacing w:after="0"/>
              <w:rPr>
                <w:sz w:val="13"/>
                <w:szCs w:val="13"/>
                <w:color w:val="auto"/>
              </w:rPr>
            </w:pPr>
          </w:p>
        </w:tc>
        <w:tc>
          <w:tcPr>
            <w:tcW w:w="520" w:type="dxa"/>
            <w:vAlign w:val="bottom"/>
            <w:tcBorders>
              <w:bottom w:val="single" w:sz="8" w:color="D7282F"/>
            </w:tcBorders>
            <w:gridSpan w:val="2"/>
          </w:tcPr>
          <w:p>
            <w:pPr>
              <w:jc w:val="right"/>
              <w:ind w:right="20"/>
              <w:spacing w:after="0"/>
              <w:rPr>
                <w:sz w:val="20"/>
                <w:szCs w:val="20"/>
                <w:color w:val="auto"/>
              </w:rPr>
            </w:pPr>
            <w:r>
              <w:rPr>
                <w:rFonts w:ascii="Arial" w:cs="Arial" w:eastAsia="Arial" w:hAnsi="Arial"/>
                <w:sz w:val="10"/>
                <w:szCs w:val="10"/>
                <w:b w:val="1"/>
                <w:bCs w:val="1"/>
                <w:color w:val="auto"/>
              </w:rPr>
              <w:t>2023</w:t>
            </w:r>
          </w:p>
        </w:tc>
        <w:tc>
          <w:tcPr>
            <w:tcW w:w="240" w:type="dxa"/>
            <w:vAlign w:val="bottom"/>
            <w:tcBorders>
              <w:bottom w:val="single" w:sz="8" w:color="D7282F"/>
            </w:tcBorders>
          </w:tcPr>
          <w:p>
            <w:pPr>
              <w:spacing w:after="0"/>
              <w:rPr>
                <w:sz w:val="13"/>
                <w:szCs w:val="13"/>
                <w:color w:val="auto"/>
              </w:rPr>
            </w:pPr>
          </w:p>
        </w:tc>
        <w:tc>
          <w:tcPr>
            <w:tcW w:w="40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jc w:val="center"/>
              <w:ind w:right="212"/>
              <w:spacing w:after="0"/>
              <w:rPr>
                <w:sz w:val="20"/>
                <w:szCs w:val="20"/>
                <w:color w:val="auto"/>
              </w:rPr>
            </w:pPr>
            <w:r>
              <w:rPr>
                <w:rFonts w:ascii="Arial" w:cs="Arial" w:eastAsia="Arial" w:hAnsi="Arial"/>
                <w:sz w:val="10"/>
                <w:szCs w:val="10"/>
                <w:b w:val="1"/>
                <w:bCs w:val="1"/>
                <w:color w:val="auto"/>
                <w:w w:val="98"/>
              </w:rPr>
              <w:t>2022</w:t>
            </w:r>
          </w:p>
        </w:tc>
        <w:tc>
          <w:tcPr>
            <w:tcW w:w="30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2021</w:t>
            </w:r>
          </w:p>
        </w:tc>
      </w:tr>
      <w:tr>
        <w:trPr>
          <w:trHeight w:val="122"/>
        </w:trPr>
        <w:tc>
          <w:tcPr>
            <w:tcW w:w="56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Actuarial (gains) losses</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200" w:type="dxa"/>
            <w:vAlign w:val="bottom"/>
            <w:tcBorders>
              <w:bottom w:val="single" w:sz="8" w:color="61656A"/>
            </w:tcBorders>
          </w:tcPr>
          <w:p>
            <w:pPr>
              <w:spacing w:after="0"/>
              <w:rPr>
                <w:sz w:val="10"/>
                <w:szCs w:val="10"/>
                <w:color w:val="auto"/>
              </w:rPr>
            </w:pPr>
          </w:p>
        </w:tc>
        <w:tc>
          <w:tcPr>
            <w:tcW w:w="76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spacing w:after="0"/>
              <w:rPr>
                <w:sz w:val="10"/>
                <w:szCs w:val="10"/>
                <w:color w:val="auto"/>
              </w:rPr>
            </w:pPr>
          </w:p>
        </w:tc>
        <w:tc>
          <w:tcPr>
            <w:tcW w:w="20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gridSpan w:val="2"/>
          </w:tcPr>
          <w:p>
            <w:pPr>
              <w:jc w:val="right"/>
              <w:ind w:right="440"/>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w:t>
            </w:r>
          </w:p>
        </w:tc>
        <w:tc>
          <w:tcPr>
            <w:tcW w:w="40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(54)</w:t>
            </w:r>
          </w:p>
        </w:tc>
        <w:tc>
          <w:tcPr>
            <w:tcW w:w="3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(8)</w:t>
            </w:r>
          </w:p>
        </w:tc>
      </w:tr>
      <w:tr>
        <w:trPr>
          <w:trHeight w:val="124"/>
        </w:trPr>
        <w:tc>
          <w:tcPr>
            <w:tcW w:w="56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Prior service (credit) cost</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200" w:type="dxa"/>
            <w:vAlign w:val="bottom"/>
            <w:tcBorders>
              <w:bottom w:val="single" w:sz="8" w:color="61656A"/>
            </w:tcBorders>
          </w:tcPr>
          <w:p>
            <w:pPr>
              <w:spacing w:after="0"/>
              <w:rPr>
                <w:sz w:val="10"/>
                <w:szCs w:val="10"/>
                <w:color w:val="auto"/>
              </w:rPr>
            </w:pPr>
          </w:p>
        </w:tc>
        <w:tc>
          <w:tcPr>
            <w:tcW w:w="76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spacing w:after="0"/>
              <w:rPr>
                <w:sz w:val="10"/>
                <w:szCs w:val="10"/>
                <w:color w:val="auto"/>
              </w:rPr>
            </w:pPr>
          </w:p>
        </w:tc>
        <w:tc>
          <w:tcPr>
            <w:tcW w:w="200" w:type="dxa"/>
            <w:vAlign w:val="bottom"/>
            <w:tcBorders>
              <w:bottom w:val="single" w:sz="8" w:color="61656A"/>
            </w:tcBorders>
          </w:tcPr>
          <w:p>
            <w:pPr>
              <w:spacing w:after="0"/>
              <w:rPr>
                <w:sz w:val="10"/>
                <w:szCs w:val="10"/>
                <w:color w:val="auto"/>
              </w:rPr>
            </w:pPr>
          </w:p>
        </w:tc>
        <w:tc>
          <w:tcPr>
            <w:tcW w:w="20" w:type="dxa"/>
            <w:vAlign w:val="bottom"/>
            <w:tcBorders>
              <w:bottom w:val="single" w:sz="8" w:color="61656A"/>
            </w:tcBorders>
          </w:tcPr>
          <w:p>
            <w:pPr>
              <w:spacing w:after="0"/>
              <w:rPr>
                <w:sz w:val="10"/>
                <w:szCs w:val="10"/>
                <w:color w:val="auto"/>
              </w:rPr>
            </w:pPr>
          </w:p>
        </w:tc>
        <w:tc>
          <w:tcPr>
            <w:tcW w:w="50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56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Prior service credit recognized during year</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200" w:type="dxa"/>
            <w:vAlign w:val="bottom"/>
            <w:tcBorders>
              <w:bottom w:val="single" w:sz="8" w:color="61656A"/>
            </w:tcBorders>
          </w:tcPr>
          <w:p>
            <w:pPr>
              <w:spacing w:after="0"/>
              <w:rPr>
                <w:sz w:val="10"/>
                <w:szCs w:val="10"/>
                <w:color w:val="auto"/>
              </w:rPr>
            </w:pPr>
          </w:p>
        </w:tc>
        <w:tc>
          <w:tcPr>
            <w:tcW w:w="76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spacing w:after="0"/>
              <w:rPr>
                <w:sz w:val="10"/>
                <w:szCs w:val="10"/>
                <w:color w:val="auto"/>
              </w:rPr>
            </w:pPr>
          </w:p>
        </w:tc>
        <w:tc>
          <w:tcPr>
            <w:tcW w:w="200" w:type="dxa"/>
            <w:vAlign w:val="bottom"/>
            <w:tcBorders>
              <w:bottom w:val="single" w:sz="8" w:color="61656A"/>
            </w:tcBorders>
          </w:tcPr>
          <w:p>
            <w:pPr>
              <w:spacing w:after="0"/>
              <w:rPr>
                <w:sz w:val="10"/>
                <w:szCs w:val="10"/>
                <w:color w:val="auto"/>
              </w:rPr>
            </w:pPr>
          </w:p>
        </w:tc>
        <w:tc>
          <w:tcPr>
            <w:tcW w:w="20" w:type="dxa"/>
            <w:vAlign w:val="bottom"/>
            <w:tcBorders>
              <w:bottom w:val="single" w:sz="8" w:color="61656A"/>
            </w:tcBorders>
          </w:tcPr>
          <w:p>
            <w:pPr>
              <w:spacing w:after="0"/>
              <w:rPr>
                <w:sz w:val="10"/>
                <w:szCs w:val="10"/>
                <w:color w:val="auto"/>
              </w:rPr>
            </w:pPr>
          </w:p>
        </w:tc>
        <w:tc>
          <w:tcPr>
            <w:tcW w:w="50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20</w:t>
            </w:r>
          </w:p>
        </w:tc>
        <w:tc>
          <w:tcPr>
            <w:tcW w:w="40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42</w:t>
            </w:r>
          </w:p>
        </w:tc>
        <w:tc>
          <w:tcPr>
            <w:tcW w:w="30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74</w:t>
            </w:r>
          </w:p>
        </w:tc>
      </w:tr>
      <w:tr>
        <w:trPr>
          <w:trHeight w:val="124"/>
        </w:trPr>
        <w:tc>
          <w:tcPr>
            <w:tcW w:w="56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Actuarial (gains) losses recognized during year</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20" w:type="dxa"/>
            <w:vAlign w:val="bottom"/>
            <w:tcBorders>
              <w:bottom w:val="single" w:sz="8" w:color="D7282F"/>
            </w:tcBorders>
          </w:tcPr>
          <w:p>
            <w:pPr>
              <w:spacing w:after="0"/>
              <w:rPr>
                <w:sz w:val="10"/>
                <w:szCs w:val="10"/>
                <w:color w:val="auto"/>
              </w:rPr>
            </w:pPr>
          </w:p>
        </w:tc>
        <w:tc>
          <w:tcPr>
            <w:tcW w:w="50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13</w:t>
            </w:r>
          </w:p>
        </w:tc>
        <w:tc>
          <w:tcPr>
            <w:tcW w:w="40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4</w:t>
            </w:r>
          </w:p>
        </w:tc>
        <w:tc>
          <w:tcPr>
            <w:tcW w:w="30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2</w:t>
            </w:r>
          </w:p>
        </w:tc>
      </w:tr>
      <w:tr>
        <w:trPr>
          <w:trHeight w:val="126"/>
        </w:trPr>
        <w:tc>
          <w:tcPr>
            <w:tcW w:w="566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recognized in other comprehensive (income) loss</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20" w:type="dxa"/>
            <w:vAlign w:val="bottom"/>
            <w:tcBorders>
              <w:bottom w:val="single" w:sz="8" w:color="D7282F"/>
            </w:tcBorders>
          </w:tcPr>
          <w:p>
            <w:pPr>
              <w:spacing w:after="0"/>
              <w:rPr>
                <w:sz w:val="10"/>
                <w:szCs w:val="10"/>
                <w:color w:val="auto"/>
              </w:rPr>
            </w:pPr>
          </w:p>
        </w:tc>
        <w:tc>
          <w:tcPr>
            <w:tcW w:w="50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36</w:t>
            </w:r>
          </w:p>
        </w:tc>
        <w:tc>
          <w:tcPr>
            <w:tcW w:w="40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(8)</w:t>
            </w:r>
          </w:p>
        </w:tc>
        <w:tc>
          <w:tcPr>
            <w:tcW w:w="30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68</w:t>
            </w:r>
          </w:p>
        </w:tc>
      </w:tr>
      <w:tr>
        <w:trPr>
          <w:trHeight w:val="124"/>
        </w:trPr>
        <w:tc>
          <w:tcPr>
            <w:tcW w:w="566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recognized in net periodic benefit (income) cost and Other comprehensive (income) loss</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gridSpan w:val="2"/>
          </w:tcPr>
          <w:p>
            <w:pPr>
              <w:jc w:val="right"/>
              <w:ind w:right="440"/>
              <w:spacing w:after="0"/>
              <w:rPr>
                <w:sz w:val="20"/>
                <w:szCs w:val="20"/>
                <w:color w:val="auto"/>
              </w:rPr>
            </w:pPr>
            <w:r>
              <w:rPr>
                <w:rFonts w:ascii="Arial" w:cs="Arial" w:eastAsia="Arial" w:hAnsi="Arial"/>
                <w:sz w:val="10"/>
                <w:szCs w:val="10"/>
                <w:b w:val="1"/>
                <w:bCs w:val="1"/>
                <w:color w:val="auto"/>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9</w:t>
            </w:r>
          </w:p>
        </w:tc>
        <w:tc>
          <w:tcPr>
            <w:tcW w:w="4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(49)</w:t>
            </w:r>
          </w:p>
        </w:tc>
        <w:tc>
          <w:tcPr>
            <w:tcW w:w="3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w:t>
            </w:r>
          </w:p>
        </w:tc>
      </w:tr>
    </w:tbl>
    <w:p>
      <w:pPr>
        <w:spacing w:after="0" w:line="338" w:lineRule="exact"/>
        <w:rPr>
          <w:sz w:val="20"/>
          <w:szCs w:val="20"/>
          <w:color w:val="auto"/>
        </w:rPr>
      </w:pPr>
    </w:p>
    <w:p>
      <w:pPr>
        <w:spacing w:after="0"/>
        <w:tabs>
          <w:tab w:leader="none" w:pos="300" w:val="left"/>
        </w:tabs>
        <w:rPr>
          <w:sz w:val="20"/>
          <w:szCs w:val="20"/>
          <w:color w:val="auto"/>
        </w:rPr>
      </w:pPr>
      <w:r>
        <w:rPr>
          <w:rFonts w:ascii="Arial" w:cs="Arial" w:eastAsia="Arial" w:hAnsi="Arial"/>
          <w:sz w:val="12"/>
          <w:szCs w:val="12"/>
          <w:b w:val="1"/>
          <w:bCs w:val="1"/>
          <w:color w:val="D7282F"/>
        </w:rPr>
        <w:t>104</w:t>
      </w:r>
      <w:r>
        <w:rPr>
          <w:sz w:val="20"/>
          <w:szCs w:val="20"/>
          <w:color w:val="auto"/>
        </w:rPr>
        <w:tab/>
      </w:r>
      <w:r>
        <w:rPr>
          <w:rFonts w:ascii="Arial" w:cs="Arial" w:eastAsia="Arial" w:hAnsi="Arial"/>
          <w:sz w:val="8"/>
          <w:szCs w:val="8"/>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90805</wp:posOffset>
            </wp:positionV>
            <wp:extent cx="7203440" cy="368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106" w:name="page107"/>
    <w:bookmarkEnd w:id="106"/>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ind w:left="8"/>
        <w:spacing w:after="0"/>
        <w:rPr>
          <w:sz w:val="20"/>
          <w:szCs w:val="20"/>
          <w:color w:val="auto"/>
        </w:rPr>
      </w:pPr>
      <w:r>
        <w:rPr>
          <w:rFonts w:ascii="Arial" w:cs="Arial" w:eastAsia="Arial" w:hAnsi="Arial"/>
          <w:sz w:val="11"/>
          <w:szCs w:val="11"/>
          <w:color w:val="auto"/>
        </w:rPr>
        <w:t>Major actuarial assumptions used in determining the benefit obligations and net periodic benefit (income) cost for the Company's significant benefit plans are presented in the following table as weighted averages:</w:t>
      </w:r>
    </w:p>
    <w:p>
      <w:pPr>
        <w:spacing w:after="0" w:line="127"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5340" w:type="dxa"/>
            <w:vAlign w:val="bottom"/>
          </w:tcPr>
          <w:p>
            <w:pPr>
              <w:spacing w:after="0"/>
              <w:rPr>
                <w:sz w:val="11"/>
                <w:szCs w:val="11"/>
                <w:color w:val="auto"/>
              </w:rPr>
            </w:pPr>
          </w:p>
        </w:tc>
        <w:tc>
          <w:tcPr>
            <w:tcW w:w="1000" w:type="dxa"/>
            <w:vAlign w:val="bottom"/>
            <w:tcBorders>
              <w:bottom w:val="single" w:sz="8" w:color="D7282F"/>
            </w:tcBorders>
          </w:tcPr>
          <w:p>
            <w:pPr>
              <w:spacing w:after="0"/>
              <w:rPr>
                <w:sz w:val="11"/>
                <w:szCs w:val="11"/>
                <w:color w:val="auto"/>
              </w:rPr>
            </w:pPr>
          </w:p>
        </w:tc>
        <w:tc>
          <w:tcPr>
            <w:tcW w:w="1080" w:type="dxa"/>
            <w:vAlign w:val="bottom"/>
            <w:tcBorders>
              <w:bottom w:val="single" w:sz="8" w:color="D7282F"/>
            </w:tcBorders>
          </w:tcPr>
          <w:p>
            <w:pPr>
              <w:spacing w:after="0"/>
              <w:rPr>
                <w:sz w:val="11"/>
                <w:szCs w:val="11"/>
                <w:color w:val="auto"/>
              </w:rPr>
            </w:pPr>
          </w:p>
        </w:tc>
        <w:tc>
          <w:tcPr>
            <w:tcW w:w="1280" w:type="dxa"/>
            <w:vAlign w:val="bottom"/>
            <w:tcBorders>
              <w:bottom w:val="single" w:sz="8" w:color="D7282F"/>
            </w:tcBorders>
            <w:gridSpan w:val="3"/>
          </w:tcPr>
          <w:p>
            <w:pPr>
              <w:ind w:left="500"/>
              <w:spacing w:after="0"/>
              <w:rPr>
                <w:sz w:val="20"/>
                <w:szCs w:val="20"/>
                <w:color w:val="auto"/>
              </w:rPr>
            </w:pPr>
            <w:r>
              <w:rPr>
                <w:rFonts w:ascii="Arial" w:cs="Arial" w:eastAsia="Arial" w:hAnsi="Arial"/>
                <w:sz w:val="10"/>
                <w:szCs w:val="10"/>
                <w:b w:val="1"/>
                <w:bCs w:val="1"/>
                <w:color w:val="auto"/>
                <w:w w:val="93"/>
              </w:rPr>
              <w:t>Pension Benefits</w:t>
            </w:r>
          </w:p>
        </w:tc>
        <w:tc>
          <w:tcPr>
            <w:tcW w:w="660" w:type="dxa"/>
            <w:vAlign w:val="bottom"/>
            <w:tcBorders>
              <w:bottom w:val="single" w:sz="8" w:color="D7282F"/>
            </w:tcBorders>
          </w:tcPr>
          <w:p>
            <w:pPr>
              <w:spacing w:after="0"/>
              <w:rPr>
                <w:sz w:val="11"/>
                <w:szCs w:val="11"/>
                <w:color w:val="auto"/>
              </w:rPr>
            </w:pPr>
          </w:p>
        </w:tc>
        <w:tc>
          <w:tcPr>
            <w:tcW w:w="1140" w:type="dxa"/>
            <w:vAlign w:val="bottom"/>
            <w:tcBorders>
              <w:bottom w:val="single" w:sz="8" w:color="D7282F"/>
            </w:tcBorders>
          </w:tcPr>
          <w:p>
            <w:pPr>
              <w:spacing w:after="0"/>
              <w:rPr>
                <w:sz w:val="11"/>
                <w:szCs w:val="11"/>
                <w:color w:val="auto"/>
              </w:rPr>
            </w:pPr>
          </w:p>
        </w:tc>
        <w:tc>
          <w:tcPr>
            <w:tcW w:w="800" w:type="dxa"/>
            <w:vAlign w:val="bottom"/>
            <w:tcBorders>
              <w:bottom w:val="single" w:sz="8" w:color="D7282F"/>
            </w:tcBorders>
          </w:tcPr>
          <w:p>
            <w:pPr>
              <w:spacing w:after="0"/>
              <w:rPr>
                <w:sz w:val="11"/>
                <w:szCs w:val="11"/>
                <w:color w:val="auto"/>
              </w:rPr>
            </w:pPr>
          </w:p>
        </w:tc>
      </w:tr>
      <w:tr>
        <w:trPr>
          <w:trHeight w:val="151"/>
        </w:trPr>
        <w:tc>
          <w:tcPr>
            <w:tcW w:w="5340" w:type="dxa"/>
            <w:vAlign w:val="bottom"/>
          </w:tcPr>
          <w:p>
            <w:pPr>
              <w:spacing w:after="0"/>
              <w:rPr>
                <w:sz w:val="13"/>
                <w:szCs w:val="13"/>
                <w:color w:val="auto"/>
              </w:rPr>
            </w:pPr>
          </w:p>
        </w:tc>
        <w:tc>
          <w:tcPr>
            <w:tcW w:w="1000" w:type="dxa"/>
            <w:vAlign w:val="bottom"/>
            <w:tcBorders>
              <w:bottom w:val="single" w:sz="8" w:color="D7282F"/>
            </w:tcBorders>
          </w:tcPr>
          <w:p>
            <w:pPr>
              <w:spacing w:after="0"/>
              <w:rPr>
                <w:sz w:val="13"/>
                <w:szCs w:val="13"/>
                <w:color w:val="auto"/>
              </w:rPr>
            </w:pPr>
          </w:p>
        </w:tc>
        <w:tc>
          <w:tcPr>
            <w:tcW w:w="1080" w:type="dxa"/>
            <w:vAlign w:val="bottom"/>
            <w:tcBorders>
              <w:bottom w:val="single" w:sz="8" w:color="D7282F"/>
            </w:tcBorders>
          </w:tcPr>
          <w:p>
            <w:pPr>
              <w:jc w:val="right"/>
              <w:ind w:right="372"/>
              <w:spacing w:after="0"/>
              <w:rPr>
                <w:sz w:val="20"/>
                <w:szCs w:val="20"/>
                <w:color w:val="auto"/>
              </w:rPr>
            </w:pPr>
            <w:r>
              <w:rPr>
                <w:rFonts w:ascii="Arial" w:cs="Arial" w:eastAsia="Arial" w:hAnsi="Arial"/>
                <w:sz w:val="10"/>
                <w:szCs w:val="10"/>
                <w:b w:val="1"/>
                <w:bCs w:val="1"/>
                <w:color w:val="auto"/>
              </w:rPr>
              <w:t>U.S. Plans</w:t>
            </w:r>
          </w:p>
        </w:tc>
        <w:tc>
          <w:tcPr>
            <w:tcW w:w="780" w:type="dxa"/>
            <w:vAlign w:val="bottom"/>
            <w:tcBorders>
              <w:bottom w:val="single" w:sz="8" w:color="D7282F"/>
            </w:tcBorders>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Borders>
              <w:bottom w:val="single" w:sz="8" w:color="D7282F"/>
            </w:tcBorders>
          </w:tcPr>
          <w:p>
            <w:pPr>
              <w:spacing w:after="0"/>
              <w:rPr>
                <w:sz w:val="13"/>
                <w:szCs w:val="13"/>
                <w:color w:val="auto"/>
              </w:rPr>
            </w:pPr>
          </w:p>
        </w:tc>
        <w:tc>
          <w:tcPr>
            <w:tcW w:w="660" w:type="dxa"/>
            <w:vAlign w:val="bottom"/>
            <w:tcBorders>
              <w:bottom w:val="single" w:sz="8" w:color="D7282F"/>
            </w:tcBorders>
          </w:tcPr>
          <w:p>
            <w:pPr>
              <w:spacing w:after="0"/>
              <w:rPr>
                <w:sz w:val="13"/>
                <w:szCs w:val="13"/>
                <w:color w:val="auto"/>
              </w:rPr>
            </w:pPr>
          </w:p>
        </w:tc>
        <w:tc>
          <w:tcPr>
            <w:tcW w:w="1140" w:type="dxa"/>
            <w:vAlign w:val="bottom"/>
            <w:tcBorders>
              <w:bottom w:val="single" w:sz="8" w:color="D7282F"/>
            </w:tcBorders>
          </w:tcPr>
          <w:p>
            <w:pPr>
              <w:jc w:val="right"/>
              <w:ind w:right="252"/>
              <w:spacing w:after="0"/>
              <w:rPr>
                <w:sz w:val="20"/>
                <w:szCs w:val="20"/>
                <w:color w:val="auto"/>
              </w:rPr>
            </w:pPr>
            <w:r>
              <w:rPr>
                <w:rFonts w:ascii="Arial" w:cs="Arial" w:eastAsia="Arial" w:hAnsi="Arial"/>
                <w:sz w:val="10"/>
                <w:szCs w:val="10"/>
                <w:b w:val="1"/>
                <w:bCs w:val="1"/>
                <w:color w:val="auto"/>
              </w:rPr>
              <w:t>Non-U.S. Plans</w:t>
            </w:r>
          </w:p>
        </w:tc>
        <w:tc>
          <w:tcPr>
            <w:tcW w:w="800" w:type="dxa"/>
            <w:vAlign w:val="bottom"/>
            <w:tcBorders>
              <w:bottom w:val="single" w:sz="8" w:color="D7282F"/>
            </w:tcBorders>
          </w:tcPr>
          <w:p>
            <w:pPr>
              <w:spacing w:after="0"/>
              <w:rPr>
                <w:sz w:val="13"/>
                <w:szCs w:val="13"/>
                <w:color w:val="auto"/>
              </w:rPr>
            </w:pPr>
          </w:p>
        </w:tc>
      </w:tr>
      <w:tr>
        <w:trPr>
          <w:trHeight w:val="151"/>
        </w:trPr>
        <w:tc>
          <w:tcPr>
            <w:tcW w:w="5340" w:type="dxa"/>
            <w:vAlign w:val="bottom"/>
            <w:tcBorders>
              <w:bottom w:val="single" w:sz="8" w:color="D7282F"/>
            </w:tcBorders>
          </w:tcPr>
          <w:p>
            <w:pPr>
              <w:spacing w:after="0"/>
              <w:rPr>
                <w:sz w:val="13"/>
                <w:szCs w:val="13"/>
                <w:color w:val="auto"/>
              </w:rPr>
            </w:pPr>
          </w:p>
        </w:tc>
        <w:tc>
          <w:tcPr>
            <w:tcW w:w="1000" w:type="dxa"/>
            <w:vAlign w:val="bottom"/>
            <w:tcBorders>
              <w:bottom w:val="single" w:sz="8" w:color="D7282F"/>
            </w:tcBorders>
          </w:tcPr>
          <w:p>
            <w:pPr>
              <w:jc w:val="right"/>
              <w:ind w:right="452"/>
              <w:spacing w:after="0"/>
              <w:rPr>
                <w:sz w:val="20"/>
                <w:szCs w:val="20"/>
                <w:color w:val="auto"/>
              </w:rPr>
            </w:pPr>
            <w:r>
              <w:rPr>
                <w:rFonts w:ascii="Arial" w:cs="Arial" w:eastAsia="Arial" w:hAnsi="Arial"/>
                <w:sz w:val="10"/>
                <w:szCs w:val="10"/>
                <w:b w:val="1"/>
                <w:bCs w:val="1"/>
                <w:color w:val="auto"/>
              </w:rPr>
              <w:t>2023</w:t>
            </w:r>
          </w:p>
        </w:tc>
        <w:tc>
          <w:tcPr>
            <w:tcW w:w="1080" w:type="dxa"/>
            <w:vAlign w:val="bottom"/>
            <w:tcBorders>
              <w:bottom w:val="single" w:sz="8" w:color="D7282F"/>
            </w:tcBorders>
          </w:tcPr>
          <w:p>
            <w:pPr>
              <w:jc w:val="right"/>
              <w:ind w:right="492"/>
              <w:spacing w:after="0"/>
              <w:rPr>
                <w:sz w:val="20"/>
                <w:szCs w:val="20"/>
                <w:color w:val="auto"/>
              </w:rPr>
            </w:pPr>
            <w:r>
              <w:rPr>
                <w:rFonts w:ascii="Arial" w:cs="Arial" w:eastAsia="Arial" w:hAnsi="Arial"/>
                <w:sz w:val="10"/>
                <w:szCs w:val="10"/>
                <w:b w:val="1"/>
                <w:bCs w:val="1"/>
                <w:color w:val="auto"/>
              </w:rPr>
              <w:t>2022</w:t>
            </w:r>
          </w:p>
        </w:tc>
        <w:tc>
          <w:tcPr>
            <w:tcW w:w="780" w:type="dxa"/>
            <w:vAlign w:val="bottom"/>
            <w:tcBorders>
              <w:bottom w:val="single" w:sz="8" w:color="D7282F"/>
            </w:tcBorders>
          </w:tcPr>
          <w:p>
            <w:pPr>
              <w:jc w:val="right"/>
              <w:ind w:right="252"/>
              <w:spacing w:after="0"/>
              <w:rPr>
                <w:sz w:val="20"/>
                <w:szCs w:val="20"/>
                <w:color w:val="auto"/>
              </w:rPr>
            </w:pPr>
            <w:r>
              <w:rPr>
                <w:rFonts w:ascii="Arial" w:cs="Arial" w:eastAsia="Arial" w:hAnsi="Arial"/>
                <w:sz w:val="10"/>
                <w:szCs w:val="10"/>
                <w:b w:val="1"/>
                <w:bCs w:val="1"/>
                <w:color w:val="auto"/>
              </w:rPr>
              <w:t>2021</w:t>
            </w:r>
          </w:p>
        </w:tc>
        <w:tc>
          <w:tcPr>
            <w:tcW w:w="200" w:type="dxa"/>
            <w:vAlign w:val="bottom"/>
            <w:tcBorders>
              <w:bottom w:val="single" w:sz="8" w:color="D7282F"/>
            </w:tcBorders>
          </w:tcPr>
          <w:p>
            <w:pPr>
              <w:spacing w:after="0"/>
              <w:rPr>
                <w:sz w:val="13"/>
                <w:szCs w:val="13"/>
                <w:color w:val="auto"/>
              </w:rPr>
            </w:pPr>
          </w:p>
        </w:tc>
        <w:tc>
          <w:tcPr>
            <w:tcW w:w="300" w:type="dxa"/>
            <w:vAlign w:val="bottom"/>
            <w:tcBorders>
              <w:bottom w:val="single" w:sz="8" w:color="D7282F"/>
            </w:tcBorders>
          </w:tcPr>
          <w:p>
            <w:pPr>
              <w:spacing w:after="0"/>
              <w:rPr>
                <w:sz w:val="13"/>
                <w:szCs w:val="13"/>
                <w:color w:val="auto"/>
              </w:rPr>
            </w:pPr>
          </w:p>
        </w:tc>
        <w:tc>
          <w:tcPr>
            <w:tcW w:w="660" w:type="dxa"/>
            <w:vAlign w:val="bottom"/>
            <w:tcBorders>
              <w:bottom w:val="single" w:sz="8" w:color="D7282F"/>
            </w:tcBorders>
          </w:tcPr>
          <w:p>
            <w:pPr>
              <w:jc w:val="right"/>
              <w:ind w:right="392"/>
              <w:spacing w:after="0"/>
              <w:rPr>
                <w:sz w:val="20"/>
                <w:szCs w:val="20"/>
                <w:color w:val="auto"/>
              </w:rPr>
            </w:pPr>
            <w:r>
              <w:rPr>
                <w:rFonts w:ascii="Arial" w:cs="Arial" w:eastAsia="Arial" w:hAnsi="Arial"/>
                <w:sz w:val="10"/>
                <w:szCs w:val="10"/>
                <w:b w:val="1"/>
                <w:bCs w:val="1"/>
                <w:color w:val="auto"/>
                <w:w w:val="89"/>
              </w:rPr>
              <w:t>2023</w:t>
            </w:r>
          </w:p>
        </w:tc>
        <w:tc>
          <w:tcPr>
            <w:tcW w:w="1140" w:type="dxa"/>
            <w:vAlign w:val="bottom"/>
            <w:tcBorders>
              <w:bottom w:val="single" w:sz="8" w:color="D7282F"/>
            </w:tcBorders>
          </w:tcPr>
          <w:p>
            <w:pPr>
              <w:jc w:val="right"/>
              <w:ind w:right="512"/>
              <w:spacing w:after="0"/>
              <w:rPr>
                <w:sz w:val="20"/>
                <w:szCs w:val="20"/>
                <w:color w:val="auto"/>
              </w:rPr>
            </w:pPr>
            <w:r>
              <w:rPr>
                <w:rFonts w:ascii="Arial" w:cs="Arial" w:eastAsia="Arial" w:hAnsi="Arial"/>
                <w:sz w:val="10"/>
                <w:szCs w:val="10"/>
                <w:b w:val="1"/>
                <w:bCs w:val="1"/>
                <w:color w:val="auto"/>
              </w:rPr>
              <w:t>2022</w:t>
            </w:r>
          </w:p>
        </w:tc>
        <w:tc>
          <w:tcPr>
            <w:tcW w:w="80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rPr>
              <w:t>2021</w:t>
            </w:r>
          </w:p>
        </w:tc>
      </w:tr>
      <w:tr>
        <w:trPr>
          <w:trHeight w:val="127"/>
        </w:trPr>
        <w:tc>
          <w:tcPr>
            <w:tcW w:w="53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Actuarial assumptions used to determine benefit obligations as of December 31</w:t>
            </w:r>
          </w:p>
        </w:tc>
        <w:tc>
          <w:tcPr>
            <w:tcW w:w="1000" w:type="dxa"/>
            <w:vAlign w:val="bottom"/>
            <w:tcBorders>
              <w:bottom w:val="single" w:sz="8" w:color="888B8D"/>
            </w:tcBorders>
          </w:tcPr>
          <w:p>
            <w:pPr>
              <w:spacing w:after="0"/>
              <w:rPr>
                <w:sz w:val="11"/>
                <w:szCs w:val="11"/>
                <w:color w:val="auto"/>
              </w:rPr>
            </w:pPr>
          </w:p>
        </w:tc>
        <w:tc>
          <w:tcPr>
            <w:tcW w:w="1080" w:type="dxa"/>
            <w:vAlign w:val="bottom"/>
            <w:tcBorders>
              <w:bottom w:val="single" w:sz="8" w:color="888B8D"/>
            </w:tcBorders>
          </w:tcPr>
          <w:p>
            <w:pPr>
              <w:spacing w:after="0"/>
              <w:rPr>
                <w:sz w:val="11"/>
                <w:szCs w:val="11"/>
                <w:color w:val="auto"/>
              </w:rPr>
            </w:pPr>
          </w:p>
        </w:tc>
        <w:tc>
          <w:tcPr>
            <w:tcW w:w="780" w:type="dxa"/>
            <w:vAlign w:val="bottom"/>
            <w:tcBorders>
              <w:bottom w:val="single" w:sz="8" w:color="888B8D"/>
            </w:tcBorders>
          </w:tcPr>
          <w:p>
            <w:pPr>
              <w:spacing w:after="0"/>
              <w:rPr>
                <w:sz w:val="11"/>
                <w:szCs w:val="11"/>
                <w:color w:val="auto"/>
              </w:rPr>
            </w:pPr>
          </w:p>
        </w:tc>
        <w:tc>
          <w:tcPr>
            <w:tcW w:w="200" w:type="dxa"/>
            <w:vAlign w:val="bottom"/>
            <w:tcBorders>
              <w:bottom w:val="single" w:sz="8" w:color="888B8D"/>
            </w:tcBorders>
          </w:tcPr>
          <w:p>
            <w:pPr>
              <w:spacing w:after="0"/>
              <w:rPr>
                <w:sz w:val="11"/>
                <w:szCs w:val="11"/>
                <w:color w:val="auto"/>
              </w:rPr>
            </w:pPr>
          </w:p>
        </w:tc>
        <w:tc>
          <w:tcPr>
            <w:tcW w:w="300" w:type="dxa"/>
            <w:vAlign w:val="bottom"/>
            <w:tcBorders>
              <w:bottom w:val="single" w:sz="8" w:color="888B8D"/>
            </w:tcBorders>
          </w:tcPr>
          <w:p>
            <w:pPr>
              <w:spacing w:after="0"/>
              <w:rPr>
                <w:sz w:val="11"/>
                <w:szCs w:val="11"/>
                <w:color w:val="auto"/>
              </w:rPr>
            </w:pPr>
          </w:p>
        </w:tc>
        <w:tc>
          <w:tcPr>
            <w:tcW w:w="660" w:type="dxa"/>
            <w:vAlign w:val="bottom"/>
            <w:tcBorders>
              <w:bottom w:val="single" w:sz="8" w:color="888B8D"/>
            </w:tcBorders>
          </w:tcPr>
          <w:p>
            <w:pPr>
              <w:spacing w:after="0"/>
              <w:rPr>
                <w:sz w:val="11"/>
                <w:szCs w:val="11"/>
                <w:color w:val="auto"/>
              </w:rPr>
            </w:pPr>
          </w:p>
        </w:tc>
        <w:tc>
          <w:tcPr>
            <w:tcW w:w="1140" w:type="dxa"/>
            <w:vAlign w:val="bottom"/>
            <w:tcBorders>
              <w:bottom w:val="single" w:sz="8" w:color="888B8D"/>
            </w:tcBorders>
          </w:tcPr>
          <w:p>
            <w:pPr>
              <w:spacing w:after="0"/>
              <w:rPr>
                <w:sz w:val="11"/>
                <w:szCs w:val="11"/>
                <w:color w:val="auto"/>
              </w:rPr>
            </w:pPr>
          </w:p>
        </w:tc>
        <w:tc>
          <w:tcPr>
            <w:tcW w:w="800" w:type="dxa"/>
            <w:vAlign w:val="bottom"/>
            <w:tcBorders>
              <w:bottom w:val="single" w:sz="8" w:color="888B8D"/>
            </w:tcBorders>
          </w:tcPr>
          <w:p>
            <w:pPr>
              <w:spacing w:after="0"/>
              <w:rPr>
                <w:sz w:val="11"/>
                <w:szCs w:val="11"/>
                <w:color w:val="auto"/>
              </w:rPr>
            </w:pPr>
          </w:p>
        </w:tc>
      </w:tr>
      <w:tr>
        <w:trPr>
          <w:trHeight w:val="124"/>
        </w:trPr>
        <w:tc>
          <w:tcPr>
            <w:tcW w:w="534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Discount rate</w:t>
            </w:r>
          </w:p>
        </w:tc>
        <w:tc>
          <w:tcPr>
            <w:tcW w:w="100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4.97 %</w:t>
            </w:r>
          </w:p>
        </w:tc>
        <w:tc>
          <w:tcPr>
            <w:tcW w:w="108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5.17 %</w:t>
            </w: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2.87 %</w:t>
            </w:r>
          </w:p>
        </w:tc>
        <w:tc>
          <w:tcPr>
            <w:tcW w:w="200" w:type="dxa"/>
            <w:vAlign w:val="bottom"/>
            <w:tcBorders>
              <w:bottom w:val="single" w:sz="8" w:color="888B8D"/>
            </w:tcBorders>
          </w:tcPr>
          <w:p>
            <w:pPr>
              <w:spacing w:after="0"/>
              <w:rPr>
                <w:sz w:val="10"/>
                <w:szCs w:val="10"/>
                <w:color w:val="auto"/>
              </w:rPr>
            </w:pPr>
          </w:p>
        </w:tc>
        <w:tc>
          <w:tcPr>
            <w:tcW w:w="30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4.15 %</w:t>
            </w:r>
          </w:p>
        </w:tc>
        <w:tc>
          <w:tcPr>
            <w:tcW w:w="114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4.50 %</w:t>
            </w:r>
          </w:p>
        </w:tc>
        <w:tc>
          <w:tcPr>
            <w:tcW w:w="8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1.79 %</w:t>
            </w:r>
          </w:p>
        </w:tc>
      </w:tr>
      <w:tr>
        <w:trPr>
          <w:trHeight w:val="124"/>
        </w:trPr>
        <w:tc>
          <w:tcPr>
            <w:tcW w:w="534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Expected annual rate of compensation increase</w:t>
            </w:r>
          </w:p>
        </w:tc>
        <w:tc>
          <w:tcPr>
            <w:tcW w:w="100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3.25 %</w:t>
            </w:r>
          </w:p>
        </w:tc>
        <w:tc>
          <w:tcPr>
            <w:tcW w:w="108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3.25 %</w:t>
            </w: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3.25 %</w:t>
            </w:r>
          </w:p>
        </w:tc>
        <w:tc>
          <w:tcPr>
            <w:tcW w:w="200" w:type="dxa"/>
            <w:vAlign w:val="bottom"/>
            <w:tcBorders>
              <w:bottom w:val="single" w:sz="8" w:color="888B8D"/>
            </w:tcBorders>
          </w:tcPr>
          <w:p>
            <w:pPr>
              <w:spacing w:after="0"/>
              <w:rPr>
                <w:sz w:val="10"/>
                <w:szCs w:val="10"/>
                <w:color w:val="auto"/>
              </w:rPr>
            </w:pPr>
          </w:p>
        </w:tc>
        <w:tc>
          <w:tcPr>
            <w:tcW w:w="30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2.68 %</w:t>
            </w:r>
          </w:p>
        </w:tc>
        <w:tc>
          <w:tcPr>
            <w:tcW w:w="114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2.69 %</w:t>
            </w:r>
          </w:p>
        </w:tc>
        <w:tc>
          <w:tcPr>
            <w:tcW w:w="8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2.56 %</w:t>
            </w:r>
          </w:p>
        </w:tc>
      </w:tr>
      <w:tr>
        <w:trPr>
          <w:trHeight w:val="124"/>
        </w:trPr>
        <w:tc>
          <w:tcPr>
            <w:tcW w:w="53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Actuarial assumptions used to determine net periodic benefit (income) cost for years ended December 31</w:t>
            </w:r>
          </w:p>
        </w:tc>
        <w:tc>
          <w:tcPr>
            <w:tcW w:w="1000" w:type="dxa"/>
            <w:vAlign w:val="bottom"/>
            <w:tcBorders>
              <w:bottom w:val="single" w:sz="8" w:color="888B8D"/>
            </w:tcBorders>
          </w:tcPr>
          <w:p>
            <w:pPr>
              <w:spacing w:after="0"/>
              <w:rPr>
                <w:sz w:val="10"/>
                <w:szCs w:val="10"/>
                <w:color w:val="auto"/>
              </w:rPr>
            </w:pPr>
          </w:p>
        </w:tc>
        <w:tc>
          <w:tcPr>
            <w:tcW w:w="108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30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spacing w:after="0"/>
              <w:rPr>
                <w:sz w:val="10"/>
                <w:szCs w:val="10"/>
                <w:color w:val="auto"/>
              </w:rPr>
            </w:pPr>
          </w:p>
        </w:tc>
        <w:tc>
          <w:tcPr>
            <w:tcW w:w="1140" w:type="dxa"/>
            <w:vAlign w:val="bottom"/>
            <w:tcBorders>
              <w:bottom w:val="single" w:sz="8" w:color="888B8D"/>
            </w:tcBorders>
          </w:tcPr>
          <w:p>
            <w:pPr>
              <w:spacing w:after="0"/>
              <w:rPr>
                <w:sz w:val="10"/>
                <w:szCs w:val="10"/>
                <w:color w:val="auto"/>
              </w:rPr>
            </w:pPr>
          </w:p>
        </w:tc>
        <w:tc>
          <w:tcPr>
            <w:tcW w:w="800" w:type="dxa"/>
            <w:vAlign w:val="bottom"/>
            <w:tcBorders>
              <w:bottom w:val="single" w:sz="8" w:color="888B8D"/>
            </w:tcBorders>
          </w:tcPr>
          <w:p>
            <w:pPr>
              <w:spacing w:after="0"/>
              <w:rPr>
                <w:sz w:val="10"/>
                <w:szCs w:val="10"/>
                <w:color w:val="auto"/>
              </w:rPr>
            </w:pPr>
          </w:p>
        </w:tc>
      </w:tr>
      <w:tr>
        <w:trPr>
          <w:trHeight w:val="124"/>
        </w:trPr>
        <w:tc>
          <w:tcPr>
            <w:tcW w:w="534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Discount rate—benefit obligation</w:t>
            </w:r>
          </w:p>
        </w:tc>
        <w:tc>
          <w:tcPr>
            <w:tcW w:w="100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5.17 %</w:t>
            </w:r>
          </w:p>
        </w:tc>
        <w:tc>
          <w:tcPr>
            <w:tcW w:w="108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2.87 %</w:t>
            </w: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2.50 %</w:t>
            </w:r>
          </w:p>
        </w:tc>
        <w:tc>
          <w:tcPr>
            <w:tcW w:w="200" w:type="dxa"/>
            <w:vAlign w:val="bottom"/>
            <w:tcBorders>
              <w:bottom w:val="single" w:sz="8" w:color="888B8D"/>
            </w:tcBorders>
          </w:tcPr>
          <w:p>
            <w:pPr>
              <w:spacing w:after="0"/>
              <w:rPr>
                <w:sz w:val="10"/>
                <w:szCs w:val="10"/>
                <w:color w:val="auto"/>
              </w:rPr>
            </w:pPr>
          </w:p>
        </w:tc>
        <w:tc>
          <w:tcPr>
            <w:tcW w:w="30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4.49 %</w:t>
            </w:r>
          </w:p>
        </w:tc>
        <w:tc>
          <w:tcPr>
            <w:tcW w:w="114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1.77 %</w:t>
            </w:r>
          </w:p>
        </w:tc>
        <w:tc>
          <w:tcPr>
            <w:tcW w:w="8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1.24 %</w:t>
            </w:r>
          </w:p>
        </w:tc>
      </w:tr>
      <w:tr>
        <w:trPr>
          <w:trHeight w:val="124"/>
        </w:trPr>
        <w:tc>
          <w:tcPr>
            <w:tcW w:w="534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Discount rate—service cost</w:t>
            </w:r>
          </w:p>
        </w:tc>
        <w:tc>
          <w:tcPr>
            <w:tcW w:w="100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5.26 %</w:t>
            </w:r>
          </w:p>
        </w:tc>
        <w:tc>
          <w:tcPr>
            <w:tcW w:w="108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2.98 %</w:t>
            </w: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2.68 %</w:t>
            </w:r>
          </w:p>
        </w:tc>
        <w:tc>
          <w:tcPr>
            <w:tcW w:w="200" w:type="dxa"/>
            <w:vAlign w:val="bottom"/>
            <w:tcBorders>
              <w:bottom w:val="single" w:sz="8" w:color="888B8D"/>
            </w:tcBorders>
          </w:tcPr>
          <w:p>
            <w:pPr>
              <w:spacing w:after="0"/>
              <w:rPr>
                <w:sz w:val="10"/>
                <w:szCs w:val="10"/>
                <w:color w:val="auto"/>
              </w:rPr>
            </w:pPr>
          </w:p>
        </w:tc>
        <w:tc>
          <w:tcPr>
            <w:tcW w:w="30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3.81 %</w:t>
            </w:r>
          </w:p>
        </w:tc>
        <w:tc>
          <w:tcPr>
            <w:tcW w:w="114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1.48 %</w:t>
            </w:r>
          </w:p>
        </w:tc>
        <w:tc>
          <w:tcPr>
            <w:tcW w:w="8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1.00 %</w:t>
            </w:r>
          </w:p>
        </w:tc>
      </w:tr>
      <w:tr>
        <w:trPr>
          <w:trHeight w:val="124"/>
        </w:trPr>
        <w:tc>
          <w:tcPr>
            <w:tcW w:w="534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Discount rate—interest cost</w:t>
            </w:r>
          </w:p>
        </w:tc>
        <w:tc>
          <w:tcPr>
            <w:tcW w:w="100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5.07 %</w:t>
            </w:r>
          </w:p>
        </w:tc>
        <w:tc>
          <w:tcPr>
            <w:tcW w:w="108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2.26 %</w:t>
            </w: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1.76 %</w:t>
            </w:r>
          </w:p>
        </w:tc>
        <w:tc>
          <w:tcPr>
            <w:tcW w:w="200" w:type="dxa"/>
            <w:vAlign w:val="bottom"/>
            <w:tcBorders>
              <w:bottom w:val="single" w:sz="8" w:color="888B8D"/>
            </w:tcBorders>
          </w:tcPr>
          <w:p>
            <w:pPr>
              <w:spacing w:after="0"/>
              <w:rPr>
                <w:sz w:val="10"/>
                <w:szCs w:val="10"/>
                <w:color w:val="auto"/>
              </w:rPr>
            </w:pPr>
          </w:p>
        </w:tc>
        <w:tc>
          <w:tcPr>
            <w:tcW w:w="30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4.56 %</w:t>
            </w:r>
          </w:p>
        </w:tc>
        <w:tc>
          <w:tcPr>
            <w:tcW w:w="114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1.59 %</w:t>
            </w:r>
          </w:p>
        </w:tc>
        <w:tc>
          <w:tcPr>
            <w:tcW w:w="8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1.00 %</w:t>
            </w:r>
          </w:p>
        </w:tc>
      </w:tr>
      <w:tr>
        <w:trPr>
          <w:trHeight w:val="124"/>
        </w:trPr>
        <w:tc>
          <w:tcPr>
            <w:tcW w:w="534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Expected rate of return on plan assets</w:t>
            </w:r>
          </w:p>
        </w:tc>
        <w:tc>
          <w:tcPr>
            <w:tcW w:w="100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6.75 %</w:t>
            </w:r>
          </w:p>
        </w:tc>
        <w:tc>
          <w:tcPr>
            <w:tcW w:w="108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6.40 %</w:t>
            </w: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6.15 %</w:t>
            </w:r>
          </w:p>
        </w:tc>
        <w:tc>
          <w:tcPr>
            <w:tcW w:w="200" w:type="dxa"/>
            <w:vAlign w:val="bottom"/>
            <w:tcBorders>
              <w:bottom w:val="single" w:sz="8" w:color="888B8D"/>
            </w:tcBorders>
          </w:tcPr>
          <w:p>
            <w:pPr>
              <w:spacing w:after="0"/>
              <w:rPr>
                <w:sz w:val="10"/>
                <w:szCs w:val="10"/>
                <w:color w:val="auto"/>
              </w:rPr>
            </w:pPr>
          </w:p>
        </w:tc>
        <w:tc>
          <w:tcPr>
            <w:tcW w:w="30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5.15 %</w:t>
            </w:r>
          </w:p>
        </w:tc>
        <w:tc>
          <w:tcPr>
            <w:tcW w:w="114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3.61 %</w:t>
            </w:r>
          </w:p>
        </w:tc>
        <w:tc>
          <w:tcPr>
            <w:tcW w:w="8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4.03 %</w:t>
            </w:r>
          </w:p>
        </w:tc>
      </w:tr>
      <w:tr>
        <w:trPr>
          <w:trHeight w:val="124"/>
        </w:trPr>
        <w:tc>
          <w:tcPr>
            <w:tcW w:w="534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Expected annual rate of compensation increase</w:t>
            </w:r>
          </w:p>
        </w:tc>
        <w:tc>
          <w:tcPr>
            <w:tcW w:w="100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3.25 %</w:t>
            </w:r>
          </w:p>
        </w:tc>
        <w:tc>
          <w:tcPr>
            <w:tcW w:w="108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color w:val="auto"/>
              </w:rPr>
              <w:t>3.25 %</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3.25 %</w:t>
            </w:r>
          </w:p>
        </w:tc>
        <w:tc>
          <w:tcPr>
            <w:tcW w:w="20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2.68 %</w:t>
            </w:r>
          </w:p>
        </w:tc>
        <w:tc>
          <w:tcPr>
            <w:tcW w:w="114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color w:val="auto"/>
              </w:rPr>
              <w:t>2.56 %</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2.43 %</w:t>
            </w:r>
          </w:p>
        </w:tc>
      </w:tr>
    </w:tbl>
    <w:p>
      <w:pPr>
        <w:spacing w:after="0" w:line="182"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8380" w:type="dxa"/>
            <w:vAlign w:val="bottom"/>
          </w:tcPr>
          <w:p>
            <w:pPr>
              <w:spacing w:after="0"/>
              <w:rPr>
                <w:sz w:val="11"/>
                <w:szCs w:val="11"/>
                <w:color w:val="auto"/>
              </w:rPr>
            </w:pPr>
          </w:p>
        </w:tc>
        <w:tc>
          <w:tcPr>
            <w:tcW w:w="2260" w:type="dxa"/>
            <w:vAlign w:val="bottom"/>
            <w:tcBorders>
              <w:bottom w:val="single" w:sz="8" w:color="D7282F"/>
            </w:tcBorders>
            <w:gridSpan w:val="2"/>
          </w:tcPr>
          <w:p>
            <w:pPr>
              <w:jc w:val="right"/>
              <w:ind w:right="72"/>
              <w:spacing w:after="0"/>
              <w:rPr>
                <w:sz w:val="20"/>
                <w:szCs w:val="20"/>
                <w:color w:val="auto"/>
              </w:rPr>
            </w:pPr>
            <w:r>
              <w:rPr>
                <w:rFonts w:ascii="Arial" w:cs="Arial" w:eastAsia="Arial" w:hAnsi="Arial"/>
                <w:sz w:val="10"/>
                <w:szCs w:val="10"/>
                <w:b w:val="1"/>
                <w:bCs w:val="1"/>
                <w:color w:val="auto"/>
              </w:rPr>
              <w:t>Other Postretirement Benefits</w:t>
            </w:r>
          </w:p>
        </w:tc>
        <w:tc>
          <w:tcPr>
            <w:tcW w:w="660" w:type="dxa"/>
            <w:vAlign w:val="bottom"/>
            <w:tcBorders>
              <w:bottom w:val="single" w:sz="8" w:color="D7282F"/>
            </w:tcBorders>
          </w:tcPr>
          <w:p>
            <w:pPr>
              <w:spacing w:after="0"/>
              <w:rPr>
                <w:sz w:val="11"/>
                <w:szCs w:val="11"/>
                <w:color w:val="auto"/>
              </w:rPr>
            </w:pPr>
          </w:p>
        </w:tc>
      </w:tr>
      <w:tr>
        <w:trPr>
          <w:trHeight w:val="151"/>
        </w:trPr>
        <w:tc>
          <w:tcPr>
            <w:tcW w:w="8380" w:type="dxa"/>
            <w:vAlign w:val="bottom"/>
            <w:tcBorders>
              <w:bottom w:val="single" w:sz="8" w:color="D7282F"/>
            </w:tcBorders>
          </w:tcPr>
          <w:p>
            <w:pPr>
              <w:spacing w:after="0"/>
              <w:rPr>
                <w:sz w:val="13"/>
                <w:szCs w:val="13"/>
                <w:color w:val="auto"/>
              </w:rPr>
            </w:pPr>
          </w:p>
        </w:tc>
        <w:tc>
          <w:tcPr>
            <w:tcW w:w="1080" w:type="dxa"/>
            <w:vAlign w:val="bottom"/>
            <w:tcBorders>
              <w:bottom w:val="single" w:sz="8" w:color="D7282F"/>
            </w:tcBorders>
          </w:tcPr>
          <w:p>
            <w:pPr>
              <w:jc w:val="right"/>
              <w:ind w:right="512"/>
              <w:spacing w:after="0"/>
              <w:rPr>
                <w:sz w:val="20"/>
                <w:szCs w:val="20"/>
                <w:color w:val="auto"/>
              </w:rPr>
            </w:pPr>
            <w:r>
              <w:rPr>
                <w:rFonts w:ascii="Arial" w:cs="Arial" w:eastAsia="Arial" w:hAnsi="Arial"/>
                <w:sz w:val="10"/>
                <w:szCs w:val="10"/>
                <w:b w:val="1"/>
                <w:bCs w:val="1"/>
                <w:color w:val="auto"/>
              </w:rPr>
              <w:t>2023</w:t>
            </w:r>
          </w:p>
        </w:tc>
        <w:tc>
          <w:tcPr>
            <w:tcW w:w="1180" w:type="dxa"/>
            <w:vAlign w:val="bottom"/>
            <w:tcBorders>
              <w:bottom w:val="single" w:sz="8" w:color="D7282F"/>
            </w:tcBorders>
          </w:tcPr>
          <w:p>
            <w:pPr>
              <w:jc w:val="right"/>
              <w:ind w:right="652"/>
              <w:spacing w:after="0"/>
              <w:rPr>
                <w:sz w:val="20"/>
                <w:szCs w:val="20"/>
                <w:color w:val="auto"/>
              </w:rPr>
            </w:pPr>
            <w:r>
              <w:rPr>
                <w:rFonts w:ascii="Arial" w:cs="Arial" w:eastAsia="Arial" w:hAnsi="Arial"/>
                <w:sz w:val="10"/>
                <w:szCs w:val="10"/>
                <w:b w:val="1"/>
                <w:bCs w:val="1"/>
                <w:color w:val="auto"/>
              </w:rPr>
              <w:t>2022</w:t>
            </w:r>
          </w:p>
        </w:tc>
        <w:tc>
          <w:tcPr>
            <w:tcW w:w="66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rPr>
              <w:t>2021</w:t>
            </w:r>
          </w:p>
        </w:tc>
      </w:tr>
      <w:tr>
        <w:trPr>
          <w:trHeight w:val="127"/>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Actuarial assumptions used to determine benefit obligations as of December 31</w:t>
            </w:r>
          </w:p>
        </w:tc>
        <w:tc>
          <w:tcPr>
            <w:tcW w:w="1080" w:type="dxa"/>
            <w:vAlign w:val="bottom"/>
            <w:tcBorders>
              <w:bottom w:val="single" w:sz="8" w:color="888B8D"/>
            </w:tcBorders>
          </w:tcPr>
          <w:p>
            <w:pPr>
              <w:spacing w:after="0"/>
              <w:rPr>
                <w:sz w:val="11"/>
                <w:szCs w:val="11"/>
                <w:color w:val="auto"/>
              </w:rPr>
            </w:pPr>
          </w:p>
        </w:tc>
        <w:tc>
          <w:tcPr>
            <w:tcW w:w="1180" w:type="dxa"/>
            <w:vAlign w:val="bottom"/>
            <w:tcBorders>
              <w:bottom w:val="single" w:sz="8" w:color="888B8D"/>
            </w:tcBorders>
          </w:tcPr>
          <w:p>
            <w:pPr>
              <w:spacing w:after="0"/>
              <w:rPr>
                <w:sz w:val="11"/>
                <w:szCs w:val="11"/>
                <w:color w:val="auto"/>
              </w:rPr>
            </w:pPr>
          </w:p>
        </w:tc>
        <w:tc>
          <w:tcPr>
            <w:tcW w:w="660" w:type="dxa"/>
            <w:vAlign w:val="bottom"/>
            <w:tcBorders>
              <w:bottom w:val="single" w:sz="8" w:color="888B8D"/>
            </w:tcBorders>
          </w:tcPr>
          <w:p>
            <w:pPr>
              <w:spacing w:after="0"/>
              <w:rPr>
                <w:sz w:val="11"/>
                <w:szCs w:val="11"/>
                <w:color w:val="auto"/>
              </w:rPr>
            </w:pPr>
          </w:p>
        </w:tc>
      </w:tr>
      <w:tr>
        <w:trPr>
          <w:trHeight w:val="124"/>
        </w:trPr>
        <w:tc>
          <w:tcPr>
            <w:tcW w:w="83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Discount rate</w:t>
            </w:r>
          </w:p>
        </w:tc>
        <w:tc>
          <w:tcPr>
            <w:tcW w:w="108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5.00 %</w:t>
            </w:r>
          </w:p>
        </w:tc>
        <w:tc>
          <w:tcPr>
            <w:tcW w:w="1180" w:type="dxa"/>
            <w:vAlign w:val="bottom"/>
            <w:tcBorders>
              <w:bottom w:val="single" w:sz="8" w:color="888B8D"/>
            </w:tcBorders>
          </w:tcPr>
          <w:p>
            <w:pPr>
              <w:jc w:val="right"/>
              <w:ind w:right="372"/>
              <w:spacing w:after="0"/>
              <w:rPr>
                <w:sz w:val="20"/>
                <w:szCs w:val="20"/>
                <w:color w:val="auto"/>
              </w:rPr>
            </w:pPr>
            <w:r>
              <w:rPr>
                <w:rFonts w:ascii="Arial" w:cs="Arial" w:eastAsia="Arial" w:hAnsi="Arial"/>
                <w:sz w:val="10"/>
                <w:szCs w:val="10"/>
                <w:color w:val="auto"/>
              </w:rPr>
              <w:t>5.32 %</w:t>
            </w: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2.66 %</w:t>
            </w:r>
          </w:p>
        </w:tc>
      </w:tr>
      <w:tr>
        <w:trPr>
          <w:trHeight w:val="124"/>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Actuarial assumptions used to determine net periodic benefit cost for years ended December 31</w:t>
            </w:r>
          </w:p>
        </w:tc>
        <w:tc>
          <w:tcPr>
            <w:tcW w:w="1080" w:type="dxa"/>
            <w:vAlign w:val="bottom"/>
            <w:tcBorders>
              <w:bottom w:val="single" w:sz="8" w:color="888B8D"/>
            </w:tcBorders>
          </w:tcPr>
          <w:p>
            <w:pPr>
              <w:spacing w:after="0"/>
              <w:rPr>
                <w:sz w:val="10"/>
                <w:szCs w:val="10"/>
                <w:color w:val="auto"/>
              </w:rPr>
            </w:pPr>
          </w:p>
        </w:tc>
        <w:tc>
          <w:tcPr>
            <w:tcW w:w="118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spacing w:after="0"/>
              <w:rPr>
                <w:sz w:val="10"/>
                <w:szCs w:val="10"/>
                <w:color w:val="auto"/>
              </w:rPr>
            </w:pPr>
          </w:p>
        </w:tc>
      </w:tr>
      <w:tr>
        <w:trPr>
          <w:trHeight w:val="124"/>
        </w:trPr>
        <w:tc>
          <w:tcPr>
            <w:tcW w:w="83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Discount rate</w:t>
            </w:r>
          </w:p>
        </w:tc>
        <w:tc>
          <w:tcPr>
            <w:tcW w:w="108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color w:val="auto"/>
              </w:rPr>
              <w:t>5.32 %</w:t>
            </w:r>
          </w:p>
        </w:tc>
        <w:tc>
          <w:tcPr>
            <w:tcW w:w="1180" w:type="dxa"/>
            <w:vAlign w:val="bottom"/>
            <w:tcBorders>
              <w:bottom w:val="single" w:sz="8" w:color="D7282F"/>
            </w:tcBorders>
          </w:tcPr>
          <w:p>
            <w:pPr>
              <w:jc w:val="right"/>
              <w:ind w:right="372"/>
              <w:spacing w:after="0"/>
              <w:rPr>
                <w:sz w:val="20"/>
                <w:szCs w:val="20"/>
                <w:color w:val="auto"/>
              </w:rPr>
            </w:pPr>
            <w:r>
              <w:rPr>
                <w:rFonts w:ascii="Arial" w:cs="Arial" w:eastAsia="Arial" w:hAnsi="Arial"/>
                <w:sz w:val="10"/>
                <w:szCs w:val="10"/>
                <w:color w:val="auto"/>
              </w:rPr>
              <w:t>2.66 %</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2.20 %</w:t>
            </w:r>
          </w:p>
        </w:tc>
      </w:tr>
    </w:tbl>
    <w:p>
      <w:pPr>
        <w:spacing w:after="0" w:line="126" w:lineRule="exact"/>
        <w:rPr>
          <w:sz w:val="20"/>
          <w:szCs w:val="20"/>
          <w:color w:val="auto"/>
        </w:rPr>
      </w:pPr>
    </w:p>
    <w:p>
      <w:pPr>
        <w:jc w:val="both"/>
        <w:ind w:left="8"/>
        <w:spacing w:after="0" w:line="249" w:lineRule="auto"/>
        <w:rPr>
          <w:sz w:val="20"/>
          <w:szCs w:val="20"/>
          <w:color w:val="auto"/>
        </w:rPr>
      </w:pPr>
      <w:r>
        <w:rPr>
          <w:rFonts w:ascii="Arial" w:cs="Arial" w:eastAsia="Arial" w:hAnsi="Arial"/>
          <w:sz w:val="11"/>
          <w:szCs w:val="11"/>
          <w:color w:val="auto"/>
        </w:rPr>
        <w:t>The discount rate for the Company's U.S. pension and other postretirement benefit plans reflects the current rate at which the associated liabilities could be settled at the measurement date of December 31. To determine discount rates for the Company's U.S. pension and other postretirement benefit plans, the Company uses a modeling process that involves matching the expected cash outflows of the Company's benefit plans to a yield curve constructed from a portfolio of high-quality, fixed income debt instruments. The Company uses the single weighted average yield of this hypothetical portfolio as a discount rate benchmark. The Company utilizes a full yield curve approach in the estimation of the service and interest cost components of net periodic pension benefit (income) for the Company's significant pension plans. This approach applies the specific spot rates along the yield curve used in the determination of the pension benefit obligation to their underlying projected cash flows and provides a more precise measurement of service and interest costs by improving the correlation between projected cash flows and their corresponding spot rates. For the Company's U.S. pension plans, the single weighted average spot rates used to determine service and interest costs for 2024 are 5.06% and 4.89%, respectively. The discount rate used to determine the other postretirement benefit obligation is higher principally due to a shorter expected duration of other postretirement plan obligations as compared to pension plan obligations.</w:t>
      </w:r>
    </w:p>
    <w:p>
      <w:pPr>
        <w:spacing w:after="0" w:line="53"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The Company plans to use an expected rate of return on U.S. plan assets of 7.00% for 2024, which represents an increase from the 6.75% assumption used for 2023. The Company's asset return assumption is based on historical plan asset returns over varying long-term periods combined with current market conditions and broad asset mix considerations with a focus on long-term trends rather than short-term market conditions. The Company reviews the expected rate of return on an annual basis and revises it as appropriate.</w:t>
      </w:r>
    </w:p>
    <w:p>
      <w:pPr>
        <w:spacing w:after="0" w:line="54" w:lineRule="exact"/>
        <w:rPr>
          <w:sz w:val="20"/>
          <w:szCs w:val="20"/>
          <w:color w:val="auto"/>
        </w:rPr>
      </w:pPr>
    </w:p>
    <w:p>
      <w:pPr>
        <w:ind w:left="8"/>
        <w:spacing w:after="0"/>
        <w:rPr>
          <w:sz w:val="20"/>
          <w:szCs w:val="20"/>
          <w:color w:val="auto"/>
        </w:rPr>
      </w:pPr>
      <w:r>
        <w:rPr>
          <w:rFonts w:ascii="Arial" w:cs="Arial" w:eastAsia="Arial" w:hAnsi="Arial"/>
          <w:sz w:val="11"/>
          <w:szCs w:val="11"/>
          <w:color w:val="auto"/>
        </w:rPr>
        <w:t>For non-U.S. benefit plans, actuarial assumptions reflect economic and market factors relevant to each country.</w:t>
      </w:r>
    </w:p>
    <w:p>
      <w:pPr>
        <w:spacing w:after="0" w:line="296" w:lineRule="exact"/>
        <w:rPr>
          <w:sz w:val="20"/>
          <w:szCs w:val="20"/>
          <w:color w:val="auto"/>
        </w:rPr>
      </w:pPr>
    </w:p>
    <w:p>
      <w:pPr>
        <w:ind w:left="328" w:hanging="328"/>
        <w:spacing w:after="0"/>
        <w:tabs>
          <w:tab w:leader="none" w:pos="328" w:val="left"/>
        </w:tabs>
        <w:numPr>
          <w:ilvl w:val="0"/>
          <w:numId w:val="150"/>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107" w:name="page108"/>
    <w:bookmarkEnd w:id="107"/>
    <w:tbl>
      <w:tblPr>
        <w:tblLayout w:type="fixed"/>
        <w:tblInd w:w="8" w:type="dxa"/>
        <w:tblCellMar>
          <w:top w:w="0" w:type="dxa"/>
          <w:left w:w="0" w:type="dxa"/>
          <w:bottom w:w="0" w:type="dxa"/>
          <w:right w:w="0" w:type="dxa"/>
        </w:tblCellMar>
      </w:tblPr>
      <w:tr>
        <w:trPr>
          <w:trHeight w:val="93"/>
        </w:trPr>
        <w:tc>
          <w:tcPr>
            <w:tcW w:w="2400" w:type="dxa"/>
            <w:vAlign w:val="bottom"/>
            <w:gridSpan w:val="2"/>
          </w:tcPr>
          <w:p>
            <w:pPr>
              <w:spacing w:after="0"/>
              <w:rPr>
                <w:sz w:val="20"/>
                <w:szCs w:val="20"/>
                <w:color w:val="auto"/>
              </w:rPr>
            </w:pPr>
            <w:r>
              <w:rPr>
                <w:rFonts w:ascii="Arial" w:cs="Arial" w:eastAsia="Arial" w:hAnsi="Arial"/>
                <w:sz w:val="8"/>
                <w:szCs w:val="8"/>
                <w:b w:val="1"/>
                <w:bCs w:val="1"/>
                <w:color w:val="0000FF"/>
              </w:rPr>
              <w:t>TABLE OF CONTENTS</w:t>
            </w:r>
          </w:p>
        </w:tc>
        <w:tc>
          <w:tcPr>
            <w:tcW w:w="8880" w:type="dxa"/>
            <w:vAlign w:val="bottom"/>
          </w:tcPr>
          <w:p>
            <w:pPr>
              <w:ind w:left="6640"/>
              <w:spacing w:after="0"/>
              <w:rPr>
                <w:sz w:val="20"/>
                <w:szCs w:val="20"/>
                <w:color w:val="auto"/>
              </w:rPr>
            </w:pPr>
            <w:r>
              <w:rPr>
                <w:rFonts w:ascii="Arial" w:cs="Arial" w:eastAsia="Arial" w:hAnsi="Arial"/>
                <w:sz w:val="8"/>
                <w:szCs w:val="8"/>
                <w:b w:val="1"/>
                <w:bCs w:val="1"/>
                <w:color w:val="D7282F"/>
              </w:rPr>
              <w:t>FINANCIAL STATEMENTS AND SUPPLEMENTARY DATA</w:t>
            </w:r>
          </w:p>
        </w:tc>
      </w:tr>
      <w:tr>
        <w:trPr>
          <w:trHeight w:val="250"/>
        </w:trPr>
        <w:tc>
          <w:tcPr>
            <w:tcW w:w="900" w:type="dxa"/>
            <w:vAlign w:val="bottom"/>
            <w:tcBorders>
              <w:top w:val="single" w:sz="8" w:color="0000FF"/>
            </w:tcBorders>
          </w:tcPr>
          <w:p>
            <w:pPr>
              <w:spacing w:after="0"/>
              <w:rPr>
                <w:sz w:val="21"/>
                <w:szCs w:val="21"/>
                <w:color w:val="auto"/>
              </w:rPr>
            </w:pPr>
          </w:p>
        </w:tc>
        <w:tc>
          <w:tcPr>
            <w:tcW w:w="1500" w:type="dxa"/>
            <w:vAlign w:val="bottom"/>
          </w:tcPr>
          <w:p>
            <w:pPr>
              <w:spacing w:after="0"/>
              <w:rPr>
                <w:sz w:val="21"/>
                <w:szCs w:val="21"/>
                <w:color w:val="auto"/>
              </w:rPr>
            </w:pPr>
          </w:p>
        </w:tc>
        <w:tc>
          <w:tcPr>
            <w:tcW w:w="8880" w:type="dxa"/>
            <w:vAlign w:val="bottom"/>
          </w:tcPr>
          <w:p>
            <w:pPr>
              <w:jc w:val="center"/>
              <w:ind w:right="2349"/>
              <w:spacing w:after="0"/>
              <w:rPr>
                <w:sz w:val="20"/>
                <w:szCs w:val="20"/>
                <w:color w:val="auto"/>
              </w:rPr>
            </w:pPr>
            <w:r>
              <w:rPr>
                <w:rFonts w:ascii="Arial" w:cs="Arial" w:eastAsia="Arial" w:hAnsi="Arial"/>
                <w:sz w:val="11"/>
                <w:szCs w:val="11"/>
                <w:b w:val="1"/>
                <w:bCs w:val="1"/>
                <w:color w:val="auto"/>
                <w:w w:val="97"/>
              </w:rPr>
              <w:t>HONEYWELL INTERNATIONAL INC.</w:t>
            </w:r>
          </w:p>
        </w:tc>
      </w:tr>
      <w:tr>
        <w:trPr>
          <w:trHeight w:val="126"/>
        </w:trPr>
        <w:tc>
          <w:tcPr>
            <w:tcW w:w="9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880" w:type="dxa"/>
            <w:vAlign w:val="bottom"/>
          </w:tcPr>
          <w:p>
            <w:pPr>
              <w:jc w:val="center"/>
              <w:ind w:right="2329"/>
              <w:spacing w:after="0"/>
              <w:rPr>
                <w:sz w:val="20"/>
                <w:szCs w:val="20"/>
                <w:color w:val="auto"/>
              </w:rPr>
            </w:pPr>
            <w:r>
              <w:rPr>
                <w:rFonts w:ascii="Arial" w:cs="Arial" w:eastAsia="Arial" w:hAnsi="Arial"/>
                <w:sz w:val="11"/>
                <w:szCs w:val="11"/>
                <w:b w:val="1"/>
                <w:bCs w:val="1"/>
                <w:color w:val="auto"/>
                <w:w w:val="97"/>
              </w:rPr>
              <w:t>NOTES TO CONSOLIDATED FINANCIAL STATEMENTS—(Continued)</w:t>
            </w:r>
          </w:p>
        </w:tc>
      </w:tr>
      <w:tr>
        <w:trPr>
          <w:trHeight w:val="148"/>
        </w:trPr>
        <w:tc>
          <w:tcPr>
            <w:tcW w:w="9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80" w:type="dxa"/>
            <w:vAlign w:val="bottom"/>
          </w:tcPr>
          <w:p>
            <w:pPr>
              <w:jc w:val="center"/>
              <w:ind w:right="2349"/>
              <w:spacing w:after="0"/>
              <w:rPr>
                <w:sz w:val="20"/>
                <w:szCs w:val="20"/>
                <w:color w:val="auto"/>
              </w:rPr>
            </w:pPr>
            <w:r>
              <w:rPr>
                <w:rFonts w:ascii="Arial" w:cs="Arial" w:eastAsia="Arial" w:hAnsi="Arial"/>
                <w:sz w:val="11"/>
                <w:szCs w:val="11"/>
                <w:b w:val="1"/>
                <w:bCs w:val="1"/>
                <w:color w:val="auto"/>
                <w:w w:val="98"/>
              </w:rPr>
              <w:t>(Dollars in tables in millions, except per share amounts)</w:t>
            </w:r>
          </w:p>
        </w:tc>
      </w:tr>
    </w:tbl>
    <w:p>
      <w:pPr>
        <w:spacing w:after="0" w:line="368"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PENSION BENEFITS</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amounts relate to the Company's significant pension plans with accumulated benefit obligations exceeding the fair value of plan assets:</w:t>
      </w:r>
    </w:p>
    <w:p>
      <w:pPr>
        <w:spacing w:after="0" w:line="127"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7600" w:type="dxa"/>
            <w:vAlign w:val="bottom"/>
          </w:tcPr>
          <w:p>
            <w:pPr>
              <w:spacing w:after="0"/>
              <w:rPr>
                <w:sz w:val="11"/>
                <w:szCs w:val="11"/>
                <w:color w:val="auto"/>
              </w:rPr>
            </w:pPr>
          </w:p>
        </w:tc>
        <w:tc>
          <w:tcPr>
            <w:tcW w:w="180" w:type="dxa"/>
            <w:vAlign w:val="bottom"/>
            <w:tcBorders>
              <w:bottom w:val="single" w:sz="8" w:color="D7282F"/>
            </w:tcBorders>
          </w:tcPr>
          <w:p>
            <w:pPr>
              <w:spacing w:after="0"/>
              <w:rPr>
                <w:sz w:val="11"/>
                <w:szCs w:val="11"/>
                <w:color w:val="auto"/>
              </w:rPr>
            </w:pPr>
          </w:p>
        </w:tc>
        <w:tc>
          <w:tcPr>
            <w:tcW w:w="680" w:type="dxa"/>
            <w:vAlign w:val="bottom"/>
            <w:tcBorders>
              <w:bottom w:val="single" w:sz="8" w:color="D7282F"/>
            </w:tcBorders>
          </w:tcPr>
          <w:p>
            <w:pPr>
              <w:spacing w:after="0"/>
              <w:rPr>
                <w:sz w:val="11"/>
                <w:szCs w:val="11"/>
                <w:color w:val="auto"/>
              </w:rPr>
            </w:pPr>
          </w:p>
        </w:tc>
        <w:tc>
          <w:tcPr>
            <w:tcW w:w="320" w:type="dxa"/>
            <w:vAlign w:val="bottom"/>
            <w:tcBorders>
              <w:bottom w:val="single" w:sz="8" w:color="D7282F"/>
            </w:tcBorders>
          </w:tcPr>
          <w:p>
            <w:pPr>
              <w:spacing w:after="0"/>
              <w:rPr>
                <w:sz w:val="11"/>
                <w:szCs w:val="11"/>
                <w:color w:val="auto"/>
              </w:rPr>
            </w:pPr>
          </w:p>
        </w:tc>
        <w:tc>
          <w:tcPr>
            <w:tcW w:w="1280" w:type="dxa"/>
            <w:vAlign w:val="bottom"/>
            <w:tcBorders>
              <w:bottom w:val="single" w:sz="8" w:color="D7282F"/>
            </w:tcBorders>
            <w:gridSpan w:val="3"/>
          </w:tcPr>
          <w:p>
            <w:pPr>
              <w:jc w:val="right"/>
              <w:ind w:right="252"/>
              <w:spacing w:after="0"/>
              <w:rPr>
                <w:sz w:val="20"/>
                <w:szCs w:val="20"/>
                <w:color w:val="auto"/>
              </w:rPr>
            </w:pPr>
            <w:r>
              <w:rPr>
                <w:rFonts w:ascii="Arial" w:cs="Arial" w:eastAsia="Arial" w:hAnsi="Arial"/>
                <w:sz w:val="10"/>
                <w:szCs w:val="10"/>
                <w:b w:val="1"/>
                <w:bCs w:val="1"/>
                <w:color w:val="auto"/>
              </w:rPr>
              <w:t>December 31,</w:t>
            </w:r>
          </w:p>
        </w:tc>
        <w:tc>
          <w:tcPr>
            <w:tcW w:w="340" w:type="dxa"/>
            <w:vAlign w:val="bottom"/>
            <w:tcBorders>
              <w:bottom w:val="single" w:sz="8" w:color="D7282F"/>
            </w:tcBorders>
          </w:tcPr>
          <w:p>
            <w:pPr>
              <w:spacing w:after="0"/>
              <w:rPr>
                <w:sz w:val="11"/>
                <w:szCs w:val="11"/>
                <w:color w:val="auto"/>
              </w:rPr>
            </w:pPr>
          </w:p>
        </w:tc>
        <w:tc>
          <w:tcPr>
            <w:tcW w:w="380" w:type="dxa"/>
            <w:vAlign w:val="bottom"/>
            <w:tcBorders>
              <w:bottom w:val="single" w:sz="8" w:color="D7282F"/>
            </w:tcBorders>
          </w:tcPr>
          <w:p>
            <w:pPr>
              <w:spacing w:after="0"/>
              <w:rPr>
                <w:sz w:val="11"/>
                <w:szCs w:val="11"/>
                <w:color w:val="auto"/>
              </w:rPr>
            </w:pPr>
          </w:p>
        </w:tc>
        <w:tc>
          <w:tcPr>
            <w:tcW w:w="520" w:type="dxa"/>
            <w:vAlign w:val="bottom"/>
            <w:tcBorders>
              <w:bottom w:val="single" w:sz="8" w:color="D7282F"/>
            </w:tcBorders>
          </w:tcPr>
          <w:p>
            <w:pPr>
              <w:spacing w:after="0"/>
              <w:rPr>
                <w:sz w:val="11"/>
                <w:szCs w:val="11"/>
                <w:color w:val="auto"/>
              </w:rPr>
            </w:pPr>
          </w:p>
        </w:tc>
      </w:tr>
      <w:tr>
        <w:trPr>
          <w:trHeight w:val="151"/>
        </w:trPr>
        <w:tc>
          <w:tcPr>
            <w:tcW w:w="7600" w:type="dxa"/>
            <w:vAlign w:val="bottom"/>
          </w:tcPr>
          <w:p>
            <w:pPr>
              <w:spacing w:after="0"/>
              <w:rPr>
                <w:sz w:val="13"/>
                <w:szCs w:val="13"/>
                <w:color w:val="auto"/>
              </w:rPr>
            </w:pPr>
          </w:p>
        </w:tc>
        <w:tc>
          <w:tcPr>
            <w:tcW w:w="180" w:type="dxa"/>
            <w:vAlign w:val="bottom"/>
            <w:tcBorders>
              <w:bottom w:val="single" w:sz="8" w:color="D7282F"/>
            </w:tcBorders>
          </w:tcPr>
          <w:p>
            <w:pPr>
              <w:spacing w:after="0"/>
              <w:rPr>
                <w:sz w:val="13"/>
                <w:szCs w:val="13"/>
                <w:color w:val="auto"/>
              </w:rPr>
            </w:pPr>
          </w:p>
        </w:tc>
        <w:tc>
          <w:tcPr>
            <w:tcW w:w="1000" w:type="dxa"/>
            <w:vAlign w:val="bottom"/>
            <w:tcBorders>
              <w:bottom w:val="single" w:sz="8" w:color="D7282F"/>
            </w:tcBorders>
            <w:gridSpan w:val="2"/>
          </w:tcPr>
          <w:p>
            <w:pPr>
              <w:jc w:val="right"/>
              <w:ind w:right="32"/>
              <w:spacing w:after="0"/>
              <w:rPr>
                <w:sz w:val="20"/>
                <w:szCs w:val="20"/>
                <w:color w:val="auto"/>
              </w:rPr>
            </w:pPr>
            <w:r>
              <w:rPr>
                <w:rFonts w:ascii="Arial" w:cs="Arial" w:eastAsia="Arial" w:hAnsi="Arial"/>
                <w:sz w:val="10"/>
                <w:szCs w:val="10"/>
                <w:b w:val="1"/>
                <w:bCs w:val="1"/>
                <w:color w:val="auto"/>
              </w:rPr>
              <w:t>U.S. Plans</w:t>
            </w:r>
          </w:p>
        </w:tc>
        <w:tc>
          <w:tcPr>
            <w:tcW w:w="560" w:type="dxa"/>
            <w:vAlign w:val="bottom"/>
            <w:tcBorders>
              <w:bottom w:val="single" w:sz="8" w:color="D7282F"/>
            </w:tcBorders>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Borders>
              <w:bottom w:val="single" w:sz="8" w:color="D7282F"/>
            </w:tcBorders>
          </w:tcPr>
          <w:p>
            <w:pPr>
              <w:spacing w:after="0"/>
              <w:rPr>
                <w:sz w:val="13"/>
                <w:szCs w:val="13"/>
                <w:color w:val="auto"/>
              </w:rPr>
            </w:pPr>
          </w:p>
        </w:tc>
        <w:tc>
          <w:tcPr>
            <w:tcW w:w="720" w:type="dxa"/>
            <w:vAlign w:val="bottom"/>
            <w:tcBorders>
              <w:bottom w:val="single" w:sz="8" w:color="D7282F"/>
            </w:tcBorders>
            <w:gridSpan w:val="2"/>
          </w:tcPr>
          <w:p>
            <w:pPr>
              <w:jc w:val="right"/>
              <w:spacing w:after="0"/>
              <w:rPr>
                <w:sz w:val="20"/>
                <w:szCs w:val="20"/>
                <w:color w:val="auto"/>
              </w:rPr>
            </w:pPr>
            <w:r>
              <w:rPr>
                <w:rFonts w:ascii="Arial" w:cs="Arial" w:eastAsia="Arial" w:hAnsi="Arial"/>
                <w:sz w:val="10"/>
                <w:szCs w:val="10"/>
                <w:b w:val="1"/>
                <w:bCs w:val="1"/>
                <w:color w:val="auto"/>
                <w:w w:val="94"/>
              </w:rPr>
              <w:t>Non-U.S. Plans</w:t>
            </w:r>
          </w:p>
        </w:tc>
        <w:tc>
          <w:tcPr>
            <w:tcW w:w="520" w:type="dxa"/>
            <w:vAlign w:val="bottom"/>
            <w:tcBorders>
              <w:bottom w:val="single" w:sz="8" w:color="D7282F"/>
            </w:tcBorders>
          </w:tcPr>
          <w:p>
            <w:pPr>
              <w:spacing w:after="0"/>
              <w:rPr>
                <w:sz w:val="13"/>
                <w:szCs w:val="13"/>
                <w:color w:val="auto"/>
              </w:rPr>
            </w:pPr>
          </w:p>
        </w:tc>
      </w:tr>
      <w:tr>
        <w:trPr>
          <w:trHeight w:val="151"/>
        </w:trPr>
        <w:tc>
          <w:tcPr>
            <w:tcW w:w="7600" w:type="dxa"/>
            <w:vAlign w:val="bottom"/>
            <w:tcBorders>
              <w:bottom w:val="single" w:sz="8" w:color="D7282F"/>
            </w:tcBorders>
          </w:tcPr>
          <w:p>
            <w:pPr>
              <w:spacing w:after="0"/>
              <w:rPr>
                <w:sz w:val="13"/>
                <w:szCs w:val="13"/>
                <w:color w:val="auto"/>
              </w:rPr>
            </w:pPr>
          </w:p>
        </w:tc>
        <w:tc>
          <w:tcPr>
            <w:tcW w:w="18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2023</w:t>
            </w:r>
          </w:p>
        </w:tc>
        <w:tc>
          <w:tcPr>
            <w:tcW w:w="320" w:type="dxa"/>
            <w:vAlign w:val="bottom"/>
            <w:tcBorders>
              <w:bottom w:val="single" w:sz="8" w:color="D7282F"/>
            </w:tcBorders>
          </w:tcPr>
          <w:p>
            <w:pPr>
              <w:spacing w:after="0"/>
              <w:rPr>
                <w:sz w:val="13"/>
                <w:szCs w:val="13"/>
                <w:color w:val="auto"/>
              </w:rPr>
            </w:pPr>
          </w:p>
        </w:tc>
        <w:tc>
          <w:tcPr>
            <w:tcW w:w="56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2022</w:t>
            </w:r>
          </w:p>
        </w:tc>
        <w:tc>
          <w:tcPr>
            <w:tcW w:w="200" w:type="dxa"/>
            <w:vAlign w:val="bottom"/>
            <w:tcBorders>
              <w:bottom w:val="single" w:sz="8" w:color="D7282F"/>
            </w:tcBorders>
          </w:tcPr>
          <w:p>
            <w:pPr>
              <w:spacing w:after="0"/>
              <w:rPr>
                <w:sz w:val="13"/>
                <w:szCs w:val="13"/>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2023</w:t>
            </w:r>
          </w:p>
        </w:tc>
        <w:tc>
          <w:tcPr>
            <w:tcW w:w="340" w:type="dxa"/>
            <w:vAlign w:val="bottom"/>
            <w:tcBorders>
              <w:bottom w:val="single" w:sz="8" w:color="D7282F"/>
            </w:tcBorders>
          </w:tcPr>
          <w:p>
            <w:pPr>
              <w:spacing w:after="0"/>
              <w:rPr>
                <w:sz w:val="13"/>
                <w:szCs w:val="13"/>
                <w:color w:val="auto"/>
              </w:rPr>
            </w:pPr>
          </w:p>
        </w:tc>
        <w:tc>
          <w:tcPr>
            <w:tcW w:w="380" w:type="dxa"/>
            <w:vAlign w:val="bottom"/>
            <w:tcBorders>
              <w:bottom w:val="single" w:sz="8" w:color="D7282F"/>
            </w:tcBorders>
          </w:tcPr>
          <w:p>
            <w:pPr>
              <w:spacing w:after="0"/>
              <w:rPr>
                <w:sz w:val="13"/>
                <w:szCs w:val="13"/>
                <w:color w:val="auto"/>
              </w:rPr>
            </w:pPr>
          </w:p>
        </w:tc>
        <w:tc>
          <w:tcPr>
            <w:tcW w:w="52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w w:val="98"/>
              </w:rPr>
              <w:t>2022</w:t>
            </w:r>
          </w:p>
        </w:tc>
      </w:tr>
      <w:tr>
        <w:trPr>
          <w:trHeight w:val="127"/>
        </w:trPr>
        <w:tc>
          <w:tcPr>
            <w:tcW w:w="76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Projected benefit obligation</w:t>
            </w:r>
          </w:p>
        </w:tc>
        <w:tc>
          <w:tcPr>
            <w:tcW w:w="18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251</w:t>
            </w:r>
          </w:p>
        </w:tc>
        <w:tc>
          <w:tcPr>
            <w:tcW w:w="3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255</w:t>
            </w:r>
          </w:p>
        </w:tc>
        <w:tc>
          <w:tcPr>
            <w:tcW w:w="200" w:type="dxa"/>
            <w:vAlign w:val="bottom"/>
            <w:tcBorders>
              <w:bottom w:val="single" w:sz="8" w:color="888B8D"/>
            </w:tcBorders>
          </w:tcPr>
          <w:p>
            <w:pPr>
              <w:spacing w:after="0"/>
              <w:rPr>
                <w:sz w:val="11"/>
                <w:szCs w:val="11"/>
                <w:color w:val="auto"/>
              </w:rPr>
            </w:pPr>
          </w:p>
        </w:tc>
        <w:tc>
          <w:tcPr>
            <w:tcW w:w="520" w:type="dxa"/>
            <w:vAlign w:val="bottom"/>
            <w:tcBorders>
              <w:bottom w:val="single" w:sz="8" w:color="888B8D"/>
            </w:tcBorders>
          </w:tcPr>
          <w:p>
            <w:pPr>
              <w:jc w:val="right"/>
              <w:ind w:right="39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753</w:t>
            </w:r>
          </w:p>
        </w:tc>
        <w:tc>
          <w:tcPr>
            <w:tcW w:w="38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682</w:t>
            </w:r>
          </w:p>
        </w:tc>
      </w:tr>
      <w:tr>
        <w:trPr>
          <w:trHeight w:val="124"/>
        </w:trPr>
        <w:tc>
          <w:tcPr>
            <w:tcW w:w="76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Accumulated benefit obligation</w:t>
            </w:r>
          </w:p>
        </w:tc>
        <w:tc>
          <w:tcPr>
            <w:tcW w:w="18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249</w:t>
            </w:r>
          </w:p>
        </w:tc>
        <w:tc>
          <w:tcPr>
            <w:tcW w:w="32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253</w:t>
            </w:r>
          </w:p>
        </w:tc>
        <w:tc>
          <w:tcPr>
            <w:tcW w:w="20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spacing w:after="0"/>
              <w:rPr>
                <w:sz w:val="10"/>
                <w:szCs w:val="10"/>
                <w:color w:val="auto"/>
              </w:rPr>
            </w:pPr>
          </w:p>
        </w:tc>
        <w:tc>
          <w:tcPr>
            <w:tcW w:w="3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736</w:t>
            </w:r>
          </w:p>
        </w:tc>
        <w:tc>
          <w:tcPr>
            <w:tcW w:w="38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664</w:t>
            </w:r>
          </w:p>
        </w:tc>
      </w:tr>
      <w:tr>
        <w:trPr>
          <w:trHeight w:val="124"/>
        </w:trPr>
        <w:tc>
          <w:tcPr>
            <w:tcW w:w="760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Fair value of plan assets</w:t>
            </w:r>
          </w:p>
        </w:tc>
        <w:tc>
          <w:tcPr>
            <w:tcW w:w="18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249</w:t>
            </w:r>
          </w:p>
        </w:tc>
        <w:tc>
          <w:tcPr>
            <w:tcW w:w="38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230</w:t>
            </w:r>
          </w:p>
        </w:tc>
      </w:tr>
    </w:tbl>
    <w:p>
      <w:pPr>
        <w:spacing w:after="0" w:line="126"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The accumulated benefit obligation for the Company's U.S. defined benefit pension plans was $12.8 billion and $13.3 billion and for the Company's non-U.S. defined benefit pension plans was $4.7 billion and $4.4 billion at December 31, 2023, and 2022, respectively.</w:t>
      </w:r>
    </w:p>
    <w:p>
      <w:pPr>
        <w:spacing w:after="0" w:line="51"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The Company's asset investment strategy for its U.S. pension plans focuses on maintaining a diversified portfolio using various asset classes in order to achieve the Company's long-term investment objectives on a risk adjusted basis. The Company's long-term target allocations are as follows: 45%-65% fixed income securities and cash, 25%-40% equity securities, 5%-10% real estate investments, and 10%-20% other types of investments. Equity securities include publicly-traded stock of companies located inside the United States. Fixed income securities include corporate bonds of companies from diversified industries, mortgage-backed securities, and U.S. Treasuries. Real estate investments include direct investments in commercial properties and investments in real estate funds. Other types of investments include investments in private equity that follow several different strategies. The Company reviews its assets on a regular basis to ensure that the Company is within the targeted asset allocation ranges and, if necessary, asset balances are adjusted back within target allocations.</w:t>
      </w:r>
    </w:p>
    <w:p>
      <w:pPr>
        <w:spacing w:after="0" w:line="61" w:lineRule="exact"/>
        <w:rPr>
          <w:sz w:val="20"/>
          <w:szCs w:val="20"/>
          <w:color w:val="auto"/>
        </w:rPr>
      </w:pPr>
    </w:p>
    <w:p>
      <w:pPr>
        <w:jc w:val="both"/>
        <w:ind w:left="8" w:right="20"/>
        <w:spacing w:after="0" w:line="268" w:lineRule="auto"/>
        <w:rPr>
          <w:sz w:val="20"/>
          <w:szCs w:val="20"/>
          <w:color w:val="auto"/>
        </w:rPr>
      </w:pPr>
      <w:r>
        <w:rPr>
          <w:rFonts w:ascii="Arial" w:cs="Arial" w:eastAsia="Arial" w:hAnsi="Arial"/>
          <w:sz w:val="11"/>
          <w:szCs w:val="11"/>
          <w:color w:val="auto"/>
        </w:rPr>
        <w:t>The Company's non-U.S. pension assets are typically managed by decentralized fiduciary committees with the Honeywell Corporate Investments group providing investment guidance. The Company's non-U.S. investment policies are different for each country as local regulations and financial and tax considerations are part of the funding and investment allocation process in each country.</w:t>
      </w:r>
    </w:p>
    <w:p>
      <w:pPr>
        <w:spacing w:after="0" w:line="51"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In accordance with Accounting Standards Codification “Fair Value Measurement (Topic 820)”, certain investments that are measured at fair value using the net asset value (NAV) per share (or its equivalent) practical expedient have not been classified in the fair value hierarchy. The fair value amounts presented in the following tables are intended to permit reconciliation of the fair value hierarchy to the amounts presented for the total pension benefits plan assets.</w:t>
      </w:r>
    </w:p>
    <w:p>
      <w:pPr>
        <w:spacing w:after="0" w:line="266" w:lineRule="exact"/>
        <w:rPr>
          <w:sz w:val="20"/>
          <w:szCs w:val="20"/>
          <w:color w:val="auto"/>
        </w:rPr>
      </w:pPr>
    </w:p>
    <w:p>
      <w:pPr>
        <w:ind w:left="328" w:hanging="328"/>
        <w:spacing w:after="0"/>
        <w:tabs>
          <w:tab w:leader="none" w:pos="328" w:val="left"/>
        </w:tabs>
        <w:numPr>
          <w:ilvl w:val="0"/>
          <w:numId w:val="151"/>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108" w:name="page109"/>
    <w:bookmarkEnd w:id="108"/>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spacing w:after="0"/>
        <w:rPr>
          <w:sz w:val="20"/>
          <w:szCs w:val="20"/>
          <w:color w:val="auto"/>
        </w:rPr>
      </w:pPr>
      <w:r>
        <w:rPr>
          <w:rFonts w:ascii="Arial" w:cs="Arial" w:eastAsia="Arial" w:hAnsi="Arial"/>
          <w:sz w:val="11"/>
          <w:szCs w:val="11"/>
          <w:color w:val="auto"/>
        </w:rPr>
        <w:t>The fair values of both the Company's U.S. and non-U.S. pension plans assets by asset category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7600" w:type="dxa"/>
            <w:vAlign w:val="bottom"/>
          </w:tcPr>
          <w:p>
            <w:pPr>
              <w:spacing w:after="0"/>
              <w:rPr>
                <w:sz w:val="11"/>
                <w:szCs w:val="11"/>
                <w:color w:val="auto"/>
              </w:rPr>
            </w:pPr>
          </w:p>
        </w:tc>
        <w:tc>
          <w:tcPr>
            <w:tcW w:w="180" w:type="dxa"/>
            <w:vAlign w:val="bottom"/>
            <w:tcBorders>
              <w:bottom w:val="single" w:sz="8" w:color="D7282F"/>
            </w:tcBorders>
          </w:tcPr>
          <w:p>
            <w:pPr>
              <w:spacing w:after="0"/>
              <w:rPr>
                <w:sz w:val="11"/>
                <w:szCs w:val="11"/>
                <w:color w:val="auto"/>
              </w:rPr>
            </w:pPr>
          </w:p>
        </w:tc>
        <w:tc>
          <w:tcPr>
            <w:tcW w:w="580" w:type="dxa"/>
            <w:vAlign w:val="bottom"/>
            <w:tcBorders>
              <w:bottom w:val="single" w:sz="8" w:color="D7282F"/>
            </w:tcBorders>
          </w:tcPr>
          <w:p>
            <w:pPr>
              <w:spacing w:after="0"/>
              <w:rPr>
                <w:sz w:val="11"/>
                <w:szCs w:val="11"/>
                <w:color w:val="auto"/>
              </w:rPr>
            </w:pPr>
          </w:p>
        </w:tc>
        <w:tc>
          <w:tcPr>
            <w:tcW w:w="220" w:type="dxa"/>
            <w:vAlign w:val="bottom"/>
            <w:tcBorders>
              <w:bottom w:val="single" w:sz="8" w:color="D7282F"/>
            </w:tcBorders>
          </w:tcPr>
          <w:p>
            <w:pPr>
              <w:spacing w:after="0"/>
              <w:rPr>
                <w:sz w:val="11"/>
                <w:szCs w:val="11"/>
                <w:color w:val="auto"/>
              </w:rPr>
            </w:pPr>
          </w:p>
        </w:tc>
        <w:tc>
          <w:tcPr>
            <w:tcW w:w="140" w:type="dxa"/>
            <w:vAlign w:val="bottom"/>
            <w:tcBorders>
              <w:bottom w:val="single" w:sz="8" w:color="D7282F"/>
            </w:tcBorders>
          </w:tcPr>
          <w:p>
            <w:pPr>
              <w:spacing w:after="0"/>
              <w:rPr>
                <w:sz w:val="11"/>
                <w:szCs w:val="11"/>
                <w:color w:val="auto"/>
              </w:rPr>
            </w:pPr>
          </w:p>
        </w:tc>
        <w:tc>
          <w:tcPr>
            <w:tcW w:w="1000" w:type="dxa"/>
            <w:vAlign w:val="bottom"/>
            <w:tcBorders>
              <w:bottom w:val="single" w:sz="8" w:color="D7282F"/>
            </w:tcBorders>
            <w:gridSpan w:val="3"/>
          </w:tcPr>
          <w:p>
            <w:pPr>
              <w:jc w:val="center"/>
              <w:ind w:left="412"/>
              <w:spacing w:after="0"/>
              <w:rPr>
                <w:sz w:val="20"/>
                <w:szCs w:val="20"/>
                <w:color w:val="auto"/>
              </w:rPr>
            </w:pPr>
            <w:r>
              <w:rPr>
                <w:rFonts w:ascii="Arial" w:cs="Arial" w:eastAsia="Arial" w:hAnsi="Arial"/>
                <w:sz w:val="10"/>
                <w:szCs w:val="10"/>
                <w:b w:val="1"/>
                <w:bCs w:val="1"/>
                <w:color w:val="auto"/>
                <w:w w:val="93"/>
              </w:rPr>
              <w:t>U.S. Plans</w:t>
            </w:r>
          </w:p>
        </w:tc>
        <w:tc>
          <w:tcPr>
            <w:tcW w:w="580" w:type="dxa"/>
            <w:vAlign w:val="bottom"/>
            <w:tcBorders>
              <w:bottom w:val="single" w:sz="8" w:color="D7282F"/>
            </w:tcBorders>
          </w:tcPr>
          <w:p>
            <w:pPr>
              <w:spacing w:after="0"/>
              <w:rPr>
                <w:sz w:val="11"/>
                <w:szCs w:val="11"/>
                <w:color w:val="auto"/>
              </w:rPr>
            </w:pPr>
          </w:p>
        </w:tc>
        <w:tc>
          <w:tcPr>
            <w:tcW w:w="220" w:type="dxa"/>
            <w:vAlign w:val="bottom"/>
            <w:tcBorders>
              <w:bottom w:val="single" w:sz="8" w:color="D7282F"/>
            </w:tcBorders>
          </w:tcPr>
          <w:p>
            <w:pPr>
              <w:spacing w:after="0"/>
              <w:rPr>
                <w:sz w:val="11"/>
                <w:szCs w:val="11"/>
                <w:color w:val="auto"/>
              </w:rPr>
            </w:pPr>
          </w:p>
        </w:tc>
        <w:tc>
          <w:tcPr>
            <w:tcW w:w="140" w:type="dxa"/>
            <w:vAlign w:val="bottom"/>
            <w:tcBorders>
              <w:bottom w:val="single" w:sz="8" w:color="D7282F"/>
            </w:tcBorders>
          </w:tcPr>
          <w:p>
            <w:pPr>
              <w:spacing w:after="0"/>
              <w:rPr>
                <w:sz w:val="11"/>
                <w:szCs w:val="11"/>
                <w:color w:val="auto"/>
              </w:rPr>
            </w:pPr>
          </w:p>
        </w:tc>
        <w:tc>
          <w:tcPr>
            <w:tcW w:w="640" w:type="dxa"/>
            <w:vAlign w:val="bottom"/>
            <w:tcBorders>
              <w:bottom w:val="single" w:sz="8" w:color="D7282F"/>
            </w:tcBorders>
          </w:tcPr>
          <w:p>
            <w:pPr>
              <w:spacing w:after="0"/>
              <w:rPr>
                <w:sz w:val="11"/>
                <w:szCs w:val="11"/>
                <w:color w:val="auto"/>
              </w:rPr>
            </w:pPr>
          </w:p>
        </w:tc>
      </w:tr>
      <w:tr>
        <w:trPr>
          <w:trHeight w:val="151"/>
        </w:trPr>
        <w:tc>
          <w:tcPr>
            <w:tcW w:w="7600" w:type="dxa"/>
            <w:vAlign w:val="bottom"/>
          </w:tcPr>
          <w:p>
            <w:pPr>
              <w:spacing w:after="0"/>
              <w:rPr>
                <w:sz w:val="13"/>
                <w:szCs w:val="13"/>
                <w:color w:val="auto"/>
              </w:rPr>
            </w:pPr>
          </w:p>
        </w:tc>
        <w:tc>
          <w:tcPr>
            <w:tcW w:w="180" w:type="dxa"/>
            <w:vAlign w:val="bottom"/>
            <w:tcBorders>
              <w:bottom w:val="single" w:sz="8" w:color="D7282F"/>
            </w:tcBorders>
          </w:tcPr>
          <w:p>
            <w:pPr>
              <w:spacing w:after="0"/>
              <w:rPr>
                <w:sz w:val="13"/>
                <w:szCs w:val="13"/>
                <w:color w:val="auto"/>
              </w:rPr>
            </w:pPr>
          </w:p>
        </w:tc>
        <w:tc>
          <w:tcPr>
            <w:tcW w:w="580" w:type="dxa"/>
            <w:vAlign w:val="bottom"/>
            <w:tcBorders>
              <w:bottom w:val="single" w:sz="8" w:color="D7282F"/>
            </w:tcBorders>
          </w:tcPr>
          <w:p>
            <w:pPr>
              <w:spacing w:after="0"/>
              <w:rPr>
                <w:sz w:val="13"/>
                <w:szCs w:val="13"/>
                <w:color w:val="auto"/>
              </w:rPr>
            </w:pPr>
          </w:p>
        </w:tc>
        <w:tc>
          <w:tcPr>
            <w:tcW w:w="220" w:type="dxa"/>
            <w:vAlign w:val="bottom"/>
            <w:tcBorders>
              <w:bottom w:val="single" w:sz="8" w:color="D7282F"/>
            </w:tcBorders>
          </w:tcPr>
          <w:p>
            <w:pPr>
              <w:spacing w:after="0"/>
              <w:rPr>
                <w:sz w:val="13"/>
                <w:szCs w:val="13"/>
                <w:color w:val="auto"/>
              </w:rPr>
            </w:pPr>
          </w:p>
        </w:tc>
        <w:tc>
          <w:tcPr>
            <w:tcW w:w="140" w:type="dxa"/>
            <w:vAlign w:val="bottom"/>
            <w:tcBorders>
              <w:bottom w:val="single" w:sz="8" w:color="D7282F"/>
            </w:tcBorders>
          </w:tcPr>
          <w:p>
            <w:pPr>
              <w:spacing w:after="0"/>
              <w:rPr>
                <w:sz w:val="13"/>
                <w:szCs w:val="13"/>
                <w:color w:val="auto"/>
              </w:rPr>
            </w:pPr>
          </w:p>
        </w:tc>
        <w:tc>
          <w:tcPr>
            <w:tcW w:w="1800" w:type="dxa"/>
            <w:vAlign w:val="bottom"/>
            <w:tcBorders>
              <w:bottom w:val="single" w:sz="8" w:color="D7282F"/>
            </w:tcBorders>
            <w:gridSpan w:val="5"/>
          </w:tcPr>
          <w:p>
            <w:pPr>
              <w:jc w:val="center"/>
              <w:ind w:right="340"/>
              <w:spacing w:after="0"/>
              <w:rPr>
                <w:sz w:val="20"/>
                <w:szCs w:val="20"/>
                <w:color w:val="auto"/>
              </w:rPr>
            </w:pPr>
            <w:r>
              <w:rPr>
                <w:rFonts w:ascii="Arial" w:cs="Arial" w:eastAsia="Arial" w:hAnsi="Arial"/>
                <w:sz w:val="10"/>
                <w:szCs w:val="10"/>
                <w:b w:val="1"/>
                <w:bCs w:val="1"/>
                <w:color w:val="auto"/>
                <w:w w:val="95"/>
              </w:rPr>
              <w:t>December 31, 2023</w:t>
            </w:r>
          </w:p>
        </w:tc>
        <w:tc>
          <w:tcPr>
            <w:tcW w:w="140" w:type="dxa"/>
            <w:vAlign w:val="bottom"/>
            <w:tcBorders>
              <w:bottom w:val="single" w:sz="8" w:color="D7282F"/>
            </w:tcBorders>
          </w:tcPr>
          <w:p>
            <w:pPr>
              <w:spacing w:after="0"/>
              <w:rPr>
                <w:sz w:val="13"/>
                <w:szCs w:val="13"/>
                <w:color w:val="auto"/>
              </w:rPr>
            </w:pPr>
          </w:p>
        </w:tc>
        <w:tc>
          <w:tcPr>
            <w:tcW w:w="640" w:type="dxa"/>
            <w:vAlign w:val="bottom"/>
            <w:tcBorders>
              <w:bottom w:val="single" w:sz="8" w:color="D7282F"/>
            </w:tcBorders>
          </w:tcPr>
          <w:p>
            <w:pPr>
              <w:spacing w:after="0"/>
              <w:rPr>
                <w:sz w:val="13"/>
                <w:szCs w:val="13"/>
                <w:color w:val="auto"/>
              </w:rPr>
            </w:pPr>
          </w:p>
        </w:tc>
      </w:tr>
      <w:tr>
        <w:trPr>
          <w:trHeight w:val="151"/>
        </w:trPr>
        <w:tc>
          <w:tcPr>
            <w:tcW w:w="7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Arial" w:cs="Arial" w:eastAsia="Arial" w:hAnsi="Arial"/>
                <w:sz w:val="10"/>
                <w:szCs w:val="10"/>
                <w:b w:val="1"/>
                <w:bCs w:val="1"/>
                <w:color w:val="auto"/>
              </w:rPr>
              <w:t>Total</w:t>
            </w:r>
          </w:p>
        </w:tc>
        <w:tc>
          <w:tcPr>
            <w:tcW w:w="1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0"/>
                <w:szCs w:val="10"/>
                <w:b w:val="1"/>
                <w:bCs w:val="1"/>
                <w:color w:val="auto"/>
              </w:rPr>
              <w:t>Level 1</w:t>
            </w:r>
          </w:p>
        </w:tc>
        <w:tc>
          <w:tcPr>
            <w:tcW w:w="180" w:type="dxa"/>
            <w:vAlign w:val="bottom"/>
          </w:tcPr>
          <w:p>
            <w:pPr>
              <w:spacing w:after="0"/>
              <w:rPr>
                <w:sz w:val="13"/>
                <w:szCs w:val="13"/>
                <w:color w:val="auto"/>
              </w:rPr>
            </w:pPr>
          </w:p>
        </w:tc>
        <w:tc>
          <w:tcPr>
            <w:tcW w:w="800" w:type="dxa"/>
            <w:vAlign w:val="bottom"/>
            <w:gridSpan w:val="2"/>
          </w:tcPr>
          <w:p>
            <w:pPr>
              <w:ind w:left="40"/>
              <w:spacing w:after="0"/>
              <w:rPr>
                <w:sz w:val="20"/>
                <w:szCs w:val="20"/>
                <w:color w:val="auto"/>
              </w:rPr>
            </w:pPr>
            <w:r>
              <w:rPr>
                <w:rFonts w:ascii="Arial" w:cs="Arial" w:eastAsia="Arial" w:hAnsi="Arial"/>
                <w:sz w:val="10"/>
                <w:szCs w:val="10"/>
                <w:b w:val="1"/>
                <w:bCs w:val="1"/>
                <w:color w:val="auto"/>
              </w:rPr>
              <w:t>Level 2</w:t>
            </w:r>
          </w:p>
        </w:tc>
        <w:tc>
          <w:tcPr>
            <w:tcW w:w="140" w:type="dxa"/>
            <w:vAlign w:val="bottom"/>
          </w:tcPr>
          <w:p>
            <w:pPr>
              <w:spacing w:after="0"/>
              <w:rPr>
                <w:sz w:val="13"/>
                <w:szCs w:val="13"/>
                <w:color w:val="auto"/>
              </w:rPr>
            </w:pPr>
          </w:p>
        </w:tc>
        <w:tc>
          <w:tcPr>
            <w:tcW w:w="640" w:type="dxa"/>
            <w:vAlign w:val="bottom"/>
          </w:tcPr>
          <w:p>
            <w:pPr>
              <w:jc w:val="right"/>
              <w:ind w:right="172"/>
              <w:spacing w:after="0"/>
              <w:rPr>
                <w:sz w:val="20"/>
                <w:szCs w:val="20"/>
                <w:color w:val="auto"/>
              </w:rPr>
            </w:pPr>
            <w:r>
              <w:rPr>
                <w:rFonts w:ascii="Arial" w:cs="Arial" w:eastAsia="Arial" w:hAnsi="Arial"/>
                <w:sz w:val="10"/>
                <w:szCs w:val="10"/>
                <w:b w:val="1"/>
                <w:bCs w:val="1"/>
                <w:color w:val="auto"/>
              </w:rPr>
              <w:t>Level 3</w:t>
            </w:r>
          </w:p>
        </w:tc>
      </w:tr>
      <w:tr>
        <w:trPr>
          <w:trHeight w:val="127"/>
        </w:trPr>
        <w:tc>
          <w:tcPr>
            <w:tcW w:w="7600" w:type="dxa"/>
            <w:vAlign w:val="bottom"/>
            <w:tcBorders>
              <w:top w:val="single" w:sz="8" w:color="D7282F"/>
              <w:bottom w:val="single" w:sz="8" w:color="888B8D"/>
            </w:tcBorders>
          </w:tcPr>
          <w:p>
            <w:pPr>
              <w:spacing w:after="0"/>
              <w:rPr>
                <w:sz w:val="20"/>
                <w:szCs w:val="20"/>
                <w:color w:val="auto"/>
              </w:rPr>
            </w:pPr>
            <w:r>
              <w:rPr>
                <w:rFonts w:ascii="Arial" w:cs="Arial" w:eastAsia="Arial" w:hAnsi="Arial"/>
                <w:sz w:val="10"/>
                <w:szCs w:val="10"/>
                <w:color w:val="auto"/>
              </w:rPr>
              <w:t>Equities</w:t>
            </w:r>
          </w:p>
        </w:tc>
        <w:tc>
          <w:tcPr>
            <w:tcW w:w="180" w:type="dxa"/>
            <w:vAlign w:val="bottom"/>
            <w:tcBorders>
              <w:top w:val="single" w:sz="8" w:color="D7282F"/>
              <w:bottom w:val="single" w:sz="8" w:color="888B8D"/>
            </w:tcBorders>
          </w:tcPr>
          <w:p>
            <w:pPr>
              <w:spacing w:after="0"/>
              <w:rPr>
                <w:sz w:val="11"/>
                <w:szCs w:val="11"/>
                <w:color w:val="auto"/>
              </w:rPr>
            </w:pPr>
          </w:p>
        </w:tc>
        <w:tc>
          <w:tcPr>
            <w:tcW w:w="580" w:type="dxa"/>
            <w:vAlign w:val="bottom"/>
            <w:tcBorders>
              <w:top w:val="single" w:sz="8" w:color="D7282F"/>
              <w:bottom w:val="single" w:sz="8" w:color="888B8D"/>
            </w:tcBorders>
          </w:tcPr>
          <w:p>
            <w:pPr>
              <w:spacing w:after="0"/>
              <w:rPr>
                <w:sz w:val="11"/>
                <w:szCs w:val="11"/>
                <w:color w:val="auto"/>
              </w:rPr>
            </w:pPr>
          </w:p>
        </w:tc>
        <w:tc>
          <w:tcPr>
            <w:tcW w:w="220" w:type="dxa"/>
            <w:vAlign w:val="bottom"/>
            <w:tcBorders>
              <w:top w:val="single" w:sz="8" w:color="DC202E"/>
              <w:bottom w:val="single" w:sz="8" w:color="888B8D"/>
            </w:tcBorders>
          </w:tcPr>
          <w:p>
            <w:pPr>
              <w:spacing w:after="0"/>
              <w:rPr>
                <w:sz w:val="11"/>
                <w:szCs w:val="11"/>
                <w:color w:val="auto"/>
              </w:rPr>
            </w:pPr>
          </w:p>
        </w:tc>
        <w:tc>
          <w:tcPr>
            <w:tcW w:w="140" w:type="dxa"/>
            <w:vAlign w:val="bottom"/>
            <w:tcBorders>
              <w:top w:val="single" w:sz="8" w:color="D7282F"/>
              <w:bottom w:val="single" w:sz="8" w:color="888B8D"/>
            </w:tcBorders>
          </w:tcPr>
          <w:p>
            <w:pPr>
              <w:spacing w:after="0"/>
              <w:rPr>
                <w:sz w:val="11"/>
                <w:szCs w:val="11"/>
                <w:color w:val="auto"/>
              </w:rPr>
            </w:pPr>
          </w:p>
        </w:tc>
        <w:tc>
          <w:tcPr>
            <w:tcW w:w="620" w:type="dxa"/>
            <w:vAlign w:val="bottom"/>
            <w:tcBorders>
              <w:top w:val="single" w:sz="8" w:color="D7282F"/>
              <w:bottom w:val="single" w:sz="8" w:color="888B8D"/>
            </w:tcBorders>
          </w:tcPr>
          <w:p>
            <w:pPr>
              <w:spacing w:after="0"/>
              <w:rPr>
                <w:sz w:val="11"/>
                <w:szCs w:val="11"/>
                <w:color w:val="auto"/>
              </w:rPr>
            </w:pPr>
          </w:p>
        </w:tc>
        <w:tc>
          <w:tcPr>
            <w:tcW w:w="200" w:type="dxa"/>
            <w:vAlign w:val="bottom"/>
            <w:tcBorders>
              <w:top w:val="single" w:sz="8" w:color="DC202E"/>
              <w:bottom w:val="single" w:sz="8" w:color="888B8D"/>
            </w:tcBorders>
          </w:tcPr>
          <w:p>
            <w:pPr>
              <w:spacing w:after="0"/>
              <w:rPr>
                <w:sz w:val="11"/>
                <w:szCs w:val="11"/>
                <w:color w:val="auto"/>
              </w:rPr>
            </w:pPr>
          </w:p>
        </w:tc>
        <w:tc>
          <w:tcPr>
            <w:tcW w:w="180" w:type="dxa"/>
            <w:vAlign w:val="bottom"/>
            <w:tcBorders>
              <w:top w:val="single" w:sz="8" w:color="D7282F"/>
              <w:bottom w:val="single" w:sz="8" w:color="888B8D"/>
            </w:tcBorders>
          </w:tcPr>
          <w:p>
            <w:pPr>
              <w:spacing w:after="0"/>
              <w:rPr>
                <w:sz w:val="11"/>
                <w:szCs w:val="11"/>
                <w:color w:val="auto"/>
              </w:rPr>
            </w:pPr>
          </w:p>
        </w:tc>
        <w:tc>
          <w:tcPr>
            <w:tcW w:w="580" w:type="dxa"/>
            <w:vAlign w:val="bottom"/>
            <w:tcBorders>
              <w:top w:val="single" w:sz="8" w:color="D7282F"/>
              <w:bottom w:val="single" w:sz="8" w:color="888B8D"/>
            </w:tcBorders>
          </w:tcPr>
          <w:p>
            <w:pPr>
              <w:spacing w:after="0"/>
              <w:rPr>
                <w:sz w:val="11"/>
                <w:szCs w:val="11"/>
                <w:color w:val="auto"/>
              </w:rPr>
            </w:pPr>
          </w:p>
        </w:tc>
        <w:tc>
          <w:tcPr>
            <w:tcW w:w="220" w:type="dxa"/>
            <w:vAlign w:val="bottom"/>
            <w:tcBorders>
              <w:top w:val="single" w:sz="8" w:color="DC202E"/>
              <w:bottom w:val="single" w:sz="8" w:color="888B8D"/>
            </w:tcBorders>
          </w:tcPr>
          <w:p>
            <w:pPr>
              <w:spacing w:after="0"/>
              <w:rPr>
                <w:sz w:val="11"/>
                <w:szCs w:val="11"/>
                <w:color w:val="auto"/>
              </w:rPr>
            </w:pPr>
          </w:p>
        </w:tc>
        <w:tc>
          <w:tcPr>
            <w:tcW w:w="140" w:type="dxa"/>
            <w:vAlign w:val="bottom"/>
            <w:tcBorders>
              <w:top w:val="single" w:sz="8" w:color="D7282F"/>
              <w:bottom w:val="single" w:sz="8" w:color="888B8D"/>
            </w:tcBorders>
          </w:tcPr>
          <w:p>
            <w:pPr>
              <w:spacing w:after="0"/>
              <w:rPr>
                <w:sz w:val="11"/>
                <w:szCs w:val="11"/>
                <w:color w:val="auto"/>
              </w:rPr>
            </w:pPr>
          </w:p>
        </w:tc>
        <w:tc>
          <w:tcPr>
            <w:tcW w:w="640" w:type="dxa"/>
            <w:vAlign w:val="bottom"/>
            <w:tcBorders>
              <w:top w:val="single" w:sz="8" w:color="D7282F"/>
              <w:bottom w:val="single" w:sz="8" w:color="888B8D"/>
            </w:tcBorders>
          </w:tcPr>
          <w:p>
            <w:pPr>
              <w:spacing w:after="0"/>
              <w:rPr>
                <w:sz w:val="11"/>
                <w:szCs w:val="11"/>
                <w:color w:val="auto"/>
              </w:rPr>
            </w:pPr>
          </w:p>
        </w:tc>
      </w:tr>
      <w:tr>
        <w:trPr>
          <w:trHeight w:val="124"/>
        </w:trPr>
        <w:tc>
          <w:tcPr>
            <w:tcW w:w="76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Honeywell common stock</w:t>
            </w:r>
          </w:p>
        </w:tc>
        <w:tc>
          <w:tcPr>
            <w:tcW w:w="18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3,049</w:t>
            </w: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3,049</w:t>
            </w:r>
          </w:p>
        </w:tc>
        <w:tc>
          <w:tcPr>
            <w:tcW w:w="20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888B8D"/>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76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U.S. equities</w:t>
            </w:r>
          </w:p>
        </w:tc>
        <w:tc>
          <w:tcPr>
            <w:tcW w:w="180" w:type="dxa"/>
            <w:vAlign w:val="bottom"/>
            <w:tcBorders>
              <w:bottom w:val="single" w:sz="8" w:color="888B8D"/>
            </w:tcBorders>
          </w:tcPr>
          <w:p>
            <w:pPr>
              <w:spacing w:after="0"/>
              <w:rPr>
                <w:sz w:val="10"/>
                <w:szCs w:val="10"/>
                <w:color w:val="auto"/>
              </w:rPr>
            </w:pPr>
          </w:p>
        </w:tc>
        <w:tc>
          <w:tcPr>
            <w:tcW w:w="800" w:type="dxa"/>
            <w:vAlign w:val="bottom"/>
            <w:tcBorders>
              <w:bottom w:val="single" w:sz="8" w:color="888B8D"/>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888B8D"/>
            </w:tcBorders>
          </w:tcPr>
          <w:p>
            <w:pPr>
              <w:spacing w:after="0"/>
              <w:rPr>
                <w:sz w:val="10"/>
                <w:szCs w:val="10"/>
                <w:color w:val="auto"/>
              </w:rPr>
            </w:pPr>
          </w:p>
        </w:tc>
        <w:tc>
          <w:tcPr>
            <w:tcW w:w="800" w:type="dxa"/>
            <w:vAlign w:val="bottom"/>
            <w:tcBorders>
              <w:bottom w:val="single" w:sz="8" w:color="888B8D"/>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76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Fixed income</w:t>
            </w: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spacing w:after="0"/>
              <w:rPr>
                <w:sz w:val="10"/>
                <w:szCs w:val="10"/>
                <w:color w:val="auto"/>
              </w:rPr>
            </w:pPr>
          </w:p>
        </w:tc>
      </w:tr>
      <w:tr>
        <w:trPr>
          <w:trHeight w:val="124"/>
        </w:trPr>
        <w:tc>
          <w:tcPr>
            <w:tcW w:w="76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Short-term investments</w:t>
            </w: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2,942</w:t>
            </w: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283</w:t>
            </w:r>
          </w:p>
        </w:tc>
        <w:tc>
          <w:tcPr>
            <w:tcW w:w="20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2,659</w:t>
            </w: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76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Government securities</w:t>
            </w: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532</w:t>
            </w: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532</w:t>
            </w: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76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Corporate bonds</w:t>
            </w: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5,733</w:t>
            </w: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5,733</w:t>
            </w: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76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Mortgage/Asset-backed securities</w:t>
            </w: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676</w:t>
            </w: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676</w:t>
            </w: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76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Insurance contracts</w:t>
            </w: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w:t>
            </w: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w:t>
            </w: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76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Direct investments</w:t>
            </w: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spacing w:after="0"/>
              <w:rPr>
                <w:sz w:val="10"/>
                <w:szCs w:val="10"/>
                <w:color w:val="auto"/>
              </w:rPr>
            </w:pPr>
          </w:p>
        </w:tc>
      </w:tr>
      <w:tr>
        <w:trPr>
          <w:trHeight w:val="124"/>
        </w:trPr>
        <w:tc>
          <w:tcPr>
            <w:tcW w:w="76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Direct private investments</w:t>
            </w: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1,293</w:t>
            </w: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888B8D"/>
            </w:tcBorders>
          </w:tcPr>
          <w:p>
            <w:pPr>
              <w:spacing w:after="0"/>
              <w:rPr>
                <w:sz w:val="10"/>
                <w:szCs w:val="10"/>
                <w:color w:val="auto"/>
              </w:rPr>
            </w:pPr>
          </w:p>
        </w:tc>
        <w:tc>
          <w:tcPr>
            <w:tcW w:w="800" w:type="dxa"/>
            <w:vAlign w:val="bottom"/>
            <w:tcBorders>
              <w:bottom w:val="single" w:sz="8" w:color="888B8D"/>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1,293</w:t>
            </w:r>
          </w:p>
        </w:tc>
      </w:tr>
      <w:tr>
        <w:trPr>
          <w:trHeight w:val="124"/>
        </w:trPr>
        <w:tc>
          <w:tcPr>
            <w:tcW w:w="7600" w:type="dxa"/>
            <w:vAlign w:val="bottom"/>
            <w:tcBorders>
              <w:bottom w:val="single" w:sz="8" w:color="DC202E"/>
            </w:tcBorders>
          </w:tcPr>
          <w:p>
            <w:pPr>
              <w:ind w:left="80"/>
              <w:spacing w:after="0"/>
              <w:rPr>
                <w:sz w:val="20"/>
                <w:szCs w:val="20"/>
                <w:color w:val="auto"/>
              </w:rPr>
            </w:pPr>
            <w:r>
              <w:rPr>
                <w:rFonts w:ascii="Arial" w:cs="Arial" w:eastAsia="Arial" w:hAnsi="Arial"/>
                <w:sz w:val="10"/>
                <w:szCs w:val="10"/>
                <w:color w:val="auto"/>
              </w:rPr>
              <w:t>Real estate properties</w:t>
            </w:r>
          </w:p>
        </w:tc>
        <w:tc>
          <w:tcPr>
            <w:tcW w:w="18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977</w:t>
            </w:r>
          </w:p>
        </w:tc>
        <w:tc>
          <w:tcPr>
            <w:tcW w:w="220" w:type="dxa"/>
            <w:vAlign w:val="bottom"/>
            <w:tcBorders>
              <w:bottom w:val="single" w:sz="8" w:color="DC202E"/>
            </w:tcBorders>
          </w:tcPr>
          <w:p>
            <w:pPr>
              <w:spacing w:after="0"/>
              <w:rPr>
                <w:sz w:val="10"/>
                <w:szCs w:val="10"/>
                <w:color w:val="auto"/>
              </w:rPr>
            </w:pPr>
          </w:p>
        </w:tc>
        <w:tc>
          <w:tcPr>
            <w:tcW w:w="1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DC202E"/>
            </w:tcBorders>
          </w:tcPr>
          <w:p>
            <w:pPr>
              <w:spacing w:after="0"/>
              <w:rPr>
                <w:sz w:val="10"/>
                <w:szCs w:val="10"/>
                <w:color w:val="auto"/>
              </w:rPr>
            </w:pPr>
          </w:p>
        </w:tc>
        <w:tc>
          <w:tcPr>
            <w:tcW w:w="800" w:type="dxa"/>
            <w:vAlign w:val="bottom"/>
            <w:tcBorders>
              <w:bottom w:val="single" w:sz="8" w:color="DC202E"/>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977</w:t>
            </w:r>
          </w:p>
        </w:tc>
      </w:tr>
      <w:tr>
        <w:trPr>
          <w:trHeight w:val="126"/>
        </w:trPr>
        <w:tc>
          <w:tcPr>
            <w:tcW w:w="7600" w:type="dxa"/>
            <w:vAlign w:val="bottom"/>
            <w:tcBorders>
              <w:bottom w:val="single" w:sz="8" w:color="DC202E"/>
            </w:tcBorders>
          </w:tcPr>
          <w:p>
            <w:pPr>
              <w:ind w:left="140"/>
              <w:spacing w:after="0"/>
              <w:rPr>
                <w:sz w:val="20"/>
                <w:szCs w:val="20"/>
                <w:color w:val="auto"/>
              </w:rPr>
            </w:pPr>
            <w:r>
              <w:rPr>
                <w:rFonts w:ascii="Arial" w:cs="Arial" w:eastAsia="Arial" w:hAnsi="Arial"/>
                <w:sz w:val="10"/>
                <w:szCs w:val="10"/>
                <w:b w:val="1"/>
                <w:bCs w:val="1"/>
                <w:color w:val="auto"/>
              </w:rPr>
              <w:t>Total</w:t>
            </w:r>
          </w:p>
        </w:tc>
        <w:tc>
          <w:tcPr>
            <w:tcW w:w="18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15,209</w:t>
            </w:r>
          </w:p>
        </w:tc>
        <w:tc>
          <w:tcPr>
            <w:tcW w:w="220" w:type="dxa"/>
            <w:vAlign w:val="bottom"/>
            <w:tcBorders>
              <w:bottom w:val="single" w:sz="8" w:color="DC202E"/>
            </w:tcBorders>
          </w:tcPr>
          <w:p>
            <w:pPr>
              <w:spacing w:after="0"/>
              <w:rPr>
                <w:sz w:val="10"/>
                <w:szCs w:val="10"/>
                <w:color w:val="auto"/>
              </w:rPr>
            </w:pPr>
          </w:p>
        </w:tc>
        <w:tc>
          <w:tcPr>
            <w:tcW w:w="14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3,332</w:t>
            </w:r>
          </w:p>
        </w:tc>
        <w:tc>
          <w:tcPr>
            <w:tcW w:w="200" w:type="dxa"/>
            <w:vAlign w:val="bottom"/>
            <w:tcBorders>
              <w:bottom w:val="single" w:sz="8" w:color="DC202E"/>
            </w:tcBorders>
          </w:tcPr>
          <w:p>
            <w:pPr>
              <w:spacing w:after="0"/>
              <w:rPr>
                <w:sz w:val="10"/>
                <w:szCs w:val="10"/>
                <w:color w:val="auto"/>
              </w:rPr>
            </w:pPr>
          </w:p>
        </w:tc>
        <w:tc>
          <w:tcPr>
            <w:tcW w:w="18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9,607</w:t>
            </w:r>
          </w:p>
        </w:tc>
        <w:tc>
          <w:tcPr>
            <w:tcW w:w="220" w:type="dxa"/>
            <w:vAlign w:val="bottom"/>
            <w:tcBorders>
              <w:bottom w:val="single" w:sz="8" w:color="DC202E"/>
            </w:tcBorders>
          </w:tcPr>
          <w:p>
            <w:pPr>
              <w:spacing w:after="0"/>
              <w:rPr>
                <w:sz w:val="10"/>
                <w:szCs w:val="10"/>
                <w:color w:val="auto"/>
              </w:rPr>
            </w:pPr>
          </w:p>
        </w:tc>
        <w:tc>
          <w:tcPr>
            <w:tcW w:w="14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2,270</w:t>
            </w:r>
          </w:p>
        </w:tc>
      </w:tr>
      <w:tr>
        <w:trPr>
          <w:trHeight w:val="122"/>
        </w:trPr>
        <w:tc>
          <w:tcPr>
            <w:tcW w:w="76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Investments measured at NAV</w:t>
            </w: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spacing w:after="0"/>
              <w:rPr>
                <w:sz w:val="10"/>
                <w:szCs w:val="10"/>
                <w:color w:val="auto"/>
              </w:rPr>
            </w:pPr>
          </w:p>
        </w:tc>
      </w:tr>
      <w:tr>
        <w:trPr>
          <w:trHeight w:val="124"/>
        </w:trPr>
        <w:tc>
          <w:tcPr>
            <w:tcW w:w="76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Private funds</w:t>
            </w: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1,265</w:t>
            </w: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spacing w:after="0"/>
              <w:rPr>
                <w:sz w:val="10"/>
                <w:szCs w:val="10"/>
                <w:color w:val="auto"/>
              </w:rPr>
            </w:pPr>
          </w:p>
        </w:tc>
      </w:tr>
      <w:tr>
        <w:trPr>
          <w:trHeight w:val="124"/>
        </w:trPr>
        <w:tc>
          <w:tcPr>
            <w:tcW w:w="76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Real estate funds</w:t>
            </w: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8</w:t>
            </w: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spacing w:after="0"/>
              <w:rPr>
                <w:sz w:val="10"/>
                <w:szCs w:val="10"/>
                <w:color w:val="auto"/>
              </w:rPr>
            </w:pPr>
          </w:p>
        </w:tc>
      </w:tr>
      <w:tr>
        <w:trPr>
          <w:trHeight w:val="124"/>
        </w:trPr>
        <w:tc>
          <w:tcPr>
            <w:tcW w:w="760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Commingled funds</w:t>
            </w:r>
          </w:p>
        </w:tc>
        <w:tc>
          <w:tcPr>
            <w:tcW w:w="18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112</w:t>
            </w:r>
          </w:p>
        </w:tc>
        <w:tc>
          <w:tcPr>
            <w:tcW w:w="220" w:type="dxa"/>
            <w:vAlign w:val="bottom"/>
            <w:tcBorders>
              <w:bottom w:val="single" w:sz="8" w:color="D7282F"/>
            </w:tcBorders>
          </w:tcPr>
          <w:p>
            <w:pPr>
              <w:spacing w:after="0"/>
              <w:rPr>
                <w:sz w:val="10"/>
                <w:szCs w:val="10"/>
                <w:color w:val="auto"/>
              </w:rPr>
            </w:pPr>
          </w:p>
        </w:tc>
        <w:tc>
          <w:tcPr>
            <w:tcW w:w="14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14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spacing w:after="0"/>
              <w:rPr>
                <w:sz w:val="10"/>
                <w:szCs w:val="10"/>
                <w:color w:val="auto"/>
              </w:rPr>
            </w:pPr>
          </w:p>
        </w:tc>
      </w:tr>
      <w:tr>
        <w:trPr>
          <w:trHeight w:val="126"/>
        </w:trPr>
        <w:tc>
          <w:tcPr>
            <w:tcW w:w="7600" w:type="dxa"/>
            <w:vAlign w:val="bottom"/>
            <w:tcBorders>
              <w:bottom w:val="single" w:sz="8" w:color="D7282F"/>
            </w:tcBorders>
          </w:tcPr>
          <w:p>
            <w:pPr>
              <w:ind w:left="220"/>
              <w:spacing w:after="0"/>
              <w:rPr>
                <w:sz w:val="20"/>
                <w:szCs w:val="20"/>
                <w:color w:val="auto"/>
              </w:rPr>
            </w:pPr>
            <w:r>
              <w:rPr>
                <w:rFonts w:ascii="Arial" w:cs="Arial" w:eastAsia="Arial" w:hAnsi="Arial"/>
                <w:sz w:val="10"/>
                <w:szCs w:val="10"/>
                <w:b w:val="1"/>
                <w:bCs w:val="1"/>
                <w:color w:val="auto"/>
              </w:rPr>
              <w:t>Total assets at fair value</w:t>
            </w:r>
          </w:p>
        </w:tc>
        <w:tc>
          <w:tcPr>
            <w:tcW w:w="1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16,594</w:t>
            </w:r>
          </w:p>
        </w:tc>
        <w:tc>
          <w:tcPr>
            <w:tcW w:w="220" w:type="dxa"/>
            <w:vAlign w:val="bottom"/>
            <w:tcBorders>
              <w:bottom w:val="single" w:sz="8" w:color="D7282F"/>
            </w:tcBorders>
          </w:tcPr>
          <w:p>
            <w:pPr>
              <w:spacing w:after="0"/>
              <w:rPr>
                <w:sz w:val="10"/>
                <w:szCs w:val="10"/>
                <w:color w:val="auto"/>
              </w:rPr>
            </w:pPr>
          </w:p>
        </w:tc>
        <w:tc>
          <w:tcPr>
            <w:tcW w:w="14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14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spacing w:after="0"/>
              <w:rPr>
                <w:sz w:val="10"/>
                <w:szCs w:val="10"/>
                <w:color w:val="auto"/>
              </w:rPr>
            </w:pPr>
          </w:p>
        </w:tc>
      </w:tr>
      <w:tr>
        <w:trPr>
          <w:trHeight w:val="308"/>
        </w:trPr>
        <w:tc>
          <w:tcPr>
            <w:tcW w:w="7600" w:type="dxa"/>
            <w:vAlign w:val="bottom"/>
          </w:tcPr>
          <w:p>
            <w:pPr>
              <w:spacing w:after="0"/>
              <w:rPr>
                <w:sz w:val="24"/>
                <w:szCs w:val="24"/>
                <w:color w:val="auto"/>
              </w:rPr>
            </w:pPr>
          </w:p>
        </w:tc>
        <w:tc>
          <w:tcPr>
            <w:tcW w:w="180" w:type="dxa"/>
            <w:vAlign w:val="bottom"/>
            <w:tcBorders>
              <w:bottom w:val="single" w:sz="8" w:color="D7282F"/>
            </w:tcBorders>
          </w:tcPr>
          <w:p>
            <w:pPr>
              <w:spacing w:after="0"/>
              <w:rPr>
                <w:sz w:val="24"/>
                <w:szCs w:val="24"/>
                <w:color w:val="auto"/>
              </w:rPr>
            </w:pPr>
          </w:p>
        </w:tc>
        <w:tc>
          <w:tcPr>
            <w:tcW w:w="580" w:type="dxa"/>
            <w:vAlign w:val="bottom"/>
            <w:tcBorders>
              <w:bottom w:val="single" w:sz="8" w:color="D7282F"/>
            </w:tcBorders>
          </w:tcPr>
          <w:p>
            <w:pPr>
              <w:spacing w:after="0"/>
              <w:rPr>
                <w:sz w:val="24"/>
                <w:szCs w:val="24"/>
                <w:color w:val="auto"/>
              </w:rPr>
            </w:pPr>
          </w:p>
        </w:tc>
        <w:tc>
          <w:tcPr>
            <w:tcW w:w="220" w:type="dxa"/>
            <w:vAlign w:val="bottom"/>
            <w:tcBorders>
              <w:bottom w:val="single" w:sz="8" w:color="D7282F"/>
            </w:tcBorders>
          </w:tcPr>
          <w:p>
            <w:pPr>
              <w:spacing w:after="0"/>
              <w:rPr>
                <w:sz w:val="24"/>
                <w:szCs w:val="24"/>
                <w:color w:val="auto"/>
              </w:rPr>
            </w:pPr>
          </w:p>
        </w:tc>
        <w:tc>
          <w:tcPr>
            <w:tcW w:w="140" w:type="dxa"/>
            <w:vAlign w:val="bottom"/>
            <w:tcBorders>
              <w:bottom w:val="single" w:sz="8" w:color="D7282F"/>
            </w:tcBorders>
          </w:tcPr>
          <w:p>
            <w:pPr>
              <w:spacing w:after="0"/>
              <w:rPr>
                <w:sz w:val="24"/>
                <w:szCs w:val="24"/>
                <w:color w:val="auto"/>
              </w:rPr>
            </w:pPr>
          </w:p>
        </w:tc>
        <w:tc>
          <w:tcPr>
            <w:tcW w:w="1000" w:type="dxa"/>
            <w:vAlign w:val="bottom"/>
            <w:tcBorders>
              <w:bottom w:val="single" w:sz="8" w:color="D7282F"/>
            </w:tcBorders>
            <w:gridSpan w:val="3"/>
          </w:tcPr>
          <w:p>
            <w:pPr>
              <w:jc w:val="center"/>
              <w:ind w:left="412"/>
              <w:spacing w:after="0"/>
              <w:rPr>
                <w:sz w:val="20"/>
                <w:szCs w:val="20"/>
                <w:color w:val="auto"/>
              </w:rPr>
            </w:pPr>
            <w:r>
              <w:rPr>
                <w:rFonts w:ascii="Arial" w:cs="Arial" w:eastAsia="Arial" w:hAnsi="Arial"/>
                <w:sz w:val="10"/>
                <w:szCs w:val="10"/>
                <w:b w:val="1"/>
                <w:bCs w:val="1"/>
                <w:color w:val="auto"/>
                <w:w w:val="93"/>
              </w:rPr>
              <w:t>U.S. Plans</w:t>
            </w:r>
          </w:p>
        </w:tc>
        <w:tc>
          <w:tcPr>
            <w:tcW w:w="580" w:type="dxa"/>
            <w:vAlign w:val="bottom"/>
            <w:tcBorders>
              <w:bottom w:val="single" w:sz="8" w:color="D7282F"/>
            </w:tcBorders>
          </w:tcPr>
          <w:p>
            <w:pPr>
              <w:spacing w:after="0"/>
              <w:rPr>
                <w:sz w:val="24"/>
                <w:szCs w:val="24"/>
                <w:color w:val="auto"/>
              </w:rPr>
            </w:pPr>
          </w:p>
        </w:tc>
        <w:tc>
          <w:tcPr>
            <w:tcW w:w="220" w:type="dxa"/>
            <w:vAlign w:val="bottom"/>
            <w:tcBorders>
              <w:bottom w:val="single" w:sz="8" w:color="D7282F"/>
            </w:tcBorders>
          </w:tcPr>
          <w:p>
            <w:pPr>
              <w:spacing w:after="0"/>
              <w:rPr>
                <w:sz w:val="24"/>
                <w:szCs w:val="24"/>
                <w:color w:val="auto"/>
              </w:rPr>
            </w:pPr>
          </w:p>
        </w:tc>
        <w:tc>
          <w:tcPr>
            <w:tcW w:w="140" w:type="dxa"/>
            <w:vAlign w:val="bottom"/>
            <w:tcBorders>
              <w:bottom w:val="single" w:sz="8" w:color="D7282F"/>
            </w:tcBorders>
          </w:tcPr>
          <w:p>
            <w:pPr>
              <w:spacing w:after="0"/>
              <w:rPr>
                <w:sz w:val="24"/>
                <w:szCs w:val="24"/>
                <w:color w:val="auto"/>
              </w:rPr>
            </w:pPr>
          </w:p>
        </w:tc>
        <w:tc>
          <w:tcPr>
            <w:tcW w:w="640" w:type="dxa"/>
            <w:vAlign w:val="bottom"/>
            <w:tcBorders>
              <w:bottom w:val="single" w:sz="8" w:color="D7282F"/>
            </w:tcBorders>
          </w:tcPr>
          <w:p>
            <w:pPr>
              <w:spacing w:after="0"/>
              <w:rPr>
                <w:sz w:val="24"/>
                <w:szCs w:val="24"/>
                <w:color w:val="auto"/>
              </w:rPr>
            </w:pPr>
          </w:p>
        </w:tc>
      </w:tr>
      <w:tr>
        <w:trPr>
          <w:trHeight w:val="151"/>
        </w:trPr>
        <w:tc>
          <w:tcPr>
            <w:tcW w:w="7600" w:type="dxa"/>
            <w:vAlign w:val="bottom"/>
          </w:tcPr>
          <w:p>
            <w:pPr>
              <w:spacing w:after="0"/>
              <w:rPr>
                <w:sz w:val="13"/>
                <w:szCs w:val="13"/>
                <w:color w:val="auto"/>
              </w:rPr>
            </w:pPr>
          </w:p>
        </w:tc>
        <w:tc>
          <w:tcPr>
            <w:tcW w:w="180" w:type="dxa"/>
            <w:vAlign w:val="bottom"/>
            <w:tcBorders>
              <w:bottom w:val="single" w:sz="8" w:color="D7282F"/>
            </w:tcBorders>
          </w:tcPr>
          <w:p>
            <w:pPr>
              <w:spacing w:after="0"/>
              <w:rPr>
                <w:sz w:val="13"/>
                <w:szCs w:val="13"/>
                <w:color w:val="auto"/>
              </w:rPr>
            </w:pPr>
          </w:p>
        </w:tc>
        <w:tc>
          <w:tcPr>
            <w:tcW w:w="580" w:type="dxa"/>
            <w:vAlign w:val="bottom"/>
            <w:tcBorders>
              <w:bottom w:val="single" w:sz="8" w:color="D7282F"/>
            </w:tcBorders>
          </w:tcPr>
          <w:p>
            <w:pPr>
              <w:spacing w:after="0"/>
              <w:rPr>
                <w:sz w:val="13"/>
                <w:szCs w:val="13"/>
                <w:color w:val="auto"/>
              </w:rPr>
            </w:pPr>
          </w:p>
        </w:tc>
        <w:tc>
          <w:tcPr>
            <w:tcW w:w="220" w:type="dxa"/>
            <w:vAlign w:val="bottom"/>
            <w:tcBorders>
              <w:bottom w:val="single" w:sz="8" w:color="D7282F"/>
            </w:tcBorders>
          </w:tcPr>
          <w:p>
            <w:pPr>
              <w:spacing w:after="0"/>
              <w:rPr>
                <w:sz w:val="13"/>
                <w:szCs w:val="13"/>
                <w:color w:val="auto"/>
              </w:rPr>
            </w:pPr>
          </w:p>
        </w:tc>
        <w:tc>
          <w:tcPr>
            <w:tcW w:w="140" w:type="dxa"/>
            <w:vAlign w:val="bottom"/>
            <w:tcBorders>
              <w:bottom w:val="single" w:sz="8" w:color="D7282F"/>
            </w:tcBorders>
          </w:tcPr>
          <w:p>
            <w:pPr>
              <w:spacing w:after="0"/>
              <w:rPr>
                <w:sz w:val="13"/>
                <w:szCs w:val="13"/>
                <w:color w:val="auto"/>
              </w:rPr>
            </w:pPr>
          </w:p>
        </w:tc>
        <w:tc>
          <w:tcPr>
            <w:tcW w:w="1800" w:type="dxa"/>
            <w:vAlign w:val="bottom"/>
            <w:tcBorders>
              <w:bottom w:val="single" w:sz="8" w:color="D7282F"/>
            </w:tcBorders>
            <w:gridSpan w:val="5"/>
          </w:tcPr>
          <w:p>
            <w:pPr>
              <w:jc w:val="center"/>
              <w:ind w:right="340"/>
              <w:spacing w:after="0"/>
              <w:rPr>
                <w:sz w:val="20"/>
                <w:szCs w:val="20"/>
                <w:color w:val="auto"/>
              </w:rPr>
            </w:pPr>
            <w:r>
              <w:rPr>
                <w:rFonts w:ascii="Arial" w:cs="Arial" w:eastAsia="Arial" w:hAnsi="Arial"/>
                <w:sz w:val="10"/>
                <w:szCs w:val="10"/>
                <w:b w:val="1"/>
                <w:bCs w:val="1"/>
                <w:color w:val="auto"/>
                <w:w w:val="95"/>
              </w:rPr>
              <w:t>December 31, 2022</w:t>
            </w:r>
          </w:p>
        </w:tc>
        <w:tc>
          <w:tcPr>
            <w:tcW w:w="140" w:type="dxa"/>
            <w:vAlign w:val="bottom"/>
            <w:tcBorders>
              <w:bottom w:val="single" w:sz="8" w:color="D7282F"/>
            </w:tcBorders>
          </w:tcPr>
          <w:p>
            <w:pPr>
              <w:spacing w:after="0"/>
              <w:rPr>
                <w:sz w:val="13"/>
                <w:szCs w:val="13"/>
                <w:color w:val="auto"/>
              </w:rPr>
            </w:pPr>
          </w:p>
        </w:tc>
        <w:tc>
          <w:tcPr>
            <w:tcW w:w="640" w:type="dxa"/>
            <w:vAlign w:val="bottom"/>
            <w:tcBorders>
              <w:bottom w:val="single" w:sz="8" w:color="D7282F"/>
            </w:tcBorders>
          </w:tcPr>
          <w:p>
            <w:pPr>
              <w:spacing w:after="0"/>
              <w:rPr>
                <w:sz w:val="13"/>
                <w:szCs w:val="13"/>
                <w:color w:val="auto"/>
              </w:rPr>
            </w:pPr>
          </w:p>
        </w:tc>
      </w:tr>
      <w:tr>
        <w:trPr>
          <w:trHeight w:val="151"/>
        </w:trPr>
        <w:tc>
          <w:tcPr>
            <w:tcW w:w="7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Arial" w:cs="Arial" w:eastAsia="Arial" w:hAnsi="Arial"/>
                <w:sz w:val="10"/>
                <w:szCs w:val="10"/>
                <w:b w:val="1"/>
                <w:bCs w:val="1"/>
                <w:color w:val="auto"/>
              </w:rPr>
              <w:t>Total</w:t>
            </w:r>
          </w:p>
        </w:tc>
        <w:tc>
          <w:tcPr>
            <w:tcW w:w="1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0"/>
                <w:szCs w:val="10"/>
                <w:b w:val="1"/>
                <w:bCs w:val="1"/>
                <w:color w:val="auto"/>
              </w:rPr>
              <w:t>Level 1</w:t>
            </w:r>
          </w:p>
        </w:tc>
        <w:tc>
          <w:tcPr>
            <w:tcW w:w="180" w:type="dxa"/>
            <w:vAlign w:val="bottom"/>
          </w:tcPr>
          <w:p>
            <w:pPr>
              <w:spacing w:after="0"/>
              <w:rPr>
                <w:sz w:val="13"/>
                <w:szCs w:val="13"/>
                <w:color w:val="auto"/>
              </w:rPr>
            </w:pPr>
          </w:p>
        </w:tc>
        <w:tc>
          <w:tcPr>
            <w:tcW w:w="800" w:type="dxa"/>
            <w:vAlign w:val="bottom"/>
            <w:gridSpan w:val="2"/>
          </w:tcPr>
          <w:p>
            <w:pPr>
              <w:ind w:left="40"/>
              <w:spacing w:after="0"/>
              <w:rPr>
                <w:sz w:val="20"/>
                <w:szCs w:val="20"/>
                <w:color w:val="auto"/>
              </w:rPr>
            </w:pPr>
            <w:r>
              <w:rPr>
                <w:rFonts w:ascii="Arial" w:cs="Arial" w:eastAsia="Arial" w:hAnsi="Arial"/>
                <w:sz w:val="10"/>
                <w:szCs w:val="10"/>
                <w:b w:val="1"/>
                <w:bCs w:val="1"/>
                <w:color w:val="auto"/>
              </w:rPr>
              <w:t>Level 2</w:t>
            </w:r>
          </w:p>
        </w:tc>
        <w:tc>
          <w:tcPr>
            <w:tcW w:w="140" w:type="dxa"/>
            <w:vAlign w:val="bottom"/>
          </w:tcPr>
          <w:p>
            <w:pPr>
              <w:spacing w:after="0"/>
              <w:rPr>
                <w:sz w:val="13"/>
                <w:szCs w:val="13"/>
                <w:color w:val="auto"/>
              </w:rPr>
            </w:pPr>
          </w:p>
        </w:tc>
        <w:tc>
          <w:tcPr>
            <w:tcW w:w="640" w:type="dxa"/>
            <w:vAlign w:val="bottom"/>
          </w:tcPr>
          <w:p>
            <w:pPr>
              <w:jc w:val="right"/>
              <w:ind w:right="172"/>
              <w:spacing w:after="0"/>
              <w:rPr>
                <w:sz w:val="20"/>
                <w:szCs w:val="20"/>
                <w:color w:val="auto"/>
              </w:rPr>
            </w:pPr>
            <w:r>
              <w:rPr>
                <w:rFonts w:ascii="Arial" w:cs="Arial" w:eastAsia="Arial" w:hAnsi="Arial"/>
                <w:sz w:val="10"/>
                <w:szCs w:val="10"/>
                <w:b w:val="1"/>
                <w:bCs w:val="1"/>
                <w:color w:val="auto"/>
              </w:rPr>
              <w:t>Level 3</w:t>
            </w:r>
          </w:p>
        </w:tc>
      </w:tr>
      <w:tr>
        <w:trPr>
          <w:trHeight w:val="126"/>
        </w:trPr>
        <w:tc>
          <w:tcPr>
            <w:tcW w:w="7600" w:type="dxa"/>
            <w:vAlign w:val="bottom"/>
            <w:tcBorders>
              <w:top w:val="single" w:sz="8" w:color="D7282F"/>
              <w:bottom w:val="single" w:sz="8" w:color="888B8D"/>
            </w:tcBorders>
          </w:tcPr>
          <w:p>
            <w:pPr>
              <w:spacing w:after="0"/>
              <w:rPr>
                <w:sz w:val="20"/>
                <w:szCs w:val="20"/>
                <w:color w:val="auto"/>
              </w:rPr>
            </w:pPr>
            <w:r>
              <w:rPr>
                <w:rFonts w:ascii="Arial" w:cs="Arial" w:eastAsia="Arial" w:hAnsi="Arial"/>
                <w:sz w:val="10"/>
                <w:szCs w:val="10"/>
                <w:color w:val="auto"/>
              </w:rPr>
              <w:t>Equities</w:t>
            </w:r>
          </w:p>
        </w:tc>
        <w:tc>
          <w:tcPr>
            <w:tcW w:w="180" w:type="dxa"/>
            <w:vAlign w:val="bottom"/>
            <w:tcBorders>
              <w:top w:val="single" w:sz="8" w:color="D7282F"/>
              <w:bottom w:val="single" w:sz="8" w:color="888B8D"/>
            </w:tcBorders>
          </w:tcPr>
          <w:p>
            <w:pPr>
              <w:spacing w:after="0"/>
              <w:rPr>
                <w:sz w:val="11"/>
                <w:szCs w:val="11"/>
                <w:color w:val="auto"/>
              </w:rPr>
            </w:pPr>
          </w:p>
        </w:tc>
        <w:tc>
          <w:tcPr>
            <w:tcW w:w="580" w:type="dxa"/>
            <w:vAlign w:val="bottom"/>
            <w:tcBorders>
              <w:top w:val="single" w:sz="8" w:color="D7282F"/>
              <w:bottom w:val="single" w:sz="8" w:color="888B8D"/>
            </w:tcBorders>
          </w:tcPr>
          <w:p>
            <w:pPr>
              <w:spacing w:after="0"/>
              <w:rPr>
                <w:sz w:val="11"/>
                <w:szCs w:val="11"/>
                <w:color w:val="auto"/>
              </w:rPr>
            </w:pPr>
          </w:p>
        </w:tc>
        <w:tc>
          <w:tcPr>
            <w:tcW w:w="220" w:type="dxa"/>
            <w:vAlign w:val="bottom"/>
            <w:tcBorders>
              <w:top w:val="single" w:sz="8" w:color="DC202E"/>
              <w:bottom w:val="single" w:sz="8" w:color="888B8D"/>
            </w:tcBorders>
          </w:tcPr>
          <w:p>
            <w:pPr>
              <w:spacing w:after="0"/>
              <w:rPr>
                <w:sz w:val="11"/>
                <w:szCs w:val="11"/>
                <w:color w:val="auto"/>
              </w:rPr>
            </w:pPr>
          </w:p>
        </w:tc>
        <w:tc>
          <w:tcPr>
            <w:tcW w:w="140" w:type="dxa"/>
            <w:vAlign w:val="bottom"/>
            <w:tcBorders>
              <w:top w:val="single" w:sz="8" w:color="D7282F"/>
              <w:bottom w:val="single" w:sz="8" w:color="888B8D"/>
            </w:tcBorders>
          </w:tcPr>
          <w:p>
            <w:pPr>
              <w:spacing w:after="0"/>
              <w:rPr>
                <w:sz w:val="11"/>
                <w:szCs w:val="11"/>
                <w:color w:val="auto"/>
              </w:rPr>
            </w:pPr>
          </w:p>
        </w:tc>
        <w:tc>
          <w:tcPr>
            <w:tcW w:w="620" w:type="dxa"/>
            <w:vAlign w:val="bottom"/>
            <w:tcBorders>
              <w:top w:val="single" w:sz="8" w:color="D7282F"/>
              <w:bottom w:val="single" w:sz="8" w:color="888B8D"/>
            </w:tcBorders>
          </w:tcPr>
          <w:p>
            <w:pPr>
              <w:spacing w:after="0"/>
              <w:rPr>
                <w:sz w:val="11"/>
                <w:szCs w:val="11"/>
                <w:color w:val="auto"/>
              </w:rPr>
            </w:pPr>
          </w:p>
        </w:tc>
        <w:tc>
          <w:tcPr>
            <w:tcW w:w="200" w:type="dxa"/>
            <w:vAlign w:val="bottom"/>
            <w:tcBorders>
              <w:top w:val="single" w:sz="8" w:color="DC202E"/>
              <w:bottom w:val="single" w:sz="8" w:color="888B8D"/>
            </w:tcBorders>
          </w:tcPr>
          <w:p>
            <w:pPr>
              <w:spacing w:after="0"/>
              <w:rPr>
                <w:sz w:val="11"/>
                <w:szCs w:val="11"/>
                <w:color w:val="auto"/>
              </w:rPr>
            </w:pPr>
          </w:p>
        </w:tc>
        <w:tc>
          <w:tcPr>
            <w:tcW w:w="180" w:type="dxa"/>
            <w:vAlign w:val="bottom"/>
            <w:tcBorders>
              <w:top w:val="single" w:sz="8" w:color="D7282F"/>
              <w:bottom w:val="single" w:sz="8" w:color="888B8D"/>
            </w:tcBorders>
          </w:tcPr>
          <w:p>
            <w:pPr>
              <w:spacing w:after="0"/>
              <w:rPr>
                <w:sz w:val="11"/>
                <w:szCs w:val="11"/>
                <w:color w:val="auto"/>
              </w:rPr>
            </w:pPr>
          </w:p>
        </w:tc>
        <w:tc>
          <w:tcPr>
            <w:tcW w:w="580" w:type="dxa"/>
            <w:vAlign w:val="bottom"/>
            <w:tcBorders>
              <w:top w:val="single" w:sz="8" w:color="D7282F"/>
              <w:bottom w:val="single" w:sz="8" w:color="888B8D"/>
            </w:tcBorders>
          </w:tcPr>
          <w:p>
            <w:pPr>
              <w:spacing w:after="0"/>
              <w:rPr>
                <w:sz w:val="11"/>
                <w:szCs w:val="11"/>
                <w:color w:val="auto"/>
              </w:rPr>
            </w:pPr>
          </w:p>
        </w:tc>
        <w:tc>
          <w:tcPr>
            <w:tcW w:w="220" w:type="dxa"/>
            <w:vAlign w:val="bottom"/>
            <w:tcBorders>
              <w:top w:val="single" w:sz="8" w:color="DC202E"/>
              <w:bottom w:val="single" w:sz="8" w:color="888B8D"/>
            </w:tcBorders>
          </w:tcPr>
          <w:p>
            <w:pPr>
              <w:spacing w:after="0"/>
              <w:rPr>
                <w:sz w:val="11"/>
                <w:szCs w:val="11"/>
                <w:color w:val="auto"/>
              </w:rPr>
            </w:pPr>
          </w:p>
        </w:tc>
        <w:tc>
          <w:tcPr>
            <w:tcW w:w="140" w:type="dxa"/>
            <w:vAlign w:val="bottom"/>
            <w:tcBorders>
              <w:top w:val="single" w:sz="8" w:color="D7282F"/>
              <w:bottom w:val="single" w:sz="8" w:color="888B8D"/>
            </w:tcBorders>
          </w:tcPr>
          <w:p>
            <w:pPr>
              <w:spacing w:after="0"/>
              <w:rPr>
                <w:sz w:val="11"/>
                <w:szCs w:val="11"/>
                <w:color w:val="auto"/>
              </w:rPr>
            </w:pPr>
          </w:p>
        </w:tc>
        <w:tc>
          <w:tcPr>
            <w:tcW w:w="640" w:type="dxa"/>
            <w:vAlign w:val="bottom"/>
            <w:tcBorders>
              <w:top w:val="single" w:sz="8" w:color="D7282F"/>
              <w:bottom w:val="single" w:sz="8" w:color="888B8D"/>
            </w:tcBorders>
          </w:tcPr>
          <w:p>
            <w:pPr>
              <w:spacing w:after="0"/>
              <w:rPr>
                <w:sz w:val="11"/>
                <w:szCs w:val="11"/>
                <w:color w:val="auto"/>
              </w:rPr>
            </w:pPr>
          </w:p>
        </w:tc>
      </w:tr>
      <w:tr>
        <w:trPr>
          <w:trHeight w:val="124"/>
        </w:trPr>
        <w:tc>
          <w:tcPr>
            <w:tcW w:w="76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Honeywell common stock</w:t>
            </w:r>
          </w:p>
        </w:tc>
        <w:tc>
          <w:tcPr>
            <w:tcW w:w="18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3,336</w:t>
            </w: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3,336</w:t>
            </w:r>
          </w:p>
        </w:tc>
        <w:tc>
          <w:tcPr>
            <w:tcW w:w="20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888B8D"/>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76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U.S. equities</w:t>
            </w: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w:t>
            </w: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6</w:t>
            </w:r>
          </w:p>
        </w:tc>
        <w:tc>
          <w:tcPr>
            <w:tcW w:w="20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800" w:type="dxa"/>
            <w:vAlign w:val="bottom"/>
            <w:tcBorders>
              <w:bottom w:val="single" w:sz="8" w:color="888B8D"/>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76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Fixed income</w:t>
            </w: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spacing w:after="0"/>
              <w:rPr>
                <w:sz w:val="10"/>
                <w:szCs w:val="10"/>
                <w:color w:val="auto"/>
              </w:rPr>
            </w:pPr>
          </w:p>
        </w:tc>
      </w:tr>
      <w:tr>
        <w:trPr>
          <w:trHeight w:val="124"/>
        </w:trPr>
        <w:tc>
          <w:tcPr>
            <w:tcW w:w="76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Short-term investments</w:t>
            </w: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855</w:t>
            </w: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855</w:t>
            </w:r>
          </w:p>
        </w:tc>
        <w:tc>
          <w:tcPr>
            <w:tcW w:w="20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800" w:type="dxa"/>
            <w:vAlign w:val="bottom"/>
            <w:tcBorders>
              <w:bottom w:val="single" w:sz="8" w:color="888B8D"/>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76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Government securities</w:t>
            </w: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1,492</w:t>
            </w: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1,492</w:t>
            </w: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76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Corporate bonds</w:t>
            </w: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6,632</w:t>
            </w: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6,632</w:t>
            </w: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76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Mortgage/Asset-backed securities</w:t>
            </w: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1,119</w:t>
            </w: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1,119</w:t>
            </w: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76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Insurance contracts</w:t>
            </w: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8</w:t>
            </w: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8</w:t>
            </w: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76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Direct investments</w:t>
            </w: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spacing w:after="0"/>
              <w:rPr>
                <w:sz w:val="10"/>
                <w:szCs w:val="10"/>
                <w:color w:val="auto"/>
              </w:rPr>
            </w:pPr>
          </w:p>
        </w:tc>
      </w:tr>
      <w:tr>
        <w:trPr>
          <w:trHeight w:val="124"/>
        </w:trPr>
        <w:tc>
          <w:tcPr>
            <w:tcW w:w="76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Direct private investments</w:t>
            </w: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1,284</w:t>
            </w: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888B8D"/>
            </w:tcBorders>
          </w:tcPr>
          <w:p>
            <w:pPr>
              <w:spacing w:after="0"/>
              <w:rPr>
                <w:sz w:val="10"/>
                <w:szCs w:val="10"/>
                <w:color w:val="auto"/>
              </w:rPr>
            </w:pPr>
          </w:p>
        </w:tc>
        <w:tc>
          <w:tcPr>
            <w:tcW w:w="800" w:type="dxa"/>
            <w:vAlign w:val="bottom"/>
            <w:tcBorders>
              <w:bottom w:val="single" w:sz="8" w:color="888B8D"/>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1,284</w:t>
            </w:r>
          </w:p>
        </w:tc>
      </w:tr>
      <w:tr>
        <w:trPr>
          <w:trHeight w:val="124"/>
        </w:trPr>
        <w:tc>
          <w:tcPr>
            <w:tcW w:w="760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Real estate properties</w:t>
            </w:r>
          </w:p>
        </w:tc>
        <w:tc>
          <w:tcPr>
            <w:tcW w:w="18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1,005</w:t>
            </w:r>
          </w:p>
        </w:tc>
        <w:tc>
          <w:tcPr>
            <w:tcW w:w="220" w:type="dxa"/>
            <w:vAlign w:val="bottom"/>
            <w:tcBorders>
              <w:bottom w:val="single" w:sz="8" w:color="D7282F"/>
            </w:tcBorders>
          </w:tcPr>
          <w:p>
            <w:pPr>
              <w:spacing w:after="0"/>
              <w:rPr>
                <w:sz w:val="10"/>
                <w:szCs w:val="10"/>
                <w:color w:val="auto"/>
              </w:rPr>
            </w:pPr>
          </w:p>
        </w:tc>
        <w:tc>
          <w:tcPr>
            <w:tcW w:w="1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D7282F"/>
            </w:tcBorders>
          </w:tcPr>
          <w:p>
            <w:pPr>
              <w:spacing w:after="0"/>
              <w:rPr>
                <w:sz w:val="10"/>
                <w:szCs w:val="10"/>
                <w:color w:val="auto"/>
              </w:rPr>
            </w:pPr>
          </w:p>
        </w:tc>
        <w:tc>
          <w:tcPr>
            <w:tcW w:w="800" w:type="dxa"/>
            <w:vAlign w:val="bottom"/>
            <w:tcBorders>
              <w:bottom w:val="single" w:sz="8" w:color="D7282F"/>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1,005</w:t>
            </w:r>
          </w:p>
        </w:tc>
      </w:tr>
      <w:tr>
        <w:trPr>
          <w:trHeight w:val="126"/>
        </w:trPr>
        <w:tc>
          <w:tcPr>
            <w:tcW w:w="760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w:t>
            </w:r>
          </w:p>
        </w:tc>
        <w:tc>
          <w:tcPr>
            <w:tcW w:w="1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15,737</w:t>
            </w:r>
          </w:p>
        </w:tc>
        <w:tc>
          <w:tcPr>
            <w:tcW w:w="220" w:type="dxa"/>
            <w:vAlign w:val="bottom"/>
            <w:tcBorders>
              <w:bottom w:val="single" w:sz="8" w:color="D7282F"/>
            </w:tcBorders>
          </w:tcPr>
          <w:p>
            <w:pPr>
              <w:spacing w:after="0"/>
              <w:rPr>
                <w:sz w:val="10"/>
                <w:szCs w:val="10"/>
                <w:color w:val="auto"/>
              </w:rPr>
            </w:pPr>
          </w:p>
        </w:tc>
        <w:tc>
          <w:tcPr>
            <w:tcW w:w="14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4,197</w:t>
            </w:r>
          </w:p>
        </w:tc>
        <w:tc>
          <w:tcPr>
            <w:tcW w:w="20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9,251</w:t>
            </w:r>
          </w:p>
        </w:tc>
        <w:tc>
          <w:tcPr>
            <w:tcW w:w="220" w:type="dxa"/>
            <w:vAlign w:val="bottom"/>
            <w:tcBorders>
              <w:bottom w:val="single" w:sz="8" w:color="D7282F"/>
            </w:tcBorders>
          </w:tcPr>
          <w:p>
            <w:pPr>
              <w:spacing w:after="0"/>
              <w:rPr>
                <w:sz w:val="10"/>
                <w:szCs w:val="10"/>
                <w:color w:val="auto"/>
              </w:rPr>
            </w:pPr>
          </w:p>
        </w:tc>
        <w:tc>
          <w:tcPr>
            <w:tcW w:w="14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2,289</w:t>
            </w:r>
          </w:p>
        </w:tc>
      </w:tr>
      <w:tr>
        <w:trPr>
          <w:trHeight w:val="122"/>
        </w:trPr>
        <w:tc>
          <w:tcPr>
            <w:tcW w:w="76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Investments measured at NAV</w:t>
            </w: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spacing w:after="0"/>
              <w:rPr>
                <w:sz w:val="10"/>
                <w:szCs w:val="10"/>
                <w:color w:val="auto"/>
              </w:rPr>
            </w:pPr>
          </w:p>
        </w:tc>
      </w:tr>
      <w:tr>
        <w:trPr>
          <w:trHeight w:val="124"/>
        </w:trPr>
        <w:tc>
          <w:tcPr>
            <w:tcW w:w="76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Private funds</w:t>
            </w: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1,258</w:t>
            </w: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spacing w:after="0"/>
              <w:rPr>
                <w:sz w:val="10"/>
                <w:szCs w:val="10"/>
                <w:color w:val="auto"/>
              </w:rPr>
            </w:pPr>
          </w:p>
        </w:tc>
      </w:tr>
      <w:tr>
        <w:trPr>
          <w:trHeight w:val="124"/>
        </w:trPr>
        <w:tc>
          <w:tcPr>
            <w:tcW w:w="76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Real estate funds</w:t>
            </w: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10</w:t>
            </w: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spacing w:after="0"/>
              <w:rPr>
                <w:sz w:val="10"/>
                <w:szCs w:val="10"/>
                <w:color w:val="auto"/>
              </w:rPr>
            </w:pPr>
          </w:p>
        </w:tc>
      </w:tr>
      <w:tr>
        <w:trPr>
          <w:trHeight w:val="124"/>
        </w:trPr>
        <w:tc>
          <w:tcPr>
            <w:tcW w:w="760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Commingled funds</w:t>
            </w:r>
          </w:p>
        </w:tc>
        <w:tc>
          <w:tcPr>
            <w:tcW w:w="180" w:type="dxa"/>
            <w:vAlign w:val="bottom"/>
            <w:tcBorders>
              <w:bottom w:val="single" w:sz="8" w:color="D7282F"/>
            </w:tcBorders>
          </w:tcPr>
          <w:p>
            <w:pPr>
              <w:spacing w:after="0"/>
              <w:rPr>
                <w:sz w:val="10"/>
                <w:szCs w:val="10"/>
                <w:color w:val="auto"/>
              </w:rPr>
            </w:pPr>
          </w:p>
        </w:tc>
        <w:tc>
          <w:tcPr>
            <w:tcW w:w="800" w:type="dxa"/>
            <w:vAlign w:val="bottom"/>
            <w:tcBorders>
              <w:bottom w:val="single" w:sz="8" w:color="D7282F"/>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14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spacing w:after="0"/>
              <w:rPr>
                <w:sz w:val="10"/>
                <w:szCs w:val="10"/>
                <w:color w:val="auto"/>
              </w:rPr>
            </w:pPr>
          </w:p>
        </w:tc>
      </w:tr>
      <w:tr>
        <w:trPr>
          <w:trHeight w:val="126"/>
        </w:trPr>
        <w:tc>
          <w:tcPr>
            <w:tcW w:w="7600" w:type="dxa"/>
            <w:vAlign w:val="bottom"/>
            <w:tcBorders>
              <w:bottom w:val="single" w:sz="8" w:color="D7282F"/>
            </w:tcBorders>
          </w:tcPr>
          <w:p>
            <w:pPr>
              <w:ind w:left="220"/>
              <w:spacing w:after="0"/>
              <w:rPr>
                <w:sz w:val="20"/>
                <w:szCs w:val="20"/>
                <w:color w:val="auto"/>
              </w:rPr>
            </w:pPr>
            <w:r>
              <w:rPr>
                <w:rFonts w:ascii="Arial" w:cs="Arial" w:eastAsia="Arial" w:hAnsi="Arial"/>
                <w:sz w:val="10"/>
                <w:szCs w:val="10"/>
                <w:b w:val="1"/>
                <w:bCs w:val="1"/>
                <w:color w:val="auto"/>
              </w:rPr>
              <w:t>Total assets at fair value</w:t>
            </w:r>
          </w:p>
        </w:tc>
        <w:tc>
          <w:tcPr>
            <w:tcW w:w="1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17,005</w:t>
            </w:r>
          </w:p>
        </w:tc>
        <w:tc>
          <w:tcPr>
            <w:tcW w:w="220" w:type="dxa"/>
            <w:vAlign w:val="bottom"/>
            <w:tcBorders>
              <w:bottom w:val="single" w:sz="8" w:color="D7282F"/>
            </w:tcBorders>
          </w:tcPr>
          <w:p>
            <w:pPr>
              <w:spacing w:after="0"/>
              <w:rPr>
                <w:sz w:val="10"/>
                <w:szCs w:val="10"/>
                <w:color w:val="auto"/>
              </w:rPr>
            </w:pPr>
          </w:p>
        </w:tc>
        <w:tc>
          <w:tcPr>
            <w:tcW w:w="14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14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spacing w:after="0"/>
              <w:rPr>
                <w:sz w:val="10"/>
                <w:szCs w:val="10"/>
                <w:color w:val="auto"/>
              </w:rPr>
            </w:pPr>
          </w:p>
        </w:tc>
      </w:tr>
    </w:tbl>
    <w:p>
      <w:pPr>
        <w:spacing w:after="0" w:line="338" w:lineRule="exact"/>
        <w:rPr>
          <w:sz w:val="20"/>
          <w:szCs w:val="20"/>
          <w:color w:val="auto"/>
        </w:rPr>
      </w:pPr>
    </w:p>
    <w:p>
      <w:pPr>
        <w:spacing w:after="0"/>
        <w:tabs>
          <w:tab w:leader="none" w:pos="300" w:val="left"/>
        </w:tabs>
        <w:rPr>
          <w:sz w:val="20"/>
          <w:szCs w:val="20"/>
          <w:color w:val="auto"/>
        </w:rPr>
      </w:pPr>
      <w:r>
        <w:rPr>
          <w:rFonts w:ascii="Arial" w:cs="Arial" w:eastAsia="Arial" w:hAnsi="Arial"/>
          <w:sz w:val="12"/>
          <w:szCs w:val="12"/>
          <w:b w:val="1"/>
          <w:bCs w:val="1"/>
          <w:color w:val="D7282F"/>
        </w:rPr>
        <w:t>107</w:t>
      </w:r>
      <w:r>
        <w:rPr>
          <w:sz w:val="20"/>
          <w:szCs w:val="20"/>
          <w:color w:val="auto"/>
        </w:rPr>
        <w:tab/>
      </w:r>
      <w:r>
        <w:rPr>
          <w:rFonts w:ascii="Arial" w:cs="Arial" w:eastAsia="Arial" w:hAnsi="Arial"/>
          <w:sz w:val="8"/>
          <w:szCs w:val="8"/>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90805</wp:posOffset>
            </wp:positionV>
            <wp:extent cx="7203440" cy="368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109" w:name="page110"/>
    <w:bookmarkEnd w:id="109"/>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7600" w:type="dxa"/>
            <w:vAlign w:val="bottom"/>
          </w:tcPr>
          <w:p>
            <w:pPr>
              <w:spacing w:after="0"/>
              <w:rPr>
                <w:sz w:val="11"/>
                <w:szCs w:val="11"/>
                <w:color w:val="auto"/>
              </w:rPr>
            </w:pPr>
          </w:p>
        </w:tc>
        <w:tc>
          <w:tcPr>
            <w:tcW w:w="180" w:type="dxa"/>
            <w:vAlign w:val="bottom"/>
            <w:tcBorders>
              <w:bottom w:val="single" w:sz="8" w:color="D7282F"/>
            </w:tcBorders>
          </w:tcPr>
          <w:p>
            <w:pPr>
              <w:spacing w:after="0"/>
              <w:rPr>
                <w:sz w:val="11"/>
                <w:szCs w:val="11"/>
                <w:color w:val="auto"/>
              </w:rPr>
            </w:pPr>
          </w:p>
        </w:tc>
        <w:tc>
          <w:tcPr>
            <w:tcW w:w="680" w:type="dxa"/>
            <w:vAlign w:val="bottom"/>
            <w:tcBorders>
              <w:bottom w:val="single" w:sz="8" w:color="D7282F"/>
            </w:tcBorders>
          </w:tcPr>
          <w:p>
            <w:pPr>
              <w:spacing w:after="0"/>
              <w:rPr>
                <w:sz w:val="11"/>
                <w:szCs w:val="11"/>
                <w:color w:val="auto"/>
              </w:rPr>
            </w:pPr>
          </w:p>
        </w:tc>
        <w:tc>
          <w:tcPr>
            <w:tcW w:w="260" w:type="dxa"/>
            <w:vAlign w:val="bottom"/>
            <w:tcBorders>
              <w:bottom w:val="single" w:sz="8" w:color="D7282F"/>
            </w:tcBorders>
          </w:tcPr>
          <w:p>
            <w:pPr>
              <w:spacing w:after="0"/>
              <w:rPr>
                <w:sz w:val="11"/>
                <w:szCs w:val="11"/>
                <w:color w:val="auto"/>
              </w:rPr>
            </w:pPr>
          </w:p>
        </w:tc>
        <w:tc>
          <w:tcPr>
            <w:tcW w:w="1680" w:type="dxa"/>
            <w:vAlign w:val="bottom"/>
            <w:tcBorders>
              <w:bottom w:val="single" w:sz="8" w:color="D7282F"/>
            </w:tcBorders>
            <w:gridSpan w:val="3"/>
          </w:tcPr>
          <w:p>
            <w:pPr>
              <w:jc w:val="center"/>
              <w:ind w:right="172"/>
              <w:spacing w:after="0"/>
              <w:rPr>
                <w:sz w:val="20"/>
                <w:szCs w:val="20"/>
                <w:color w:val="auto"/>
              </w:rPr>
            </w:pPr>
            <w:r>
              <w:rPr>
                <w:rFonts w:ascii="Arial" w:cs="Arial" w:eastAsia="Arial" w:hAnsi="Arial"/>
                <w:sz w:val="10"/>
                <w:szCs w:val="10"/>
                <w:b w:val="1"/>
                <w:bCs w:val="1"/>
                <w:color w:val="auto"/>
                <w:w w:val="97"/>
              </w:rPr>
              <w:t>Non-U.S. Plans</w:t>
            </w:r>
          </w:p>
        </w:tc>
        <w:tc>
          <w:tcPr>
            <w:tcW w:w="260" w:type="dxa"/>
            <w:vAlign w:val="bottom"/>
            <w:tcBorders>
              <w:bottom w:val="single" w:sz="8" w:color="D7282F"/>
            </w:tcBorders>
          </w:tcPr>
          <w:p>
            <w:pPr>
              <w:spacing w:after="0"/>
              <w:rPr>
                <w:sz w:val="11"/>
                <w:szCs w:val="11"/>
                <w:color w:val="auto"/>
              </w:rPr>
            </w:pPr>
          </w:p>
        </w:tc>
        <w:tc>
          <w:tcPr>
            <w:tcW w:w="640" w:type="dxa"/>
            <w:vAlign w:val="bottom"/>
            <w:tcBorders>
              <w:bottom w:val="single" w:sz="8" w:color="D7282F"/>
            </w:tcBorders>
          </w:tcPr>
          <w:p>
            <w:pPr>
              <w:spacing w:after="0"/>
              <w:rPr>
                <w:sz w:val="11"/>
                <w:szCs w:val="11"/>
                <w:color w:val="auto"/>
              </w:rPr>
            </w:pPr>
          </w:p>
        </w:tc>
      </w:tr>
      <w:tr>
        <w:trPr>
          <w:trHeight w:val="151"/>
        </w:trPr>
        <w:tc>
          <w:tcPr>
            <w:tcW w:w="7600" w:type="dxa"/>
            <w:vAlign w:val="bottom"/>
          </w:tcPr>
          <w:p>
            <w:pPr>
              <w:spacing w:after="0"/>
              <w:rPr>
                <w:sz w:val="13"/>
                <w:szCs w:val="13"/>
                <w:color w:val="auto"/>
              </w:rPr>
            </w:pPr>
          </w:p>
        </w:tc>
        <w:tc>
          <w:tcPr>
            <w:tcW w:w="18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spacing w:after="0"/>
              <w:rPr>
                <w:sz w:val="13"/>
                <w:szCs w:val="13"/>
                <w:color w:val="auto"/>
              </w:rPr>
            </w:pPr>
          </w:p>
        </w:tc>
        <w:tc>
          <w:tcPr>
            <w:tcW w:w="260" w:type="dxa"/>
            <w:vAlign w:val="bottom"/>
            <w:tcBorders>
              <w:bottom w:val="single" w:sz="8" w:color="D7282F"/>
            </w:tcBorders>
          </w:tcPr>
          <w:p>
            <w:pPr>
              <w:spacing w:after="0"/>
              <w:rPr>
                <w:sz w:val="13"/>
                <w:szCs w:val="13"/>
                <w:color w:val="auto"/>
              </w:rPr>
            </w:pPr>
          </w:p>
        </w:tc>
        <w:tc>
          <w:tcPr>
            <w:tcW w:w="1680" w:type="dxa"/>
            <w:vAlign w:val="bottom"/>
            <w:tcBorders>
              <w:bottom w:val="single" w:sz="8" w:color="D7282F"/>
            </w:tcBorders>
            <w:gridSpan w:val="3"/>
          </w:tcPr>
          <w:p>
            <w:pPr>
              <w:jc w:val="center"/>
              <w:ind w:right="172"/>
              <w:spacing w:after="0"/>
              <w:rPr>
                <w:sz w:val="20"/>
                <w:szCs w:val="20"/>
                <w:color w:val="auto"/>
              </w:rPr>
            </w:pPr>
            <w:r>
              <w:rPr>
                <w:rFonts w:ascii="Arial" w:cs="Arial" w:eastAsia="Arial" w:hAnsi="Arial"/>
                <w:sz w:val="10"/>
                <w:szCs w:val="10"/>
                <w:b w:val="1"/>
                <w:bCs w:val="1"/>
                <w:color w:val="auto"/>
                <w:w w:val="95"/>
              </w:rPr>
              <w:t>December 31, 2023</w:t>
            </w:r>
          </w:p>
        </w:tc>
        <w:tc>
          <w:tcPr>
            <w:tcW w:w="260" w:type="dxa"/>
            <w:vAlign w:val="bottom"/>
            <w:tcBorders>
              <w:bottom w:val="single" w:sz="8" w:color="D7282F"/>
            </w:tcBorders>
          </w:tcPr>
          <w:p>
            <w:pPr>
              <w:spacing w:after="0"/>
              <w:rPr>
                <w:sz w:val="13"/>
                <w:szCs w:val="13"/>
                <w:color w:val="auto"/>
              </w:rPr>
            </w:pPr>
          </w:p>
        </w:tc>
        <w:tc>
          <w:tcPr>
            <w:tcW w:w="640" w:type="dxa"/>
            <w:vAlign w:val="bottom"/>
            <w:tcBorders>
              <w:bottom w:val="single" w:sz="8" w:color="D7282F"/>
            </w:tcBorders>
          </w:tcPr>
          <w:p>
            <w:pPr>
              <w:spacing w:after="0"/>
              <w:rPr>
                <w:sz w:val="13"/>
                <w:szCs w:val="13"/>
                <w:color w:val="auto"/>
              </w:rPr>
            </w:pPr>
          </w:p>
        </w:tc>
      </w:tr>
      <w:tr>
        <w:trPr>
          <w:trHeight w:val="151"/>
        </w:trPr>
        <w:tc>
          <w:tcPr>
            <w:tcW w:w="7600" w:type="dxa"/>
            <w:vAlign w:val="bottom"/>
            <w:tcBorders>
              <w:bottom w:val="single" w:sz="8" w:color="D7282F"/>
            </w:tcBorders>
          </w:tcPr>
          <w:p>
            <w:pPr>
              <w:spacing w:after="0"/>
              <w:rPr>
                <w:sz w:val="13"/>
                <w:szCs w:val="13"/>
                <w:color w:val="auto"/>
              </w:rPr>
            </w:pPr>
          </w:p>
        </w:tc>
        <w:tc>
          <w:tcPr>
            <w:tcW w:w="18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Total</w:t>
            </w:r>
          </w:p>
        </w:tc>
        <w:tc>
          <w:tcPr>
            <w:tcW w:w="260" w:type="dxa"/>
            <w:vAlign w:val="bottom"/>
            <w:tcBorders>
              <w:bottom w:val="single" w:sz="8" w:color="D7282F"/>
            </w:tcBorders>
          </w:tcPr>
          <w:p>
            <w:pPr>
              <w:spacing w:after="0"/>
              <w:rPr>
                <w:sz w:val="13"/>
                <w:szCs w:val="13"/>
                <w:color w:val="auto"/>
              </w:rPr>
            </w:pPr>
          </w:p>
        </w:tc>
        <w:tc>
          <w:tcPr>
            <w:tcW w:w="700" w:type="dxa"/>
            <w:vAlign w:val="bottom"/>
            <w:tcBorders>
              <w:bottom w:val="single" w:sz="8" w:color="D7282F"/>
            </w:tcBorders>
          </w:tcPr>
          <w:p>
            <w:pPr>
              <w:jc w:val="right"/>
              <w:ind w:right="252"/>
              <w:spacing w:after="0"/>
              <w:rPr>
                <w:sz w:val="20"/>
                <w:szCs w:val="20"/>
                <w:color w:val="auto"/>
              </w:rPr>
            </w:pPr>
            <w:r>
              <w:rPr>
                <w:rFonts w:ascii="Arial" w:cs="Arial" w:eastAsia="Arial" w:hAnsi="Arial"/>
                <w:sz w:val="10"/>
                <w:szCs w:val="10"/>
                <w:b w:val="1"/>
                <w:bCs w:val="1"/>
                <w:color w:val="auto"/>
              </w:rPr>
              <w:t>Level 1</w:t>
            </w:r>
          </w:p>
        </w:tc>
        <w:tc>
          <w:tcPr>
            <w:tcW w:w="280" w:type="dxa"/>
            <w:vAlign w:val="bottom"/>
            <w:tcBorders>
              <w:bottom w:val="single" w:sz="8" w:color="D7282F"/>
            </w:tcBorders>
          </w:tcPr>
          <w:p>
            <w:pPr>
              <w:spacing w:after="0"/>
              <w:rPr>
                <w:sz w:val="13"/>
                <w:szCs w:val="13"/>
                <w:color w:val="auto"/>
              </w:rPr>
            </w:pPr>
          </w:p>
        </w:tc>
        <w:tc>
          <w:tcPr>
            <w:tcW w:w="700" w:type="dxa"/>
            <w:vAlign w:val="bottom"/>
            <w:tcBorders>
              <w:bottom w:val="single" w:sz="8" w:color="D7282F"/>
            </w:tcBorders>
          </w:tcPr>
          <w:p>
            <w:pPr>
              <w:jc w:val="right"/>
              <w:ind w:right="252"/>
              <w:spacing w:after="0"/>
              <w:rPr>
                <w:sz w:val="20"/>
                <w:szCs w:val="20"/>
                <w:color w:val="auto"/>
              </w:rPr>
            </w:pPr>
            <w:r>
              <w:rPr>
                <w:rFonts w:ascii="Arial" w:cs="Arial" w:eastAsia="Arial" w:hAnsi="Arial"/>
                <w:sz w:val="10"/>
                <w:szCs w:val="10"/>
                <w:b w:val="1"/>
                <w:bCs w:val="1"/>
                <w:color w:val="auto"/>
              </w:rPr>
              <w:t>Level 2</w:t>
            </w:r>
          </w:p>
        </w:tc>
        <w:tc>
          <w:tcPr>
            <w:tcW w:w="260" w:type="dxa"/>
            <w:vAlign w:val="bottom"/>
            <w:tcBorders>
              <w:bottom w:val="single" w:sz="8" w:color="D7282F"/>
            </w:tcBorders>
          </w:tcPr>
          <w:p>
            <w:pPr>
              <w:spacing w:after="0"/>
              <w:rPr>
                <w:sz w:val="13"/>
                <w:szCs w:val="13"/>
                <w:color w:val="auto"/>
              </w:rPr>
            </w:pPr>
          </w:p>
        </w:tc>
        <w:tc>
          <w:tcPr>
            <w:tcW w:w="64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Level 3</w:t>
            </w:r>
          </w:p>
        </w:tc>
      </w:tr>
      <w:tr>
        <w:trPr>
          <w:trHeight w:val="127"/>
        </w:trPr>
        <w:tc>
          <w:tcPr>
            <w:tcW w:w="76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Equities</w:t>
            </w:r>
          </w:p>
        </w:tc>
        <w:tc>
          <w:tcPr>
            <w:tcW w:w="180" w:type="dxa"/>
            <w:vAlign w:val="bottom"/>
            <w:tcBorders>
              <w:bottom w:val="single" w:sz="8" w:color="61656A"/>
            </w:tcBorders>
          </w:tcPr>
          <w:p>
            <w:pPr>
              <w:spacing w:after="0"/>
              <w:rPr>
                <w:sz w:val="11"/>
                <w:szCs w:val="11"/>
                <w:color w:val="auto"/>
              </w:rPr>
            </w:pPr>
          </w:p>
        </w:tc>
        <w:tc>
          <w:tcPr>
            <w:tcW w:w="680" w:type="dxa"/>
            <w:vAlign w:val="bottom"/>
            <w:tcBorders>
              <w:bottom w:val="single" w:sz="8" w:color="61656A"/>
            </w:tcBorders>
          </w:tcPr>
          <w:p>
            <w:pPr>
              <w:spacing w:after="0"/>
              <w:rPr>
                <w:sz w:val="11"/>
                <w:szCs w:val="11"/>
                <w:color w:val="auto"/>
              </w:rPr>
            </w:pPr>
          </w:p>
        </w:tc>
        <w:tc>
          <w:tcPr>
            <w:tcW w:w="260" w:type="dxa"/>
            <w:vAlign w:val="bottom"/>
            <w:tcBorders>
              <w:bottom w:val="single" w:sz="8" w:color="61656A"/>
            </w:tcBorders>
          </w:tcPr>
          <w:p>
            <w:pPr>
              <w:spacing w:after="0"/>
              <w:rPr>
                <w:sz w:val="11"/>
                <w:szCs w:val="11"/>
                <w:color w:val="auto"/>
              </w:rPr>
            </w:pPr>
          </w:p>
        </w:tc>
        <w:tc>
          <w:tcPr>
            <w:tcW w:w="700" w:type="dxa"/>
            <w:vAlign w:val="bottom"/>
            <w:tcBorders>
              <w:bottom w:val="single" w:sz="8" w:color="61656A"/>
            </w:tcBorders>
          </w:tcPr>
          <w:p>
            <w:pPr>
              <w:spacing w:after="0"/>
              <w:rPr>
                <w:sz w:val="11"/>
                <w:szCs w:val="11"/>
                <w:color w:val="auto"/>
              </w:rPr>
            </w:pPr>
          </w:p>
        </w:tc>
        <w:tc>
          <w:tcPr>
            <w:tcW w:w="280" w:type="dxa"/>
            <w:vAlign w:val="bottom"/>
            <w:tcBorders>
              <w:bottom w:val="single" w:sz="8" w:color="61656A"/>
            </w:tcBorders>
          </w:tcPr>
          <w:p>
            <w:pPr>
              <w:spacing w:after="0"/>
              <w:rPr>
                <w:sz w:val="11"/>
                <w:szCs w:val="11"/>
                <w:color w:val="auto"/>
              </w:rPr>
            </w:pPr>
          </w:p>
        </w:tc>
        <w:tc>
          <w:tcPr>
            <w:tcW w:w="700" w:type="dxa"/>
            <w:vAlign w:val="bottom"/>
            <w:tcBorders>
              <w:bottom w:val="single" w:sz="8" w:color="61656A"/>
            </w:tcBorders>
          </w:tcPr>
          <w:p>
            <w:pPr>
              <w:spacing w:after="0"/>
              <w:rPr>
                <w:sz w:val="11"/>
                <w:szCs w:val="11"/>
                <w:color w:val="auto"/>
              </w:rPr>
            </w:pPr>
          </w:p>
        </w:tc>
        <w:tc>
          <w:tcPr>
            <w:tcW w:w="260" w:type="dxa"/>
            <w:vAlign w:val="bottom"/>
            <w:tcBorders>
              <w:bottom w:val="single" w:sz="8" w:color="61656A"/>
            </w:tcBorders>
          </w:tcPr>
          <w:p>
            <w:pPr>
              <w:spacing w:after="0"/>
              <w:rPr>
                <w:sz w:val="11"/>
                <w:szCs w:val="11"/>
                <w:color w:val="auto"/>
              </w:rPr>
            </w:pPr>
          </w:p>
        </w:tc>
        <w:tc>
          <w:tcPr>
            <w:tcW w:w="640" w:type="dxa"/>
            <w:vAlign w:val="bottom"/>
            <w:tcBorders>
              <w:bottom w:val="single" w:sz="8" w:color="61656A"/>
            </w:tcBorders>
          </w:tcPr>
          <w:p>
            <w:pPr>
              <w:spacing w:after="0"/>
              <w:rPr>
                <w:sz w:val="11"/>
                <w:szCs w:val="11"/>
                <w:color w:val="auto"/>
              </w:rPr>
            </w:pPr>
          </w:p>
        </w:tc>
      </w:tr>
      <w:tr>
        <w:trPr>
          <w:trHeight w:val="124"/>
        </w:trPr>
        <w:tc>
          <w:tcPr>
            <w:tcW w:w="76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U.S. equities</w:t>
            </w:r>
          </w:p>
        </w:tc>
        <w:tc>
          <w:tcPr>
            <w:tcW w:w="18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195</w:t>
            </w:r>
          </w:p>
        </w:tc>
        <w:tc>
          <w:tcPr>
            <w:tcW w:w="260" w:type="dxa"/>
            <w:vAlign w:val="bottom"/>
            <w:tcBorders>
              <w:bottom w:val="single" w:sz="8" w:color="61656A"/>
            </w:tcBorders>
          </w:tcPr>
          <w:p>
            <w:pPr>
              <w:jc w:val="right"/>
              <w:ind w:right="3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jc w:val="right"/>
              <w:ind w:right="3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195</w:t>
            </w:r>
          </w:p>
        </w:tc>
        <w:tc>
          <w:tcPr>
            <w:tcW w:w="260" w:type="dxa"/>
            <w:vAlign w:val="bottom"/>
            <w:tcBorders>
              <w:bottom w:val="single" w:sz="8" w:color="61656A"/>
            </w:tcBorders>
          </w:tcPr>
          <w:p>
            <w:pPr>
              <w:jc w:val="right"/>
              <w:ind w:right="3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76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Non-U.S. equities</w:t>
            </w:r>
          </w:p>
        </w:tc>
        <w:tc>
          <w:tcPr>
            <w:tcW w:w="18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365</w:t>
            </w:r>
          </w:p>
        </w:tc>
        <w:tc>
          <w:tcPr>
            <w:tcW w:w="2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365</w:t>
            </w:r>
          </w:p>
        </w:tc>
        <w:tc>
          <w:tcPr>
            <w:tcW w:w="26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76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Fixed income</w:t>
            </w:r>
          </w:p>
        </w:tc>
        <w:tc>
          <w:tcPr>
            <w:tcW w:w="18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spacing w:after="0"/>
              <w:rPr>
                <w:sz w:val="10"/>
                <w:szCs w:val="10"/>
                <w:color w:val="auto"/>
              </w:rPr>
            </w:pPr>
          </w:p>
        </w:tc>
      </w:tr>
      <w:tr>
        <w:trPr>
          <w:trHeight w:val="124"/>
        </w:trPr>
        <w:tc>
          <w:tcPr>
            <w:tcW w:w="76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Short-term investments</w:t>
            </w:r>
          </w:p>
        </w:tc>
        <w:tc>
          <w:tcPr>
            <w:tcW w:w="18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387</w:t>
            </w:r>
          </w:p>
        </w:tc>
        <w:tc>
          <w:tcPr>
            <w:tcW w:w="2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168</w:t>
            </w:r>
          </w:p>
        </w:tc>
        <w:tc>
          <w:tcPr>
            <w:tcW w:w="2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219</w:t>
            </w:r>
          </w:p>
        </w:tc>
        <w:tc>
          <w:tcPr>
            <w:tcW w:w="26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76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Government securities</w:t>
            </w:r>
          </w:p>
        </w:tc>
        <w:tc>
          <w:tcPr>
            <w:tcW w:w="18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1,635</w:t>
            </w:r>
          </w:p>
        </w:tc>
        <w:tc>
          <w:tcPr>
            <w:tcW w:w="2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1,635</w:t>
            </w:r>
          </w:p>
        </w:tc>
        <w:tc>
          <w:tcPr>
            <w:tcW w:w="26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76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Corporate bonds</w:t>
            </w:r>
          </w:p>
        </w:tc>
        <w:tc>
          <w:tcPr>
            <w:tcW w:w="18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1,103</w:t>
            </w:r>
          </w:p>
        </w:tc>
        <w:tc>
          <w:tcPr>
            <w:tcW w:w="2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1,103</w:t>
            </w:r>
          </w:p>
        </w:tc>
        <w:tc>
          <w:tcPr>
            <w:tcW w:w="26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76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Mortgage/Asset-backed securities</w:t>
            </w:r>
          </w:p>
        </w:tc>
        <w:tc>
          <w:tcPr>
            <w:tcW w:w="18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10</w:t>
            </w:r>
          </w:p>
        </w:tc>
        <w:tc>
          <w:tcPr>
            <w:tcW w:w="2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10</w:t>
            </w:r>
          </w:p>
        </w:tc>
        <w:tc>
          <w:tcPr>
            <w:tcW w:w="26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76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Insurance contracts</w:t>
            </w:r>
          </w:p>
        </w:tc>
        <w:tc>
          <w:tcPr>
            <w:tcW w:w="18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108</w:t>
            </w:r>
          </w:p>
        </w:tc>
        <w:tc>
          <w:tcPr>
            <w:tcW w:w="2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108</w:t>
            </w:r>
          </w:p>
        </w:tc>
        <w:tc>
          <w:tcPr>
            <w:tcW w:w="26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76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Insurance buy-in contracts</w:t>
            </w:r>
          </w:p>
        </w:tc>
        <w:tc>
          <w:tcPr>
            <w:tcW w:w="18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1,605</w:t>
            </w:r>
          </w:p>
        </w:tc>
        <w:tc>
          <w:tcPr>
            <w:tcW w:w="2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1,605</w:t>
            </w:r>
          </w:p>
        </w:tc>
      </w:tr>
      <w:tr>
        <w:trPr>
          <w:trHeight w:val="124"/>
        </w:trPr>
        <w:tc>
          <w:tcPr>
            <w:tcW w:w="76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Investments in private funds</w:t>
            </w:r>
          </w:p>
        </w:tc>
        <w:tc>
          <w:tcPr>
            <w:tcW w:w="18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spacing w:after="0"/>
              <w:rPr>
                <w:sz w:val="10"/>
                <w:szCs w:val="10"/>
                <w:color w:val="auto"/>
              </w:rPr>
            </w:pPr>
          </w:p>
        </w:tc>
      </w:tr>
      <w:tr>
        <w:trPr>
          <w:trHeight w:val="124"/>
        </w:trPr>
        <w:tc>
          <w:tcPr>
            <w:tcW w:w="76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Private funds</w:t>
            </w:r>
          </w:p>
        </w:tc>
        <w:tc>
          <w:tcPr>
            <w:tcW w:w="18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115</w:t>
            </w:r>
          </w:p>
        </w:tc>
        <w:tc>
          <w:tcPr>
            <w:tcW w:w="2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41</w:t>
            </w:r>
          </w:p>
        </w:tc>
        <w:tc>
          <w:tcPr>
            <w:tcW w:w="26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74</w:t>
            </w:r>
          </w:p>
        </w:tc>
      </w:tr>
      <w:tr>
        <w:trPr>
          <w:trHeight w:val="124"/>
        </w:trPr>
        <w:tc>
          <w:tcPr>
            <w:tcW w:w="760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Real estate funds</w:t>
            </w:r>
          </w:p>
        </w:tc>
        <w:tc>
          <w:tcPr>
            <w:tcW w:w="18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16</w:t>
            </w:r>
          </w:p>
        </w:tc>
        <w:tc>
          <w:tcPr>
            <w:tcW w:w="2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16</w:t>
            </w:r>
          </w:p>
        </w:tc>
      </w:tr>
      <w:tr>
        <w:trPr>
          <w:trHeight w:val="126"/>
        </w:trPr>
        <w:tc>
          <w:tcPr>
            <w:tcW w:w="760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w:t>
            </w:r>
          </w:p>
        </w:tc>
        <w:tc>
          <w:tcPr>
            <w:tcW w:w="1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5,539</w:t>
            </w:r>
          </w:p>
        </w:tc>
        <w:tc>
          <w:tcPr>
            <w:tcW w:w="26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168</w:t>
            </w:r>
          </w:p>
        </w:tc>
        <w:tc>
          <w:tcPr>
            <w:tcW w:w="28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3,676</w:t>
            </w:r>
          </w:p>
        </w:tc>
        <w:tc>
          <w:tcPr>
            <w:tcW w:w="26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1,695</w:t>
            </w:r>
          </w:p>
        </w:tc>
      </w:tr>
      <w:tr>
        <w:trPr>
          <w:trHeight w:val="122"/>
        </w:trPr>
        <w:tc>
          <w:tcPr>
            <w:tcW w:w="76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Investments measured at NAV</w:t>
            </w:r>
          </w:p>
        </w:tc>
        <w:tc>
          <w:tcPr>
            <w:tcW w:w="18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spacing w:after="0"/>
              <w:rPr>
                <w:sz w:val="10"/>
                <w:szCs w:val="10"/>
                <w:color w:val="auto"/>
              </w:rPr>
            </w:pPr>
          </w:p>
        </w:tc>
      </w:tr>
      <w:tr>
        <w:trPr>
          <w:trHeight w:val="124"/>
        </w:trPr>
        <w:tc>
          <w:tcPr>
            <w:tcW w:w="76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Private funds</w:t>
            </w:r>
          </w:p>
        </w:tc>
        <w:tc>
          <w:tcPr>
            <w:tcW w:w="18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8</w:t>
            </w:r>
          </w:p>
        </w:tc>
        <w:tc>
          <w:tcPr>
            <w:tcW w:w="2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spacing w:after="0"/>
              <w:rPr>
                <w:sz w:val="10"/>
                <w:szCs w:val="10"/>
                <w:color w:val="auto"/>
              </w:rPr>
            </w:pPr>
          </w:p>
        </w:tc>
      </w:tr>
      <w:tr>
        <w:trPr>
          <w:trHeight w:val="124"/>
        </w:trPr>
        <w:tc>
          <w:tcPr>
            <w:tcW w:w="760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Real estate funds</w:t>
            </w:r>
          </w:p>
        </w:tc>
        <w:tc>
          <w:tcPr>
            <w:tcW w:w="18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2</w:t>
            </w:r>
          </w:p>
        </w:tc>
        <w:tc>
          <w:tcPr>
            <w:tcW w:w="2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spacing w:after="0"/>
              <w:rPr>
                <w:sz w:val="10"/>
                <w:szCs w:val="10"/>
                <w:color w:val="auto"/>
              </w:rPr>
            </w:pPr>
          </w:p>
        </w:tc>
        <w:tc>
          <w:tcPr>
            <w:tcW w:w="26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spacing w:after="0"/>
              <w:rPr>
                <w:sz w:val="10"/>
                <w:szCs w:val="10"/>
                <w:color w:val="auto"/>
              </w:rPr>
            </w:pPr>
          </w:p>
        </w:tc>
      </w:tr>
      <w:tr>
        <w:trPr>
          <w:trHeight w:val="126"/>
        </w:trPr>
        <w:tc>
          <w:tcPr>
            <w:tcW w:w="7600" w:type="dxa"/>
            <w:vAlign w:val="bottom"/>
            <w:tcBorders>
              <w:bottom w:val="single" w:sz="8" w:color="D7282F"/>
            </w:tcBorders>
          </w:tcPr>
          <w:p>
            <w:pPr>
              <w:ind w:left="220"/>
              <w:spacing w:after="0"/>
              <w:rPr>
                <w:sz w:val="20"/>
                <w:szCs w:val="20"/>
                <w:color w:val="auto"/>
              </w:rPr>
            </w:pPr>
            <w:r>
              <w:rPr>
                <w:rFonts w:ascii="Arial" w:cs="Arial" w:eastAsia="Arial" w:hAnsi="Arial"/>
                <w:sz w:val="10"/>
                <w:szCs w:val="10"/>
                <w:b w:val="1"/>
                <w:bCs w:val="1"/>
                <w:color w:val="auto"/>
              </w:rPr>
              <w:t>Total assets at fair value</w:t>
            </w:r>
          </w:p>
        </w:tc>
        <w:tc>
          <w:tcPr>
            <w:tcW w:w="1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5,549</w:t>
            </w:r>
          </w:p>
        </w:tc>
        <w:tc>
          <w:tcPr>
            <w:tcW w:w="2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spacing w:after="0"/>
              <w:rPr>
                <w:sz w:val="10"/>
                <w:szCs w:val="10"/>
                <w:color w:val="auto"/>
              </w:rPr>
            </w:pPr>
          </w:p>
        </w:tc>
        <w:tc>
          <w:tcPr>
            <w:tcW w:w="26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spacing w:after="0"/>
              <w:rPr>
                <w:sz w:val="10"/>
                <w:szCs w:val="10"/>
                <w:color w:val="auto"/>
              </w:rPr>
            </w:pPr>
          </w:p>
        </w:tc>
      </w:tr>
      <w:tr>
        <w:trPr>
          <w:trHeight w:val="308"/>
        </w:trPr>
        <w:tc>
          <w:tcPr>
            <w:tcW w:w="7600" w:type="dxa"/>
            <w:vAlign w:val="bottom"/>
          </w:tcPr>
          <w:p>
            <w:pPr>
              <w:spacing w:after="0"/>
              <w:rPr>
                <w:sz w:val="24"/>
                <w:szCs w:val="24"/>
                <w:color w:val="auto"/>
              </w:rPr>
            </w:pPr>
          </w:p>
        </w:tc>
        <w:tc>
          <w:tcPr>
            <w:tcW w:w="180" w:type="dxa"/>
            <w:vAlign w:val="bottom"/>
            <w:tcBorders>
              <w:bottom w:val="single" w:sz="8" w:color="D7282F"/>
            </w:tcBorders>
          </w:tcPr>
          <w:p>
            <w:pPr>
              <w:spacing w:after="0"/>
              <w:rPr>
                <w:sz w:val="24"/>
                <w:szCs w:val="24"/>
                <w:color w:val="auto"/>
              </w:rPr>
            </w:pPr>
          </w:p>
        </w:tc>
        <w:tc>
          <w:tcPr>
            <w:tcW w:w="680" w:type="dxa"/>
            <w:vAlign w:val="bottom"/>
            <w:tcBorders>
              <w:bottom w:val="single" w:sz="8" w:color="D7282F"/>
            </w:tcBorders>
          </w:tcPr>
          <w:p>
            <w:pPr>
              <w:spacing w:after="0"/>
              <w:rPr>
                <w:sz w:val="24"/>
                <w:szCs w:val="24"/>
                <w:color w:val="auto"/>
              </w:rPr>
            </w:pPr>
          </w:p>
        </w:tc>
        <w:tc>
          <w:tcPr>
            <w:tcW w:w="260" w:type="dxa"/>
            <w:vAlign w:val="bottom"/>
            <w:tcBorders>
              <w:bottom w:val="single" w:sz="8" w:color="D7282F"/>
            </w:tcBorders>
          </w:tcPr>
          <w:p>
            <w:pPr>
              <w:spacing w:after="0"/>
              <w:rPr>
                <w:sz w:val="24"/>
                <w:szCs w:val="24"/>
                <w:color w:val="auto"/>
              </w:rPr>
            </w:pPr>
          </w:p>
        </w:tc>
        <w:tc>
          <w:tcPr>
            <w:tcW w:w="1680" w:type="dxa"/>
            <w:vAlign w:val="bottom"/>
            <w:tcBorders>
              <w:bottom w:val="single" w:sz="8" w:color="D7282F"/>
            </w:tcBorders>
            <w:gridSpan w:val="3"/>
          </w:tcPr>
          <w:p>
            <w:pPr>
              <w:jc w:val="center"/>
              <w:ind w:right="172"/>
              <w:spacing w:after="0"/>
              <w:rPr>
                <w:sz w:val="20"/>
                <w:szCs w:val="20"/>
                <w:color w:val="auto"/>
              </w:rPr>
            </w:pPr>
            <w:r>
              <w:rPr>
                <w:rFonts w:ascii="Arial" w:cs="Arial" w:eastAsia="Arial" w:hAnsi="Arial"/>
                <w:sz w:val="10"/>
                <w:szCs w:val="10"/>
                <w:b w:val="1"/>
                <w:bCs w:val="1"/>
                <w:color w:val="auto"/>
                <w:w w:val="97"/>
              </w:rPr>
              <w:t>Non-U.S. Plans</w:t>
            </w:r>
          </w:p>
        </w:tc>
        <w:tc>
          <w:tcPr>
            <w:tcW w:w="260" w:type="dxa"/>
            <w:vAlign w:val="bottom"/>
            <w:tcBorders>
              <w:bottom w:val="single" w:sz="8" w:color="D7282F"/>
            </w:tcBorders>
          </w:tcPr>
          <w:p>
            <w:pPr>
              <w:spacing w:after="0"/>
              <w:rPr>
                <w:sz w:val="24"/>
                <w:szCs w:val="24"/>
                <w:color w:val="auto"/>
              </w:rPr>
            </w:pPr>
          </w:p>
        </w:tc>
        <w:tc>
          <w:tcPr>
            <w:tcW w:w="640" w:type="dxa"/>
            <w:vAlign w:val="bottom"/>
            <w:tcBorders>
              <w:bottom w:val="single" w:sz="8" w:color="D7282F"/>
            </w:tcBorders>
          </w:tcPr>
          <w:p>
            <w:pPr>
              <w:spacing w:after="0"/>
              <w:rPr>
                <w:sz w:val="24"/>
                <w:szCs w:val="24"/>
                <w:color w:val="auto"/>
              </w:rPr>
            </w:pPr>
          </w:p>
        </w:tc>
      </w:tr>
      <w:tr>
        <w:trPr>
          <w:trHeight w:val="151"/>
        </w:trPr>
        <w:tc>
          <w:tcPr>
            <w:tcW w:w="7600" w:type="dxa"/>
            <w:vAlign w:val="bottom"/>
          </w:tcPr>
          <w:p>
            <w:pPr>
              <w:spacing w:after="0"/>
              <w:rPr>
                <w:sz w:val="13"/>
                <w:szCs w:val="13"/>
                <w:color w:val="auto"/>
              </w:rPr>
            </w:pPr>
          </w:p>
        </w:tc>
        <w:tc>
          <w:tcPr>
            <w:tcW w:w="18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spacing w:after="0"/>
              <w:rPr>
                <w:sz w:val="13"/>
                <w:szCs w:val="13"/>
                <w:color w:val="auto"/>
              </w:rPr>
            </w:pPr>
          </w:p>
        </w:tc>
        <w:tc>
          <w:tcPr>
            <w:tcW w:w="260" w:type="dxa"/>
            <w:vAlign w:val="bottom"/>
            <w:tcBorders>
              <w:bottom w:val="single" w:sz="8" w:color="D7282F"/>
            </w:tcBorders>
          </w:tcPr>
          <w:p>
            <w:pPr>
              <w:spacing w:after="0"/>
              <w:rPr>
                <w:sz w:val="13"/>
                <w:szCs w:val="13"/>
                <w:color w:val="auto"/>
              </w:rPr>
            </w:pPr>
          </w:p>
        </w:tc>
        <w:tc>
          <w:tcPr>
            <w:tcW w:w="1680" w:type="dxa"/>
            <w:vAlign w:val="bottom"/>
            <w:tcBorders>
              <w:bottom w:val="single" w:sz="8" w:color="D7282F"/>
            </w:tcBorders>
            <w:gridSpan w:val="3"/>
          </w:tcPr>
          <w:p>
            <w:pPr>
              <w:jc w:val="center"/>
              <w:ind w:right="172"/>
              <w:spacing w:after="0"/>
              <w:rPr>
                <w:sz w:val="20"/>
                <w:szCs w:val="20"/>
                <w:color w:val="auto"/>
              </w:rPr>
            </w:pPr>
            <w:r>
              <w:rPr>
                <w:rFonts w:ascii="Arial" w:cs="Arial" w:eastAsia="Arial" w:hAnsi="Arial"/>
                <w:sz w:val="10"/>
                <w:szCs w:val="10"/>
                <w:b w:val="1"/>
                <w:bCs w:val="1"/>
                <w:color w:val="auto"/>
                <w:w w:val="95"/>
              </w:rPr>
              <w:t>December 31, 2022</w:t>
            </w:r>
          </w:p>
        </w:tc>
        <w:tc>
          <w:tcPr>
            <w:tcW w:w="260" w:type="dxa"/>
            <w:vAlign w:val="bottom"/>
            <w:tcBorders>
              <w:bottom w:val="single" w:sz="8" w:color="D7282F"/>
            </w:tcBorders>
          </w:tcPr>
          <w:p>
            <w:pPr>
              <w:spacing w:after="0"/>
              <w:rPr>
                <w:sz w:val="13"/>
                <w:szCs w:val="13"/>
                <w:color w:val="auto"/>
              </w:rPr>
            </w:pPr>
          </w:p>
        </w:tc>
        <w:tc>
          <w:tcPr>
            <w:tcW w:w="640" w:type="dxa"/>
            <w:vAlign w:val="bottom"/>
            <w:tcBorders>
              <w:bottom w:val="single" w:sz="8" w:color="D7282F"/>
            </w:tcBorders>
          </w:tcPr>
          <w:p>
            <w:pPr>
              <w:spacing w:after="0"/>
              <w:rPr>
                <w:sz w:val="13"/>
                <w:szCs w:val="13"/>
                <w:color w:val="auto"/>
              </w:rPr>
            </w:pPr>
          </w:p>
        </w:tc>
      </w:tr>
      <w:tr>
        <w:trPr>
          <w:trHeight w:val="151"/>
        </w:trPr>
        <w:tc>
          <w:tcPr>
            <w:tcW w:w="7600" w:type="dxa"/>
            <w:vAlign w:val="bottom"/>
            <w:tcBorders>
              <w:bottom w:val="single" w:sz="8" w:color="D7282F"/>
            </w:tcBorders>
          </w:tcPr>
          <w:p>
            <w:pPr>
              <w:spacing w:after="0"/>
              <w:rPr>
                <w:sz w:val="13"/>
                <w:szCs w:val="13"/>
                <w:color w:val="auto"/>
              </w:rPr>
            </w:pPr>
          </w:p>
        </w:tc>
        <w:tc>
          <w:tcPr>
            <w:tcW w:w="18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Total</w:t>
            </w:r>
          </w:p>
        </w:tc>
        <w:tc>
          <w:tcPr>
            <w:tcW w:w="260" w:type="dxa"/>
            <w:vAlign w:val="bottom"/>
            <w:tcBorders>
              <w:bottom w:val="single" w:sz="8" w:color="D7282F"/>
            </w:tcBorders>
          </w:tcPr>
          <w:p>
            <w:pPr>
              <w:spacing w:after="0"/>
              <w:rPr>
                <w:sz w:val="13"/>
                <w:szCs w:val="13"/>
                <w:color w:val="auto"/>
              </w:rPr>
            </w:pPr>
          </w:p>
        </w:tc>
        <w:tc>
          <w:tcPr>
            <w:tcW w:w="700" w:type="dxa"/>
            <w:vAlign w:val="bottom"/>
            <w:tcBorders>
              <w:bottom w:val="single" w:sz="8" w:color="D7282F"/>
            </w:tcBorders>
          </w:tcPr>
          <w:p>
            <w:pPr>
              <w:jc w:val="right"/>
              <w:ind w:right="252"/>
              <w:spacing w:after="0"/>
              <w:rPr>
                <w:sz w:val="20"/>
                <w:szCs w:val="20"/>
                <w:color w:val="auto"/>
              </w:rPr>
            </w:pPr>
            <w:r>
              <w:rPr>
                <w:rFonts w:ascii="Arial" w:cs="Arial" w:eastAsia="Arial" w:hAnsi="Arial"/>
                <w:sz w:val="10"/>
                <w:szCs w:val="10"/>
                <w:b w:val="1"/>
                <w:bCs w:val="1"/>
                <w:color w:val="auto"/>
              </w:rPr>
              <w:t>Level 1</w:t>
            </w:r>
          </w:p>
        </w:tc>
        <w:tc>
          <w:tcPr>
            <w:tcW w:w="280" w:type="dxa"/>
            <w:vAlign w:val="bottom"/>
            <w:tcBorders>
              <w:bottom w:val="single" w:sz="8" w:color="D7282F"/>
            </w:tcBorders>
          </w:tcPr>
          <w:p>
            <w:pPr>
              <w:spacing w:after="0"/>
              <w:rPr>
                <w:sz w:val="13"/>
                <w:szCs w:val="13"/>
                <w:color w:val="auto"/>
              </w:rPr>
            </w:pPr>
          </w:p>
        </w:tc>
        <w:tc>
          <w:tcPr>
            <w:tcW w:w="700" w:type="dxa"/>
            <w:vAlign w:val="bottom"/>
            <w:tcBorders>
              <w:bottom w:val="single" w:sz="8" w:color="D7282F"/>
            </w:tcBorders>
          </w:tcPr>
          <w:p>
            <w:pPr>
              <w:jc w:val="right"/>
              <w:ind w:right="252"/>
              <w:spacing w:after="0"/>
              <w:rPr>
                <w:sz w:val="20"/>
                <w:szCs w:val="20"/>
                <w:color w:val="auto"/>
              </w:rPr>
            </w:pPr>
            <w:r>
              <w:rPr>
                <w:rFonts w:ascii="Arial" w:cs="Arial" w:eastAsia="Arial" w:hAnsi="Arial"/>
                <w:sz w:val="10"/>
                <w:szCs w:val="10"/>
                <w:b w:val="1"/>
                <w:bCs w:val="1"/>
                <w:color w:val="auto"/>
              </w:rPr>
              <w:t>Level 2</w:t>
            </w:r>
          </w:p>
        </w:tc>
        <w:tc>
          <w:tcPr>
            <w:tcW w:w="260" w:type="dxa"/>
            <w:vAlign w:val="bottom"/>
            <w:tcBorders>
              <w:bottom w:val="single" w:sz="8" w:color="D7282F"/>
            </w:tcBorders>
          </w:tcPr>
          <w:p>
            <w:pPr>
              <w:spacing w:after="0"/>
              <w:rPr>
                <w:sz w:val="13"/>
                <w:szCs w:val="13"/>
                <w:color w:val="auto"/>
              </w:rPr>
            </w:pPr>
          </w:p>
        </w:tc>
        <w:tc>
          <w:tcPr>
            <w:tcW w:w="64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Level 3</w:t>
            </w:r>
          </w:p>
        </w:tc>
      </w:tr>
      <w:tr>
        <w:trPr>
          <w:trHeight w:val="127"/>
        </w:trPr>
        <w:tc>
          <w:tcPr>
            <w:tcW w:w="76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Equities</w:t>
            </w:r>
          </w:p>
        </w:tc>
        <w:tc>
          <w:tcPr>
            <w:tcW w:w="180" w:type="dxa"/>
            <w:vAlign w:val="bottom"/>
            <w:tcBorders>
              <w:bottom w:val="single" w:sz="8" w:color="61656A"/>
            </w:tcBorders>
          </w:tcPr>
          <w:p>
            <w:pPr>
              <w:spacing w:after="0"/>
              <w:rPr>
                <w:sz w:val="11"/>
                <w:szCs w:val="11"/>
                <w:color w:val="auto"/>
              </w:rPr>
            </w:pPr>
          </w:p>
        </w:tc>
        <w:tc>
          <w:tcPr>
            <w:tcW w:w="680" w:type="dxa"/>
            <w:vAlign w:val="bottom"/>
            <w:tcBorders>
              <w:bottom w:val="single" w:sz="8" w:color="61656A"/>
            </w:tcBorders>
          </w:tcPr>
          <w:p>
            <w:pPr>
              <w:spacing w:after="0"/>
              <w:rPr>
                <w:sz w:val="11"/>
                <w:szCs w:val="11"/>
                <w:color w:val="auto"/>
              </w:rPr>
            </w:pPr>
          </w:p>
        </w:tc>
        <w:tc>
          <w:tcPr>
            <w:tcW w:w="260" w:type="dxa"/>
            <w:vAlign w:val="bottom"/>
            <w:tcBorders>
              <w:bottom w:val="single" w:sz="8" w:color="61656A"/>
            </w:tcBorders>
          </w:tcPr>
          <w:p>
            <w:pPr>
              <w:spacing w:after="0"/>
              <w:rPr>
                <w:sz w:val="11"/>
                <w:szCs w:val="11"/>
                <w:color w:val="auto"/>
              </w:rPr>
            </w:pPr>
          </w:p>
        </w:tc>
        <w:tc>
          <w:tcPr>
            <w:tcW w:w="700" w:type="dxa"/>
            <w:vAlign w:val="bottom"/>
            <w:tcBorders>
              <w:bottom w:val="single" w:sz="8" w:color="61656A"/>
            </w:tcBorders>
          </w:tcPr>
          <w:p>
            <w:pPr>
              <w:spacing w:after="0"/>
              <w:rPr>
                <w:sz w:val="11"/>
                <w:szCs w:val="11"/>
                <w:color w:val="auto"/>
              </w:rPr>
            </w:pPr>
          </w:p>
        </w:tc>
        <w:tc>
          <w:tcPr>
            <w:tcW w:w="280" w:type="dxa"/>
            <w:vAlign w:val="bottom"/>
            <w:tcBorders>
              <w:bottom w:val="single" w:sz="8" w:color="61656A"/>
            </w:tcBorders>
          </w:tcPr>
          <w:p>
            <w:pPr>
              <w:spacing w:after="0"/>
              <w:rPr>
                <w:sz w:val="11"/>
                <w:szCs w:val="11"/>
                <w:color w:val="auto"/>
              </w:rPr>
            </w:pPr>
          </w:p>
        </w:tc>
        <w:tc>
          <w:tcPr>
            <w:tcW w:w="700" w:type="dxa"/>
            <w:vAlign w:val="bottom"/>
            <w:tcBorders>
              <w:bottom w:val="single" w:sz="8" w:color="61656A"/>
            </w:tcBorders>
          </w:tcPr>
          <w:p>
            <w:pPr>
              <w:spacing w:after="0"/>
              <w:rPr>
                <w:sz w:val="11"/>
                <w:szCs w:val="11"/>
                <w:color w:val="auto"/>
              </w:rPr>
            </w:pPr>
          </w:p>
        </w:tc>
        <w:tc>
          <w:tcPr>
            <w:tcW w:w="260" w:type="dxa"/>
            <w:vAlign w:val="bottom"/>
            <w:tcBorders>
              <w:bottom w:val="single" w:sz="8" w:color="61656A"/>
            </w:tcBorders>
          </w:tcPr>
          <w:p>
            <w:pPr>
              <w:spacing w:after="0"/>
              <w:rPr>
                <w:sz w:val="11"/>
                <w:szCs w:val="11"/>
                <w:color w:val="auto"/>
              </w:rPr>
            </w:pPr>
          </w:p>
        </w:tc>
        <w:tc>
          <w:tcPr>
            <w:tcW w:w="640" w:type="dxa"/>
            <w:vAlign w:val="bottom"/>
            <w:tcBorders>
              <w:bottom w:val="single" w:sz="8" w:color="61656A"/>
            </w:tcBorders>
          </w:tcPr>
          <w:p>
            <w:pPr>
              <w:spacing w:after="0"/>
              <w:rPr>
                <w:sz w:val="11"/>
                <w:szCs w:val="11"/>
                <w:color w:val="auto"/>
              </w:rPr>
            </w:pPr>
          </w:p>
        </w:tc>
      </w:tr>
      <w:tr>
        <w:trPr>
          <w:trHeight w:val="124"/>
        </w:trPr>
        <w:tc>
          <w:tcPr>
            <w:tcW w:w="76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U.S. equities</w:t>
            </w:r>
          </w:p>
        </w:tc>
        <w:tc>
          <w:tcPr>
            <w:tcW w:w="18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144</w:t>
            </w:r>
          </w:p>
        </w:tc>
        <w:tc>
          <w:tcPr>
            <w:tcW w:w="260" w:type="dxa"/>
            <w:vAlign w:val="bottom"/>
            <w:tcBorders>
              <w:bottom w:val="single" w:sz="8" w:color="61656A"/>
            </w:tcBorders>
          </w:tcPr>
          <w:p>
            <w:pPr>
              <w:jc w:val="right"/>
              <w:ind w:right="3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w:t>
            </w:r>
          </w:p>
        </w:tc>
        <w:tc>
          <w:tcPr>
            <w:tcW w:w="280" w:type="dxa"/>
            <w:vAlign w:val="bottom"/>
            <w:tcBorders>
              <w:bottom w:val="single" w:sz="8" w:color="61656A"/>
            </w:tcBorders>
          </w:tcPr>
          <w:p>
            <w:pPr>
              <w:jc w:val="right"/>
              <w:ind w:right="3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142</w:t>
            </w:r>
          </w:p>
        </w:tc>
        <w:tc>
          <w:tcPr>
            <w:tcW w:w="260" w:type="dxa"/>
            <w:vAlign w:val="bottom"/>
            <w:tcBorders>
              <w:bottom w:val="single" w:sz="8" w:color="61656A"/>
            </w:tcBorders>
          </w:tcPr>
          <w:p>
            <w:pPr>
              <w:jc w:val="right"/>
              <w:ind w:right="3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76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Non-U.S. equities</w:t>
            </w:r>
          </w:p>
        </w:tc>
        <w:tc>
          <w:tcPr>
            <w:tcW w:w="18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374</w:t>
            </w:r>
          </w:p>
        </w:tc>
        <w:tc>
          <w:tcPr>
            <w:tcW w:w="2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374</w:t>
            </w:r>
          </w:p>
        </w:tc>
        <w:tc>
          <w:tcPr>
            <w:tcW w:w="26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76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Fixed income</w:t>
            </w:r>
          </w:p>
        </w:tc>
        <w:tc>
          <w:tcPr>
            <w:tcW w:w="18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spacing w:after="0"/>
              <w:rPr>
                <w:sz w:val="10"/>
                <w:szCs w:val="10"/>
                <w:color w:val="auto"/>
              </w:rPr>
            </w:pPr>
          </w:p>
        </w:tc>
      </w:tr>
      <w:tr>
        <w:trPr>
          <w:trHeight w:val="124"/>
        </w:trPr>
        <w:tc>
          <w:tcPr>
            <w:tcW w:w="76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Short-term investments</w:t>
            </w:r>
          </w:p>
        </w:tc>
        <w:tc>
          <w:tcPr>
            <w:tcW w:w="18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341</w:t>
            </w:r>
          </w:p>
        </w:tc>
        <w:tc>
          <w:tcPr>
            <w:tcW w:w="2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341</w:t>
            </w:r>
          </w:p>
        </w:tc>
        <w:tc>
          <w:tcPr>
            <w:tcW w:w="2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76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Government securities</w:t>
            </w:r>
          </w:p>
        </w:tc>
        <w:tc>
          <w:tcPr>
            <w:tcW w:w="18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2,045</w:t>
            </w:r>
          </w:p>
        </w:tc>
        <w:tc>
          <w:tcPr>
            <w:tcW w:w="2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2,045</w:t>
            </w:r>
          </w:p>
        </w:tc>
        <w:tc>
          <w:tcPr>
            <w:tcW w:w="26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76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Corporate bonds</w:t>
            </w:r>
          </w:p>
        </w:tc>
        <w:tc>
          <w:tcPr>
            <w:tcW w:w="18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1,031</w:t>
            </w:r>
          </w:p>
        </w:tc>
        <w:tc>
          <w:tcPr>
            <w:tcW w:w="2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1,031</w:t>
            </w:r>
          </w:p>
        </w:tc>
        <w:tc>
          <w:tcPr>
            <w:tcW w:w="26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76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Mortgage/Asset-backed securities</w:t>
            </w:r>
          </w:p>
        </w:tc>
        <w:tc>
          <w:tcPr>
            <w:tcW w:w="18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31</w:t>
            </w:r>
          </w:p>
        </w:tc>
        <w:tc>
          <w:tcPr>
            <w:tcW w:w="2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31</w:t>
            </w:r>
          </w:p>
        </w:tc>
        <w:tc>
          <w:tcPr>
            <w:tcW w:w="26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76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Insurance contracts</w:t>
            </w:r>
          </w:p>
        </w:tc>
        <w:tc>
          <w:tcPr>
            <w:tcW w:w="18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115</w:t>
            </w:r>
          </w:p>
        </w:tc>
        <w:tc>
          <w:tcPr>
            <w:tcW w:w="2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115</w:t>
            </w:r>
          </w:p>
        </w:tc>
        <w:tc>
          <w:tcPr>
            <w:tcW w:w="26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76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Insurance buy-in contracts</w:t>
            </w:r>
          </w:p>
        </w:tc>
        <w:tc>
          <w:tcPr>
            <w:tcW w:w="18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950</w:t>
            </w:r>
          </w:p>
        </w:tc>
        <w:tc>
          <w:tcPr>
            <w:tcW w:w="2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950</w:t>
            </w:r>
          </w:p>
        </w:tc>
      </w:tr>
      <w:tr>
        <w:trPr>
          <w:trHeight w:val="124"/>
        </w:trPr>
        <w:tc>
          <w:tcPr>
            <w:tcW w:w="76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Investments in private funds</w:t>
            </w:r>
          </w:p>
        </w:tc>
        <w:tc>
          <w:tcPr>
            <w:tcW w:w="18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spacing w:after="0"/>
              <w:rPr>
                <w:sz w:val="10"/>
                <w:szCs w:val="10"/>
                <w:color w:val="auto"/>
              </w:rPr>
            </w:pPr>
          </w:p>
        </w:tc>
      </w:tr>
      <w:tr>
        <w:trPr>
          <w:trHeight w:val="124"/>
        </w:trPr>
        <w:tc>
          <w:tcPr>
            <w:tcW w:w="76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Private funds</w:t>
            </w:r>
          </w:p>
        </w:tc>
        <w:tc>
          <w:tcPr>
            <w:tcW w:w="18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90</w:t>
            </w:r>
          </w:p>
        </w:tc>
        <w:tc>
          <w:tcPr>
            <w:tcW w:w="2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54</w:t>
            </w:r>
          </w:p>
        </w:tc>
        <w:tc>
          <w:tcPr>
            <w:tcW w:w="26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36</w:t>
            </w:r>
          </w:p>
        </w:tc>
      </w:tr>
      <w:tr>
        <w:trPr>
          <w:trHeight w:val="124"/>
        </w:trPr>
        <w:tc>
          <w:tcPr>
            <w:tcW w:w="760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Real estate funds</w:t>
            </w:r>
          </w:p>
        </w:tc>
        <w:tc>
          <w:tcPr>
            <w:tcW w:w="18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130</w:t>
            </w:r>
          </w:p>
        </w:tc>
        <w:tc>
          <w:tcPr>
            <w:tcW w:w="2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130</w:t>
            </w:r>
          </w:p>
        </w:tc>
      </w:tr>
      <w:tr>
        <w:trPr>
          <w:trHeight w:val="126"/>
        </w:trPr>
        <w:tc>
          <w:tcPr>
            <w:tcW w:w="760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w:t>
            </w:r>
          </w:p>
        </w:tc>
        <w:tc>
          <w:tcPr>
            <w:tcW w:w="1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5,251</w:t>
            </w:r>
          </w:p>
        </w:tc>
        <w:tc>
          <w:tcPr>
            <w:tcW w:w="26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343</w:t>
            </w:r>
          </w:p>
        </w:tc>
        <w:tc>
          <w:tcPr>
            <w:tcW w:w="28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3,792</w:t>
            </w:r>
          </w:p>
        </w:tc>
        <w:tc>
          <w:tcPr>
            <w:tcW w:w="26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1,116</w:t>
            </w:r>
          </w:p>
        </w:tc>
      </w:tr>
      <w:tr>
        <w:trPr>
          <w:trHeight w:val="122"/>
        </w:trPr>
        <w:tc>
          <w:tcPr>
            <w:tcW w:w="76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Investments measured at NAV</w:t>
            </w:r>
          </w:p>
        </w:tc>
        <w:tc>
          <w:tcPr>
            <w:tcW w:w="18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spacing w:after="0"/>
              <w:rPr>
                <w:sz w:val="10"/>
                <w:szCs w:val="10"/>
                <w:color w:val="auto"/>
              </w:rPr>
            </w:pPr>
          </w:p>
        </w:tc>
      </w:tr>
      <w:tr>
        <w:trPr>
          <w:trHeight w:val="124"/>
        </w:trPr>
        <w:tc>
          <w:tcPr>
            <w:tcW w:w="76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Private funds</w:t>
            </w:r>
          </w:p>
        </w:tc>
        <w:tc>
          <w:tcPr>
            <w:tcW w:w="18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10</w:t>
            </w:r>
          </w:p>
        </w:tc>
        <w:tc>
          <w:tcPr>
            <w:tcW w:w="2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spacing w:after="0"/>
              <w:rPr>
                <w:sz w:val="10"/>
                <w:szCs w:val="10"/>
                <w:color w:val="auto"/>
              </w:rPr>
            </w:pPr>
          </w:p>
        </w:tc>
      </w:tr>
      <w:tr>
        <w:trPr>
          <w:trHeight w:val="124"/>
        </w:trPr>
        <w:tc>
          <w:tcPr>
            <w:tcW w:w="760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Real estate funds</w:t>
            </w:r>
          </w:p>
        </w:tc>
        <w:tc>
          <w:tcPr>
            <w:tcW w:w="18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43</w:t>
            </w:r>
          </w:p>
        </w:tc>
        <w:tc>
          <w:tcPr>
            <w:tcW w:w="2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spacing w:after="0"/>
              <w:rPr>
                <w:sz w:val="10"/>
                <w:szCs w:val="10"/>
                <w:color w:val="auto"/>
              </w:rPr>
            </w:pPr>
          </w:p>
        </w:tc>
        <w:tc>
          <w:tcPr>
            <w:tcW w:w="26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spacing w:after="0"/>
              <w:rPr>
                <w:sz w:val="10"/>
                <w:szCs w:val="10"/>
                <w:color w:val="auto"/>
              </w:rPr>
            </w:pPr>
          </w:p>
        </w:tc>
      </w:tr>
      <w:tr>
        <w:trPr>
          <w:trHeight w:val="126"/>
        </w:trPr>
        <w:tc>
          <w:tcPr>
            <w:tcW w:w="7600" w:type="dxa"/>
            <w:vAlign w:val="bottom"/>
            <w:tcBorders>
              <w:bottom w:val="single" w:sz="8" w:color="D7282F"/>
            </w:tcBorders>
          </w:tcPr>
          <w:p>
            <w:pPr>
              <w:ind w:left="220"/>
              <w:spacing w:after="0"/>
              <w:rPr>
                <w:sz w:val="20"/>
                <w:szCs w:val="20"/>
                <w:color w:val="auto"/>
              </w:rPr>
            </w:pPr>
            <w:r>
              <w:rPr>
                <w:rFonts w:ascii="Arial" w:cs="Arial" w:eastAsia="Arial" w:hAnsi="Arial"/>
                <w:sz w:val="10"/>
                <w:szCs w:val="10"/>
                <w:b w:val="1"/>
                <w:bCs w:val="1"/>
                <w:color w:val="auto"/>
              </w:rPr>
              <w:t>Total assets at fair value</w:t>
            </w:r>
          </w:p>
        </w:tc>
        <w:tc>
          <w:tcPr>
            <w:tcW w:w="1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5,304</w:t>
            </w:r>
          </w:p>
        </w:tc>
        <w:tc>
          <w:tcPr>
            <w:tcW w:w="2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spacing w:after="0"/>
              <w:rPr>
                <w:sz w:val="10"/>
                <w:szCs w:val="10"/>
                <w:color w:val="auto"/>
              </w:rPr>
            </w:pPr>
          </w:p>
        </w:tc>
        <w:tc>
          <w:tcPr>
            <w:tcW w:w="26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spacing w:after="0"/>
              <w:rPr>
                <w:sz w:val="10"/>
                <w:szCs w:val="10"/>
                <w:color w:val="auto"/>
              </w:rPr>
            </w:pPr>
          </w:p>
        </w:tc>
      </w:tr>
    </w:tbl>
    <w:p>
      <w:pPr>
        <w:spacing w:after="0" w:line="329" w:lineRule="exact"/>
        <w:rPr>
          <w:sz w:val="20"/>
          <w:szCs w:val="20"/>
          <w:color w:val="auto"/>
        </w:rPr>
      </w:pPr>
    </w:p>
    <w:p>
      <w:pPr>
        <w:spacing w:after="0"/>
        <w:tabs>
          <w:tab w:leader="none" w:pos="300" w:val="left"/>
        </w:tabs>
        <w:rPr>
          <w:sz w:val="20"/>
          <w:szCs w:val="20"/>
          <w:color w:val="auto"/>
        </w:rPr>
      </w:pPr>
      <w:r>
        <w:rPr>
          <w:rFonts w:ascii="Arial" w:cs="Arial" w:eastAsia="Arial" w:hAnsi="Arial"/>
          <w:sz w:val="12"/>
          <w:szCs w:val="12"/>
          <w:b w:val="1"/>
          <w:bCs w:val="1"/>
          <w:color w:val="D7282F"/>
        </w:rPr>
        <w:t>108</w:t>
      </w:r>
      <w:r>
        <w:rPr>
          <w:sz w:val="20"/>
          <w:szCs w:val="20"/>
          <w:color w:val="auto"/>
        </w:rPr>
        <w:tab/>
      </w:r>
      <w:r>
        <w:rPr>
          <w:rFonts w:ascii="Arial" w:cs="Arial" w:eastAsia="Arial" w:hAnsi="Arial"/>
          <w:sz w:val="8"/>
          <w:szCs w:val="8"/>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90805</wp:posOffset>
            </wp:positionV>
            <wp:extent cx="7203440" cy="36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110" w:name="page111"/>
    <w:bookmarkEnd w:id="110"/>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summarizes changes in the fair value of level 3 assets for both U.S. and non-U.S. plans:</w:t>
      </w:r>
    </w:p>
    <w:p>
      <w:pPr>
        <w:spacing w:after="0" w:line="127"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5660" w:type="dxa"/>
            <w:vAlign w:val="bottom"/>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1340" w:type="dxa"/>
            <w:vAlign w:val="bottom"/>
            <w:tcBorders>
              <w:bottom w:val="single" w:sz="8" w:color="D7282F"/>
            </w:tcBorders>
            <w:gridSpan w:val="2"/>
          </w:tcPr>
          <w:p>
            <w:pPr>
              <w:jc w:val="right"/>
              <w:ind w:right="52"/>
              <w:spacing w:after="0"/>
              <w:rPr>
                <w:sz w:val="20"/>
                <w:szCs w:val="20"/>
                <w:color w:val="auto"/>
              </w:rPr>
            </w:pPr>
            <w:r>
              <w:rPr>
                <w:rFonts w:ascii="Arial" w:cs="Arial" w:eastAsia="Arial" w:hAnsi="Arial"/>
                <w:sz w:val="10"/>
                <w:szCs w:val="10"/>
                <w:b w:val="1"/>
                <w:bCs w:val="1"/>
                <w:color w:val="auto"/>
              </w:rPr>
              <w:t>U.S. Plans</w:t>
            </w:r>
          </w:p>
        </w:tc>
        <w:tc>
          <w:tcPr>
            <w:tcW w:w="840" w:type="dxa"/>
            <w:vAlign w:val="bottom"/>
            <w:tcBorders>
              <w:bottom w:val="single" w:sz="8" w:color="D7282F"/>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D7282F"/>
            </w:tcBorders>
          </w:tcPr>
          <w:p>
            <w:pPr>
              <w:spacing w:after="0"/>
              <w:rPr>
                <w:sz w:val="11"/>
                <w:szCs w:val="11"/>
                <w:color w:val="auto"/>
              </w:rPr>
            </w:pPr>
          </w:p>
        </w:tc>
        <w:tc>
          <w:tcPr>
            <w:tcW w:w="860" w:type="dxa"/>
            <w:vAlign w:val="bottom"/>
            <w:tcBorders>
              <w:bottom w:val="single" w:sz="8" w:color="D7282F"/>
            </w:tcBorders>
          </w:tcPr>
          <w:p>
            <w:pPr>
              <w:spacing w:after="0"/>
              <w:rPr>
                <w:sz w:val="11"/>
                <w:szCs w:val="11"/>
                <w:color w:val="auto"/>
              </w:rPr>
            </w:pPr>
          </w:p>
        </w:tc>
        <w:tc>
          <w:tcPr>
            <w:tcW w:w="220" w:type="dxa"/>
            <w:vAlign w:val="bottom"/>
            <w:tcBorders>
              <w:bottom w:val="single" w:sz="8" w:color="D7282F"/>
            </w:tcBorders>
          </w:tcPr>
          <w:p>
            <w:pPr>
              <w:spacing w:after="0"/>
              <w:rPr>
                <w:sz w:val="11"/>
                <w:szCs w:val="11"/>
                <w:color w:val="auto"/>
              </w:rPr>
            </w:pPr>
          </w:p>
        </w:tc>
        <w:tc>
          <w:tcPr>
            <w:tcW w:w="8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w w:val="97"/>
              </w:rPr>
              <w:t>Non-U.S. Plans</w:t>
            </w:r>
          </w:p>
        </w:tc>
        <w:tc>
          <w:tcPr>
            <w:tcW w:w="180" w:type="dxa"/>
            <w:vAlign w:val="bottom"/>
            <w:tcBorders>
              <w:bottom w:val="single" w:sz="8" w:color="D7282F"/>
            </w:tcBorders>
          </w:tcPr>
          <w:p>
            <w:pPr>
              <w:spacing w:after="0"/>
              <w:rPr>
                <w:sz w:val="11"/>
                <w:szCs w:val="11"/>
                <w:color w:val="auto"/>
              </w:rPr>
            </w:pPr>
          </w:p>
        </w:tc>
        <w:tc>
          <w:tcPr>
            <w:tcW w:w="880" w:type="dxa"/>
            <w:vAlign w:val="bottom"/>
            <w:tcBorders>
              <w:bottom w:val="single" w:sz="8" w:color="D7282F"/>
            </w:tcBorders>
          </w:tcPr>
          <w:p>
            <w:pPr>
              <w:spacing w:after="0"/>
              <w:rPr>
                <w:sz w:val="11"/>
                <w:szCs w:val="11"/>
                <w:color w:val="auto"/>
              </w:rPr>
            </w:pPr>
          </w:p>
        </w:tc>
      </w:tr>
      <w:tr>
        <w:trPr>
          <w:trHeight w:val="231"/>
        </w:trPr>
        <w:tc>
          <w:tcPr>
            <w:tcW w:w="5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2"/>
              <w:spacing w:after="0"/>
              <w:rPr>
                <w:sz w:val="20"/>
                <w:szCs w:val="20"/>
                <w:color w:val="auto"/>
              </w:rPr>
            </w:pPr>
            <w:r>
              <w:rPr>
                <w:rFonts w:ascii="Arial" w:cs="Arial" w:eastAsia="Arial" w:hAnsi="Arial"/>
                <w:sz w:val="10"/>
                <w:szCs w:val="10"/>
                <w:b w:val="1"/>
                <w:bCs w:val="1"/>
                <w:color w:val="auto"/>
              </w:rPr>
              <w:t>Direct Private</w:t>
            </w:r>
          </w:p>
        </w:tc>
        <w:tc>
          <w:tcPr>
            <w:tcW w:w="240" w:type="dxa"/>
            <w:vAlign w:val="bottom"/>
          </w:tcPr>
          <w:p>
            <w:pPr>
              <w:spacing w:after="0"/>
              <w:rPr>
                <w:sz w:val="20"/>
                <w:szCs w:val="20"/>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6"/>
              </w:rPr>
              <w:t>Real Estate</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32"/>
              <w:spacing w:after="0"/>
              <w:rPr>
                <w:sz w:val="20"/>
                <w:szCs w:val="20"/>
                <w:color w:val="auto"/>
              </w:rPr>
            </w:pPr>
            <w:r>
              <w:rPr>
                <w:rFonts w:ascii="Arial" w:cs="Arial" w:eastAsia="Arial" w:hAnsi="Arial"/>
                <w:sz w:val="10"/>
                <w:szCs w:val="10"/>
                <w:b w:val="1"/>
                <w:bCs w:val="1"/>
                <w:color w:val="auto"/>
              </w:rPr>
              <w:t>Real Estate</w:t>
            </w:r>
          </w:p>
        </w:tc>
        <w:tc>
          <w:tcPr>
            <w:tcW w:w="18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0"/>
                <w:szCs w:val="10"/>
                <w:b w:val="1"/>
                <w:bCs w:val="1"/>
                <w:color w:val="auto"/>
                <w:w w:val="96"/>
              </w:rPr>
              <w:t>Insurance Buy-in</w:t>
            </w:r>
          </w:p>
        </w:tc>
      </w:tr>
      <w:tr>
        <w:trPr>
          <w:trHeight w:val="136"/>
        </w:trPr>
        <w:tc>
          <w:tcPr>
            <w:tcW w:w="5660" w:type="dxa"/>
            <w:vAlign w:val="bottom"/>
            <w:tcBorders>
              <w:bottom w:val="single" w:sz="8" w:color="D7282F"/>
            </w:tcBorders>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1100" w:type="dxa"/>
            <w:vAlign w:val="bottom"/>
            <w:tcBorders>
              <w:bottom w:val="single" w:sz="8" w:color="D7282F"/>
            </w:tcBorders>
          </w:tcPr>
          <w:p>
            <w:pPr>
              <w:jc w:val="right"/>
              <w:ind w:right="372"/>
              <w:spacing w:after="0"/>
              <w:rPr>
                <w:sz w:val="20"/>
                <w:szCs w:val="20"/>
                <w:color w:val="auto"/>
              </w:rPr>
            </w:pPr>
            <w:r>
              <w:rPr>
                <w:rFonts w:ascii="Arial" w:cs="Arial" w:eastAsia="Arial" w:hAnsi="Arial"/>
                <w:sz w:val="10"/>
                <w:szCs w:val="10"/>
                <w:b w:val="1"/>
                <w:bCs w:val="1"/>
                <w:color w:val="auto"/>
              </w:rPr>
              <w:t>Investments</w:t>
            </w:r>
          </w:p>
        </w:tc>
        <w:tc>
          <w:tcPr>
            <w:tcW w:w="240" w:type="dxa"/>
            <w:vAlign w:val="bottom"/>
            <w:tcBorders>
              <w:bottom w:val="single" w:sz="8" w:color="D7282F"/>
            </w:tcBorders>
          </w:tcPr>
          <w:p>
            <w:pPr>
              <w:spacing w:after="0"/>
              <w:rPr>
                <w:sz w:val="11"/>
                <w:szCs w:val="11"/>
                <w:color w:val="auto"/>
              </w:rPr>
            </w:pPr>
          </w:p>
        </w:tc>
        <w:tc>
          <w:tcPr>
            <w:tcW w:w="1040" w:type="dxa"/>
            <w:vAlign w:val="bottom"/>
            <w:tcBorders>
              <w:bottom w:val="single" w:sz="8" w:color="D7282F"/>
            </w:tcBorders>
            <w:gridSpan w:val="2"/>
          </w:tcPr>
          <w:p>
            <w:pPr>
              <w:jc w:val="center"/>
              <w:ind w:right="360"/>
              <w:spacing w:after="0"/>
              <w:rPr>
                <w:sz w:val="20"/>
                <w:szCs w:val="20"/>
                <w:color w:val="auto"/>
              </w:rPr>
            </w:pPr>
            <w:r>
              <w:rPr>
                <w:rFonts w:ascii="Arial" w:cs="Arial" w:eastAsia="Arial" w:hAnsi="Arial"/>
                <w:sz w:val="10"/>
                <w:szCs w:val="10"/>
                <w:b w:val="1"/>
                <w:bCs w:val="1"/>
                <w:color w:val="auto"/>
                <w:w w:val="96"/>
              </w:rPr>
              <w:t>Properties</w:t>
            </w:r>
          </w:p>
        </w:tc>
        <w:tc>
          <w:tcPr>
            <w:tcW w:w="100" w:type="dxa"/>
            <w:vAlign w:val="bottom"/>
            <w:tcBorders>
              <w:bottom w:val="single" w:sz="8" w:color="D7282F"/>
            </w:tcBorders>
          </w:tcPr>
          <w:p>
            <w:pPr>
              <w:spacing w:after="0"/>
              <w:rPr>
                <w:sz w:val="11"/>
                <w:szCs w:val="11"/>
                <w:color w:val="auto"/>
              </w:rPr>
            </w:pPr>
          </w:p>
        </w:tc>
        <w:tc>
          <w:tcPr>
            <w:tcW w:w="86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w w:val="96"/>
              </w:rPr>
              <w:t>Private Funds</w:t>
            </w:r>
          </w:p>
        </w:tc>
        <w:tc>
          <w:tcPr>
            <w:tcW w:w="220" w:type="dxa"/>
            <w:vAlign w:val="bottom"/>
            <w:tcBorders>
              <w:bottom w:val="single" w:sz="8" w:color="D7282F"/>
            </w:tcBorders>
          </w:tcPr>
          <w:p>
            <w:pPr>
              <w:spacing w:after="0"/>
              <w:rPr>
                <w:sz w:val="11"/>
                <w:szCs w:val="11"/>
                <w:color w:val="auto"/>
              </w:rPr>
            </w:pPr>
          </w:p>
        </w:tc>
        <w:tc>
          <w:tcPr>
            <w:tcW w:w="8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Funds</w:t>
            </w:r>
          </w:p>
        </w:tc>
        <w:tc>
          <w:tcPr>
            <w:tcW w:w="180" w:type="dxa"/>
            <w:vAlign w:val="bottom"/>
            <w:tcBorders>
              <w:bottom w:val="single" w:sz="8" w:color="D7282F"/>
            </w:tcBorders>
          </w:tcPr>
          <w:p>
            <w:pPr>
              <w:spacing w:after="0"/>
              <w:rPr>
                <w:sz w:val="11"/>
                <w:szCs w:val="11"/>
                <w:color w:val="auto"/>
              </w:rPr>
            </w:pPr>
          </w:p>
        </w:tc>
        <w:tc>
          <w:tcPr>
            <w:tcW w:w="88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b w:val="1"/>
                <w:bCs w:val="1"/>
                <w:color w:val="auto"/>
              </w:rPr>
              <w:t>Contracts</w:t>
            </w:r>
          </w:p>
        </w:tc>
      </w:tr>
      <w:tr>
        <w:trPr>
          <w:trHeight w:val="128"/>
        </w:trPr>
        <w:tc>
          <w:tcPr>
            <w:tcW w:w="566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Balance at December 31, 2021</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1,336</w:t>
            </w:r>
          </w:p>
        </w:tc>
        <w:tc>
          <w:tcPr>
            <w:tcW w:w="24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843</w:t>
            </w:r>
          </w:p>
        </w:tc>
        <w:tc>
          <w:tcPr>
            <w:tcW w:w="200" w:type="dxa"/>
            <w:vAlign w:val="bottom"/>
            <w:tcBorders>
              <w:bottom w:val="single" w:sz="8" w:color="D7282F"/>
            </w:tcBorders>
          </w:tcPr>
          <w:p>
            <w:pPr>
              <w:spacing w:after="0"/>
              <w:rPr>
                <w:sz w:val="11"/>
                <w:szCs w:val="11"/>
                <w:color w:val="auto"/>
              </w:rPr>
            </w:pPr>
          </w:p>
        </w:tc>
        <w:tc>
          <w:tcPr>
            <w:tcW w:w="1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33</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163</w:t>
            </w: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8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691</w:t>
            </w:r>
          </w:p>
        </w:tc>
      </w:tr>
      <w:tr>
        <w:trPr>
          <w:trHeight w:val="122"/>
        </w:trPr>
        <w:tc>
          <w:tcPr>
            <w:tcW w:w="56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Actual return on plan assets</w:t>
            </w:r>
          </w:p>
        </w:tc>
        <w:tc>
          <w:tcPr>
            <w:tcW w:w="160" w:type="dxa"/>
            <w:vAlign w:val="bottom"/>
            <w:tcBorders>
              <w:bottom w:val="single" w:sz="8" w:color="61656A"/>
            </w:tcBorders>
          </w:tcPr>
          <w:p>
            <w:pPr>
              <w:spacing w:after="0"/>
              <w:rPr>
                <w:sz w:val="10"/>
                <w:szCs w:val="10"/>
                <w:color w:val="auto"/>
              </w:rPr>
            </w:pPr>
          </w:p>
        </w:tc>
        <w:tc>
          <w:tcPr>
            <w:tcW w:w="110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spacing w:after="0"/>
              <w:rPr>
                <w:sz w:val="10"/>
                <w:szCs w:val="10"/>
                <w:color w:val="auto"/>
              </w:rPr>
            </w:pPr>
          </w:p>
        </w:tc>
        <w:tc>
          <w:tcPr>
            <w:tcW w:w="200" w:type="dxa"/>
            <w:vAlign w:val="bottom"/>
            <w:tcBorders>
              <w:bottom w:val="single" w:sz="8" w:color="61656A"/>
            </w:tcBorders>
          </w:tcPr>
          <w:p>
            <w:pPr>
              <w:spacing w:after="0"/>
              <w:rPr>
                <w:sz w:val="10"/>
                <w:szCs w:val="10"/>
                <w:color w:val="auto"/>
              </w:rPr>
            </w:pPr>
          </w:p>
        </w:tc>
        <w:tc>
          <w:tcPr>
            <w:tcW w:w="10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spacing w:after="0"/>
              <w:rPr>
                <w:sz w:val="10"/>
                <w:szCs w:val="10"/>
                <w:color w:val="auto"/>
              </w:rPr>
            </w:pPr>
          </w:p>
        </w:tc>
        <w:tc>
          <w:tcPr>
            <w:tcW w:w="180" w:type="dxa"/>
            <w:vAlign w:val="bottom"/>
            <w:tcBorders>
              <w:bottom w:val="single" w:sz="8" w:color="61656A"/>
            </w:tcBorders>
          </w:tcPr>
          <w:p>
            <w:pPr>
              <w:spacing w:after="0"/>
              <w:rPr>
                <w:sz w:val="10"/>
                <w:szCs w:val="10"/>
                <w:color w:val="auto"/>
              </w:rPr>
            </w:pPr>
          </w:p>
        </w:tc>
        <w:tc>
          <w:tcPr>
            <w:tcW w:w="880" w:type="dxa"/>
            <w:vAlign w:val="bottom"/>
            <w:tcBorders>
              <w:bottom w:val="single" w:sz="8" w:color="61656A"/>
            </w:tcBorders>
          </w:tcPr>
          <w:p>
            <w:pPr>
              <w:spacing w:after="0"/>
              <w:rPr>
                <w:sz w:val="10"/>
                <w:szCs w:val="10"/>
                <w:color w:val="auto"/>
              </w:rPr>
            </w:pPr>
          </w:p>
        </w:tc>
      </w:tr>
      <w:tr>
        <w:trPr>
          <w:trHeight w:val="124"/>
        </w:trPr>
        <w:tc>
          <w:tcPr>
            <w:tcW w:w="566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Relating to assets still held at year-end</w:t>
            </w:r>
          </w:p>
        </w:tc>
        <w:tc>
          <w:tcPr>
            <w:tcW w:w="160" w:type="dxa"/>
            <w:vAlign w:val="bottom"/>
            <w:tcBorders>
              <w:bottom w:val="single" w:sz="8" w:color="61656A"/>
            </w:tcBorders>
          </w:tcPr>
          <w:p>
            <w:pPr>
              <w:spacing w:after="0"/>
              <w:rPr>
                <w:sz w:val="10"/>
                <w:szCs w:val="10"/>
                <w:color w:val="auto"/>
              </w:rPr>
            </w:pPr>
          </w:p>
        </w:tc>
        <w:tc>
          <w:tcPr>
            <w:tcW w:w="11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(66)</w:t>
            </w:r>
          </w:p>
        </w:tc>
        <w:tc>
          <w:tcPr>
            <w:tcW w:w="24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88</w:t>
            </w:r>
          </w:p>
        </w:tc>
        <w:tc>
          <w:tcPr>
            <w:tcW w:w="200" w:type="dxa"/>
            <w:vAlign w:val="bottom"/>
            <w:tcBorders>
              <w:bottom w:val="single" w:sz="8" w:color="61656A"/>
            </w:tcBorders>
          </w:tcPr>
          <w:p>
            <w:pPr>
              <w:spacing w:after="0"/>
              <w:rPr>
                <w:sz w:val="10"/>
                <w:szCs w:val="10"/>
                <w:color w:val="auto"/>
              </w:rPr>
            </w:pPr>
          </w:p>
        </w:tc>
        <w:tc>
          <w:tcPr>
            <w:tcW w:w="10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11</w:t>
            </w:r>
          </w:p>
        </w:tc>
        <w:tc>
          <w:tcPr>
            <w:tcW w:w="22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(33)</w:t>
            </w:r>
          </w:p>
        </w:tc>
        <w:tc>
          <w:tcPr>
            <w:tcW w:w="180" w:type="dxa"/>
            <w:vAlign w:val="bottom"/>
            <w:tcBorders>
              <w:bottom w:val="single" w:sz="8" w:color="61656A"/>
            </w:tcBorders>
          </w:tcPr>
          <w:p>
            <w:pPr>
              <w:spacing w:after="0"/>
              <w:rPr>
                <w:sz w:val="10"/>
                <w:szCs w:val="10"/>
                <w:color w:val="auto"/>
              </w:rPr>
            </w:pP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(477)</w:t>
            </w:r>
          </w:p>
        </w:tc>
      </w:tr>
      <w:tr>
        <w:trPr>
          <w:trHeight w:val="124"/>
        </w:trPr>
        <w:tc>
          <w:tcPr>
            <w:tcW w:w="566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Relating to assets sold during the year</w:t>
            </w:r>
          </w:p>
        </w:tc>
        <w:tc>
          <w:tcPr>
            <w:tcW w:w="160" w:type="dxa"/>
            <w:vAlign w:val="bottom"/>
            <w:tcBorders>
              <w:bottom w:val="single" w:sz="8" w:color="61656A"/>
            </w:tcBorders>
          </w:tcPr>
          <w:p>
            <w:pPr>
              <w:spacing w:after="0"/>
              <w:rPr>
                <w:sz w:val="10"/>
                <w:szCs w:val="10"/>
                <w:color w:val="auto"/>
              </w:rPr>
            </w:pPr>
          </w:p>
        </w:tc>
        <w:tc>
          <w:tcPr>
            <w:tcW w:w="110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98</w:t>
            </w:r>
          </w:p>
        </w:tc>
        <w:tc>
          <w:tcPr>
            <w:tcW w:w="24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(24)</w:t>
            </w:r>
          </w:p>
        </w:tc>
        <w:tc>
          <w:tcPr>
            <w:tcW w:w="200" w:type="dxa"/>
            <w:vAlign w:val="bottom"/>
            <w:tcBorders>
              <w:bottom w:val="single" w:sz="8" w:color="61656A"/>
            </w:tcBorders>
          </w:tcPr>
          <w:p>
            <w:pPr>
              <w:spacing w:after="0"/>
              <w:rPr>
                <w:sz w:val="10"/>
                <w:szCs w:val="10"/>
                <w:color w:val="auto"/>
              </w:rPr>
            </w:pPr>
          </w:p>
        </w:tc>
        <w:tc>
          <w:tcPr>
            <w:tcW w:w="10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w:t>
            </w:r>
          </w:p>
        </w:tc>
        <w:tc>
          <w:tcPr>
            <w:tcW w:w="180" w:type="dxa"/>
            <w:vAlign w:val="bottom"/>
            <w:tcBorders>
              <w:bottom w:val="single" w:sz="8" w:color="61656A"/>
            </w:tcBorders>
          </w:tcPr>
          <w:p>
            <w:pPr>
              <w:spacing w:after="0"/>
              <w:rPr>
                <w:sz w:val="10"/>
                <w:szCs w:val="10"/>
                <w:color w:val="auto"/>
              </w:rPr>
            </w:pPr>
          </w:p>
        </w:tc>
        <w:tc>
          <w:tcPr>
            <w:tcW w:w="88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56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Purchases</w:t>
            </w:r>
          </w:p>
        </w:tc>
        <w:tc>
          <w:tcPr>
            <w:tcW w:w="160" w:type="dxa"/>
            <w:vAlign w:val="bottom"/>
            <w:tcBorders>
              <w:bottom w:val="single" w:sz="8" w:color="61656A"/>
            </w:tcBorders>
          </w:tcPr>
          <w:p>
            <w:pPr>
              <w:spacing w:after="0"/>
              <w:rPr>
                <w:sz w:val="10"/>
                <w:szCs w:val="10"/>
                <w:color w:val="auto"/>
              </w:rPr>
            </w:pPr>
          </w:p>
        </w:tc>
        <w:tc>
          <w:tcPr>
            <w:tcW w:w="110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75</w:t>
            </w:r>
          </w:p>
        </w:tc>
        <w:tc>
          <w:tcPr>
            <w:tcW w:w="24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148</w:t>
            </w:r>
          </w:p>
        </w:tc>
        <w:tc>
          <w:tcPr>
            <w:tcW w:w="200" w:type="dxa"/>
            <w:vAlign w:val="bottom"/>
            <w:tcBorders>
              <w:bottom w:val="single" w:sz="8" w:color="61656A"/>
            </w:tcBorders>
          </w:tcPr>
          <w:p>
            <w:pPr>
              <w:spacing w:after="0"/>
              <w:rPr>
                <w:sz w:val="10"/>
                <w:szCs w:val="10"/>
                <w:color w:val="auto"/>
              </w:rPr>
            </w:pPr>
          </w:p>
        </w:tc>
        <w:tc>
          <w:tcPr>
            <w:tcW w:w="10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61656A"/>
            </w:tcBorders>
          </w:tcPr>
          <w:p>
            <w:pPr>
              <w:spacing w:after="0"/>
              <w:rPr>
                <w:sz w:val="10"/>
                <w:szCs w:val="10"/>
                <w:color w:val="auto"/>
              </w:rPr>
            </w:pPr>
          </w:p>
        </w:tc>
        <w:tc>
          <w:tcPr>
            <w:tcW w:w="88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736</w:t>
            </w:r>
          </w:p>
        </w:tc>
      </w:tr>
      <w:tr>
        <w:trPr>
          <w:trHeight w:val="124"/>
        </w:trPr>
        <w:tc>
          <w:tcPr>
            <w:tcW w:w="56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Sales and settlements</w:t>
            </w:r>
          </w:p>
        </w:tc>
        <w:tc>
          <w:tcPr>
            <w:tcW w:w="160" w:type="dxa"/>
            <w:vAlign w:val="bottom"/>
            <w:tcBorders>
              <w:bottom w:val="single" w:sz="8" w:color="D7282F"/>
            </w:tcBorders>
          </w:tcPr>
          <w:p>
            <w:pPr>
              <w:spacing w:after="0"/>
              <w:rPr>
                <w:sz w:val="10"/>
                <w:szCs w:val="10"/>
                <w:color w:val="auto"/>
              </w:rPr>
            </w:pPr>
          </w:p>
        </w:tc>
        <w:tc>
          <w:tcPr>
            <w:tcW w:w="11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(159)</w:t>
            </w:r>
          </w:p>
        </w:tc>
        <w:tc>
          <w:tcPr>
            <w:tcW w:w="24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(50)</w:t>
            </w:r>
          </w:p>
        </w:tc>
        <w:tc>
          <w:tcPr>
            <w:tcW w:w="200" w:type="dxa"/>
            <w:vAlign w:val="bottom"/>
            <w:tcBorders>
              <w:bottom w:val="single" w:sz="8" w:color="D7282F"/>
            </w:tcBorders>
          </w:tcPr>
          <w:p>
            <w:pPr>
              <w:spacing w:after="0"/>
              <w:rPr>
                <w:sz w:val="10"/>
                <w:szCs w:val="10"/>
                <w:color w:val="auto"/>
              </w:rPr>
            </w:pPr>
          </w:p>
        </w:tc>
        <w:tc>
          <w:tcPr>
            <w:tcW w:w="100" w:type="dxa"/>
            <w:vAlign w:val="bottom"/>
            <w:tcBorders>
              <w:bottom w:val="single" w:sz="8" w:color="D7282F"/>
            </w:tcBorders>
          </w:tcPr>
          <w:p>
            <w:pPr>
              <w:spacing w:after="0"/>
              <w:rPr>
                <w:sz w:val="10"/>
                <w:szCs w:val="10"/>
                <w:color w:val="auto"/>
              </w:rPr>
            </w:pPr>
          </w:p>
        </w:tc>
        <w:tc>
          <w:tcPr>
            <w:tcW w:w="8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(8)</w:t>
            </w:r>
          </w:p>
        </w:tc>
        <w:tc>
          <w:tcPr>
            <w:tcW w:w="220" w:type="dxa"/>
            <w:vAlign w:val="bottom"/>
            <w:tcBorders>
              <w:bottom w:val="single" w:sz="8" w:color="D7282F"/>
            </w:tcBorders>
          </w:tcPr>
          <w:p>
            <w:pPr>
              <w:spacing w:after="0"/>
              <w:rPr>
                <w:sz w:val="10"/>
                <w:szCs w:val="10"/>
                <w:color w:val="auto"/>
              </w:rPr>
            </w:pPr>
          </w:p>
        </w:tc>
        <w:tc>
          <w:tcPr>
            <w:tcW w:w="8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(1)</w:t>
            </w:r>
          </w:p>
        </w:tc>
        <w:tc>
          <w:tcPr>
            <w:tcW w:w="180" w:type="dxa"/>
            <w:vAlign w:val="bottom"/>
            <w:tcBorders>
              <w:bottom w:val="single" w:sz="8" w:color="D7282F"/>
            </w:tcBorders>
          </w:tcPr>
          <w:p>
            <w:pPr>
              <w:spacing w:after="0"/>
              <w:rPr>
                <w:sz w:val="10"/>
                <w:szCs w:val="10"/>
                <w:color w:val="auto"/>
              </w:rPr>
            </w:pPr>
          </w:p>
        </w:tc>
        <w:tc>
          <w:tcPr>
            <w:tcW w:w="8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6"/>
        </w:trPr>
        <w:tc>
          <w:tcPr>
            <w:tcW w:w="566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Balance at December 31, 2022</w:t>
            </w:r>
          </w:p>
        </w:tc>
        <w:tc>
          <w:tcPr>
            <w:tcW w:w="160" w:type="dxa"/>
            <w:vAlign w:val="bottom"/>
            <w:tcBorders>
              <w:bottom w:val="single" w:sz="8" w:color="D7282F"/>
            </w:tcBorders>
          </w:tcPr>
          <w:p>
            <w:pPr>
              <w:spacing w:after="0"/>
              <w:rPr>
                <w:sz w:val="10"/>
                <w:szCs w:val="10"/>
                <w:color w:val="auto"/>
              </w:rPr>
            </w:pPr>
          </w:p>
        </w:tc>
        <w:tc>
          <w:tcPr>
            <w:tcW w:w="11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1,284</w:t>
            </w:r>
          </w:p>
        </w:tc>
        <w:tc>
          <w:tcPr>
            <w:tcW w:w="24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1,005</w:t>
            </w:r>
          </w:p>
        </w:tc>
        <w:tc>
          <w:tcPr>
            <w:tcW w:w="200" w:type="dxa"/>
            <w:vAlign w:val="bottom"/>
            <w:tcBorders>
              <w:bottom w:val="single" w:sz="8" w:color="D7282F"/>
            </w:tcBorders>
          </w:tcPr>
          <w:p>
            <w:pPr>
              <w:spacing w:after="0"/>
              <w:rPr>
                <w:sz w:val="10"/>
                <w:szCs w:val="10"/>
                <w:color w:val="auto"/>
              </w:rPr>
            </w:pPr>
          </w:p>
        </w:tc>
        <w:tc>
          <w:tcPr>
            <w:tcW w:w="100" w:type="dxa"/>
            <w:vAlign w:val="bottom"/>
            <w:tcBorders>
              <w:bottom w:val="single" w:sz="8" w:color="D7282F"/>
            </w:tcBorders>
          </w:tcPr>
          <w:p>
            <w:pPr>
              <w:spacing w:after="0"/>
              <w:rPr>
                <w:sz w:val="10"/>
                <w:szCs w:val="10"/>
                <w:color w:val="auto"/>
              </w:rPr>
            </w:pPr>
          </w:p>
        </w:tc>
        <w:tc>
          <w:tcPr>
            <w:tcW w:w="8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36</w:t>
            </w:r>
          </w:p>
        </w:tc>
        <w:tc>
          <w:tcPr>
            <w:tcW w:w="220" w:type="dxa"/>
            <w:vAlign w:val="bottom"/>
            <w:tcBorders>
              <w:bottom w:val="single" w:sz="8" w:color="D7282F"/>
            </w:tcBorders>
          </w:tcPr>
          <w:p>
            <w:pPr>
              <w:spacing w:after="0"/>
              <w:rPr>
                <w:sz w:val="10"/>
                <w:szCs w:val="10"/>
                <w:color w:val="auto"/>
              </w:rPr>
            </w:pPr>
          </w:p>
        </w:tc>
        <w:tc>
          <w:tcPr>
            <w:tcW w:w="8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130</w:t>
            </w:r>
          </w:p>
        </w:tc>
        <w:tc>
          <w:tcPr>
            <w:tcW w:w="180" w:type="dxa"/>
            <w:vAlign w:val="bottom"/>
            <w:tcBorders>
              <w:bottom w:val="single" w:sz="8" w:color="D7282F"/>
            </w:tcBorders>
          </w:tcPr>
          <w:p>
            <w:pPr>
              <w:spacing w:after="0"/>
              <w:rPr>
                <w:sz w:val="10"/>
                <w:szCs w:val="10"/>
                <w:color w:val="auto"/>
              </w:rPr>
            </w:pPr>
          </w:p>
        </w:tc>
        <w:tc>
          <w:tcPr>
            <w:tcW w:w="8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950</w:t>
            </w:r>
          </w:p>
        </w:tc>
      </w:tr>
      <w:tr>
        <w:trPr>
          <w:trHeight w:val="122"/>
        </w:trPr>
        <w:tc>
          <w:tcPr>
            <w:tcW w:w="56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Actual return on plan assets</w:t>
            </w:r>
          </w:p>
        </w:tc>
        <w:tc>
          <w:tcPr>
            <w:tcW w:w="160" w:type="dxa"/>
            <w:vAlign w:val="bottom"/>
            <w:tcBorders>
              <w:bottom w:val="single" w:sz="8" w:color="61656A"/>
            </w:tcBorders>
          </w:tcPr>
          <w:p>
            <w:pPr>
              <w:spacing w:after="0"/>
              <w:rPr>
                <w:sz w:val="10"/>
                <w:szCs w:val="10"/>
                <w:color w:val="auto"/>
              </w:rPr>
            </w:pPr>
          </w:p>
        </w:tc>
        <w:tc>
          <w:tcPr>
            <w:tcW w:w="110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spacing w:after="0"/>
              <w:rPr>
                <w:sz w:val="10"/>
                <w:szCs w:val="10"/>
                <w:color w:val="auto"/>
              </w:rPr>
            </w:pPr>
          </w:p>
        </w:tc>
        <w:tc>
          <w:tcPr>
            <w:tcW w:w="200" w:type="dxa"/>
            <w:vAlign w:val="bottom"/>
            <w:tcBorders>
              <w:bottom w:val="single" w:sz="8" w:color="61656A"/>
            </w:tcBorders>
          </w:tcPr>
          <w:p>
            <w:pPr>
              <w:spacing w:after="0"/>
              <w:rPr>
                <w:sz w:val="10"/>
                <w:szCs w:val="10"/>
                <w:color w:val="auto"/>
              </w:rPr>
            </w:pPr>
          </w:p>
        </w:tc>
        <w:tc>
          <w:tcPr>
            <w:tcW w:w="10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spacing w:after="0"/>
              <w:rPr>
                <w:sz w:val="10"/>
                <w:szCs w:val="10"/>
                <w:color w:val="auto"/>
              </w:rPr>
            </w:pPr>
          </w:p>
        </w:tc>
        <w:tc>
          <w:tcPr>
            <w:tcW w:w="180" w:type="dxa"/>
            <w:vAlign w:val="bottom"/>
            <w:tcBorders>
              <w:bottom w:val="single" w:sz="8" w:color="61656A"/>
            </w:tcBorders>
          </w:tcPr>
          <w:p>
            <w:pPr>
              <w:spacing w:after="0"/>
              <w:rPr>
                <w:sz w:val="10"/>
                <w:szCs w:val="10"/>
                <w:color w:val="auto"/>
              </w:rPr>
            </w:pPr>
          </w:p>
        </w:tc>
        <w:tc>
          <w:tcPr>
            <w:tcW w:w="880" w:type="dxa"/>
            <w:vAlign w:val="bottom"/>
            <w:tcBorders>
              <w:bottom w:val="single" w:sz="8" w:color="61656A"/>
            </w:tcBorders>
          </w:tcPr>
          <w:p>
            <w:pPr>
              <w:spacing w:after="0"/>
              <w:rPr>
                <w:sz w:val="10"/>
                <w:szCs w:val="10"/>
                <w:color w:val="auto"/>
              </w:rPr>
            </w:pPr>
          </w:p>
        </w:tc>
      </w:tr>
      <w:tr>
        <w:trPr>
          <w:trHeight w:val="124"/>
        </w:trPr>
        <w:tc>
          <w:tcPr>
            <w:tcW w:w="566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Relating to assets still held at year-end</w:t>
            </w:r>
          </w:p>
        </w:tc>
        <w:tc>
          <w:tcPr>
            <w:tcW w:w="160" w:type="dxa"/>
            <w:vAlign w:val="bottom"/>
            <w:tcBorders>
              <w:bottom w:val="single" w:sz="8" w:color="61656A"/>
            </w:tcBorders>
          </w:tcPr>
          <w:p>
            <w:pPr>
              <w:spacing w:after="0"/>
              <w:rPr>
                <w:sz w:val="10"/>
                <w:szCs w:val="10"/>
                <w:color w:val="auto"/>
              </w:rPr>
            </w:pPr>
          </w:p>
        </w:tc>
        <w:tc>
          <w:tcPr>
            <w:tcW w:w="11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(34)</w:t>
            </w:r>
          </w:p>
        </w:tc>
        <w:tc>
          <w:tcPr>
            <w:tcW w:w="24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(115)</w:t>
            </w:r>
          </w:p>
        </w:tc>
        <w:tc>
          <w:tcPr>
            <w:tcW w:w="200" w:type="dxa"/>
            <w:vAlign w:val="bottom"/>
            <w:tcBorders>
              <w:bottom w:val="single" w:sz="8" w:color="61656A"/>
            </w:tcBorders>
          </w:tcPr>
          <w:p>
            <w:pPr>
              <w:spacing w:after="0"/>
              <w:rPr>
                <w:sz w:val="10"/>
                <w:szCs w:val="10"/>
                <w:color w:val="auto"/>
              </w:rPr>
            </w:pPr>
          </w:p>
        </w:tc>
        <w:tc>
          <w:tcPr>
            <w:tcW w:w="10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w:t>
            </w:r>
          </w:p>
        </w:tc>
        <w:tc>
          <w:tcPr>
            <w:tcW w:w="22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61656A"/>
            </w:tcBorders>
          </w:tcPr>
          <w:p>
            <w:pPr>
              <w:spacing w:after="0"/>
              <w:rPr>
                <w:sz w:val="10"/>
                <w:szCs w:val="10"/>
                <w:color w:val="auto"/>
              </w:rPr>
            </w:pPr>
          </w:p>
        </w:tc>
        <w:tc>
          <w:tcPr>
            <w:tcW w:w="88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68</w:t>
            </w:r>
          </w:p>
        </w:tc>
      </w:tr>
      <w:tr>
        <w:trPr>
          <w:trHeight w:val="124"/>
        </w:trPr>
        <w:tc>
          <w:tcPr>
            <w:tcW w:w="566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Relating to assets sold during the year</w:t>
            </w:r>
          </w:p>
        </w:tc>
        <w:tc>
          <w:tcPr>
            <w:tcW w:w="160" w:type="dxa"/>
            <w:vAlign w:val="bottom"/>
            <w:tcBorders>
              <w:bottom w:val="single" w:sz="8" w:color="61656A"/>
            </w:tcBorders>
          </w:tcPr>
          <w:p>
            <w:pPr>
              <w:spacing w:after="0"/>
              <w:rPr>
                <w:sz w:val="10"/>
                <w:szCs w:val="10"/>
                <w:color w:val="auto"/>
              </w:rPr>
            </w:pPr>
          </w:p>
        </w:tc>
        <w:tc>
          <w:tcPr>
            <w:tcW w:w="110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159</w:t>
            </w:r>
          </w:p>
        </w:tc>
        <w:tc>
          <w:tcPr>
            <w:tcW w:w="240" w:type="dxa"/>
            <w:vAlign w:val="bottom"/>
            <w:tcBorders>
              <w:bottom w:val="single" w:sz="8" w:color="61656A"/>
            </w:tcBorders>
          </w:tcPr>
          <w:p>
            <w:pPr>
              <w:spacing w:after="0"/>
              <w:rPr>
                <w:sz w:val="10"/>
                <w:szCs w:val="10"/>
                <w:color w:val="auto"/>
              </w:rPr>
            </w:pPr>
          </w:p>
        </w:tc>
        <w:tc>
          <w:tcPr>
            <w:tcW w:w="1040" w:type="dxa"/>
            <w:vAlign w:val="bottom"/>
            <w:tcBorders>
              <w:bottom w:val="single" w:sz="8" w:color="61656A"/>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w:t>
            </w:r>
          </w:p>
        </w:tc>
        <w:tc>
          <w:tcPr>
            <w:tcW w:w="22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(3)</w:t>
            </w:r>
          </w:p>
        </w:tc>
        <w:tc>
          <w:tcPr>
            <w:tcW w:w="180" w:type="dxa"/>
            <w:vAlign w:val="bottom"/>
            <w:tcBorders>
              <w:bottom w:val="single" w:sz="8" w:color="61656A"/>
            </w:tcBorders>
          </w:tcPr>
          <w:p>
            <w:pPr>
              <w:spacing w:after="0"/>
              <w:rPr>
                <w:sz w:val="10"/>
                <w:szCs w:val="10"/>
                <w:color w:val="auto"/>
              </w:rPr>
            </w:pPr>
          </w:p>
        </w:tc>
        <w:tc>
          <w:tcPr>
            <w:tcW w:w="88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56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Purchases</w:t>
            </w:r>
          </w:p>
        </w:tc>
        <w:tc>
          <w:tcPr>
            <w:tcW w:w="160" w:type="dxa"/>
            <w:vAlign w:val="bottom"/>
            <w:tcBorders>
              <w:bottom w:val="single" w:sz="8" w:color="61656A"/>
            </w:tcBorders>
          </w:tcPr>
          <w:p>
            <w:pPr>
              <w:spacing w:after="0"/>
              <w:rPr>
                <w:sz w:val="10"/>
                <w:szCs w:val="10"/>
                <w:color w:val="auto"/>
              </w:rPr>
            </w:pPr>
          </w:p>
        </w:tc>
        <w:tc>
          <w:tcPr>
            <w:tcW w:w="110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131</w:t>
            </w:r>
          </w:p>
        </w:tc>
        <w:tc>
          <w:tcPr>
            <w:tcW w:w="24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88</w:t>
            </w:r>
          </w:p>
        </w:tc>
        <w:tc>
          <w:tcPr>
            <w:tcW w:w="200" w:type="dxa"/>
            <w:vAlign w:val="bottom"/>
            <w:tcBorders>
              <w:bottom w:val="single" w:sz="8" w:color="61656A"/>
            </w:tcBorders>
          </w:tcPr>
          <w:p>
            <w:pPr>
              <w:spacing w:after="0"/>
              <w:rPr>
                <w:sz w:val="10"/>
                <w:szCs w:val="10"/>
                <w:color w:val="auto"/>
              </w:rPr>
            </w:pPr>
          </w:p>
        </w:tc>
        <w:tc>
          <w:tcPr>
            <w:tcW w:w="10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39</w:t>
            </w:r>
          </w:p>
        </w:tc>
        <w:tc>
          <w:tcPr>
            <w:tcW w:w="22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61656A"/>
            </w:tcBorders>
          </w:tcPr>
          <w:p>
            <w:pPr>
              <w:spacing w:after="0"/>
              <w:rPr>
                <w:sz w:val="10"/>
                <w:szCs w:val="10"/>
                <w:color w:val="auto"/>
              </w:rPr>
            </w:pPr>
          </w:p>
        </w:tc>
        <w:tc>
          <w:tcPr>
            <w:tcW w:w="88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587</w:t>
            </w:r>
          </w:p>
        </w:tc>
      </w:tr>
      <w:tr>
        <w:trPr>
          <w:trHeight w:val="124"/>
        </w:trPr>
        <w:tc>
          <w:tcPr>
            <w:tcW w:w="56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Sales and settlements</w:t>
            </w:r>
          </w:p>
        </w:tc>
        <w:tc>
          <w:tcPr>
            <w:tcW w:w="160" w:type="dxa"/>
            <w:vAlign w:val="bottom"/>
            <w:tcBorders>
              <w:bottom w:val="single" w:sz="8" w:color="D7282F"/>
            </w:tcBorders>
          </w:tcPr>
          <w:p>
            <w:pPr>
              <w:spacing w:after="0"/>
              <w:rPr>
                <w:sz w:val="10"/>
                <w:szCs w:val="10"/>
                <w:color w:val="auto"/>
              </w:rPr>
            </w:pPr>
          </w:p>
        </w:tc>
        <w:tc>
          <w:tcPr>
            <w:tcW w:w="11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(247)</w:t>
            </w:r>
          </w:p>
        </w:tc>
        <w:tc>
          <w:tcPr>
            <w:tcW w:w="24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w:t>
            </w:r>
          </w:p>
        </w:tc>
        <w:tc>
          <w:tcPr>
            <w:tcW w:w="200" w:type="dxa"/>
            <w:vAlign w:val="bottom"/>
            <w:tcBorders>
              <w:bottom w:val="single" w:sz="8" w:color="D7282F"/>
            </w:tcBorders>
          </w:tcPr>
          <w:p>
            <w:pPr>
              <w:spacing w:after="0"/>
              <w:rPr>
                <w:sz w:val="10"/>
                <w:szCs w:val="10"/>
                <w:color w:val="auto"/>
              </w:rPr>
            </w:pPr>
          </w:p>
        </w:tc>
        <w:tc>
          <w:tcPr>
            <w:tcW w:w="100" w:type="dxa"/>
            <w:vAlign w:val="bottom"/>
            <w:tcBorders>
              <w:bottom w:val="single" w:sz="8" w:color="D7282F"/>
            </w:tcBorders>
          </w:tcPr>
          <w:p>
            <w:pPr>
              <w:spacing w:after="0"/>
              <w:rPr>
                <w:sz w:val="10"/>
                <w:szCs w:val="10"/>
                <w:color w:val="auto"/>
              </w:rPr>
            </w:pPr>
          </w:p>
        </w:tc>
        <w:tc>
          <w:tcPr>
            <w:tcW w:w="8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(5)</w:t>
            </w:r>
          </w:p>
        </w:tc>
        <w:tc>
          <w:tcPr>
            <w:tcW w:w="220" w:type="dxa"/>
            <w:vAlign w:val="bottom"/>
            <w:tcBorders>
              <w:bottom w:val="single" w:sz="8" w:color="D7282F"/>
            </w:tcBorders>
          </w:tcPr>
          <w:p>
            <w:pPr>
              <w:spacing w:after="0"/>
              <w:rPr>
                <w:sz w:val="10"/>
                <w:szCs w:val="10"/>
                <w:color w:val="auto"/>
              </w:rPr>
            </w:pPr>
          </w:p>
        </w:tc>
        <w:tc>
          <w:tcPr>
            <w:tcW w:w="8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(111)</w:t>
            </w:r>
          </w:p>
        </w:tc>
        <w:tc>
          <w:tcPr>
            <w:tcW w:w="180" w:type="dxa"/>
            <w:vAlign w:val="bottom"/>
            <w:tcBorders>
              <w:bottom w:val="single" w:sz="8" w:color="D7282F"/>
            </w:tcBorders>
          </w:tcPr>
          <w:p>
            <w:pPr>
              <w:spacing w:after="0"/>
              <w:rPr>
                <w:sz w:val="10"/>
                <w:szCs w:val="10"/>
                <w:color w:val="auto"/>
              </w:rPr>
            </w:pPr>
          </w:p>
        </w:tc>
        <w:tc>
          <w:tcPr>
            <w:tcW w:w="8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6"/>
        </w:trPr>
        <w:tc>
          <w:tcPr>
            <w:tcW w:w="566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Balance at December 31, 2023</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1,293</w:t>
            </w:r>
          </w:p>
        </w:tc>
        <w:tc>
          <w:tcPr>
            <w:tcW w:w="24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977</w:t>
            </w:r>
          </w:p>
        </w:tc>
        <w:tc>
          <w:tcPr>
            <w:tcW w:w="200" w:type="dxa"/>
            <w:vAlign w:val="bottom"/>
            <w:tcBorders>
              <w:bottom w:val="single" w:sz="8" w:color="D7282F"/>
            </w:tcBorders>
          </w:tcPr>
          <w:p>
            <w:pPr>
              <w:spacing w:after="0"/>
              <w:rPr>
                <w:sz w:val="10"/>
                <w:szCs w:val="10"/>
                <w:color w:val="auto"/>
              </w:rPr>
            </w:pPr>
          </w:p>
        </w:tc>
        <w:tc>
          <w:tcPr>
            <w:tcW w:w="1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74</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16</w:t>
            </w: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8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1,605</w:t>
            </w:r>
          </w:p>
        </w:tc>
      </w:tr>
    </w:tbl>
    <w:p>
      <w:pPr>
        <w:spacing w:after="0" w:line="126" w:lineRule="exact"/>
        <w:rPr>
          <w:sz w:val="20"/>
          <w:szCs w:val="20"/>
          <w:color w:val="auto"/>
        </w:rPr>
      </w:pPr>
    </w:p>
    <w:p>
      <w:pPr>
        <w:jc w:val="both"/>
        <w:ind w:left="8" w:right="20"/>
        <w:spacing w:after="0" w:line="262" w:lineRule="auto"/>
        <w:rPr>
          <w:sz w:val="20"/>
          <w:szCs w:val="20"/>
          <w:color w:val="auto"/>
        </w:rPr>
      </w:pPr>
      <w:r>
        <w:rPr>
          <w:rFonts w:ascii="Arial" w:cs="Arial" w:eastAsia="Arial" w:hAnsi="Arial"/>
          <w:sz w:val="11"/>
          <w:szCs w:val="11"/>
          <w:color w:val="auto"/>
        </w:rPr>
        <w:t>The Company enters into futures contracts to gain exposure to certain markets. Sufficient cash or cash equivalents are held by the Company's pension plans to cover the notional value of the futures contracts. At December 31, 2023, and 2022, the Company's U.S. plans had contracts with notional amounts of $4,025 million and $2,567 million, respectively. At December 31, 2023, and 2022, the Company's non-U.S. plans had contracts with notional amounts of $124 million and $120 million, respectively. In both the Company's U.S. and non-U.S. pension plans, the notional derivative exposure is related to outstanding equity and fixed income futures contracts.</w:t>
      </w:r>
    </w:p>
    <w:p>
      <w:pPr>
        <w:spacing w:after="0" w:line="45" w:lineRule="exact"/>
        <w:rPr>
          <w:sz w:val="20"/>
          <w:szCs w:val="20"/>
          <w:color w:val="auto"/>
        </w:rPr>
      </w:pPr>
    </w:p>
    <w:p>
      <w:pPr>
        <w:jc w:val="both"/>
        <w:ind w:left="8"/>
        <w:spacing w:after="0" w:line="252" w:lineRule="auto"/>
        <w:rPr>
          <w:sz w:val="20"/>
          <w:szCs w:val="20"/>
          <w:color w:val="auto"/>
        </w:rPr>
      </w:pPr>
      <w:r>
        <w:rPr>
          <w:rFonts w:ascii="Arial" w:cs="Arial" w:eastAsia="Arial" w:hAnsi="Arial"/>
          <w:sz w:val="11"/>
          <w:szCs w:val="11"/>
          <w:color w:val="auto"/>
        </w:rPr>
        <w:t>Common stocks, preferred stocks, real estate investment trusts, and short-term investments are valued at the closing price reported in the active market in which the individual securities are traded. Corporate bonds, mortgage/asset-backed securities, and government securities are valued either by using pricing models, bids provided by brokers or dealers, quoted prices of securities with similar characteristics, or discounted cash flows, and as such, include adjustments for certain risks that may not be observable such as credit and liquidity risks. Certain securities are held in collective trust funds which are valued using net asset values provided by the administrators of the funds. Investments in private equity, debt, real estate and hedge funds, and direct private investments are valued at estimated fair value based on quarterly financial information received from the investment advisor and/or general partner. Investments in real estate properties are valued on a quarterly basis using the income approach. Valuation estimates are periodically supplemented by third party appraisals. The insurance buy-in contracts represent policies held by the Honeywell UK Pension Scheme, whereby the cost of providing pension benefits to plan participants is funded by the policies. The cash flows from the policies are intended to match the pension benefits. The fair value of these policies is based on an estimate of the policies' exit price.</w:t>
      </w:r>
    </w:p>
    <w:p>
      <w:pPr>
        <w:spacing w:after="0" w:line="51"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The Company's funding policy for qualified defined benefit pension plans is to contribute amounts at least sufficient to satisfy regulatory funding standards. In 2023, 2022, and 2021, the Company was not required to make contributions to the U.S. pension plans and no contributions were made. The Company is not required to make any contributions to the U.S. pension plans in 2024. In 2023, contributions of $12 million were made to the non-U.S. pension plans to satisfy regulatory funding requirements. In 2024, the Company expects to make contributions of cash and/or marketable securities of approximately $12 million to the non-U.S. pension plans to satisfy regulatory funding standards. Contributions for both the U.S. and non-U.S. pension plans do not reflect benefits paid directly from Company assets.</w:t>
      </w:r>
    </w:p>
    <w:p>
      <w:pPr>
        <w:spacing w:after="0" w:line="283" w:lineRule="exact"/>
        <w:rPr>
          <w:sz w:val="20"/>
          <w:szCs w:val="20"/>
          <w:color w:val="auto"/>
        </w:rPr>
      </w:pPr>
    </w:p>
    <w:p>
      <w:pPr>
        <w:ind w:left="328" w:hanging="328"/>
        <w:spacing w:after="0"/>
        <w:tabs>
          <w:tab w:leader="none" w:pos="328" w:val="left"/>
        </w:tabs>
        <w:numPr>
          <w:ilvl w:val="0"/>
          <w:numId w:val="152"/>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111" w:name="page112"/>
    <w:bookmarkEnd w:id="111"/>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spacing w:after="0"/>
        <w:rPr>
          <w:sz w:val="20"/>
          <w:szCs w:val="20"/>
          <w:color w:val="auto"/>
        </w:rPr>
      </w:pPr>
      <w:r>
        <w:rPr>
          <w:rFonts w:ascii="Arial" w:cs="Arial" w:eastAsia="Arial" w:hAnsi="Arial"/>
          <w:sz w:val="11"/>
          <w:szCs w:val="11"/>
          <w:color w:val="auto"/>
        </w:rPr>
        <w:t>Benefit payments, including amounts to be paid from Company assets, and reflecting expected future service, as appropriate, are expected to be paid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380" w:type="dxa"/>
            <w:vAlign w:val="bottom"/>
            <w:tcBorders>
              <w:bottom w:val="single" w:sz="8" w:color="D7282F"/>
            </w:tcBorders>
          </w:tcPr>
          <w:p>
            <w:pPr>
              <w:spacing w:after="0"/>
              <w:rPr>
                <w:sz w:val="11"/>
                <w:szCs w:val="11"/>
                <w:color w:val="auto"/>
              </w:rPr>
            </w:pPr>
          </w:p>
        </w:tc>
        <w:tc>
          <w:tcPr>
            <w:tcW w:w="50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U.S. Plans</w:t>
            </w:r>
          </w:p>
        </w:tc>
        <w:tc>
          <w:tcPr>
            <w:tcW w:w="380" w:type="dxa"/>
            <w:vAlign w:val="bottom"/>
            <w:tcBorders>
              <w:bottom w:val="single" w:sz="8" w:color="D7282F"/>
            </w:tcBorders>
          </w:tcPr>
          <w:p>
            <w:pPr>
              <w:spacing w:after="0"/>
              <w:rPr>
                <w:sz w:val="11"/>
                <w:szCs w:val="11"/>
                <w:color w:val="auto"/>
              </w:rPr>
            </w:pPr>
          </w:p>
        </w:tc>
        <w:tc>
          <w:tcPr>
            <w:tcW w:w="260" w:type="dxa"/>
            <w:vAlign w:val="bottom"/>
            <w:tcBorders>
              <w:bottom w:val="single" w:sz="8" w:color="D7282F"/>
            </w:tcBorders>
          </w:tcPr>
          <w:p>
            <w:pPr>
              <w:spacing w:after="0"/>
              <w:rPr>
                <w:sz w:val="11"/>
                <w:szCs w:val="11"/>
                <w:color w:val="auto"/>
              </w:rPr>
            </w:pPr>
          </w:p>
        </w:tc>
        <w:tc>
          <w:tcPr>
            <w:tcW w:w="1280" w:type="dxa"/>
            <w:vAlign w:val="bottom"/>
            <w:tcBorders>
              <w:bottom w:val="single" w:sz="8" w:color="D7282F"/>
            </w:tcBorders>
          </w:tcPr>
          <w:p>
            <w:pPr>
              <w:jc w:val="right"/>
              <w:ind w:right="372"/>
              <w:spacing w:after="0"/>
              <w:rPr>
                <w:sz w:val="20"/>
                <w:szCs w:val="20"/>
                <w:color w:val="auto"/>
              </w:rPr>
            </w:pPr>
            <w:r>
              <w:rPr>
                <w:rFonts w:ascii="Arial" w:cs="Arial" w:eastAsia="Arial" w:hAnsi="Arial"/>
                <w:sz w:val="10"/>
                <w:szCs w:val="10"/>
                <w:b w:val="1"/>
                <w:bCs w:val="1"/>
                <w:color w:val="auto"/>
              </w:rPr>
              <w:t>Non-U.S. Plans</w:t>
            </w:r>
          </w:p>
        </w:tc>
      </w:tr>
      <w:tr>
        <w:trPr>
          <w:trHeight w:val="122"/>
        </w:trPr>
        <w:tc>
          <w:tcPr>
            <w:tcW w:w="43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2024</w:t>
            </w:r>
          </w:p>
        </w:tc>
        <w:tc>
          <w:tcPr>
            <w:tcW w:w="5000" w:type="dxa"/>
            <w:vAlign w:val="bottom"/>
            <w:tcBorders>
              <w:bottom w:val="single" w:sz="8" w:color="61656A"/>
            </w:tcBorders>
          </w:tcPr>
          <w:p>
            <w:pPr>
              <w:jc w:val="right"/>
              <w:ind w:right="99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1,094</w:t>
            </w:r>
          </w:p>
        </w:tc>
        <w:tc>
          <w:tcPr>
            <w:tcW w:w="260" w:type="dxa"/>
            <w:vAlign w:val="bottom"/>
            <w:tcBorders>
              <w:bottom w:val="single" w:sz="8" w:color="61656A"/>
            </w:tcBorders>
          </w:tcPr>
          <w:p>
            <w:pPr>
              <w:jc w:val="right"/>
              <w:ind w:right="132"/>
              <w:spacing w:after="0"/>
              <w:rPr>
                <w:sz w:val="20"/>
                <w:szCs w:val="20"/>
                <w:color w:val="auto"/>
              </w:rPr>
            </w:pPr>
            <w:r>
              <w:rPr>
                <w:rFonts w:ascii="Arial" w:cs="Arial" w:eastAsia="Arial" w:hAnsi="Arial"/>
                <w:sz w:val="10"/>
                <w:szCs w:val="10"/>
                <w:color w:val="auto"/>
              </w:rPr>
              <w:t>$</w:t>
            </w: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257</w:t>
            </w:r>
          </w:p>
        </w:tc>
      </w:tr>
      <w:tr>
        <w:trPr>
          <w:trHeight w:val="124"/>
        </w:trPr>
        <w:tc>
          <w:tcPr>
            <w:tcW w:w="43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2025</w:t>
            </w:r>
          </w:p>
        </w:tc>
        <w:tc>
          <w:tcPr>
            <w:tcW w:w="500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1,077</w:t>
            </w:r>
          </w:p>
        </w:tc>
        <w:tc>
          <w:tcPr>
            <w:tcW w:w="260" w:type="dxa"/>
            <w:vAlign w:val="bottom"/>
            <w:tcBorders>
              <w:bottom w:val="single" w:sz="8" w:color="61656A"/>
            </w:tcBorders>
          </w:tcPr>
          <w:p>
            <w:pPr>
              <w:spacing w:after="0"/>
              <w:rPr>
                <w:sz w:val="10"/>
                <w:szCs w:val="10"/>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253</w:t>
            </w:r>
          </w:p>
        </w:tc>
      </w:tr>
      <w:tr>
        <w:trPr>
          <w:trHeight w:val="124"/>
        </w:trPr>
        <w:tc>
          <w:tcPr>
            <w:tcW w:w="43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2026</w:t>
            </w:r>
          </w:p>
        </w:tc>
        <w:tc>
          <w:tcPr>
            <w:tcW w:w="500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1,062</w:t>
            </w:r>
          </w:p>
        </w:tc>
        <w:tc>
          <w:tcPr>
            <w:tcW w:w="260" w:type="dxa"/>
            <w:vAlign w:val="bottom"/>
            <w:tcBorders>
              <w:bottom w:val="single" w:sz="8" w:color="61656A"/>
            </w:tcBorders>
          </w:tcPr>
          <w:p>
            <w:pPr>
              <w:spacing w:after="0"/>
              <w:rPr>
                <w:sz w:val="10"/>
                <w:szCs w:val="10"/>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260</w:t>
            </w:r>
          </w:p>
        </w:tc>
      </w:tr>
      <w:tr>
        <w:trPr>
          <w:trHeight w:val="124"/>
        </w:trPr>
        <w:tc>
          <w:tcPr>
            <w:tcW w:w="43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2027</w:t>
            </w:r>
          </w:p>
        </w:tc>
        <w:tc>
          <w:tcPr>
            <w:tcW w:w="500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1,044</w:t>
            </w:r>
          </w:p>
        </w:tc>
        <w:tc>
          <w:tcPr>
            <w:tcW w:w="260" w:type="dxa"/>
            <w:vAlign w:val="bottom"/>
            <w:tcBorders>
              <w:bottom w:val="single" w:sz="8" w:color="61656A"/>
            </w:tcBorders>
          </w:tcPr>
          <w:p>
            <w:pPr>
              <w:spacing w:after="0"/>
              <w:rPr>
                <w:sz w:val="10"/>
                <w:szCs w:val="10"/>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266</w:t>
            </w:r>
          </w:p>
        </w:tc>
      </w:tr>
      <w:tr>
        <w:trPr>
          <w:trHeight w:val="124"/>
        </w:trPr>
        <w:tc>
          <w:tcPr>
            <w:tcW w:w="43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2028</w:t>
            </w:r>
          </w:p>
        </w:tc>
        <w:tc>
          <w:tcPr>
            <w:tcW w:w="500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1,022</w:t>
            </w:r>
          </w:p>
        </w:tc>
        <w:tc>
          <w:tcPr>
            <w:tcW w:w="260" w:type="dxa"/>
            <w:vAlign w:val="bottom"/>
            <w:tcBorders>
              <w:bottom w:val="single" w:sz="8" w:color="61656A"/>
            </w:tcBorders>
          </w:tcPr>
          <w:p>
            <w:pPr>
              <w:spacing w:after="0"/>
              <w:rPr>
                <w:sz w:val="10"/>
                <w:szCs w:val="10"/>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268</w:t>
            </w:r>
          </w:p>
        </w:tc>
      </w:tr>
      <w:tr>
        <w:trPr>
          <w:trHeight w:val="124"/>
        </w:trPr>
        <w:tc>
          <w:tcPr>
            <w:tcW w:w="43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2029-2033</w:t>
            </w:r>
          </w:p>
        </w:tc>
        <w:tc>
          <w:tcPr>
            <w:tcW w:w="500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4,699</w:t>
            </w:r>
          </w:p>
        </w:tc>
        <w:tc>
          <w:tcPr>
            <w:tcW w:w="260" w:type="dxa"/>
            <w:vAlign w:val="bottom"/>
            <w:tcBorders>
              <w:bottom w:val="single" w:sz="8" w:color="D7282F"/>
            </w:tcBorders>
          </w:tcPr>
          <w:p>
            <w:pPr>
              <w:spacing w:after="0"/>
              <w:rPr>
                <w:sz w:val="10"/>
                <w:szCs w:val="10"/>
                <w:color w:val="auto"/>
              </w:rPr>
            </w:pPr>
          </w:p>
        </w:tc>
        <w:tc>
          <w:tcPr>
            <w:tcW w:w="12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1,270</w:t>
            </w:r>
          </w:p>
        </w:tc>
      </w:tr>
    </w:tbl>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During the twelve months ended December 31, 2023, the Company repurchased $200 million of outstanding Honeywell shares of common stock from the Honeywell U.S. Pension Plan Master Trust. The Company completed no repurchases of outstanding Honeywell shares of common stock from the Honeywell U.S. Pension Plan Master Trust during 2022.</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POSTRETIREMENT BENEFITS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9400" w:type="dxa"/>
            <w:vAlign w:val="bottom"/>
          </w:tcPr>
          <w:p>
            <w:pPr>
              <w:spacing w:after="0"/>
              <w:rPr>
                <w:sz w:val="11"/>
                <w:szCs w:val="11"/>
                <w:color w:val="auto"/>
              </w:rPr>
            </w:pPr>
          </w:p>
        </w:tc>
        <w:tc>
          <w:tcPr>
            <w:tcW w:w="132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December 31,</w:t>
            </w:r>
          </w:p>
        </w:tc>
        <w:tc>
          <w:tcPr>
            <w:tcW w:w="580" w:type="dxa"/>
            <w:vAlign w:val="bottom"/>
            <w:tcBorders>
              <w:bottom w:val="single" w:sz="8" w:color="D7282F"/>
            </w:tcBorders>
          </w:tcPr>
          <w:p>
            <w:pPr>
              <w:spacing w:after="0"/>
              <w:rPr>
                <w:sz w:val="11"/>
                <w:szCs w:val="11"/>
                <w:color w:val="auto"/>
              </w:rPr>
            </w:pPr>
          </w:p>
        </w:tc>
      </w:tr>
      <w:tr>
        <w:trPr>
          <w:trHeight w:val="151"/>
        </w:trPr>
        <w:tc>
          <w:tcPr>
            <w:tcW w:w="9400" w:type="dxa"/>
            <w:vAlign w:val="bottom"/>
            <w:tcBorders>
              <w:bottom w:val="single" w:sz="8" w:color="D7282F"/>
            </w:tcBorders>
          </w:tcPr>
          <w:p>
            <w:pPr>
              <w:spacing w:after="0"/>
              <w:rPr>
                <w:sz w:val="13"/>
                <w:szCs w:val="13"/>
                <w:color w:val="auto"/>
              </w:rPr>
            </w:pPr>
          </w:p>
        </w:tc>
        <w:tc>
          <w:tcPr>
            <w:tcW w:w="1320" w:type="dxa"/>
            <w:vAlign w:val="bottom"/>
            <w:tcBorders>
              <w:bottom w:val="single" w:sz="8" w:color="D7282F"/>
            </w:tcBorders>
          </w:tcPr>
          <w:p>
            <w:pPr>
              <w:jc w:val="right"/>
              <w:ind w:right="752"/>
              <w:spacing w:after="0"/>
              <w:rPr>
                <w:sz w:val="20"/>
                <w:szCs w:val="20"/>
                <w:color w:val="auto"/>
              </w:rPr>
            </w:pPr>
            <w:r>
              <w:rPr>
                <w:rFonts w:ascii="Arial" w:cs="Arial" w:eastAsia="Arial" w:hAnsi="Arial"/>
                <w:sz w:val="10"/>
                <w:szCs w:val="10"/>
                <w:b w:val="1"/>
                <w:bCs w:val="1"/>
                <w:color w:val="auto"/>
              </w:rPr>
              <w:t>2023</w:t>
            </w:r>
          </w:p>
        </w:tc>
        <w:tc>
          <w:tcPr>
            <w:tcW w:w="58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rPr>
              <w:t>2022</w:t>
            </w:r>
          </w:p>
        </w:tc>
      </w:tr>
      <w:tr>
        <w:trPr>
          <w:trHeight w:val="122"/>
        </w:trPr>
        <w:tc>
          <w:tcPr>
            <w:tcW w:w="94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Assumed health care cost trend rate</w:t>
            </w:r>
          </w:p>
        </w:tc>
        <w:tc>
          <w:tcPr>
            <w:tcW w:w="132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spacing w:after="0"/>
              <w:rPr>
                <w:sz w:val="10"/>
                <w:szCs w:val="10"/>
                <w:color w:val="auto"/>
              </w:rPr>
            </w:pPr>
          </w:p>
        </w:tc>
      </w:tr>
      <w:tr>
        <w:trPr>
          <w:trHeight w:val="124"/>
        </w:trPr>
        <w:tc>
          <w:tcPr>
            <w:tcW w:w="94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Health care cost trend rate assumed for next year</w:t>
            </w:r>
          </w:p>
        </w:tc>
        <w:tc>
          <w:tcPr>
            <w:tcW w:w="1320" w:type="dxa"/>
            <w:vAlign w:val="bottom"/>
            <w:tcBorders>
              <w:bottom w:val="single" w:sz="8" w:color="61656A"/>
            </w:tcBorders>
          </w:tcPr>
          <w:p>
            <w:pPr>
              <w:jc w:val="right"/>
              <w:ind w:right="452"/>
              <w:spacing w:after="0"/>
              <w:rPr>
                <w:sz w:val="20"/>
                <w:szCs w:val="20"/>
                <w:color w:val="auto"/>
              </w:rPr>
            </w:pPr>
            <w:r>
              <w:rPr>
                <w:rFonts w:ascii="Arial" w:cs="Arial" w:eastAsia="Arial" w:hAnsi="Arial"/>
                <w:sz w:val="10"/>
                <w:szCs w:val="10"/>
                <w:color w:val="auto"/>
              </w:rPr>
              <w:t>7.00 %</w:t>
            </w: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7.50 %</w:t>
            </w:r>
          </w:p>
        </w:tc>
      </w:tr>
      <w:tr>
        <w:trPr>
          <w:trHeight w:val="124"/>
        </w:trPr>
        <w:tc>
          <w:tcPr>
            <w:tcW w:w="94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Rate that the cost trend rate gradually declines to</w:t>
            </w:r>
          </w:p>
        </w:tc>
        <w:tc>
          <w:tcPr>
            <w:tcW w:w="1320" w:type="dxa"/>
            <w:vAlign w:val="bottom"/>
            <w:tcBorders>
              <w:bottom w:val="single" w:sz="8" w:color="61656A"/>
            </w:tcBorders>
          </w:tcPr>
          <w:p>
            <w:pPr>
              <w:jc w:val="right"/>
              <w:ind w:right="452"/>
              <w:spacing w:after="0"/>
              <w:rPr>
                <w:sz w:val="20"/>
                <w:szCs w:val="20"/>
                <w:color w:val="auto"/>
              </w:rPr>
            </w:pPr>
            <w:r>
              <w:rPr>
                <w:rFonts w:ascii="Arial" w:cs="Arial" w:eastAsia="Arial" w:hAnsi="Arial"/>
                <w:sz w:val="10"/>
                <w:szCs w:val="10"/>
                <w:color w:val="auto"/>
              </w:rPr>
              <w:t>5.00 %</w:t>
            </w: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5.00 %</w:t>
            </w:r>
          </w:p>
        </w:tc>
      </w:tr>
      <w:tr>
        <w:trPr>
          <w:trHeight w:val="124"/>
        </w:trPr>
        <w:tc>
          <w:tcPr>
            <w:tcW w:w="940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Year that the rate reaches the rate it is assumed to remain at</w:t>
            </w:r>
          </w:p>
        </w:tc>
        <w:tc>
          <w:tcPr>
            <w:tcW w:w="1320" w:type="dxa"/>
            <w:vAlign w:val="bottom"/>
            <w:tcBorders>
              <w:bottom w:val="single" w:sz="8" w:color="D7282F"/>
            </w:tcBorders>
          </w:tcPr>
          <w:p>
            <w:pPr>
              <w:jc w:val="right"/>
              <w:ind w:right="572"/>
              <w:spacing w:after="0"/>
              <w:rPr>
                <w:sz w:val="20"/>
                <w:szCs w:val="20"/>
                <w:color w:val="auto"/>
              </w:rPr>
            </w:pPr>
            <w:r>
              <w:rPr>
                <w:rFonts w:ascii="Arial" w:cs="Arial" w:eastAsia="Arial" w:hAnsi="Arial"/>
                <w:sz w:val="10"/>
                <w:szCs w:val="10"/>
                <w:color w:val="auto"/>
              </w:rPr>
              <w:t>2031</w:t>
            </w:r>
          </w:p>
        </w:tc>
        <w:tc>
          <w:tcPr>
            <w:tcW w:w="5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2031</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Benefit payments reflecting expected future service, as appropriate, are expected to be paid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60" w:type="dxa"/>
            <w:vAlign w:val="bottom"/>
          </w:tcPr>
          <w:p>
            <w:pPr>
              <w:spacing w:after="0"/>
              <w:rPr>
                <w:sz w:val="10"/>
                <w:szCs w:val="10"/>
                <w:color w:val="auto"/>
              </w:rPr>
            </w:pPr>
          </w:p>
        </w:tc>
        <w:tc>
          <w:tcPr>
            <w:tcW w:w="9020" w:type="dxa"/>
            <w:vAlign w:val="bottom"/>
          </w:tcPr>
          <w:p>
            <w:pPr>
              <w:ind w:left="8080"/>
              <w:spacing w:after="0"/>
              <w:rPr>
                <w:sz w:val="20"/>
                <w:szCs w:val="20"/>
                <w:color w:val="auto"/>
              </w:rPr>
            </w:pPr>
            <w:r>
              <w:rPr>
                <w:rFonts w:ascii="Arial" w:cs="Arial" w:eastAsia="Arial" w:hAnsi="Arial"/>
                <w:sz w:val="10"/>
                <w:szCs w:val="10"/>
                <w:b w:val="1"/>
                <w:bCs w:val="1"/>
                <w:color w:val="auto"/>
              </w:rPr>
              <w:t>Without Impact of</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80" w:type="dxa"/>
            <w:vAlign w:val="bottom"/>
          </w:tcPr>
          <w:p>
            <w:pPr>
              <w:jc w:val="right"/>
              <w:ind w:right="692"/>
              <w:spacing w:after="0"/>
              <w:rPr>
                <w:sz w:val="20"/>
                <w:szCs w:val="20"/>
                <w:color w:val="auto"/>
              </w:rPr>
            </w:pPr>
            <w:r>
              <w:rPr>
                <w:rFonts w:ascii="Arial" w:cs="Arial" w:eastAsia="Arial" w:hAnsi="Arial"/>
                <w:sz w:val="10"/>
                <w:szCs w:val="10"/>
                <w:b w:val="1"/>
                <w:bCs w:val="1"/>
                <w:color w:val="auto"/>
              </w:rPr>
              <w:t>Net of</w:t>
            </w:r>
          </w:p>
        </w:tc>
      </w:tr>
      <w:tr>
        <w:trPr>
          <w:trHeight w:val="124"/>
        </w:trPr>
        <w:tc>
          <w:tcPr>
            <w:tcW w:w="260" w:type="dxa"/>
            <w:vAlign w:val="bottom"/>
            <w:tcBorders>
              <w:bottom w:val="single" w:sz="8" w:color="D7282F"/>
            </w:tcBorders>
          </w:tcPr>
          <w:p>
            <w:pPr>
              <w:spacing w:after="0"/>
              <w:rPr>
                <w:sz w:val="10"/>
                <w:szCs w:val="10"/>
                <w:color w:val="auto"/>
              </w:rPr>
            </w:pPr>
          </w:p>
        </w:tc>
        <w:tc>
          <w:tcPr>
            <w:tcW w:w="9020" w:type="dxa"/>
            <w:vAlign w:val="bottom"/>
            <w:tcBorders>
              <w:bottom w:val="single" w:sz="8" w:color="D7282F"/>
            </w:tcBorders>
          </w:tcPr>
          <w:p>
            <w:pPr>
              <w:ind w:left="8080"/>
              <w:spacing w:after="0"/>
              <w:rPr>
                <w:sz w:val="20"/>
                <w:szCs w:val="20"/>
                <w:color w:val="auto"/>
              </w:rPr>
            </w:pPr>
            <w:r>
              <w:rPr>
                <w:rFonts w:ascii="Arial" w:cs="Arial" w:eastAsia="Arial" w:hAnsi="Arial"/>
                <w:sz w:val="10"/>
                <w:szCs w:val="10"/>
                <w:b w:val="1"/>
                <w:bCs w:val="1"/>
                <w:color w:val="auto"/>
              </w:rPr>
              <w:t>Medicare Subsidy</w:t>
            </w:r>
          </w:p>
        </w:tc>
        <w:tc>
          <w:tcPr>
            <w:tcW w:w="26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spacing w:after="0"/>
              <w:rPr>
                <w:sz w:val="10"/>
                <w:szCs w:val="10"/>
                <w:color w:val="auto"/>
              </w:rPr>
            </w:pPr>
          </w:p>
        </w:tc>
        <w:tc>
          <w:tcPr>
            <w:tcW w:w="148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b w:val="1"/>
                <w:bCs w:val="1"/>
                <w:color w:val="auto"/>
              </w:rPr>
              <w:t>Medicare Subsidy</w:t>
            </w:r>
          </w:p>
        </w:tc>
      </w:tr>
      <w:tr>
        <w:trPr>
          <w:trHeight w:val="121"/>
        </w:trPr>
        <w:tc>
          <w:tcPr>
            <w:tcW w:w="2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2024</w:t>
            </w:r>
          </w:p>
        </w:tc>
        <w:tc>
          <w:tcPr>
            <w:tcW w:w="9020" w:type="dxa"/>
            <w:vAlign w:val="bottom"/>
            <w:tcBorders>
              <w:bottom w:val="single" w:sz="8" w:color="888B8D"/>
            </w:tcBorders>
          </w:tcPr>
          <w:p>
            <w:pPr>
              <w:jc w:val="right"/>
              <w:ind w:right="125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13</w:t>
            </w:r>
          </w:p>
        </w:tc>
        <w:tc>
          <w:tcPr>
            <w:tcW w:w="28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12</w:t>
            </w:r>
          </w:p>
        </w:tc>
      </w:tr>
      <w:tr>
        <w:trPr>
          <w:trHeight w:val="124"/>
        </w:trPr>
        <w:tc>
          <w:tcPr>
            <w:tcW w:w="2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2025</w:t>
            </w:r>
          </w:p>
        </w:tc>
        <w:tc>
          <w:tcPr>
            <w:tcW w:w="9020" w:type="dxa"/>
            <w:vAlign w:val="bottom"/>
            <w:tcBorders>
              <w:bottom w:val="single" w:sz="8" w:color="888B8D"/>
            </w:tcBorders>
          </w:tcPr>
          <w:p>
            <w:pPr>
              <w:spacing w:after="0"/>
              <w:rPr>
                <w:sz w:val="10"/>
                <w:szCs w:val="10"/>
                <w:color w:val="auto"/>
              </w:rPr>
            </w:pP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12</w:t>
            </w:r>
          </w:p>
        </w:tc>
        <w:tc>
          <w:tcPr>
            <w:tcW w:w="280" w:type="dxa"/>
            <w:vAlign w:val="bottom"/>
            <w:tcBorders>
              <w:bottom w:val="single" w:sz="8" w:color="888B8D"/>
            </w:tcBorders>
          </w:tcPr>
          <w:p>
            <w:pPr>
              <w:spacing w:after="0"/>
              <w:rPr>
                <w:sz w:val="10"/>
                <w:szCs w:val="10"/>
                <w:color w:val="auto"/>
              </w:rPr>
            </w:pP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12</w:t>
            </w:r>
          </w:p>
        </w:tc>
      </w:tr>
      <w:tr>
        <w:trPr>
          <w:trHeight w:val="124"/>
        </w:trPr>
        <w:tc>
          <w:tcPr>
            <w:tcW w:w="2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2026</w:t>
            </w:r>
          </w:p>
        </w:tc>
        <w:tc>
          <w:tcPr>
            <w:tcW w:w="9020" w:type="dxa"/>
            <w:vAlign w:val="bottom"/>
            <w:tcBorders>
              <w:bottom w:val="single" w:sz="8" w:color="888B8D"/>
            </w:tcBorders>
          </w:tcPr>
          <w:p>
            <w:pPr>
              <w:spacing w:after="0"/>
              <w:rPr>
                <w:sz w:val="10"/>
                <w:szCs w:val="10"/>
                <w:color w:val="auto"/>
              </w:rPr>
            </w:pP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12</w:t>
            </w:r>
          </w:p>
        </w:tc>
        <w:tc>
          <w:tcPr>
            <w:tcW w:w="280" w:type="dxa"/>
            <w:vAlign w:val="bottom"/>
            <w:tcBorders>
              <w:bottom w:val="single" w:sz="8" w:color="888B8D"/>
            </w:tcBorders>
          </w:tcPr>
          <w:p>
            <w:pPr>
              <w:spacing w:after="0"/>
              <w:rPr>
                <w:sz w:val="10"/>
                <w:szCs w:val="10"/>
                <w:color w:val="auto"/>
              </w:rPr>
            </w:pP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11</w:t>
            </w:r>
          </w:p>
        </w:tc>
      </w:tr>
      <w:tr>
        <w:trPr>
          <w:trHeight w:val="124"/>
        </w:trPr>
        <w:tc>
          <w:tcPr>
            <w:tcW w:w="2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2027</w:t>
            </w:r>
          </w:p>
        </w:tc>
        <w:tc>
          <w:tcPr>
            <w:tcW w:w="9020" w:type="dxa"/>
            <w:vAlign w:val="bottom"/>
            <w:tcBorders>
              <w:bottom w:val="single" w:sz="8" w:color="888B8D"/>
            </w:tcBorders>
          </w:tcPr>
          <w:p>
            <w:pPr>
              <w:spacing w:after="0"/>
              <w:rPr>
                <w:sz w:val="10"/>
                <w:szCs w:val="10"/>
                <w:color w:val="auto"/>
              </w:rPr>
            </w:pP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11</w:t>
            </w:r>
          </w:p>
        </w:tc>
        <w:tc>
          <w:tcPr>
            <w:tcW w:w="280" w:type="dxa"/>
            <w:vAlign w:val="bottom"/>
            <w:tcBorders>
              <w:bottom w:val="single" w:sz="8" w:color="888B8D"/>
            </w:tcBorders>
          </w:tcPr>
          <w:p>
            <w:pPr>
              <w:spacing w:after="0"/>
              <w:rPr>
                <w:sz w:val="10"/>
                <w:szCs w:val="10"/>
                <w:color w:val="auto"/>
              </w:rPr>
            </w:pP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11</w:t>
            </w:r>
          </w:p>
        </w:tc>
      </w:tr>
      <w:tr>
        <w:trPr>
          <w:trHeight w:val="124"/>
        </w:trPr>
        <w:tc>
          <w:tcPr>
            <w:tcW w:w="2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2028</w:t>
            </w:r>
          </w:p>
        </w:tc>
        <w:tc>
          <w:tcPr>
            <w:tcW w:w="9020" w:type="dxa"/>
            <w:vAlign w:val="bottom"/>
            <w:tcBorders>
              <w:bottom w:val="single" w:sz="8" w:color="888B8D"/>
            </w:tcBorders>
          </w:tcPr>
          <w:p>
            <w:pPr>
              <w:spacing w:after="0"/>
              <w:rPr>
                <w:sz w:val="10"/>
                <w:szCs w:val="10"/>
                <w:color w:val="auto"/>
              </w:rPr>
            </w:pP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11</w:t>
            </w:r>
          </w:p>
        </w:tc>
        <w:tc>
          <w:tcPr>
            <w:tcW w:w="280" w:type="dxa"/>
            <w:vAlign w:val="bottom"/>
            <w:tcBorders>
              <w:bottom w:val="single" w:sz="8" w:color="888B8D"/>
            </w:tcBorders>
          </w:tcPr>
          <w:p>
            <w:pPr>
              <w:spacing w:after="0"/>
              <w:rPr>
                <w:sz w:val="10"/>
                <w:szCs w:val="10"/>
                <w:color w:val="auto"/>
              </w:rPr>
            </w:pP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10</w:t>
            </w:r>
          </w:p>
        </w:tc>
      </w:tr>
      <w:tr>
        <w:trPr>
          <w:trHeight w:val="124"/>
        </w:trPr>
        <w:tc>
          <w:tcPr>
            <w:tcW w:w="928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color w:val="auto"/>
              </w:rPr>
              <w:t>2029-2033</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46</w:t>
            </w:r>
          </w:p>
        </w:tc>
        <w:tc>
          <w:tcPr>
            <w:tcW w:w="280" w:type="dxa"/>
            <w:vAlign w:val="bottom"/>
            <w:tcBorders>
              <w:bottom w:val="single" w:sz="8" w:color="D7282F"/>
            </w:tcBorders>
          </w:tcPr>
          <w:p>
            <w:pPr>
              <w:spacing w:after="0"/>
              <w:rPr>
                <w:sz w:val="10"/>
                <w:szCs w:val="10"/>
                <w:color w:val="auto"/>
              </w:rPr>
            </w:pP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44</w:t>
            </w:r>
          </w:p>
        </w:tc>
      </w:tr>
      <w:tr>
        <w:trPr>
          <w:trHeight w:val="495"/>
        </w:trPr>
        <w:tc>
          <w:tcPr>
            <w:tcW w:w="260" w:type="dxa"/>
            <w:vAlign w:val="bottom"/>
          </w:tcPr>
          <w:p>
            <w:pPr>
              <w:spacing w:after="0"/>
              <w:rPr>
                <w:sz w:val="20"/>
                <w:szCs w:val="20"/>
                <w:color w:val="auto"/>
              </w:rPr>
            </w:pPr>
            <w:r>
              <w:rPr>
                <w:rFonts w:ascii="Arial" w:cs="Arial" w:eastAsia="Arial" w:hAnsi="Arial"/>
                <w:sz w:val="12"/>
                <w:szCs w:val="12"/>
                <w:b w:val="1"/>
                <w:bCs w:val="1"/>
                <w:color w:val="D7282F"/>
              </w:rPr>
              <w:t>110</w:t>
            </w:r>
          </w:p>
        </w:tc>
        <w:tc>
          <w:tcPr>
            <w:tcW w:w="9020" w:type="dxa"/>
            <w:vAlign w:val="bottom"/>
          </w:tcPr>
          <w:p>
            <w:pPr>
              <w:ind w:left="60"/>
              <w:spacing w:after="0"/>
              <w:rPr>
                <w:sz w:val="20"/>
                <w:szCs w:val="20"/>
                <w:color w:val="auto"/>
              </w:rPr>
            </w:pPr>
            <w:r>
              <w:rPr>
                <w:rFonts w:ascii="Arial" w:cs="Arial" w:eastAsia="Arial" w:hAnsi="Arial"/>
                <w:sz w:val="10"/>
                <w:szCs w:val="10"/>
                <w:color w:val="auto"/>
              </w:rPr>
              <w:t>Honeywell International Inc.</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36"/>
        </w:trPr>
        <w:tc>
          <w:tcPr>
            <w:tcW w:w="260" w:type="dxa"/>
            <w:vAlign w:val="bottom"/>
            <w:tcBorders>
              <w:bottom w:val="single" w:sz="8" w:color="9A9A9A"/>
            </w:tcBorders>
          </w:tcPr>
          <w:p>
            <w:pPr>
              <w:spacing w:after="0"/>
              <w:rPr>
                <w:sz w:val="11"/>
                <w:szCs w:val="11"/>
                <w:color w:val="auto"/>
              </w:rPr>
            </w:pPr>
          </w:p>
        </w:tc>
        <w:tc>
          <w:tcPr>
            <w:tcW w:w="902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48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112" w:name="page113"/>
    <w:bookmarkEnd w:id="112"/>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92" w:lineRule="exact"/>
        <w:rPr>
          <w:sz w:val="20"/>
          <w:szCs w:val="20"/>
          <w:color w:val="auto"/>
        </w:rPr>
      </w:pPr>
    </w:p>
    <w:p>
      <w:pPr>
        <w:ind w:left="8"/>
        <w:spacing w:after="0"/>
        <w:rPr>
          <w:sz w:val="20"/>
          <w:szCs w:val="20"/>
          <w:color w:val="auto"/>
        </w:rPr>
      </w:pPr>
      <w:r>
        <w:rPr>
          <w:rFonts w:ascii="Arial" w:cs="Arial" w:eastAsia="Arial" w:hAnsi="Arial"/>
          <w:sz w:val="19"/>
          <w:szCs w:val="19"/>
          <w:color w:val="D7282F"/>
        </w:rPr>
        <w:t>NOTE 21. OTHER (INCOME) EXPENSE</w:t>
      </w:r>
    </w:p>
    <w:p>
      <w:pPr>
        <w:spacing w:after="0" w:line="209"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8580" w:type="dxa"/>
            <w:vAlign w:val="bottom"/>
          </w:tcPr>
          <w:p>
            <w:pPr>
              <w:spacing w:after="0"/>
              <w:rPr>
                <w:sz w:val="11"/>
                <w:szCs w:val="11"/>
                <w:color w:val="auto"/>
              </w:rPr>
            </w:pPr>
          </w:p>
        </w:tc>
        <w:tc>
          <w:tcPr>
            <w:tcW w:w="500" w:type="dxa"/>
            <w:vAlign w:val="bottom"/>
            <w:tcBorders>
              <w:bottom w:val="single" w:sz="8" w:color="D7282F"/>
            </w:tcBorders>
          </w:tcPr>
          <w:p>
            <w:pPr>
              <w:spacing w:after="0"/>
              <w:rPr>
                <w:sz w:val="11"/>
                <w:szCs w:val="11"/>
                <w:color w:val="auto"/>
              </w:rPr>
            </w:pPr>
          </w:p>
        </w:tc>
        <w:tc>
          <w:tcPr>
            <w:tcW w:w="240" w:type="dxa"/>
            <w:vAlign w:val="bottom"/>
            <w:tcBorders>
              <w:bottom w:val="single" w:sz="8" w:color="D7282F"/>
            </w:tcBorders>
          </w:tcPr>
          <w:p>
            <w:pPr>
              <w:spacing w:after="0"/>
              <w:rPr>
                <w:sz w:val="11"/>
                <w:szCs w:val="11"/>
                <w:color w:val="auto"/>
              </w:rPr>
            </w:pPr>
          </w:p>
        </w:tc>
        <w:tc>
          <w:tcPr>
            <w:tcW w:w="1380" w:type="dxa"/>
            <w:vAlign w:val="bottom"/>
            <w:tcBorders>
              <w:bottom w:val="single" w:sz="8" w:color="D7282F"/>
            </w:tcBorders>
            <w:gridSpan w:val="3"/>
          </w:tcPr>
          <w:p>
            <w:pPr>
              <w:jc w:val="right"/>
              <w:ind w:right="92"/>
              <w:spacing w:after="0"/>
              <w:rPr>
                <w:sz w:val="20"/>
                <w:szCs w:val="20"/>
                <w:color w:val="auto"/>
              </w:rPr>
            </w:pPr>
            <w:r>
              <w:rPr>
                <w:rFonts w:ascii="Arial" w:cs="Arial" w:eastAsia="Arial" w:hAnsi="Arial"/>
                <w:sz w:val="10"/>
                <w:szCs w:val="10"/>
                <w:b w:val="1"/>
                <w:bCs w:val="1"/>
                <w:color w:val="auto"/>
                <w:w w:val="94"/>
              </w:rPr>
              <w:t>Years Ended December 31,</w:t>
            </w:r>
          </w:p>
        </w:tc>
        <w:tc>
          <w:tcPr>
            <w:tcW w:w="600" w:type="dxa"/>
            <w:vAlign w:val="bottom"/>
            <w:tcBorders>
              <w:bottom w:val="single" w:sz="8" w:color="D7282F"/>
            </w:tcBorders>
          </w:tcPr>
          <w:p>
            <w:pPr>
              <w:spacing w:after="0"/>
              <w:rPr>
                <w:sz w:val="11"/>
                <w:szCs w:val="11"/>
                <w:color w:val="auto"/>
              </w:rPr>
            </w:pPr>
          </w:p>
        </w:tc>
      </w:tr>
      <w:tr>
        <w:trPr>
          <w:trHeight w:val="124"/>
        </w:trPr>
        <w:tc>
          <w:tcPr>
            <w:tcW w:w="8580" w:type="dxa"/>
            <w:vAlign w:val="bottom"/>
            <w:tcBorders>
              <w:bottom w:val="single" w:sz="8" w:color="D7282F"/>
            </w:tcBorders>
          </w:tcPr>
          <w:p>
            <w:pPr>
              <w:spacing w:after="0"/>
              <w:rPr>
                <w:sz w:val="10"/>
                <w:szCs w:val="10"/>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2023</w:t>
            </w:r>
          </w:p>
        </w:tc>
        <w:tc>
          <w:tcPr>
            <w:tcW w:w="24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2022</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2021</w:t>
            </w:r>
          </w:p>
        </w:tc>
      </w:tr>
      <w:tr>
        <w:trPr>
          <w:trHeight w:val="122"/>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Interest income</w:t>
            </w:r>
          </w:p>
        </w:tc>
        <w:tc>
          <w:tcPr>
            <w:tcW w:w="500" w:type="dxa"/>
            <w:vAlign w:val="bottom"/>
            <w:tcBorders>
              <w:bottom w:val="single" w:sz="8" w:color="888B8D"/>
            </w:tcBorders>
          </w:tcPr>
          <w:p>
            <w:pPr>
              <w:jc w:val="right"/>
              <w:ind w:right="392"/>
              <w:spacing w:after="0"/>
              <w:rPr>
                <w:sz w:val="20"/>
                <w:szCs w:val="20"/>
                <w:color w:val="auto"/>
              </w:rPr>
            </w:pPr>
            <w:r>
              <w:rPr>
                <w:rFonts w:ascii="Arial" w:cs="Arial" w:eastAsia="Arial" w:hAnsi="Arial"/>
                <w:sz w:val="10"/>
                <w:szCs w:val="10"/>
                <w:color w:val="auto"/>
                <w:w w:val="71"/>
              </w:rPr>
              <w:t>$</w:t>
            </w: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w w:val="94"/>
              </w:rPr>
              <w:t>(321)</w:t>
            </w:r>
          </w:p>
        </w:tc>
        <w:tc>
          <w:tcPr>
            <w:tcW w:w="40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(138)</w:t>
            </w:r>
          </w:p>
        </w:tc>
        <w:tc>
          <w:tcPr>
            <w:tcW w:w="2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(102)</w:t>
            </w:r>
          </w:p>
        </w:tc>
      </w:tr>
      <w:tr>
        <w:trPr>
          <w:trHeight w:val="124"/>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Pension ongoing income—non-service</w:t>
            </w:r>
          </w:p>
        </w:tc>
        <w:tc>
          <w:tcPr>
            <w:tcW w:w="5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w w:val="94"/>
              </w:rPr>
              <w:t>(441)</w:t>
            </w: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(602)</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(1,202)</w:t>
            </w:r>
          </w:p>
        </w:tc>
      </w:tr>
      <w:tr>
        <w:trPr>
          <w:trHeight w:val="124"/>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Other postretirement income—non-service</w:t>
            </w:r>
          </w:p>
        </w:tc>
        <w:tc>
          <w:tcPr>
            <w:tcW w:w="5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(29)</w:t>
            </w: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(41)</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(71)</w:t>
            </w:r>
          </w:p>
        </w:tc>
      </w:tr>
      <w:tr>
        <w:trPr>
          <w:trHeight w:val="124"/>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Equity income of affiliated companies</w:t>
            </w:r>
          </w:p>
        </w:tc>
        <w:tc>
          <w:tcPr>
            <w:tcW w:w="5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w w:val="94"/>
              </w:rPr>
              <w:t>(100)</w:t>
            </w: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(61)</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(67)</w:t>
            </w:r>
          </w:p>
        </w:tc>
      </w:tr>
      <w:tr>
        <w:trPr>
          <w:trHeight w:val="124"/>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Gain on sale of non-strategic businesses and assets</w:t>
            </w:r>
          </w:p>
        </w:tc>
        <w:tc>
          <w:tcPr>
            <w:tcW w:w="5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w:t>
            </w: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(22)</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(102)</w:t>
            </w:r>
          </w:p>
        </w:tc>
      </w:tr>
      <w:tr>
        <w:trPr>
          <w:trHeight w:val="124"/>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Foreign exchange (gain) loss</w:t>
            </w:r>
          </w:p>
        </w:tc>
        <w:tc>
          <w:tcPr>
            <w:tcW w:w="5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9</w:t>
            </w: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48</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25</w:t>
            </w:r>
          </w:p>
        </w:tc>
      </w:tr>
      <w:tr>
        <w:trPr>
          <w:trHeight w:val="124"/>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Expense related to UOP Matters</w:t>
            </w:r>
          </w:p>
        </w:tc>
        <w:tc>
          <w:tcPr>
            <w:tcW w:w="5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45</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160</w:t>
            </w:r>
          </w:p>
        </w:tc>
      </w:tr>
      <w:tr>
        <w:trPr>
          <w:trHeight w:val="124"/>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Expense (benefit) related to Russia-Ukraine conflict</w:t>
            </w:r>
          </w:p>
        </w:tc>
        <w:tc>
          <w:tcPr>
            <w:tcW w:w="5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w:t>
            </w: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45</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Net expense related to the NARCO Buyout and HWI Sale</w:t>
            </w:r>
          </w:p>
        </w:tc>
        <w:tc>
          <w:tcPr>
            <w:tcW w:w="5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11</w:t>
            </w: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342</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Other, net</w:t>
            </w:r>
          </w:p>
        </w:tc>
        <w:tc>
          <w:tcPr>
            <w:tcW w:w="50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39</w:t>
            </w:r>
          </w:p>
        </w:tc>
        <w:tc>
          <w:tcPr>
            <w:tcW w:w="40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18</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(19)</w:t>
            </w:r>
          </w:p>
        </w:tc>
      </w:tr>
      <w:tr>
        <w:trPr>
          <w:trHeight w:val="126"/>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 Other (income) expense</w:t>
            </w:r>
          </w:p>
        </w:tc>
        <w:tc>
          <w:tcPr>
            <w:tcW w:w="500" w:type="dxa"/>
            <w:vAlign w:val="bottom"/>
            <w:tcBorders>
              <w:bottom w:val="single" w:sz="8" w:color="D7282F"/>
            </w:tcBorders>
          </w:tcPr>
          <w:p>
            <w:pPr>
              <w:jc w:val="right"/>
              <w:ind w:right="392"/>
              <w:spacing w:after="0"/>
              <w:rPr>
                <w:sz w:val="20"/>
                <w:szCs w:val="20"/>
                <w:color w:val="auto"/>
              </w:rPr>
            </w:pPr>
            <w:r>
              <w:rPr>
                <w:rFonts w:ascii="Arial" w:cs="Arial" w:eastAsia="Arial" w:hAnsi="Arial"/>
                <w:sz w:val="10"/>
                <w:szCs w:val="10"/>
                <w:b w:val="1"/>
                <w:bCs w:val="1"/>
                <w:color w:val="auto"/>
                <w:w w:val="71"/>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w w:val="94"/>
              </w:rPr>
              <w:t>(840)</w:t>
            </w:r>
          </w:p>
        </w:tc>
        <w:tc>
          <w:tcPr>
            <w:tcW w:w="4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(366)</w:t>
            </w:r>
          </w:p>
        </w:tc>
        <w:tc>
          <w:tcPr>
            <w:tcW w:w="2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(1,378)</w:t>
            </w:r>
          </w:p>
        </w:tc>
      </w:tr>
    </w:tbl>
    <w:p>
      <w:pPr>
        <w:spacing w:after="0" w:line="126"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See Note 19 Commitments and Contingencies for more information on the UOP Matters, NARCO Buyout, and HWI Sale. See Note 4 Repositioning and Other Charges for further discussion of the expense related to the Russia-Ukraine conflict. See Note 2 Acquisitions and Divestitures for further discussion on the gain on sale of non-strategic businesses and assets.</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9"/>
          <w:szCs w:val="19"/>
          <w:color w:val="D7282F"/>
        </w:rPr>
        <w:t>NOTE 22. SEGMENT FINANCIAL DATA</w:t>
      </w:r>
    </w:p>
    <w:p>
      <w:pPr>
        <w:spacing w:after="0" w:line="163"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Honeywell globally manages its business operations through four reportable business segments. Segment information is consistent with how management reviews the businesses, makes investing and resource allocation decisions, and assesses operating performance.</w:t>
      </w:r>
    </w:p>
    <w:p>
      <w:pPr>
        <w:spacing w:after="0" w:line="33"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Honeywell’s senior management evaluates segment performance based on segment profit. Each segment’s profit is measured as segment income (loss) before taxes excluding general corporate unallocated expense, interest and other financial charges, stock compensation expense, pension and other postretirement income (expense), repositioning and other charges, and other items within Other (income) expense.</w:t>
      </w:r>
    </w:p>
    <w:p>
      <w:pPr>
        <w:spacing w:after="0" w:line="51" w:lineRule="exact"/>
        <w:rPr>
          <w:sz w:val="20"/>
          <w:szCs w:val="20"/>
          <w:color w:val="auto"/>
        </w:rPr>
      </w:pPr>
    </w:p>
    <w:p>
      <w:pPr>
        <w:jc w:val="both"/>
        <w:ind w:left="8"/>
        <w:spacing w:after="0" w:line="249" w:lineRule="auto"/>
        <w:rPr>
          <w:sz w:val="20"/>
          <w:szCs w:val="20"/>
          <w:color w:val="auto"/>
        </w:rPr>
      </w:pPr>
      <w:r>
        <w:rPr>
          <w:rFonts w:ascii="Arial" w:cs="Arial" w:eastAsia="Arial" w:hAnsi="Arial"/>
          <w:sz w:val="11"/>
          <w:szCs w:val="11"/>
          <w:color w:val="auto"/>
        </w:rPr>
        <w:t>In October 2023, the Company announced a realignment, effective in the first quarter of 2024, of its business units comprising its Performance Materials and Technologies, and Safety and Productivity Solutions reportable business segments by forming two new reportable business segments: Industrial Automation, and Energy and Sustainability Solutions. Industrial Automation will include Sensing and Safety Technologies, Productivity Solutions and Services, and Warehouse and Workflow Solutions, which are currently included in Safety and Productivity Solutions, in addition to Process Solutions, which is currently included in Performance Materials and Technologies. Energy and Sustainability Solutions will include UOP and Advanced Materials, which are currently included in Performance Materials and Technologies. Further, as part of the realignment, the Company will rename its Aerospace and Honeywell Building Technologies reportable business segments to Aerospace Technologies and Building Automation, respectively. Following the realignment, the Company’s reportable business segments will be Aerospace Technologies, Industrial Automation, Building Automation, and Energy and Sustainability Solutions. The realignment will not impact the Company’s historical consolidated financial position, results of operations, or cash flows. The Company expects to report its financial performance based on this realignment effective with the first quarter of 2024.</w:t>
      </w:r>
    </w:p>
    <w:p>
      <w:pPr>
        <w:spacing w:after="0" w:line="287" w:lineRule="exact"/>
        <w:rPr>
          <w:sz w:val="20"/>
          <w:szCs w:val="20"/>
          <w:color w:val="auto"/>
        </w:rPr>
      </w:pPr>
    </w:p>
    <w:p>
      <w:pPr>
        <w:ind w:left="328" w:hanging="328"/>
        <w:spacing w:after="0"/>
        <w:tabs>
          <w:tab w:leader="none" w:pos="328" w:val="left"/>
        </w:tabs>
        <w:numPr>
          <w:ilvl w:val="0"/>
          <w:numId w:val="153"/>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113" w:name="page114"/>
    <w:bookmarkEnd w:id="113"/>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8580" w:type="dxa"/>
            <w:vAlign w:val="bottom"/>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580" w:type="dxa"/>
            <w:vAlign w:val="bottom"/>
            <w:tcBorders>
              <w:bottom w:val="single" w:sz="8" w:color="D7282F"/>
            </w:tcBorders>
          </w:tcPr>
          <w:p>
            <w:pPr>
              <w:spacing w:after="0"/>
              <w:rPr>
                <w:sz w:val="11"/>
                <w:szCs w:val="11"/>
                <w:color w:val="auto"/>
              </w:rPr>
            </w:pPr>
          </w:p>
        </w:tc>
        <w:tc>
          <w:tcPr>
            <w:tcW w:w="1380" w:type="dxa"/>
            <w:vAlign w:val="bottom"/>
            <w:tcBorders>
              <w:bottom w:val="single" w:sz="8" w:color="D7282F"/>
            </w:tcBorders>
            <w:gridSpan w:val="3"/>
          </w:tcPr>
          <w:p>
            <w:pPr>
              <w:jc w:val="right"/>
              <w:ind w:right="92"/>
              <w:spacing w:after="0"/>
              <w:rPr>
                <w:sz w:val="20"/>
                <w:szCs w:val="20"/>
                <w:color w:val="auto"/>
              </w:rPr>
            </w:pPr>
            <w:r>
              <w:rPr>
                <w:rFonts w:ascii="Arial" w:cs="Arial" w:eastAsia="Arial" w:hAnsi="Arial"/>
                <w:sz w:val="10"/>
                <w:szCs w:val="10"/>
                <w:b w:val="1"/>
                <w:bCs w:val="1"/>
                <w:color w:val="auto"/>
                <w:w w:val="94"/>
              </w:rPr>
              <w:t>Years Ended December 31,</w:t>
            </w:r>
          </w:p>
        </w:tc>
        <w:tc>
          <w:tcPr>
            <w:tcW w:w="600" w:type="dxa"/>
            <w:vAlign w:val="bottom"/>
            <w:tcBorders>
              <w:bottom w:val="single" w:sz="8" w:color="D7282F"/>
            </w:tcBorders>
          </w:tcPr>
          <w:p>
            <w:pPr>
              <w:spacing w:after="0"/>
              <w:rPr>
                <w:sz w:val="11"/>
                <w:szCs w:val="11"/>
                <w:color w:val="auto"/>
              </w:rPr>
            </w:pPr>
          </w:p>
        </w:tc>
      </w:tr>
      <w:tr>
        <w:trPr>
          <w:trHeight w:val="160"/>
        </w:trPr>
        <w:tc>
          <w:tcPr>
            <w:tcW w:w="8580" w:type="dxa"/>
            <w:vAlign w:val="bottom"/>
            <w:tcBorders>
              <w:bottom w:val="single" w:sz="8" w:color="D7282F"/>
            </w:tcBorders>
          </w:tcPr>
          <w:p>
            <w:pPr>
              <w:spacing w:after="0"/>
              <w:rPr>
                <w:sz w:val="13"/>
                <w:szCs w:val="13"/>
                <w:color w:val="auto"/>
              </w:rPr>
            </w:pPr>
          </w:p>
        </w:tc>
        <w:tc>
          <w:tcPr>
            <w:tcW w:w="160" w:type="dxa"/>
            <w:vAlign w:val="bottom"/>
            <w:tcBorders>
              <w:bottom w:val="single" w:sz="8" w:color="D7282F"/>
            </w:tcBorders>
          </w:tcPr>
          <w:p>
            <w:pPr>
              <w:spacing w:after="0"/>
              <w:rPr>
                <w:sz w:val="13"/>
                <w:szCs w:val="13"/>
                <w:color w:val="auto"/>
              </w:rPr>
            </w:pPr>
          </w:p>
        </w:tc>
        <w:tc>
          <w:tcPr>
            <w:tcW w:w="58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b w:val="1"/>
                <w:bCs w:val="1"/>
                <w:color w:val="auto"/>
              </w:rPr>
              <w:t>2023</w:t>
            </w:r>
          </w:p>
        </w:tc>
        <w:tc>
          <w:tcPr>
            <w:tcW w:w="400" w:type="dxa"/>
            <w:vAlign w:val="bottom"/>
            <w:tcBorders>
              <w:bottom w:val="single" w:sz="8" w:color="D7282F"/>
            </w:tcBorders>
          </w:tcPr>
          <w:p>
            <w:pPr>
              <w:spacing w:after="0"/>
              <w:rPr>
                <w:sz w:val="13"/>
                <w:szCs w:val="13"/>
                <w:color w:val="auto"/>
              </w:rPr>
            </w:pPr>
          </w:p>
        </w:tc>
        <w:tc>
          <w:tcPr>
            <w:tcW w:w="70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2022</w:t>
            </w:r>
          </w:p>
        </w:tc>
        <w:tc>
          <w:tcPr>
            <w:tcW w:w="28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2021</w:t>
            </w:r>
          </w:p>
        </w:tc>
      </w:tr>
      <w:tr>
        <w:trPr>
          <w:trHeight w:val="128"/>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Net sales</w:t>
            </w:r>
          </w:p>
        </w:tc>
        <w:tc>
          <w:tcPr>
            <w:tcW w:w="160" w:type="dxa"/>
            <w:vAlign w:val="bottom"/>
            <w:tcBorders>
              <w:bottom w:val="single" w:sz="8" w:color="888B8D"/>
            </w:tcBorders>
          </w:tcPr>
          <w:p>
            <w:pPr>
              <w:spacing w:after="0"/>
              <w:rPr>
                <w:sz w:val="11"/>
                <w:szCs w:val="11"/>
                <w:color w:val="auto"/>
              </w:rPr>
            </w:pPr>
          </w:p>
        </w:tc>
        <w:tc>
          <w:tcPr>
            <w:tcW w:w="580" w:type="dxa"/>
            <w:vAlign w:val="bottom"/>
            <w:tcBorders>
              <w:bottom w:val="single" w:sz="8" w:color="888B8D"/>
            </w:tcBorders>
          </w:tcPr>
          <w:p>
            <w:pPr>
              <w:spacing w:after="0"/>
              <w:rPr>
                <w:sz w:val="11"/>
                <w:szCs w:val="11"/>
                <w:color w:val="auto"/>
              </w:rPr>
            </w:pPr>
          </w:p>
        </w:tc>
        <w:tc>
          <w:tcPr>
            <w:tcW w:w="400" w:type="dxa"/>
            <w:vAlign w:val="bottom"/>
            <w:tcBorders>
              <w:bottom w:val="single" w:sz="8" w:color="888B8D"/>
            </w:tcBorders>
          </w:tcPr>
          <w:p>
            <w:pPr>
              <w:spacing w:after="0"/>
              <w:rPr>
                <w:sz w:val="11"/>
                <w:szCs w:val="11"/>
                <w:color w:val="auto"/>
              </w:rPr>
            </w:pPr>
          </w:p>
        </w:tc>
        <w:tc>
          <w:tcPr>
            <w:tcW w:w="700" w:type="dxa"/>
            <w:vAlign w:val="bottom"/>
            <w:tcBorders>
              <w:bottom w:val="single" w:sz="8" w:color="888B8D"/>
            </w:tcBorders>
          </w:tcPr>
          <w:p>
            <w:pPr>
              <w:spacing w:after="0"/>
              <w:rPr>
                <w:sz w:val="11"/>
                <w:szCs w:val="11"/>
                <w:color w:val="auto"/>
              </w:rPr>
            </w:pPr>
          </w:p>
        </w:tc>
        <w:tc>
          <w:tcPr>
            <w:tcW w:w="280" w:type="dxa"/>
            <w:vAlign w:val="bottom"/>
            <w:tcBorders>
              <w:bottom w:val="single" w:sz="8" w:color="888B8D"/>
            </w:tcBorders>
          </w:tcPr>
          <w:p>
            <w:pPr>
              <w:spacing w:after="0"/>
              <w:rPr>
                <w:sz w:val="11"/>
                <w:szCs w:val="11"/>
                <w:color w:val="auto"/>
              </w:rPr>
            </w:pPr>
          </w:p>
        </w:tc>
        <w:tc>
          <w:tcPr>
            <w:tcW w:w="600" w:type="dxa"/>
            <w:vAlign w:val="bottom"/>
            <w:tcBorders>
              <w:bottom w:val="single" w:sz="8" w:color="888B8D"/>
            </w:tcBorders>
          </w:tcPr>
          <w:p>
            <w:pPr>
              <w:spacing w:after="0"/>
              <w:rPr>
                <w:sz w:val="11"/>
                <w:szCs w:val="11"/>
                <w:color w:val="auto"/>
              </w:rPr>
            </w:pPr>
          </w:p>
        </w:tc>
      </w:tr>
      <w:tr>
        <w:trPr>
          <w:trHeight w:val="124"/>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Aerospace</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spacing w:after="0"/>
              <w:rPr>
                <w:sz w:val="10"/>
                <w:szCs w:val="10"/>
                <w:color w:val="auto"/>
              </w:rPr>
            </w:pP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spacing w:after="0"/>
              <w:rPr>
                <w:sz w:val="10"/>
                <w:szCs w:val="10"/>
                <w:color w:val="auto"/>
              </w:rPr>
            </w:pPr>
          </w:p>
        </w:tc>
      </w:tr>
      <w:tr>
        <w:trPr>
          <w:trHeight w:val="122"/>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Products</w:t>
            </w:r>
          </w:p>
        </w:tc>
        <w:tc>
          <w:tcPr>
            <w:tcW w:w="16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7,316</w:t>
            </w:r>
          </w:p>
        </w:tc>
        <w:tc>
          <w:tcPr>
            <w:tcW w:w="40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6,330</w:t>
            </w:r>
          </w:p>
        </w:tc>
        <w:tc>
          <w:tcPr>
            <w:tcW w:w="2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6,158</w:t>
            </w:r>
          </w:p>
        </w:tc>
      </w:tr>
      <w:tr>
        <w:trPr>
          <w:trHeight w:val="124"/>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Services</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6,308</w:t>
            </w:r>
          </w:p>
        </w:tc>
        <w:tc>
          <w:tcPr>
            <w:tcW w:w="40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5,497</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4,868</w:t>
            </w:r>
          </w:p>
        </w:tc>
      </w:tr>
      <w:tr>
        <w:trPr>
          <w:trHeight w:val="126"/>
        </w:trPr>
        <w:tc>
          <w:tcPr>
            <w:tcW w:w="85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Net Aerospace sales</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13,624</w:t>
            </w:r>
          </w:p>
        </w:tc>
        <w:tc>
          <w:tcPr>
            <w:tcW w:w="40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11,827</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11,026</w:t>
            </w:r>
          </w:p>
        </w:tc>
      </w:tr>
      <w:tr>
        <w:trPr>
          <w:trHeight w:val="124"/>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Honeywell Building Technologies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spacing w:after="0"/>
              <w:rPr>
                <w:sz w:val="10"/>
                <w:szCs w:val="10"/>
                <w:color w:val="auto"/>
              </w:rPr>
            </w:pP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spacing w:after="0"/>
              <w:rPr>
                <w:sz w:val="10"/>
                <w:szCs w:val="10"/>
                <w:color w:val="auto"/>
              </w:rPr>
            </w:pPr>
          </w:p>
        </w:tc>
      </w:tr>
      <w:tr>
        <w:trPr>
          <w:trHeight w:val="122"/>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Products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4,599</w:t>
            </w: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4,591</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4,098</w:t>
            </w:r>
          </w:p>
        </w:tc>
      </w:tr>
      <w:tr>
        <w:trPr>
          <w:trHeight w:val="124"/>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Services</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1,432</w:t>
            </w:r>
          </w:p>
        </w:tc>
        <w:tc>
          <w:tcPr>
            <w:tcW w:w="40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1,409</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1,441</w:t>
            </w:r>
          </w:p>
        </w:tc>
      </w:tr>
      <w:tr>
        <w:trPr>
          <w:trHeight w:val="126"/>
        </w:trPr>
        <w:tc>
          <w:tcPr>
            <w:tcW w:w="85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Net Honeywell Building Technologies sales</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6,031</w:t>
            </w:r>
          </w:p>
        </w:tc>
        <w:tc>
          <w:tcPr>
            <w:tcW w:w="40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6,000</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5,539</w:t>
            </w:r>
          </w:p>
        </w:tc>
      </w:tr>
      <w:tr>
        <w:trPr>
          <w:trHeight w:val="124"/>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Performance Materials and Technologies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spacing w:after="0"/>
              <w:rPr>
                <w:sz w:val="10"/>
                <w:szCs w:val="10"/>
                <w:color w:val="auto"/>
              </w:rPr>
            </w:pP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spacing w:after="0"/>
              <w:rPr>
                <w:sz w:val="10"/>
                <w:szCs w:val="10"/>
                <w:color w:val="auto"/>
              </w:rPr>
            </w:pPr>
          </w:p>
        </w:tc>
      </w:tr>
      <w:tr>
        <w:trPr>
          <w:trHeight w:val="122"/>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Products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8,916</w:t>
            </w: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8,593</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8,008</w:t>
            </w:r>
          </w:p>
        </w:tc>
      </w:tr>
      <w:tr>
        <w:trPr>
          <w:trHeight w:val="124"/>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Services</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2,590</w:t>
            </w:r>
          </w:p>
        </w:tc>
        <w:tc>
          <w:tcPr>
            <w:tcW w:w="40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2,134</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2,005</w:t>
            </w:r>
          </w:p>
        </w:tc>
      </w:tr>
      <w:tr>
        <w:trPr>
          <w:trHeight w:val="126"/>
        </w:trPr>
        <w:tc>
          <w:tcPr>
            <w:tcW w:w="85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Net Performance Materials and Technologies sales</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11,506</w:t>
            </w:r>
          </w:p>
        </w:tc>
        <w:tc>
          <w:tcPr>
            <w:tcW w:w="40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10,727</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10,013</w:t>
            </w:r>
          </w:p>
        </w:tc>
      </w:tr>
      <w:tr>
        <w:trPr>
          <w:trHeight w:val="124"/>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Safety and Productivity Solutions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spacing w:after="0"/>
              <w:rPr>
                <w:sz w:val="10"/>
                <w:szCs w:val="10"/>
                <w:color w:val="auto"/>
              </w:rPr>
            </w:pP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spacing w:after="0"/>
              <w:rPr>
                <w:sz w:val="10"/>
                <w:szCs w:val="10"/>
                <w:color w:val="auto"/>
              </w:rPr>
            </w:pPr>
          </w:p>
        </w:tc>
      </w:tr>
      <w:tr>
        <w:trPr>
          <w:trHeight w:val="122"/>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Products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4,942</w:t>
            </w: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6,446</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7,379</w:t>
            </w:r>
          </w:p>
        </w:tc>
      </w:tr>
      <w:tr>
        <w:trPr>
          <w:trHeight w:val="124"/>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Services</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547</w:t>
            </w:r>
          </w:p>
        </w:tc>
        <w:tc>
          <w:tcPr>
            <w:tcW w:w="40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461</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435</w:t>
            </w:r>
          </w:p>
        </w:tc>
      </w:tr>
      <w:tr>
        <w:trPr>
          <w:trHeight w:val="126"/>
        </w:trPr>
        <w:tc>
          <w:tcPr>
            <w:tcW w:w="85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Net Safety and Productivity Solutions sales</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5,489</w:t>
            </w:r>
          </w:p>
        </w:tc>
        <w:tc>
          <w:tcPr>
            <w:tcW w:w="40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6,907</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7,814</w:t>
            </w:r>
          </w:p>
        </w:tc>
      </w:tr>
      <w:tr>
        <w:trPr>
          <w:trHeight w:val="124"/>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Corporate and All Other</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spacing w:after="0"/>
              <w:rPr>
                <w:sz w:val="10"/>
                <w:szCs w:val="10"/>
                <w:color w:val="auto"/>
              </w:rPr>
            </w:pP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spacing w:after="0"/>
              <w:rPr>
                <w:sz w:val="10"/>
                <w:szCs w:val="10"/>
                <w:color w:val="auto"/>
              </w:rPr>
            </w:pPr>
          </w:p>
        </w:tc>
      </w:tr>
      <w:tr>
        <w:trPr>
          <w:trHeight w:val="122"/>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Services</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12</w:t>
            </w:r>
          </w:p>
        </w:tc>
        <w:tc>
          <w:tcPr>
            <w:tcW w:w="40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5</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6"/>
        </w:trPr>
        <w:tc>
          <w:tcPr>
            <w:tcW w:w="85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Net Corporate and All Other sales</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12</w:t>
            </w:r>
          </w:p>
        </w:tc>
        <w:tc>
          <w:tcPr>
            <w:tcW w:w="40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5</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r>
      <w:tr>
        <w:trPr>
          <w:trHeight w:val="124"/>
        </w:trPr>
        <w:tc>
          <w:tcPr>
            <w:tcW w:w="8580" w:type="dxa"/>
            <w:vAlign w:val="bottom"/>
            <w:tcBorders>
              <w:bottom w:val="single" w:sz="8" w:color="D7282F"/>
            </w:tcBorders>
          </w:tcPr>
          <w:p>
            <w:pPr>
              <w:ind w:left="240"/>
              <w:spacing w:after="0"/>
              <w:rPr>
                <w:sz w:val="20"/>
                <w:szCs w:val="20"/>
                <w:color w:val="auto"/>
              </w:rPr>
            </w:pPr>
            <w:r>
              <w:rPr>
                <w:rFonts w:ascii="Arial" w:cs="Arial" w:eastAsia="Arial" w:hAnsi="Arial"/>
                <w:sz w:val="10"/>
                <w:szCs w:val="10"/>
                <w:b w:val="1"/>
                <w:bCs w:val="1"/>
                <w:color w:val="auto"/>
              </w:rPr>
              <w:t>Net sales</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36,662</w:t>
            </w:r>
          </w:p>
        </w:tc>
        <w:tc>
          <w:tcPr>
            <w:tcW w:w="4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35,466</w:t>
            </w:r>
          </w:p>
        </w:tc>
        <w:tc>
          <w:tcPr>
            <w:tcW w:w="2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34,392</w:t>
            </w:r>
          </w:p>
        </w:tc>
      </w:tr>
      <w:tr>
        <w:trPr>
          <w:trHeight w:val="124"/>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Depreciation and amortization</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spacing w:after="0"/>
              <w:rPr>
                <w:sz w:val="10"/>
                <w:szCs w:val="10"/>
                <w:color w:val="auto"/>
              </w:rPr>
            </w:pP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spacing w:after="0"/>
              <w:rPr>
                <w:sz w:val="10"/>
                <w:szCs w:val="10"/>
                <w:color w:val="auto"/>
              </w:rPr>
            </w:pPr>
          </w:p>
        </w:tc>
      </w:tr>
      <w:tr>
        <w:trPr>
          <w:trHeight w:val="122"/>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Aerospace</w:t>
            </w:r>
          </w:p>
        </w:tc>
        <w:tc>
          <w:tcPr>
            <w:tcW w:w="16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267</w:t>
            </w:r>
          </w:p>
        </w:tc>
        <w:tc>
          <w:tcPr>
            <w:tcW w:w="40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285</w:t>
            </w:r>
          </w:p>
        </w:tc>
        <w:tc>
          <w:tcPr>
            <w:tcW w:w="2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278</w:t>
            </w:r>
          </w:p>
        </w:tc>
      </w:tr>
      <w:tr>
        <w:trPr>
          <w:trHeight w:val="124"/>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Honeywell Building Technologies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107</w:t>
            </w: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92</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67</w:t>
            </w:r>
          </w:p>
        </w:tc>
      </w:tr>
      <w:tr>
        <w:trPr>
          <w:trHeight w:val="124"/>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Performance Materials and Technologies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468</w:t>
            </w: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478</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454</w:t>
            </w:r>
          </w:p>
        </w:tc>
      </w:tr>
      <w:tr>
        <w:trPr>
          <w:trHeight w:val="124"/>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Safety and Productivity Solutions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171</w:t>
            </w: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191</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237</w:t>
            </w:r>
          </w:p>
        </w:tc>
      </w:tr>
      <w:tr>
        <w:trPr>
          <w:trHeight w:val="124"/>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Corporate and All Other</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163</w:t>
            </w:r>
          </w:p>
        </w:tc>
        <w:tc>
          <w:tcPr>
            <w:tcW w:w="40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158</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102</w:t>
            </w:r>
          </w:p>
        </w:tc>
      </w:tr>
      <w:tr>
        <w:trPr>
          <w:trHeight w:val="126"/>
        </w:trPr>
        <w:tc>
          <w:tcPr>
            <w:tcW w:w="85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depreciation and amortization</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1,176</w:t>
            </w:r>
          </w:p>
        </w:tc>
        <w:tc>
          <w:tcPr>
            <w:tcW w:w="4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1,204</w:t>
            </w:r>
          </w:p>
        </w:tc>
        <w:tc>
          <w:tcPr>
            <w:tcW w:w="2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1,138</w:t>
            </w:r>
          </w:p>
        </w:tc>
      </w:tr>
      <w:tr>
        <w:trPr>
          <w:trHeight w:val="124"/>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Segment profit</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spacing w:after="0"/>
              <w:rPr>
                <w:sz w:val="10"/>
                <w:szCs w:val="10"/>
                <w:color w:val="auto"/>
              </w:rPr>
            </w:pP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spacing w:after="0"/>
              <w:rPr>
                <w:sz w:val="10"/>
                <w:szCs w:val="10"/>
                <w:color w:val="auto"/>
              </w:rPr>
            </w:pPr>
          </w:p>
        </w:tc>
      </w:tr>
      <w:tr>
        <w:trPr>
          <w:trHeight w:val="122"/>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Aerospace</w:t>
            </w:r>
          </w:p>
        </w:tc>
        <w:tc>
          <w:tcPr>
            <w:tcW w:w="16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3,741</w:t>
            </w:r>
          </w:p>
        </w:tc>
        <w:tc>
          <w:tcPr>
            <w:tcW w:w="40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3,228</w:t>
            </w:r>
          </w:p>
        </w:tc>
        <w:tc>
          <w:tcPr>
            <w:tcW w:w="2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3,051</w:t>
            </w:r>
          </w:p>
        </w:tc>
      </w:tr>
      <w:tr>
        <w:trPr>
          <w:trHeight w:val="124"/>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Honeywell Building Technologies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1,505</w:t>
            </w: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1,439</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1,238</w:t>
            </w:r>
          </w:p>
        </w:tc>
      </w:tr>
      <w:tr>
        <w:trPr>
          <w:trHeight w:val="124"/>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Performance Materials and Technologies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2,549</w:t>
            </w: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2,354</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2,120</w:t>
            </w:r>
          </w:p>
        </w:tc>
      </w:tr>
      <w:tr>
        <w:trPr>
          <w:trHeight w:val="124"/>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Safety and Productivity Solutions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901</w:t>
            </w:r>
          </w:p>
        </w:tc>
        <w:tc>
          <w:tcPr>
            <w:tcW w:w="40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1,080</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1,029</w:t>
            </w:r>
          </w:p>
        </w:tc>
      </w:tr>
      <w:tr>
        <w:trPr>
          <w:trHeight w:val="124"/>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Corporate and All Other</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(392)</w:t>
            </w:r>
          </w:p>
        </w:tc>
        <w:tc>
          <w:tcPr>
            <w:tcW w:w="40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(412)</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(226)</w:t>
            </w:r>
          </w:p>
        </w:tc>
      </w:tr>
      <w:tr>
        <w:trPr>
          <w:trHeight w:val="126"/>
        </w:trPr>
        <w:tc>
          <w:tcPr>
            <w:tcW w:w="85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segment profit</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8,304</w:t>
            </w:r>
          </w:p>
        </w:tc>
        <w:tc>
          <w:tcPr>
            <w:tcW w:w="4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7,689</w:t>
            </w:r>
          </w:p>
        </w:tc>
        <w:tc>
          <w:tcPr>
            <w:tcW w:w="2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7,212</w:t>
            </w:r>
          </w:p>
        </w:tc>
      </w:tr>
    </w:tbl>
    <w:p>
      <w:pPr>
        <w:spacing w:after="0" w:line="338" w:lineRule="exact"/>
        <w:rPr>
          <w:sz w:val="20"/>
          <w:szCs w:val="20"/>
          <w:color w:val="auto"/>
        </w:rPr>
      </w:pPr>
    </w:p>
    <w:p>
      <w:pPr>
        <w:spacing w:after="0"/>
        <w:tabs>
          <w:tab w:leader="none" w:pos="300" w:val="left"/>
        </w:tabs>
        <w:rPr>
          <w:sz w:val="20"/>
          <w:szCs w:val="20"/>
          <w:color w:val="auto"/>
        </w:rPr>
      </w:pPr>
      <w:r>
        <w:rPr>
          <w:rFonts w:ascii="Arial" w:cs="Arial" w:eastAsia="Arial" w:hAnsi="Arial"/>
          <w:sz w:val="12"/>
          <w:szCs w:val="12"/>
          <w:b w:val="1"/>
          <w:bCs w:val="1"/>
          <w:color w:val="D7282F"/>
        </w:rPr>
        <w:t>112</w:t>
      </w:r>
      <w:r>
        <w:rPr>
          <w:sz w:val="20"/>
          <w:szCs w:val="20"/>
          <w:color w:val="auto"/>
        </w:rPr>
        <w:tab/>
      </w:r>
      <w:r>
        <w:rPr>
          <w:rFonts w:ascii="Arial" w:cs="Arial" w:eastAsia="Arial" w:hAnsi="Arial"/>
          <w:sz w:val="8"/>
          <w:szCs w:val="8"/>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90805</wp:posOffset>
            </wp:positionV>
            <wp:extent cx="7203440" cy="368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114" w:name="page115"/>
    <w:bookmarkEnd w:id="114"/>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42"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8580" w:type="dxa"/>
            <w:vAlign w:val="bottom"/>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580" w:type="dxa"/>
            <w:vAlign w:val="bottom"/>
            <w:tcBorders>
              <w:bottom w:val="single" w:sz="8" w:color="D7282F"/>
            </w:tcBorders>
          </w:tcPr>
          <w:p>
            <w:pPr>
              <w:spacing w:after="0"/>
              <w:rPr>
                <w:sz w:val="11"/>
                <w:szCs w:val="11"/>
                <w:color w:val="auto"/>
              </w:rPr>
            </w:pPr>
          </w:p>
        </w:tc>
        <w:tc>
          <w:tcPr>
            <w:tcW w:w="1380" w:type="dxa"/>
            <w:vAlign w:val="bottom"/>
            <w:tcBorders>
              <w:bottom w:val="single" w:sz="8" w:color="D7282F"/>
            </w:tcBorders>
            <w:gridSpan w:val="4"/>
          </w:tcPr>
          <w:p>
            <w:pPr>
              <w:jc w:val="center"/>
              <w:ind w:right="92"/>
              <w:spacing w:after="0"/>
              <w:rPr>
                <w:sz w:val="20"/>
                <w:szCs w:val="20"/>
                <w:color w:val="auto"/>
              </w:rPr>
            </w:pPr>
            <w:r>
              <w:rPr>
                <w:rFonts w:ascii="Arial" w:cs="Arial" w:eastAsia="Arial" w:hAnsi="Arial"/>
                <w:sz w:val="10"/>
                <w:szCs w:val="10"/>
                <w:b w:val="1"/>
                <w:bCs w:val="1"/>
                <w:color w:val="auto"/>
                <w:w w:val="96"/>
              </w:rPr>
              <w:t>Years Ended December 31,</w:t>
            </w:r>
          </w:p>
        </w:tc>
        <w:tc>
          <w:tcPr>
            <w:tcW w:w="600" w:type="dxa"/>
            <w:vAlign w:val="bottom"/>
            <w:tcBorders>
              <w:bottom w:val="single" w:sz="8" w:color="D7282F"/>
            </w:tcBorders>
          </w:tcPr>
          <w:p>
            <w:pPr>
              <w:spacing w:after="0"/>
              <w:rPr>
                <w:sz w:val="11"/>
                <w:szCs w:val="11"/>
                <w:color w:val="auto"/>
              </w:rPr>
            </w:pPr>
          </w:p>
        </w:tc>
      </w:tr>
      <w:tr>
        <w:trPr>
          <w:trHeight w:val="151"/>
        </w:trPr>
        <w:tc>
          <w:tcPr>
            <w:tcW w:w="8580" w:type="dxa"/>
            <w:vAlign w:val="bottom"/>
            <w:tcBorders>
              <w:bottom w:val="single" w:sz="8" w:color="D7282F"/>
            </w:tcBorders>
          </w:tcPr>
          <w:p>
            <w:pPr>
              <w:spacing w:after="0"/>
              <w:rPr>
                <w:sz w:val="13"/>
                <w:szCs w:val="13"/>
                <w:color w:val="auto"/>
              </w:rPr>
            </w:pPr>
          </w:p>
        </w:tc>
        <w:tc>
          <w:tcPr>
            <w:tcW w:w="160" w:type="dxa"/>
            <w:vAlign w:val="bottom"/>
            <w:tcBorders>
              <w:bottom w:val="single" w:sz="8" w:color="D7282F"/>
            </w:tcBorders>
          </w:tcPr>
          <w:p>
            <w:pPr>
              <w:spacing w:after="0"/>
              <w:rPr>
                <w:sz w:val="13"/>
                <w:szCs w:val="13"/>
                <w:color w:val="auto"/>
              </w:rPr>
            </w:pPr>
          </w:p>
        </w:tc>
        <w:tc>
          <w:tcPr>
            <w:tcW w:w="58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b w:val="1"/>
                <w:bCs w:val="1"/>
                <w:color w:val="auto"/>
              </w:rPr>
              <w:t>2023</w:t>
            </w:r>
          </w:p>
        </w:tc>
        <w:tc>
          <w:tcPr>
            <w:tcW w:w="240" w:type="dxa"/>
            <w:vAlign w:val="bottom"/>
            <w:tcBorders>
              <w:bottom w:val="single" w:sz="8" w:color="D7282F"/>
            </w:tcBorders>
          </w:tcPr>
          <w:p>
            <w:pPr>
              <w:spacing w:after="0"/>
              <w:rPr>
                <w:sz w:val="13"/>
                <w:szCs w:val="13"/>
                <w:color w:val="auto"/>
              </w:rPr>
            </w:pPr>
          </w:p>
        </w:tc>
        <w:tc>
          <w:tcPr>
            <w:tcW w:w="160" w:type="dxa"/>
            <w:vAlign w:val="bottom"/>
            <w:tcBorders>
              <w:bottom w:val="single" w:sz="8" w:color="D7282F"/>
            </w:tcBorders>
          </w:tcPr>
          <w:p>
            <w:pPr>
              <w:spacing w:after="0"/>
              <w:rPr>
                <w:sz w:val="13"/>
                <w:szCs w:val="13"/>
                <w:color w:val="auto"/>
              </w:rPr>
            </w:pPr>
          </w:p>
        </w:tc>
        <w:tc>
          <w:tcPr>
            <w:tcW w:w="700" w:type="dxa"/>
            <w:vAlign w:val="bottom"/>
            <w:tcBorders>
              <w:bottom w:val="single" w:sz="8" w:color="D7282F"/>
            </w:tcBorders>
          </w:tcPr>
          <w:p>
            <w:pPr>
              <w:jc w:val="center"/>
              <w:ind w:right="232"/>
              <w:spacing w:after="0"/>
              <w:rPr>
                <w:sz w:val="20"/>
                <w:szCs w:val="20"/>
                <w:color w:val="auto"/>
              </w:rPr>
            </w:pPr>
            <w:r>
              <w:rPr>
                <w:rFonts w:ascii="Arial" w:cs="Arial" w:eastAsia="Arial" w:hAnsi="Arial"/>
                <w:sz w:val="10"/>
                <w:szCs w:val="10"/>
                <w:b w:val="1"/>
                <w:bCs w:val="1"/>
                <w:color w:val="auto"/>
                <w:w w:val="98"/>
              </w:rPr>
              <w:t>2022</w:t>
            </w:r>
          </w:p>
        </w:tc>
        <w:tc>
          <w:tcPr>
            <w:tcW w:w="28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2021</w:t>
            </w:r>
          </w:p>
        </w:tc>
      </w:tr>
      <w:tr>
        <w:trPr>
          <w:trHeight w:val="128"/>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Capital expenditures</w:t>
            </w:r>
          </w:p>
        </w:tc>
        <w:tc>
          <w:tcPr>
            <w:tcW w:w="160" w:type="dxa"/>
            <w:vAlign w:val="bottom"/>
            <w:tcBorders>
              <w:bottom w:val="single" w:sz="8" w:color="888B8D"/>
            </w:tcBorders>
          </w:tcPr>
          <w:p>
            <w:pPr>
              <w:spacing w:after="0"/>
              <w:rPr>
                <w:sz w:val="11"/>
                <w:szCs w:val="11"/>
                <w:color w:val="auto"/>
              </w:rPr>
            </w:pPr>
          </w:p>
        </w:tc>
        <w:tc>
          <w:tcPr>
            <w:tcW w:w="580" w:type="dxa"/>
            <w:vAlign w:val="bottom"/>
            <w:tcBorders>
              <w:bottom w:val="single" w:sz="8" w:color="888B8D"/>
            </w:tcBorders>
          </w:tcPr>
          <w:p>
            <w:pPr>
              <w:spacing w:after="0"/>
              <w:rPr>
                <w:sz w:val="11"/>
                <w:szCs w:val="11"/>
                <w:color w:val="auto"/>
              </w:rPr>
            </w:pPr>
          </w:p>
        </w:tc>
        <w:tc>
          <w:tcPr>
            <w:tcW w:w="240" w:type="dxa"/>
            <w:vAlign w:val="bottom"/>
            <w:tcBorders>
              <w:bottom w:val="single" w:sz="8" w:color="888B8D"/>
            </w:tcBorders>
          </w:tcPr>
          <w:p>
            <w:pPr>
              <w:spacing w:after="0"/>
              <w:rPr>
                <w:sz w:val="11"/>
                <w:szCs w:val="11"/>
                <w:color w:val="auto"/>
              </w:rPr>
            </w:pPr>
          </w:p>
        </w:tc>
        <w:tc>
          <w:tcPr>
            <w:tcW w:w="160" w:type="dxa"/>
            <w:vAlign w:val="bottom"/>
            <w:tcBorders>
              <w:bottom w:val="single" w:sz="8" w:color="888B8D"/>
            </w:tcBorders>
          </w:tcPr>
          <w:p>
            <w:pPr>
              <w:spacing w:after="0"/>
              <w:rPr>
                <w:sz w:val="11"/>
                <w:szCs w:val="11"/>
                <w:color w:val="auto"/>
              </w:rPr>
            </w:pPr>
          </w:p>
        </w:tc>
        <w:tc>
          <w:tcPr>
            <w:tcW w:w="700" w:type="dxa"/>
            <w:vAlign w:val="bottom"/>
            <w:tcBorders>
              <w:bottom w:val="single" w:sz="8" w:color="888B8D"/>
            </w:tcBorders>
          </w:tcPr>
          <w:p>
            <w:pPr>
              <w:spacing w:after="0"/>
              <w:rPr>
                <w:sz w:val="11"/>
                <w:szCs w:val="11"/>
                <w:color w:val="auto"/>
              </w:rPr>
            </w:pPr>
          </w:p>
        </w:tc>
        <w:tc>
          <w:tcPr>
            <w:tcW w:w="280" w:type="dxa"/>
            <w:vAlign w:val="bottom"/>
            <w:tcBorders>
              <w:bottom w:val="single" w:sz="8" w:color="888B8D"/>
            </w:tcBorders>
          </w:tcPr>
          <w:p>
            <w:pPr>
              <w:spacing w:after="0"/>
              <w:rPr>
                <w:sz w:val="11"/>
                <w:szCs w:val="11"/>
                <w:color w:val="auto"/>
              </w:rPr>
            </w:pPr>
          </w:p>
        </w:tc>
        <w:tc>
          <w:tcPr>
            <w:tcW w:w="600" w:type="dxa"/>
            <w:vAlign w:val="bottom"/>
            <w:tcBorders>
              <w:bottom w:val="single" w:sz="8" w:color="888B8D"/>
            </w:tcBorders>
          </w:tcPr>
          <w:p>
            <w:pPr>
              <w:spacing w:after="0"/>
              <w:rPr>
                <w:sz w:val="11"/>
                <w:szCs w:val="11"/>
                <w:color w:val="auto"/>
              </w:rPr>
            </w:pPr>
          </w:p>
        </w:tc>
      </w:tr>
      <w:tr>
        <w:trPr>
          <w:trHeight w:val="122"/>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Aerospace</w:t>
            </w:r>
          </w:p>
        </w:tc>
        <w:tc>
          <w:tcPr>
            <w:tcW w:w="16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310</w:t>
            </w:r>
          </w:p>
        </w:tc>
        <w:tc>
          <w:tcPr>
            <w:tcW w:w="400" w:type="dxa"/>
            <w:vAlign w:val="bottom"/>
            <w:tcBorders>
              <w:bottom w:val="single" w:sz="8" w:color="888B8D"/>
            </w:tcBorders>
            <w:gridSpan w:val="2"/>
          </w:tcPr>
          <w:p>
            <w:pPr>
              <w:jc w:val="right"/>
              <w:ind w:right="10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246</w:t>
            </w:r>
          </w:p>
        </w:tc>
        <w:tc>
          <w:tcPr>
            <w:tcW w:w="2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284</w:t>
            </w:r>
          </w:p>
        </w:tc>
      </w:tr>
      <w:tr>
        <w:trPr>
          <w:trHeight w:val="124"/>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Honeywell Building Technologies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79</w:t>
            </w:r>
          </w:p>
        </w:tc>
        <w:tc>
          <w:tcPr>
            <w:tcW w:w="240" w:type="dxa"/>
            <w:vAlign w:val="bottom"/>
            <w:tcBorders>
              <w:bottom w:val="single" w:sz="8" w:color="888B8D"/>
            </w:tcBorders>
          </w:tcPr>
          <w:p>
            <w:pPr>
              <w:spacing w:after="0"/>
              <w:rPr>
                <w:sz w:val="10"/>
                <w:szCs w:val="10"/>
                <w:color w:val="auto"/>
              </w:rPr>
            </w:pP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74</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62</w:t>
            </w:r>
          </w:p>
        </w:tc>
      </w:tr>
      <w:tr>
        <w:trPr>
          <w:trHeight w:val="124"/>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Performance Materials and Technologies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462</w:t>
            </w:r>
          </w:p>
        </w:tc>
        <w:tc>
          <w:tcPr>
            <w:tcW w:w="240" w:type="dxa"/>
            <w:vAlign w:val="bottom"/>
            <w:tcBorders>
              <w:bottom w:val="single" w:sz="8" w:color="888B8D"/>
            </w:tcBorders>
          </w:tcPr>
          <w:p>
            <w:pPr>
              <w:spacing w:after="0"/>
              <w:rPr>
                <w:sz w:val="10"/>
                <w:szCs w:val="10"/>
                <w:color w:val="auto"/>
              </w:rPr>
            </w:pP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318</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265</w:t>
            </w:r>
          </w:p>
        </w:tc>
      </w:tr>
      <w:tr>
        <w:trPr>
          <w:trHeight w:val="124"/>
        </w:trPr>
        <w:tc>
          <w:tcPr>
            <w:tcW w:w="85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Safety and Productivity Solutions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106</w:t>
            </w:r>
          </w:p>
        </w:tc>
        <w:tc>
          <w:tcPr>
            <w:tcW w:w="240" w:type="dxa"/>
            <w:vAlign w:val="bottom"/>
            <w:tcBorders>
              <w:bottom w:val="single" w:sz="8" w:color="888B8D"/>
            </w:tcBorders>
          </w:tcPr>
          <w:p>
            <w:pPr>
              <w:spacing w:after="0"/>
              <w:rPr>
                <w:sz w:val="10"/>
                <w:szCs w:val="10"/>
                <w:color w:val="auto"/>
              </w:rPr>
            </w:pP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50</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190</w:t>
            </w:r>
          </w:p>
        </w:tc>
      </w:tr>
      <w:tr>
        <w:trPr>
          <w:trHeight w:val="124"/>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Corporate and All Other</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82</w:t>
            </w:r>
          </w:p>
        </w:tc>
        <w:tc>
          <w:tcPr>
            <w:tcW w:w="24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78</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94</w:t>
            </w:r>
          </w:p>
        </w:tc>
      </w:tr>
      <w:tr>
        <w:trPr>
          <w:trHeight w:val="126"/>
        </w:trPr>
        <w:tc>
          <w:tcPr>
            <w:tcW w:w="85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capital expenditures</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1,039</w:t>
            </w:r>
          </w:p>
        </w:tc>
        <w:tc>
          <w:tcPr>
            <w:tcW w:w="400" w:type="dxa"/>
            <w:vAlign w:val="bottom"/>
            <w:tcBorders>
              <w:bottom w:val="single" w:sz="8" w:color="D7282F"/>
            </w:tcBorders>
            <w:gridSpan w:val="2"/>
          </w:tcPr>
          <w:p>
            <w:pPr>
              <w:jc w:val="right"/>
              <w:ind w:right="100"/>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766</w:t>
            </w:r>
          </w:p>
        </w:tc>
        <w:tc>
          <w:tcPr>
            <w:tcW w:w="2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895</w:t>
            </w:r>
          </w:p>
        </w:tc>
      </w:tr>
      <w:tr>
        <w:trPr>
          <w:trHeight w:val="281"/>
        </w:trPr>
        <w:tc>
          <w:tcPr>
            <w:tcW w:w="8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D7282F"/>
            </w:tcBorders>
          </w:tcPr>
          <w:p>
            <w:pPr>
              <w:spacing w:after="0"/>
              <w:rPr>
                <w:sz w:val="24"/>
                <w:szCs w:val="24"/>
                <w:color w:val="auto"/>
              </w:rPr>
            </w:pPr>
          </w:p>
        </w:tc>
        <w:tc>
          <w:tcPr>
            <w:tcW w:w="1580" w:type="dxa"/>
            <w:vAlign w:val="bottom"/>
            <w:tcBorders>
              <w:bottom w:val="single" w:sz="8" w:color="D7282F"/>
            </w:tcBorders>
            <w:gridSpan w:val="3"/>
          </w:tcPr>
          <w:p>
            <w:pPr>
              <w:jc w:val="right"/>
              <w:ind w:right="212"/>
              <w:spacing w:after="0"/>
              <w:rPr>
                <w:sz w:val="20"/>
                <w:szCs w:val="20"/>
                <w:color w:val="auto"/>
              </w:rPr>
            </w:pPr>
            <w:r>
              <w:rPr>
                <w:rFonts w:ascii="Arial" w:cs="Arial" w:eastAsia="Arial" w:hAnsi="Arial"/>
                <w:sz w:val="10"/>
                <w:szCs w:val="10"/>
                <w:b w:val="1"/>
                <w:bCs w:val="1"/>
                <w:color w:val="auto"/>
              </w:rPr>
              <w:t>Years Ended December 31,</w:t>
            </w:r>
          </w:p>
        </w:tc>
      </w:tr>
      <w:tr>
        <w:trPr>
          <w:trHeight w:val="142"/>
        </w:trPr>
        <w:tc>
          <w:tcPr>
            <w:tcW w:w="8580" w:type="dxa"/>
            <w:vAlign w:val="bottom"/>
            <w:tcBorders>
              <w:bottom w:val="single" w:sz="8" w:color="D7282F"/>
            </w:tcBorders>
          </w:tcPr>
          <w:p>
            <w:pPr>
              <w:spacing w:after="0"/>
              <w:rPr>
                <w:sz w:val="12"/>
                <w:szCs w:val="12"/>
                <w:color w:val="auto"/>
              </w:rPr>
            </w:pPr>
          </w:p>
        </w:tc>
        <w:tc>
          <w:tcPr>
            <w:tcW w:w="160" w:type="dxa"/>
            <w:vAlign w:val="bottom"/>
            <w:tcBorders>
              <w:bottom w:val="single" w:sz="8" w:color="D7282F"/>
            </w:tcBorders>
          </w:tcPr>
          <w:p>
            <w:pPr>
              <w:spacing w:after="0"/>
              <w:rPr>
                <w:sz w:val="12"/>
                <w:szCs w:val="12"/>
                <w:color w:val="auto"/>
              </w:rPr>
            </w:pPr>
          </w:p>
        </w:tc>
        <w:tc>
          <w:tcPr>
            <w:tcW w:w="580" w:type="dxa"/>
            <w:vAlign w:val="bottom"/>
            <w:tcBorders>
              <w:bottom w:val="single" w:sz="8" w:color="D7282F"/>
            </w:tcBorders>
          </w:tcPr>
          <w:p>
            <w:pPr>
              <w:spacing w:after="0"/>
              <w:rPr>
                <w:sz w:val="12"/>
                <w:szCs w:val="12"/>
                <w:color w:val="auto"/>
              </w:rPr>
            </w:pPr>
          </w:p>
        </w:tc>
        <w:tc>
          <w:tcPr>
            <w:tcW w:w="240" w:type="dxa"/>
            <w:vAlign w:val="bottom"/>
            <w:tcBorders>
              <w:bottom w:val="single" w:sz="8" w:color="D7282F"/>
            </w:tcBorders>
          </w:tcPr>
          <w:p>
            <w:pPr>
              <w:spacing w:after="0"/>
              <w:rPr>
                <w:sz w:val="12"/>
                <w:szCs w:val="12"/>
                <w:color w:val="auto"/>
              </w:rPr>
            </w:pPr>
          </w:p>
        </w:tc>
        <w:tc>
          <w:tcPr>
            <w:tcW w:w="160" w:type="dxa"/>
            <w:vAlign w:val="bottom"/>
            <w:tcBorders>
              <w:bottom w:val="single" w:sz="8" w:color="D7282F"/>
            </w:tcBorders>
          </w:tcPr>
          <w:p>
            <w:pPr>
              <w:spacing w:after="0"/>
              <w:rPr>
                <w:sz w:val="12"/>
                <w:szCs w:val="12"/>
                <w:color w:val="auto"/>
              </w:rPr>
            </w:pPr>
          </w:p>
        </w:tc>
        <w:tc>
          <w:tcPr>
            <w:tcW w:w="700" w:type="dxa"/>
            <w:vAlign w:val="bottom"/>
            <w:tcBorders>
              <w:bottom w:val="single" w:sz="8" w:color="D7282F"/>
            </w:tcBorders>
          </w:tcPr>
          <w:p>
            <w:pPr>
              <w:jc w:val="center"/>
              <w:ind w:right="212"/>
              <w:spacing w:after="0"/>
              <w:rPr>
                <w:sz w:val="20"/>
                <w:szCs w:val="20"/>
                <w:color w:val="auto"/>
              </w:rPr>
            </w:pPr>
            <w:r>
              <w:rPr>
                <w:rFonts w:ascii="Arial" w:cs="Arial" w:eastAsia="Arial" w:hAnsi="Arial"/>
                <w:sz w:val="10"/>
                <w:szCs w:val="10"/>
                <w:b w:val="1"/>
                <w:bCs w:val="1"/>
                <w:color w:val="auto"/>
                <w:w w:val="89"/>
              </w:rPr>
              <w:t>2023</w:t>
            </w:r>
          </w:p>
        </w:tc>
        <w:tc>
          <w:tcPr>
            <w:tcW w:w="280" w:type="dxa"/>
            <w:vAlign w:val="bottom"/>
            <w:tcBorders>
              <w:bottom w:val="single" w:sz="8" w:color="D7282F"/>
            </w:tcBorders>
          </w:tcPr>
          <w:p>
            <w:pPr>
              <w:spacing w:after="0"/>
              <w:rPr>
                <w:sz w:val="12"/>
                <w:szCs w:val="12"/>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2022</w:t>
            </w:r>
          </w:p>
        </w:tc>
      </w:tr>
      <w:tr>
        <w:trPr>
          <w:trHeight w:val="129"/>
        </w:trPr>
        <w:tc>
          <w:tcPr>
            <w:tcW w:w="858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Total assets</w:t>
            </w:r>
          </w:p>
        </w:tc>
        <w:tc>
          <w:tcPr>
            <w:tcW w:w="160" w:type="dxa"/>
            <w:vAlign w:val="bottom"/>
            <w:tcBorders>
              <w:bottom w:val="single" w:sz="8" w:color="61656A"/>
            </w:tcBorders>
          </w:tcPr>
          <w:p>
            <w:pPr>
              <w:spacing w:after="0"/>
              <w:rPr>
                <w:sz w:val="11"/>
                <w:szCs w:val="11"/>
                <w:color w:val="auto"/>
              </w:rPr>
            </w:pPr>
          </w:p>
        </w:tc>
        <w:tc>
          <w:tcPr>
            <w:tcW w:w="580" w:type="dxa"/>
            <w:vAlign w:val="bottom"/>
            <w:tcBorders>
              <w:bottom w:val="single" w:sz="8" w:color="61656A"/>
            </w:tcBorders>
          </w:tcPr>
          <w:p>
            <w:pPr>
              <w:spacing w:after="0"/>
              <w:rPr>
                <w:sz w:val="11"/>
                <w:szCs w:val="11"/>
                <w:color w:val="auto"/>
              </w:rPr>
            </w:pPr>
          </w:p>
        </w:tc>
        <w:tc>
          <w:tcPr>
            <w:tcW w:w="240" w:type="dxa"/>
            <w:vAlign w:val="bottom"/>
            <w:tcBorders>
              <w:bottom w:val="single" w:sz="8" w:color="61656A"/>
            </w:tcBorders>
          </w:tcPr>
          <w:p>
            <w:pPr>
              <w:spacing w:after="0"/>
              <w:rPr>
                <w:sz w:val="11"/>
                <w:szCs w:val="11"/>
                <w:color w:val="auto"/>
              </w:rPr>
            </w:pPr>
          </w:p>
        </w:tc>
        <w:tc>
          <w:tcPr>
            <w:tcW w:w="160" w:type="dxa"/>
            <w:vAlign w:val="bottom"/>
            <w:tcBorders>
              <w:bottom w:val="single" w:sz="8" w:color="61656A"/>
            </w:tcBorders>
          </w:tcPr>
          <w:p>
            <w:pPr>
              <w:spacing w:after="0"/>
              <w:rPr>
                <w:sz w:val="11"/>
                <w:szCs w:val="11"/>
                <w:color w:val="auto"/>
              </w:rPr>
            </w:pPr>
          </w:p>
        </w:tc>
        <w:tc>
          <w:tcPr>
            <w:tcW w:w="700" w:type="dxa"/>
            <w:vAlign w:val="bottom"/>
            <w:tcBorders>
              <w:bottom w:val="single" w:sz="8" w:color="61656A"/>
            </w:tcBorders>
          </w:tcPr>
          <w:p>
            <w:pPr>
              <w:spacing w:after="0"/>
              <w:rPr>
                <w:sz w:val="11"/>
                <w:szCs w:val="11"/>
                <w:color w:val="auto"/>
              </w:rPr>
            </w:pPr>
          </w:p>
        </w:tc>
        <w:tc>
          <w:tcPr>
            <w:tcW w:w="280" w:type="dxa"/>
            <w:vAlign w:val="bottom"/>
            <w:tcBorders>
              <w:bottom w:val="single" w:sz="8" w:color="61656A"/>
            </w:tcBorders>
          </w:tcPr>
          <w:p>
            <w:pPr>
              <w:spacing w:after="0"/>
              <w:rPr>
                <w:sz w:val="11"/>
                <w:szCs w:val="11"/>
                <w:color w:val="auto"/>
              </w:rPr>
            </w:pPr>
          </w:p>
        </w:tc>
        <w:tc>
          <w:tcPr>
            <w:tcW w:w="600" w:type="dxa"/>
            <w:vAlign w:val="bottom"/>
            <w:tcBorders>
              <w:bottom w:val="single" w:sz="8" w:color="61656A"/>
            </w:tcBorders>
          </w:tcPr>
          <w:p>
            <w:pPr>
              <w:spacing w:after="0"/>
              <w:rPr>
                <w:sz w:val="11"/>
                <w:szCs w:val="11"/>
                <w:color w:val="auto"/>
              </w:rPr>
            </w:pPr>
          </w:p>
        </w:tc>
      </w:tr>
      <w:tr>
        <w:trPr>
          <w:trHeight w:val="122"/>
        </w:trPr>
        <w:tc>
          <w:tcPr>
            <w:tcW w:w="858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Aerospace</w:t>
            </w:r>
          </w:p>
        </w:tc>
        <w:tc>
          <w:tcPr>
            <w:tcW w:w="1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spacing w:after="0"/>
              <w:rPr>
                <w:sz w:val="10"/>
                <w:szCs w:val="10"/>
                <w:color w:val="auto"/>
              </w:rPr>
            </w:pPr>
          </w:p>
        </w:tc>
        <w:tc>
          <w:tcPr>
            <w:tcW w:w="400" w:type="dxa"/>
            <w:vAlign w:val="bottom"/>
            <w:tcBorders>
              <w:bottom w:val="single" w:sz="8" w:color="61656A"/>
            </w:tcBorders>
            <w:gridSpan w:val="2"/>
          </w:tcPr>
          <w:p>
            <w:pPr>
              <w:jc w:val="right"/>
              <w:ind w:right="10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12,976</w:t>
            </w:r>
          </w:p>
        </w:tc>
        <w:tc>
          <w:tcPr>
            <w:tcW w:w="28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12,189</w:t>
            </w:r>
          </w:p>
        </w:tc>
      </w:tr>
      <w:tr>
        <w:trPr>
          <w:trHeight w:val="124"/>
        </w:trPr>
        <w:tc>
          <w:tcPr>
            <w:tcW w:w="858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Honeywell Building Technologies</w:t>
            </w:r>
          </w:p>
        </w:tc>
        <w:tc>
          <w:tcPr>
            <w:tcW w:w="1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spacing w:after="0"/>
              <w:rPr>
                <w:sz w:val="10"/>
                <w:szCs w:val="10"/>
                <w:color w:val="auto"/>
              </w:rPr>
            </w:pP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6,723</w:t>
            </w:r>
          </w:p>
        </w:tc>
        <w:tc>
          <w:tcPr>
            <w:tcW w:w="2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6,599</w:t>
            </w:r>
          </w:p>
        </w:tc>
      </w:tr>
      <w:tr>
        <w:trPr>
          <w:trHeight w:val="124"/>
        </w:trPr>
        <w:tc>
          <w:tcPr>
            <w:tcW w:w="858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Performance Materials and Technologies</w:t>
            </w:r>
          </w:p>
        </w:tc>
        <w:tc>
          <w:tcPr>
            <w:tcW w:w="1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spacing w:after="0"/>
              <w:rPr>
                <w:sz w:val="10"/>
                <w:szCs w:val="10"/>
                <w:color w:val="auto"/>
              </w:rPr>
            </w:pP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19,732</w:t>
            </w:r>
          </w:p>
        </w:tc>
        <w:tc>
          <w:tcPr>
            <w:tcW w:w="2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17,887</w:t>
            </w:r>
          </w:p>
        </w:tc>
      </w:tr>
      <w:tr>
        <w:trPr>
          <w:trHeight w:val="124"/>
        </w:trPr>
        <w:tc>
          <w:tcPr>
            <w:tcW w:w="858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Safety and Productivity Solutions</w:t>
            </w:r>
          </w:p>
        </w:tc>
        <w:tc>
          <w:tcPr>
            <w:tcW w:w="1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spacing w:after="0"/>
              <w:rPr>
                <w:sz w:val="10"/>
                <w:szCs w:val="10"/>
                <w:color w:val="auto"/>
              </w:rPr>
            </w:pP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10,342</w:t>
            </w:r>
          </w:p>
        </w:tc>
        <w:tc>
          <w:tcPr>
            <w:tcW w:w="2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10,892</w:t>
            </w:r>
          </w:p>
        </w:tc>
      </w:tr>
      <w:tr>
        <w:trPr>
          <w:trHeight w:val="124"/>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Corporate and All Other</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11,752</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14,708</w:t>
            </w:r>
          </w:p>
        </w:tc>
      </w:tr>
      <w:tr>
        <w:trPr>
          <w:trHeight w:val="126"/>
        </w:trPr>
        <w:tc>
          <w:tcPr>
            <w:tcW w:w="85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assets</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gridSpan w:val="2"/>
          </w:tcPr>
          <w:p>
            <w:pPr>
              <w:jc w:val="right"/>
              <w:ind w:right="100"/>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61,525</w:t>
            </w:r>
          </w:p>
        </w:tc>
        <w:tc>
          <w:tcPr>
            <w:tcW w:w="2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62,275</w:t>
            </w:r>
          </w:p>
        </w:tc>
      </w:tr>
      <w:tr>
        <w:trPr>
          <w:trHeight w:val="249"/>
        </w:trPr>
        <w:tc>
          <w:tcPr>
            <w:tcW w:w="8580" w:type="dxa"/>
            <w:vAlign w:val="bottom"/>
          </w:tcPr>
          <w:p>
            <w:pPr>
              <w:spacing w:after="0"/>
              <w:rPr>
                <w:sz w:val="20"/>
                <w:szCs w:val="20"/>
                <w:color w:val="auto"/>
              </w:rPr>
            </w:pPr>
            <w:r>
              <w:rPr>
                <w:rFonts w:ascii="Arial" w:cs="Arial" w:eastAsia="Arial" w:hAnsi="Arial"/>
                <w:sz w:val="11"/>
                <w:szCs w:val="11"/>
                <w:color w:val="auto"/>
              </w:rPr>
              <w:t>A reconciliation of segment profit to consolidated income before taxes are as follows:</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66"/>
        </w:trPr>
        <w:tc>
          <w:tcPr>
            <w:tcW w:w="8580" w:type="dxa"/>
            <w:vAlign w:val="bottom"/>
          </w:tcPr>
          <w:p>
            <w:pPr>
              <w:spacing w:after="0"/>
              <w:rPr>
                <w:sz w:val="23"/>
                <w:szCs w:val="23"/>
                <w:color w:val="auto"/>
              </w:rPr>
            </w:pPr>
          </w:p>
        </w:tc>
        <w:tc>
          <w:tcPr>
            <w:tcW w:w="160" w:type="dxa"/>
            <w:vAlign w:val="bottom"/>
            <w:tcBorders>
              <w:bottom w:val="single" w:sz="8" w:color="D7282F"/>
            </w:tcBorders>
          </w:tcPr>
          <w:p>
            <w:pPr>
              <w:spacing w:after="0"/>
              <w:rPr>
                <w:sz w:val="23"/>
                <w:szCs w:val="23"/>
                <w:color w:val="auto"/>
              </w:rPr>
            </w:pPr>
          </w:p>
        </w:tc>
        <w:tc>
          <w:tcPr>
            <w:tcW w:w="580" w:type="dxa"/>
            <w:vAlign w:val="bottom"/>
            <w:tcBorders>
              <w:bottom w:val="single" w:sz="8" w:color="D7282F"/>
            </w:tcBorders>
          </w:tcPr>
          <w:p>
            <w:pPr>
              <w:spacing w:after="0"/>
              <w:rPr>
                <w:sz w:val="23"/>
                <w:szCs w:val="23"/>
                <w:color w:val="auto"/>
              </w:rPr>
            </w:pPr>
          </w:p>
        </w:tc>
        <w:tc>
          <w:tcPr>
            <w:tcW w:w="1380" w:type="dxa"/>
            <w:vAlign w:val="bottom"/>
            <w:tcBorders>
              <w:bottom w:val="single" w:sz="8" w:color="D7282F"/>
            </w:tcBorders>
            <w:gridSpan w:val="4"/>
          </w:tcPr>
          <w:p>
            <w:pPr>
              <w:jc w:val="center"/>
              <w:ind w:right="92"/>
              <w:spacing w:after="0"/>
              <w:rPr>
                <w:sz w:val="20"/>
                <w:szCs w:val="20"/>
                <w:color w:val="auto"/>
              </w:rPr>
            </w:pPr>
            <w:r>
              <w:rPr>
                <w:rFonts w:ascii="Arial" w:cs="Arial" w:eastAsia="Arial" w:hAnsi="Arial"/>
                <w:sz w:val="10"/>
                <w:szCs w:val="10"/>
                <w:b w:val="1"/>
                <w:bCs w:val="1"/>
                <w:color w:val="auto"/>
                <w:w w:val="96"/>
              </w:rPr>
              <w:t>Years Ended December 31,</w:t>
            </w:r>
          </w:p>
        </w:tc>
        <w:tc>
          <w:tcPr>
            <w:tcW w:w="600" w:type="dxa"/>
            <w:vAlign w:val="bottom"/>
            <w:tcBorders>
              <w:bottom w:val="single" w:sz="8" w:color="D7282F"/>
            </w:tcBorders>
          </w:tcPr>
          <w:p>
            <w:pPr>
              <w:spacing w:after="0"/>
              <w:rPr>
                <w:sz w:val="23"/>
                <w:szCs w:val="23"/>
                <w:color w:val="auto"/>
              </w:rPr>
            </w:pPr>
          </w:p>
        </w:tc>
      </w:tr>
      <w:tr>
        <w:trPr>
          <w:trHeight w:val="160"/>
        </w:trPr>
        <w:tc>
          <w:tcPr>
            <w:tcW w:w="8580" w:type="dxa"/>
            <w:vAlign w:val="bottom"/>
            <w:tcBorders>
              <w:bottom w:val="single" w:sz="8" w:color="D7282F"/>
            </w:tcBorders>
          </w:tcPr>
          <w:p>
            <w:pPr>
              <w:spacing w:after="0"/>
              <w:rPr>
                <w:sz w:val="13"/>
                <w:szCs w:val="13"/>
                <w:color w:val="auto"/>
              </w:rPr>
            </w:pPr>
          </w:p>
        </w:tc>
        <w:tc>
          <w:tcPr>
            <w:tcW w:w="160" w:type="dxa"/>
            <w:vAlign w:val="bottom"/>
            <w:tcBorders>
              <w:bottom w:val="single" w:sz="8" w:color="D7282F"/>
            </w:tcBorders>
          </w:tcPr>
          <w:p>
            <w:pPr>
              <w:spacing w:after="0"/>
              <w:rPr>
                <w:sz w:val="13"/>
                <w:szCs w:val="13"/>
                <w:color w:val="auto"/>
              </w:rPr>
            </w:pPr>
          </w:p>
        </w:tc>
        <w:tc>
          <w:tcPr>
            <w:tcW w:w="58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b w:val="1"/>
                <w:bCs w:val="1"/>
                <w:color w:val="auto"/>
              </w:rPr>
              <w:t>2023</w:t>
            </w:r>
          </w:p>
        </w:tc>
        <w:tc>
          <w:tcPr>
            <w:tcW w:w="240" w:type="dxa"/>
            <w:vAlign w:val="bottom"/>
            <w:tcBorders>
              <w:bottom w:val="single" w:sz="8" w:color="D7282F"/>
            </w:tcBorders>
          </w:tcPr>
          <w:p>
            <w:pPr>
              <w:spacing w:after="0"/>
              <w:rPr>
                <w:sz w:val="13"/>
                <w:szCs w:val="13"/>
                <w:color w:val="auto"/>
              </w:rPr>
            </w:pPr>
          </w:p>
        </w:tc>
        <w:tc>
          <w:tcPr>
            <w:tcW w:w="160" w:type="dxa"/>
            <w:vAlign w:val="bottom"/>
            <w:tcBorders>
              <w:bottom w:val="single" w:sz="8" w:color="D7282F"/>
            </w:tcBorders>
          </w:tcPr>
          <w:p>
            <w:pPr>
              <w:spacing w:after="0"/>
              <w:rPr>
                <w:sz w:val="13"/>
                <w:szCs w:val="13"/>
                <w:color w:val="auto"/>
              </w:rPr>
            </w:pPr>
          </w:p>
        </w:tc>
        <w:tc>
          <w:tcPr>
            <w:tcW w:w="700" w:type="dxa"/>
            <w:vAlign w:val="bottom"/>
            <w:tcBorders>
              <w:bottom w:val="single" w:sz="8" w:color="D7282F"/>
            </w:tcBorders>
          </w:tcPr>
          <w:p>
            <w:pPr>
              <w:jc w:val="center"/>
              <w:ind w:right="232"/>
              <w:spacing w:after="0"/>
              <w:rPr>
                <w:sz w:val="20"/>
                <w:szCs w:val="20"/>
                <w:color w:val="auto"/>
              </w:rPr>
            </w:pPr>
            <w:r>
              <w:rPr>
                <w:rFonts w:ascii="Arial" w:cs="Arial" w:eastAsia="Arial" w:hAnsi="Arial"/>
                <w:sz w:val="10"/>
                <w:szCs w:val="10"/>
                <w:b w:val="1"/>
                <w:bCs w:val="1"/>
                <w:color w:val="auto"/>
                <w:w w:val="98"/>
              </w:rPr>
              <w:t>2022</w:t>
            </w:r>
          </w:p>
        </w:tc>
        <w:tc>
          <w:tcPr>
            <w:tcW w:w="28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2021</w:t>
            </w:r>
          </w:p>
        </w:tc>
      </w:tr>
      <w:tr>
        <w:trPr>
          <w:trHeight w:val="127"/>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Segment profit</w:t>
            </w:r>
          </w:p>
        </w:tc>
        <w:tc>
          <w:tcPr>
            <w:tcW w:w="16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8,304</w:t>
            </w:r>
          </w:p>
        </w:tc>
        <w:tc>
          <w:tcPr>
            <w:tcW w:w="400" w:type="dxa"/>
            <w:vAlign w:val="bottom"/>
            <w:tcBorders>
              <w:bottom w:val="single" w:sz="8" w:color="888B8D"/>
            </w:tcBorders>
            <w:gridSpan w:val="2"/>
          </w:tcPr>
          <w:p>
            <w:pPr>
              <w:jc w:val="right"/>
              <w:ind w:right="10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7,689</w:t>
            </w:r>
          </w:p>
        </w:tc>
        <w:tc>
          <w:tcPr>
            <w:tcW w:w="2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7,212</w:t>
            </w:r>
          </w:p>
        </w:tc>
      </w:tr>
      <w:tr>
        <w:trPr>
          <w:trHeight w:val="124"/>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Interest and other financial charges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(765)</w:t>
            </w:r>
          </w:p>
        </w:tc>
        <w:tc>
          <w:tcPr>
            <w:tcW w:w="240" w:type="dxa"/>
            <w:vAlign w:val="bottom"/>
            <w:tcBorders>
              <w:bottom w:val="single" w:sz="8" w:color="888B8D"/>
            </w:tcBorders>
          </w:tcPr>
          <w:p>
            <w:pPr>
              <w:spacing w:after="0"/>
              <w:rPr>
                <w:sz w:val="10"/>
                <w:szCs w:val="10"/>
                <w:color w:val="auto"/>
              </w:rPr>
            </w:pP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(414)</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(343)</w:t>
            </w:r>
          </w:p>
        </w:tc>
      </w:tr>
      <w:tr>
        <w:trPr>
          <w:trHeight w:val="124"/>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Interest income</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321</w:t>
            </w:r>
          </w:p>
        </w:tc>
        <w:tc>
          <w:tcPr>
            <w:tcW w:w="240" w:type="dxa"/>
            <w:vAlign w:val="bottom"/>
            <w:tcBorders>
              <w:bottom w:val="single" w:sz="8" w:color="888B8D"/>
            </w:tcBorders>
          </w:tcPr>
          <w:p>
            <w:pPr>
              <w:spacing w:after="0"/>
              <w:rPr>
                <w:sz w:val="10"/>
                <w:szCs w:val="10"/>
                <w:color w:val="auto"/>
              </w:rPr>
            </w:pP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138</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102</w:t>
            </w:r>
          </w:p>
        </w:tc>
      </w:tr>
      <w:tr>
        <w:trPr>
          <w:trHeight w:val="127"/>
        </w:trPr>
        <w:tc>
          <w:tcPr>
            <w:tcW w:w="8580" w:type="dxa"/>
            <w:vAlign w:val="bottom"/>
            <w:tcBorders>
              <w:bottom w:val="single" w:sz="8" w:color="888B8D"/>
            </w:tcBorders>
          </w:tcPr>
          <w:p>
            <w:pPr>
              <w:spacing w:after="0" w:line="127" w:lineRule="exact"/>
              <w:rPr>
                <w:sz w:val="20"/>
                <w:szCs w:val="20"/>
                <w:color w:val="auto"/>
              </w:rPr>
            </w:pPr>
            <w:r>
              <w:rPr>
                <w:rFonts w:ascii="Arial" w:cs="Arial" w:eastAsia="Arial" w:hAnsi="Arial"/>
                <w:sz w:val="10"/>
                <w:szCs w:val="10"/>
                <w:color w:val="auto"/>
              </w:rPr>
              <w:t>Stock compensation expense</w:t>
            </w:r>
            <w:r>
              <w:rPr>
                <w:rFonts w:ascii="Arial" w:cs="Arial" w:eastAsia="Arial" w:hAnsi="Arial"/>
                <w:sz w:val="12"/>
                <w:szCs w:val="12"/>
                <w:color w:val="auto"/>
                <w:vertAlign w:val="superscript"/>
              </w:rPr>
              <w:t>1</w:t>
            </w:r>
          </w:p>
        </w:tc>
        <w:tc>
          <w:tcPr>
            <w:tcW w:w="160" w:type="dxa"/>
            <w:vAlign w:val="bottom"/>
            <w:tcBorders>
              <w:bottom w:val="single" w:sz="8" w:color="888B8D"/>
            </w:tcBorders>
          </w:tcPr>
          <w:p>
            <w:pPr>
              <w:spacing w:after="0"/>
              <w:rPr>
                <w:sz w:val="11"/>
                <w:szCs w:val="11"/>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(202)</w:t>
            </w:r>
          </w:p>
        </w:tc>
        <w:tc>
          <w:tcPr>
            <w:tcW w:w="240" w:type="dxa"/>
            <w:vAlign w:val="bottom"/>
            <w:tcBorders>
              <w:bottom w:val="single" w:sz="8" w:color="888B8D"/>
            </w:tcBorders>
          </w:tcPr>
          <w:p>
            <w:pPr>
              <w:spacing w:after="0"/>
              <w:rPr>
                <w:sz w:val="11"/>
                <w:szCs w:val="11"/>
                <w:color w:val="auto"/>
              </w:rPr>
            </w:pPr>
          </w:p>
        </w:tc>
        <w:tc>
          <w:tcPr>
            <w:tcW w:w="160" w:type="dxa"/>
            <w:vAlign w:val="bottom"/>
            <w:tcBorders>
              <w:bottom w:val="single" w:sz="8" w:color="888B8D"/>
            </w:tcBorders>
          </w:tcPr>
          <w:p>
            <w:pPr>
              <w:spacing w:after="0"/>
              <w:rPr>
                <w:sz w:val="11"/>
                <w:szCs w:val="11"/>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(188)</w:t>
            </w:r>
          </w:p>
        </w:tc>
        <w:tc>
          <w:tcPr>
            <w:tcW w:w="280" w:type="dxa"/>
            <w:vAlign w:val="bottom"/>
            <w:tcBorders>
              <w:bottom w:val="single" w:sz="8" w:color="888B8D"/>
            </w:tcBorders>
          </w:tcPr>
          <w:p>
            <w:pPr>
              <w:spacing w:after="0"/>
              <w:rPr>
                <w:sz w:val="11"/>
                <w:szCs w:val="11"/>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(217)</w:t>
            </w:r>
          </w:p>
        </w:tc>
      </w:tr>
      <w:tr>
        <w:trPr>
          <w:trHeight w:val="124"/>
        </w:trPr>
        <w:tc>
          <w:tcPr>
            <w:tcW w:w="8580" w:type="dxa"/>
            <w:vAlign w:val="bottom"/>
            <w:tcBorders>
              <w:bottom w:val="single" w:sz="8" w:color="888B8D"/>
            </w:tcBorders>
          </w:tcPr>
          <w:p>
            <w:pPr>
              <w:spacing w:after="0" w:line="124" w:lineRule="exact"/>
              <w:rPr>
                <w:sz w:val="20"/>
                <w:szCs w:val="20"/>
                <w:color w:val="auto"/>
              </w:rPr>
            </w:pPr>
            <w:r>
              <w:rPr>
                <w:rFonts w:ascii="Arial" w:cs="Arial" w:eastAsia="Arial" w:hAnsi="Arial"/>
                <w:sz w:val="10"/>
                <w:szCs w:val="10"/>
                <w:color w:val="auto"/>
              </w:rPr>
              <w:t>Pension ongoing income</w:t>
            </w:r>
            <w:r>
              <w:rPr>
                <w:rFonts w:ascii="Arial" w:cs="Arial" w:eastAsia="Arial" w:hAnsi="Arial"/>
                <w:sz w:val="12"/>
                <w:szCs w:val="12"/>
                <w:color w:val="auto"/>
                <w:vertAlign w:val="superscript"/>
              </w:rPr>
              <w:t>2</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528</w:t>
            </w:r>
          </w:p>
        </w:tc>
        <w:tc>
          <w:tcPr>
            <w:tcW w:w="240" w:type="dxa"/>
            <w:vAlign w:val="bottom"/>
            <w:tcBorders>
              <w:bottom w:val="single" w:sz="8" w:color="888B8D"/>
            </w:tcBorders>
          </w:tcPr>
          <w:p>
            <w:pPr>
              <w:spacing w:after="0"/>
              <w:rPr>
                <w:sz w:val="10"/>
                <w:szCs w:val="10"/>
                <w:color w:val="auto"/>
              </w:rPr>
            </w:pP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993</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1,083</w:t>
            </w:r>
          </w:p>
        </w:tc>
      </w:tr>
      <w:tr>
        <w:trPr>
          <w:trHeight w:val="121"/>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Pension mark-to-market expense</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(153)</w:t>
            </w:r>
          </w:p>
        </w:tc>
        <w:tc>
          <w:tcPr>
            <w:tcW w:w="240" w:type="dxa"/>
            <w:vAlign w:val="bottom"/>
            <w:tcBorders>
              <w:bottom w:val="single" w:sz="8" w:color="888B8D"/>
            </w:tcBorders>
          </w:tcPr>
          <w:p>
            <w:pPr>
              <w:spacing w:after="0"/>
              <w:rPr>
                <w:sz w:val="10"/>
                <w:szCs w:val="10"/>
                <w:color w:val="auto"/>
              </w:rPr>
            </w:pP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(523)</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(40)</w:t>
            </w:r>
          </w:p>
        </w:tc>
      </w:tr>
      <w:tr>
        <w:trPr>
          <w:trHeight w:val="127"/>
        </w:trPr>
        <w:tc>
          <w:tcPr>
            <w:tcW w:w="8580" w:type="dxa"/>
            <w:vAlign w:val="bottom"/>
            <w:tcBorders>
              <w:bottom w:val="single" w:sz="8" w:color="888B8D"/>
            </w:tcBorders>
          </w:tcPr>
          <w:p>
            <w:pPr>
              <w:spacing w:after="0" w:line="127" w:lineRule="exact"/>
              <w:rPr>
                <w:sz w:val="20"/>
                <w:szCs w:val="20"/>
                <w:color w:val="auto"/>
              </w:rPr>
            </w:pPr>
            <w:r>
              <w:rPr>
                <w:rFonts w:ascii="Arial" w:cs="Arial" w:eastAsia="Arial" w:hAnsi="Arial"/>
                <w:sz w:val="10"/>
                <w:szCs w:val="10"/>
                <w:color w:val="auto"/>
              </w:rPr>
              <w:t>Other postretirement income</w:t>
            </w:r>
            <w:r>
              <w:rPr>
                <w:rFonts w:ascii="Arial" w:cs="Arial" w:eastAsia="Arial" w:hAnsi="Arial"/>
                <w:sz w:val="12"/>
                <w:szCs w:val="12"/>
                <w:color w:val="auto"/>
                <w:vertAlign w:val="superscript"/>
              </w:rPr>
              <w:t>2</w:t>
            </w:r>
          </w:p>
        </w:tc>
        <w:tc>
          <w:tcPr>
            <w:tcW w:w="160" w:type="dxa"/>
            <w:vAlign w:val="bottom"/>
            <w:tcBorders>
              <w:bottom w:val="single" w:sz="8" w:color="888B8D"/>
            </w:tcBorders>
          </w:tcPr>
          <w:p>
            <w:pPr>
              <w:spacing w:after="0"/>
              <w:rPr>
                <w:sz w:val="11"/>
                <w:szCs w:val="11"/>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29</w:t>
            </w:r>
          </w:p>
        </w:tc>
        <w:tc>
          <w:tcPr>
            <w:tcW w:w="240" w:type="dxa"/>
            <w:vAlign w:val="bottom"/>
            <w:tcBorders>
              <w:bottom w:val="single" w:sz="8" w:color="888B8D"/>
            </w:tcBorders>
          </w:tcPr>
          <w:p>
            <w:pPr>
              <w:spacing w:after="0"/>
              <w:rPr>
                <w:sz w:val="11"/>
                <w:szCs w:val="11"/>
                <w:color w:val="auto"/>
              </w:rPr>
            </w:pPr>
          </w:p>
        </w:tc>
        <w:tc>
          <w:tcPr>
            <w:tcW w:w="160" w:type="dxa"/>
            <w:vAlign w:val="bottom"/>
            <w:tcBorders>
              <w:bottom w:val="single" w:sz="8" w:color="888B8D"/>
            </w:tcBorders>
          </w:tcPr>
          <w:p>
            <w:pPr>
              <w:spacing w:after="0"/>
              <w:rPr>
                <w:sz w:val="11"/>
                <w:szCs w:val="11"/>
                <w:color w:val="auto"/>
              </w:rPr>
            </w:pPr>
          </w:p>
        </w:tc>
        <w:tc>
          <w:tcPr>
            <w:tcW w:w="7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41</w:t>
            </w:r>
          </w:p>
        </w:tc>
        <w:tc>
          <w:tcPr>
            <w:tcW w:w="280" w:type="dxa"/>
            <w:vAlign w:val="bottom"/>
            <w:tcBorders>
              <w:bottom w:val="single" w:sz="8" w:color="888B8D"/>
            </w:tcBorders>
          </w:tcPr>
          <w:p>
            <w:pPr>
              <w:spacing w:after="0"/>
              <w:rPr>
                <w:sz w:val="11"/>
                <w:szCs w:val="11"/>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71</w:t>
            </w:r>
          </w:p>
        </w:tc>
      </w:tr>
      <w:tr>
        <w:trPr>
          <w:trHeight w:val="124"/>
        </w:trPr>
        <w:tc>
          <w:tcPr>
            <w:tcW w:w="8580" w:type="dxa"/>
            <w:vAlign w:val="bottom"/>
            <w:tcBorders>
              <w:bottom w:val="single" w:sz="8" w:color="888B8D"/>
            </w:tcBorders>
          </w:tcPr>
          <w:p>
            <w:pPr>
              <w:spacing w:after="0" w:line="124" w:lineRule="exact"/>
              <w:rPr>
                <w:sz w:val="20"/>
                <w:szCs w:val="20"/>
                <w:color w:val="auto"/>
              </w:rPr>
            </w:pPr>
            <w:r>
              <w:rPr>
                <w:rFonts w:ascii="Arial" w:cs="Arial" w:eastAsia="Arial" w:hAnsi="Arial"/>
                <w:sz w:val="10"/>
                <w:szCs w:val="10"/>
                <w:color w:val="auto"/>
              </w:rPr>
              <w:t>Repositioning and other charges</w:t>
            </w:r>
            <w:r>
              <w:rPr>
                <w:rFonts w:ascii="Arial" w:cs="Arial" w:eastAsia="Arial" w:hAnsi="Arial"/>
                <w:sz w:val="12"/>
                <w:szCs w:val="12"/>
                <w:color w:val="auto"/>
                <w:vertAlign w:val="superscript"/>
              </w:rPr>
              <w:t>3</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(860)</w:t>
            </w:r>
          </w:p>
        </w:tc>
        <w:tc>
          <w:tcPr>
            <w:tcW w:w="240" w:type="dxa"/>
            <w:vAlign w:val="bottom"/>
            <w:tcBorders>
              <w:bottom w:val="single" w:sz="8" w:color="888B8D"/>
            </w:tcBorders>
          </w:tcPr>
          <w:p>
            <w:pPr>
              <w:spacing w:after="0"/>
              <w:rPr>
                <w:sz w:val="10"/>
                <w:szCs w:val="10"/>
                <w:color w:val="auto"/>
              </w:rPr>
            </w:pPr>
          </w:p>
        </w:tc>
        <w:tc>
          <w:tcPr>
            <w:tcW w:w="1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(1,266)</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(569)</w:t>
            </w:r>
          </w:p>
        </w:tc>
      </w:tr>
      <w:tr>
        <w:trPr>
          <w:trHeight w:val="124"/>
        </w:trPr>
        <w:tc>
          <w:tcPr>
            <w:tcW w:w="8580" w:type="dxa"/>
            <w:vAlign w:val="bottom"/>
            <w:tcBorders>
              <w:bottom w:val="single" w:sz="8" w:color="D7282F"/>
            </w:tcBorders>
          </w:tcPr>
          <w:p>
            <w:pPr>
              <w:spacing w:after="0" w:line="124" w:lineRule="exact"/>
              <w:rPr>
                <w:sz w:val="20"/>
                <w:szCs w:val="20"/>
                <w:color w:val="auto"/>
              </w:rPr>
            </w:pPr>
            <w:r>
              <w:rPr>
                <w:rFonts w:ascii="Arial" w:cs="Arial" w:eastAsia="Arial" w:hAnsi="Arial"/>
                <w:sz w:val="10"/>
                <w:szCs w:val="10"/>
                <w:color w:val="auto"/>
              </w:rPr>
              <w:t>Other expense</w:t>
            </w:r>
            <w:r>
              <w:rPr>
                <w:rFonts w:ascii="Arial" w:cs="Arial" w:eastAsia="Arial" w:hAnsi="Arial"/>
                <w:sz w:val="12"/>
                <w:szCs w:val="12"/>
                <w:color w:val="auto"/>
                <w:vertAlign w:val="superscript"/>
              </w:rPr>
              <w:t>4</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(43)</w:t>
            </w:r>
          </w:p>
        </w:tc>
        <w:tc>
          <w:tcPr>
            <w:tcW w:w="24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(91)</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(64)</w:t>
            </w:r>
          </w:p>
        </w:tc>
      </w:tr>
      <w:tr>
        <w:trPr>
          <w:trHeight w:val="123"/>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Income before taxes</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7,159</w:t>
            </w:r>
          </w:p>
        </w:tc>
        <w:tc>
          <w:tcPr>
            <w:tcW w:w="400" w:type="dxa"/>
            <w:vAlign w:val="bottom"/>
            <w:tcBorders>
              <w:bottom w:val="single" w:sz="8" w:color="D7282F"/>
            </w:tcBorders>
            <w:gridSpan w:val="2"/>
          </w:tcPr>
          <w:p>
            <w:pPr>
              <w:jc w:val="right"/>
              <w:ind w:right="100"/>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6,379</w:t>
            </w:r>
          </w:p>
        </w:tc>
        <w:tc>
          <w:tcPr>
            <w:tcW w:w="2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7,235</w:t>
            </w:r>
          </w:p>
        </w:tc>
      </w:tr>
    </w:tbl>
    <w:p>
      <w:pPr>
        <w:spacing w:after="0" w:line="20" w:lineRule="exact"/>
        <w:rPr>
          <w:sz w:val="20"/>
          <w:szCs w:val="20"/>
          <w:color w:val="auto"/>
        </w:rPr>
      </w:pPr>
    </w:p>
    <w:p>
      <w:pPr>
        <w:ind w:left="428" w:hanging="280"/>
        <w:spacing w:after="0"/>
        <w:tabs>
          <w:tab w:leader="none" w:pos="428" w:val="left"/>
        </w:tabs>
        <w:numPr>
          <w:ilvl w:val="0"/>
          <w:numId w:val="154"/>
        </w:numPr>
        <w:rPr>
          <w:rFonts w:ascii="Arial" w:cs="Arial" w:eastAsia="Arial" w:hAnsi="Arial"/>
          <w:sz w:val="17"/>
          <w:szCs w:val="17"/>
          <w:color w:val="auto"/>
          <w:vertAlign w:val="superscript"/>
        </w:rPr>
      </w:pPr>
      <w:r>
        <w:rPr>
          <w:rFonts w:ascii="Arial" w:cs="Arial" w:eastAsia="Arial" w:hAnsi="Arial"/>
          <w:sz w:val="8"/>
          <w:szCs w:val="8"/>
          <w:color w:val="auto"/>
        </w:rPr>
        <w:t>Amounts included in Selling, general and administrative expenses.</w:t>
      </w:r>
    </w:p>
    <w:p>
      <w:pPr>
        <w:spacing w:after="0" w:line="12" w:lineRule="exact"/>
        <w:rPr>
          <w:sz w:val="20"/>
          <w:szCs w:val="20"/>
          <w:color w:val="auto"/>
        </w:rPr>
      </w:pPr>
    </w:p>
    <w:p>
      <w:pPr>
        <w:ind w:left="428" w:hanging="280"/>
        <w:spacing w:after="0"/>
        <w:tabs>
          <w:tab w:leader="none" w:pos="428" w:val="left"/>
        </w:tabs>
        <w:numPr>
          <w:ilvl w:val="0"/>
          <w:numId w:val="155"/>
        </w:numPr>
        <w:rPr>
          <w:rFonts w:ascii="Arial" w:cs="Arial" w:eastAsia="Arial" w:hAnsi="Arial"/>
          <w:sz w:val="17"/>
          <w:szCs w:val="17"/>
          <w:color w:val="auto"/>
          <w:vertAlign w:val="superscript"/>
        </w:rPr>
      </w:pPr>
      <w:r>
        <w:rPr>
          <w:rFonts w:ascii="Arial" w:cs="Arial" w:eastAsia="Arial" w:hAnsi="Arial"/>
          <w:sz w:val="8"/>
          <w:szCs w:val="8"/>
          <w:color w:val="auto"/>
        </w:rPr>
        <w:t>Amounts included in Cost of products and services sold (service cost component), Selling, general and administrative expenses (service cost component), Research and development expenses (service cost component), and Other (income) expense (non-service cost component).</w:t>
      </w:r>
    </w:p>
    <w:p>
      <w:pPr>
        <w:spacing w:after="0" w:line="12" w:lineRule="exact"/>
        <w:rPr>
          <w:sz w:val="20"/>
          <w:szCs w:val="20"/>
          <w:color w:val="auto"/>
        </w:rPr>
      </w:pPr>
    </w:p>
    <w:p>
      <w:pPr>
        <w:ind w:left="428" w:hanging="280"/>
        <w:spacing w:after="0"/>
        <w:tabs>
          <w:tab w:leader="none" w:pos="428" w:val="left"/>
        </w:tabs>
        <w:numPr>
          <w:ilvl w:val="0"/>
          <w:numId w:val="156"/>
        </w:numPr>
        <w:rPr>
          <w:rFonts w:ascii="Arial" w:cs="Arial" w:eastAsia="Arial" w:hAnsi="Arial"/>
          <w:sz w:val="17"/>
          <w:szCs w:val="17"/>
          <w:color w:val="auto"/>
          <w:vertAlign w:val="superscript"/>
        </w:rPr>
      </w:pPr>
      <w:r>
        <w:rPr>
          <w:rFonts w:ascii="Arial" w:cs="Arial" w:eastAsia="Arial" w:hAnsi="Arial"/>
          <w:sz w:val="8"/>
          <w:szCs w:val="8"/>
          <w:color w:val="auto"/>
        </w:rPr>
        <w:t>Amounts included in Cost of products and services sold, Selling, general and administrative expenses, and Other (income) expense.</w:t>
      </w:r>
    </w:p>
    <w:p>
      <w:pPr>
        <w:spacing w:after="0" w:line="12" w:lineRule="exact"/>
        <w:rPr>
          <w:sz w:val="20"/>
          <w:szCs w:val="20"/>
          <w:color w:val="auto"/>
        </w:rPr>
      </w:pPr>
    </w:p>
    <w:p>
      <w:pPr>
        <w:ind w:left="428" w:hanging="280"/>
        <w:spacing w:after="0"/>
        <w:tabs>
          <w:tab w:leader="none" w:pos="428" w:val="left"/>
        </w:tabs>
        <w:numPr>
          <w:ilvl w:val="0"/>
          <w:numId w:val="157"/>
        </w:numPr>
        <w:rPr>
          <w:rFonts w:ascii="Arial" w:cs="Arial" w:eastAsia="Arial" w:hAnsi="Arial"/>
          <w:sz w:val="17"/>
          <w:szCs w:val="17"/>
          <w:color w:val="auto"/>
          <w:vertAlign w:val="superscript"/>
        </w:rPr>
      </w:pPr>
      <w:r>
        <w:rPr>
          <w:rFonts w:ascii="Arial" w:cs="Arial" w:eastAsia="Arial" w:hAnsi="Arial"/>
          <w:sz w:val="8"/>
          <w:szCs w:val="8"/>
          <w:color w:val="auto"/>
        </w:rPr>
        <w:t>Amounts include the other components of Other (income) expense not included within other categories in this reconciliation. Equity income of affiliated companies is included in segment profit.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8" w:hanging="328"/>
        <w:spacing w:after="0"/>
        <w:tabs>
          <w:tab w:leader="none" w:pos="328" w:val="left"/>
        </w:tabs>
        <w:numPr>
          <w:ilvl w:val="0"/>
          <w:numId w:val="158"/>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115" w:name="page116"/>
    <w:bookmarkEnd w:id="115"/>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92" w:lineRule="exact"/>
        <w:rPr>
          <w:sz w:val="20"/>
          <w:szCs w:val="20"/>
          <w:color w:val="auto"/>
        </w:rPr>
      </w:pPr>
    </w:p>
    <w:p>
      <w:pPr>
        <w:ind w:left="8"/>
        <w:spacing w:after="0"/>
        <w:rPr>
          <w:sz w:val="20"/>
          <w:szCs w:val="20"/>
          <w:color w:val="auto"/>
        </w:rPr>
      </w:pPr>
      <w:r>
        <w:rPr>
          <w:rFonts w:ascii="Arial" w:cs="Arial" w:eastAsia="Arial" w:hAnsi="Arial"/>
          <w:sz w:val="19"/>
          <w:szCs w:val="19"/>
          <w:color w:val="D7282F"/>
        </w:rPr>
        <w:t>NOTE 23. GEOGRAPHIC AREAS—FINANCIAL DATA</w:t>
      </w:r>
    </w:p>
    <w:p>
      <w:pPr>
        <w:spacing w:after="0" w:line="231"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5660" w:type="dxa"/>
            <w:vAlign w:val="bottom"/>
          </w:tcPr>
          <w:p>
            <w:pPr>
              <w:spacing w:after="0"/>
              <w:rPr>
                <w:sz w:val="12"/>
                <w:szCs w:val="12"/>
                <w:color w:val="auto"/>
              </w:rPr>
            </w:pPr>
          </w:p>
        </w:tc>
        <w:tc>
          <w:tcPr>
            <w:tcW w:w="160" w:type="dxa"/>
            <w:vAlign w:val="bottom"/>
            <w:tcBorders>
              <w:bottom w:val="single" w:sz="8" w:color="D7282F"/>
            </w:tcBorders>
          </w:tcPr>
          <w:p>
            <w:pPr>
              <w:spacing w:after="0"/>
              <w:rPr>
                <w:sz w:val="12"/>
                <w:szCs w:val="12"/>
                <w:color w:val="auto"/>
              </w:rPr>
            </w:pPr>
          </w:p>
        </w:tc>
        <w:tc>
          <w:tcPr>
            <w:tcW w:w="560" w:type="dxa"/>
            <w:vAlign w:val="bottom"/>
            <w:tcBorders>
              <w:bottom w:val="single" w:sz="8" w:color="D7282F"/>
            </w:tcBorders>
          </w:tcPr>
          <w:p>
            <w:pPr>
              <w:spacing w:after="0"/>
              <w:rPr>
                <w:sz w:val="12"/>
                <w:szCs w:val="12"/>
                <w:color w:val="auto"/>
              </w:rPr>
            </w:pPr>
          </w:p>
        </w:tc>
        <w:tc>
          <w:tcPr>
            <w:tcW w:w="360" w:type="dxa"/>
            <w:vAlign w:val="bottom"/>
            <w:tcBorders>
              <w:bottom w:val="single" w:sz="8" w:color="D7282F"/>
            </w:tcBorders>
          </w:tcPr>
          <w:p>
            <w:pPr>
              <w:spacing w:after="0"/>
              <w:rPr>
                <w:sz w:val="12"/>
                <w:szCs w:val="12"/>
                <w:color w:val="auto"/>
              </w:rPr>
            </w:pPr>
          </w:p>
        </w:tc>
        <w:tc>
          <w:tcPr>
            <w:tcW w:w="740" w:type="dxa"/>
            <w:vAlign w:val="bottom"/>
            <w:tcBorders>
              <w:bottom w:val="single" w:sz="8" w:color="D7282F"/>
            </w:tcBorders>
          </w:tcPr>
          <w:p>
            <w:pPr>
              <w:jc w:val="center"/>
              <w:ind w:right="172"/>
              <w:spacing w:after="0"/>
              <w:rPr>
                <w:sz w:val="20"/>
                <w:szCs w:val="20"/>
                <w:color w:val="auto"/>
              </w:rPr>
            </w:pPr>
            <w:r>
              <w:rPr>
                <w:rFonts w:ascii="Arial" w:cs="Arial" w:eastAsia="Arial" w:hAnsi="Arial"/>
                <w:sz w:val="10"/>
                <w:szCs w:val="10"/>
                <w:b w:val="1"/>
                <w:bCs w:val="1"/>
                <w:color w:val="auto"/>
                <w:w w:val="96"/>
              </w:rPr>
              <w:t>Net Sales</w:t>
            </w:r>
            <w:r>
              <w:rPr>
                <w:rFonts w:ascii="Arial" w:cs="Arial" w:eastAsia="Arial" w:hAnsi="Arial"/>
                <w:sz w:val="12"/>
                <w:szCs w:val="12"/>
                <w:b w:val="1"/>
                <w:bCs w:val="1"/>
                <w:color w:val="auto"/>
                <w:w w:val="96"/>
                <w:vertAlign w:val="superscript"/>
              </w:rPr>
              <w:t>1</w:t>
            </w:r>
          </w:p>
        </w:tc>
        <w:tc>
          <w:tcPr>
            <w:tcW w:w="280" w:type="dxa"/>
            <w:vAlign w:val="bottom"/>
            <w:tcBorders>
              <w:bottom w:val="single" w:sz="8" w:color="D7282F"/>
            </w:tcBorders>
          </w:tcPr>
          <w:p>
            <w:pPr>
              <w:spacing w:after="0"/>
              <w:rPr>
                <w:sz w:val="12"/>
                <w:szCs w:val="12"/>
                <w:color w:val="auto"/>
              </w:rPr>
            </w:pPr>
          </w:p>
        </w:tc>
        <w:tc>
          <w:tcPr>
            <w:tcW w:w="600" w:type="dxa"/>
            <w:vAlign w:val="bottom"/>
            <w:tcBorders>
              <w:bottom w:val="single" w:sz="8" w:color="D7282F"/>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D7282F"/>
            </w:tcBorders>
          </w:tcPr>
          <w:p>
            <w:pPr>
              <w:spacing w:after="0"/>
              <w:rPr>
                <w:sz w:val="12"/>
                <w:szCs w:val="12"/>
                <w:color w:val="auto"/>
              </w:rPr>
            </w:pPr>
          </w:p>
        </w:tc>
        <w:tc>
          <w:tcPr>
            <w:tcW w:w="560" w:type="dxa"/>
            <w:vAlign w:val="bottom"/>
            <w:tcBorders>
              <w:bottom w:val="single" w:sz="8" w:color="D7282F"/>
            </w:tcBorders>
          </w:tcPr>
          <w:p>
            <w:pPr>
              <w:spacing w:after="0"/>
              <w:rPr>
                <w:sz w:val="12"/>
                <w:szCs w:val="12"/>
                <w:color w:val="auto"/>
              </w:rPr>
            </w:pPr>
          </w:p>
        </w:tc>
        <w:tc>
          <w:tcPr>
            <w:tcW w:w="1140" w:type="dxa"/>
            <w:vAlign w:val="bottom"/>
            <w:tcBorders>
              <w:bottom w:val="single" w:sz="8" w:color="D7282F"/>
            </w:tcBorders>
            <w:gridSpan w:val="2"/>
          </w:tcPr>
          <w:p>
            <w:pPr>
              <w:jc w:val="center"/>
              <w:ind w:left="72"/>
              <w:spacing w:after="0"/>
              <w:rPr>
                <w:sz w:val="20"/>
                <w:szCs w:val="20"/>
                <w:color w:val="auto"/>
              </w:rPr>
            </w:pPr>
            <w:r>
              <w:rPr>
                <w:rFonts w:ascii="Arial" w:cs="Arial" w:eastAsia="Arial" w:hAnsi="Arial"/>
                <w:sz w:val="10"/>
                <w:szCs w:val="10"/>
                <w:b w:val="1"/>
                <w:bCs w:val="1"/>
                <w:color w:val="auto"/>
                <w:w w:val="94"/>
              </w:rPr>
              <w:t>Long-lived Assets</w:t>
            </w:r>
            <w:r>
              <w:rPr>
                <w:rFonts w:ascii="Arial" w:cs="Arial" w:eastAsia="Arial" w:hAnsi="Arial"/>
                <w:sz w:val="12"/>
                <w:szCs w:val="12"/>
                <w:b w:val="1"/>
                <w:bCs w:val="1"/>
                <w:color w:val="auto"/>
                <w:w w:val="94"/>
                <w:vertAlign w:val="superscript"/>
              </w:rPr>
              <w:t>2</w:t>
            </w:r>
          </w:p>
        </w:tc>
        <w:tc>
          <w:tcPr>
            <w:tcW w:w="240" w:type="dxa"/>
            <w:vAlign w:val="bottom"/>
            <w:tcBorders>
              <w:bottom w:val="single" w:sz="8" w:color="D7282F"/>
            </w:tcBorders>
          </w:tcPr>
          <w:p>
            <w:pPr>
              <w:spacing w:after="0"/>
              <w:rPr>
                <w:sz w:val="12"/>
                <w:szCs w:val="12"/>
                <w:color w:val="auto"/>
              </w:rPr>
            </w:pPr>
          </w:p>
        </w:tc>
        <w:tc>
          <w:tcPr>
            <w:tcW w:w="620" w:type="dxa"/>
            <w:vAlign w:val="bottom"/>
            <w:tcBorders>
              <w:bottom w:val="single" w:sz="8" w:color="D7282F"/>
            </w:tcBorders>
          </w:tcPr>
          <w:p>
            <w:pPr>
              <w:spacing w:after="0"/>
              <w:rPr>
                <w:sz w:val="12"/>
                <w:szCs w:val="12"/>
                <w:color w:val="auto"/>
              </w:rPr>
            </w:pPr>
          </w:p>
        </w:tc>
      </w:tr>
      <w:tr>
        <w:trPr>
          <w:trHeight w:val="150"/>
        </w:trPr>
        <w:tc>
          <w:tcPr>
            <w:tcW w:w="5660" w:type="dxa"/>
            <w:vAlign w:val="bottom"/>
          </w:tcPr>
          <w:p>
            <w:pPr>
              <w:spacing w:after="0"/>
              <w:rPr>
                <w:sz w:val="13"/>
                <w:szCs w:val="13"/>
                <w:color w:val="auto"/>
              </w:rPr>
            </w:pPr>
          </w:p>
        </w:tc>
        <w:tc>
          <w:tcPr>
            <w:tcW w:w="160" w:type="dxa"/>
            <w:vAlign w:val="bottom"/>
            <w:tcBorders>
              <w:bottom w:val="single" w:sz="8" w:color="D7282F"/>
            </w:tcBorders>
          </w:tcPr>
          <w:p>
            <w:pPr>
              <w:spacing w:after="0"/>
              <w:rPr>
                <w:sz w:val="13"/>
                <w:szCs w:val="13"/>
                <w:color w:val="auto"/>
              </w:rPr>
            </w:pPr>
          </w:p>
        </w:tc>
        <w:tc>
          <w:tcPr>
            <w:tcW w:w="560" w:type="dxa"/>
            <w:vAlign w:val="bottom"/>
            <w:tcBorders>
              <w:bottom w:val="single" w:sz="8" w:color="D7282F"/>
            </w:tcBorders>
          </w:tcPr>
          <w:p>
            <w:pPr>
              <w:spacing w:after="0"/>
              <w:rPr>
                <w:sz w:val="13"/>
                <w:szCs w:val="13"/>
                <w:color w:val="auto"/>
              </w:rPr>
            </w:pPr>
          </w:p>
        </w:tc>
        <w:tc>
          <w:tcPr>
            <w:tcW w:w="1380" w:type="dxa"/>
            <w:vAlign w:val="bottom"/>
            <w:tcBorders>
              <w:bottom w:val="single" w:sz="8" w:color="D7282F"/>
            </w:tcBorders>
            <w:gridSpan w:val="3"/>
          </w:tcPr>
          <w:p>
            <w:pPr>
              <w:jc w:val="center"/>
              <w:ind w:right="92"/>
              <w:spacing w:after="0"/>
              <w:rPr>
                <w:sz w:val="20"/>
                <w:szCs w:val="20"/>
                <w:color w:val="auto"/>
              </w:rPr>
            </w:pPr>
            <w:r>
              <w:rPr>
                <w:rFonts w:ascii="Arial" w:cs="Arial" w:eastAsia="Arial" w:hAnsi="Arial"/>
                <w:sz w:val="10"/>
                <w:szCs w:val="10"/>
                <w:b w:val="1"/>
                <w:bCs w:val="1"/>
                <w:color w:val="auto"/>
                <w:w w:val="96"/>
              </w:rPr>
              <w:t>Years Ended December 31,</w:t>
            </w:r>
          </w:p>
        </w:tc>
        <w:tc>
          <w:tcPr>
            <w:tcW w:w="600" w:type="dxa"/>
            <w:vAlign w:val="bottom"/>
            <w:tcBorders>
              <w:bottom w:val="single" w:sz="8" w:color="D7282F"/>
            </w:tcBorders>
          </w:tcPr>
          <w:p>
            <w:pPr>
              <w:spacing w:after="0"/>
              <w:rPr>
                <w:sz w:val="13"/>
                <w:szCs w:val="13"/>
                <w:color w:val="auto"/>
              </w:rPr>
            </w:pPr>
          </w:p>
        </w:tc>
        <w:tc>
          <w:tcPr>
            <w:tcW w:w="200" w:type="dxa"/>
            <w:vAlign w:val="bottom"/>
            <w:tcBorders>
              <w:bottom w:val="single" w:sz="8" w:color="D7282F"/>
            </w:tcBorders>
          </w:tcPr>
          <w:p>
            <w:pPr>
              <w:spacing w:after="0"/>
              <w:rPr>
                <w:sz w:val="13"/>
                <w:szCs w:val="13"/>
                <w:color w:val="auto"/>
              </w:rPr>
            </w:pPr>
          </w:p>
        </w:tc>
        <w:tc>
          <w:tcPr>
            <w:tcW w:w="180" w:type="dxa"/>
            <w:vAlign w:val="bottom"/>
            <w:tcBorders>
              <w:bottom w:val="single" w:sz="8" w:color="D7282F"/>
            </w:tcBorders>
          </w:tcPr>
          <w:p>
            <w:pPr>
              <w:spacing w:after="0"/>
              <w:rPr>
                <w:sz w:val="13"/>
                <w:szCs w:val="13"/>
                <w:color w:val="auto"/>
              </w:rPr>
            </w:pPr>
          </w:p>
        </w:tc>
        <w:tc>
          <w:tcPr>
            <w:tcW w:w="560" w:type="dxa"/>
            <w:vAlign w:val="bottom"/>
            <w:tcBorders>
              <w:bottom w:val="single" w:sz="8" w:color="D7282F"/>
            </w:tcBorders>
          </w:tcPr>
          <w:p>
            <w:pPr>
              <w:spacing w:after="0"/>
              <w:rPr>
                <w:sz w:val="13"/>
                <w:szCs w:val="13"/>
                <w:color w:val="auto"/>
              </w:rPr>
            </w:pPr>
          </w:p>
        </w:tc>
        <w:tc>
          <w:tcPr>
            <w:tcW w:w="1380" w:type="dxa"/>
            <w:vAlign w:val="bottom"/>
            <w:tcBorders>
              <w:bottom w:val="single" w:sz="8" w:color="D7282F"/>
            </w:tcBorders>
            <w:gridSpan w:val="3"/>
          </w:tcPr>
          <w:p>
            <w:pPr>
              <w:jc w:val="center"/>
              <w:ind w:right="72"/>
              <w:spacing w:after="0"/>
              <w:rPr>
                <w:sz w:val="20"/>
                <w:szCs w:val="20"/>
                <w:color w:val="auto"/>
              </w:rPr>
            </w:pPr>
            <w:r>
              <w:rPr>
                <w:rFonts w:ascii="Arial" w:cs="Arial" w:eastAsia="Arial" w:hAnsi="Arial"/>
                <w:sz w:val="10"/>
                <w:szCs w:val="10"/>
                <w:b w:val="1"/>
                <w:bCs w:val="1"/>
                <w:color w:val="auto"/>
                <w:w w:val="94"/>
              </w:rPr>
              <w:t>Years Ended December 31,</w:t>
            </w:r>
          </w:p>
        </w:tc>
        <w:tc>
          <w:tcPr>
            <w:tcW w:w="620" w:type="dxa"/>
            <w:vAlign w:val="bottom"/>
            <w:tcBorders>
              <w:bottom w:val="single" w:sz="8" w:color="D7282F"/>
            </w:tcBorders>
          </w:tcPr>
          <w:p>
            <w:pPr>
              <w:spacing w:after="0"/>
              <w:rPr>
                <w:sz w:val="13"/>
                <w:szCs w:val="13"/>
                <w:color w:val="auto"/>
              </w:rPr>
            </w:pPr>
          </w:p>
        </w:tc>
      </w:tr>
      <w:tr>
        <w:trPr>
          <w:trHeight w:val="124"/>
        </w:trPr>
        <w:tc>
          <w:tcPr>
            <w:tcW w:w="566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ind w:right="192"/>
              <w:spacing w:after="0"/>
              <w:rPr>
                <w:sz w:val="20"/>
                <w:szCs w:val="20"/>
                <w:color w:val="auto"/>
              </w:rPr>
            </w:pPr>
            <w:r>
              <w:rPr>
                <w:rFonts w:ascii="Arial" w:cs="Arial" w:eastAsia="Arial" w:hAnsi="Arial"/>
                <w:sz w:val="10"/>
                <w:szCs w:val="10"/>
                <w:b w:val="1"/>
                <w:bCs w:val="1"/>
                <w:color w:val="auto"/>
              </w:rPr>
              <w:t>2023</w:t>
            </w:r>
          </w:p>
        </w:tc>
        <w:tc>
          <w:tcPr>
            <w:tcW w:w="36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center"/>
              <w:ind w:right="172"/>
              <w:spacing w:after="0"/>
              <w:rPr>
                <w:sz w:val="20"/>
                <w:szCs w:val="20"/>
                <w:color w:val="auto"/>
              </w:rPr>
            </w:pPr>
            <w:r>
              <w:rPr>
                <w:rFonts w:ascii="Arial" w:cs="Arial" w:eastAsia="Arial" w:hAnsi="Arial"/>
                <w:sz w:val="10"/>
                <w:szCs w:val="10"/>
                <w:b w:val="1"/>
                <w:bCs w:val="1"/>
                <w:color w:val="auto"/>
                <w:w w:val="89"/>
              </w:rPr>
              <w:t>2022</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2021</w:t>
            </w:r>
          </w:p>
        </w:tc>
        <w:tc>
          <w:tcPr>
            <w:tcW w:w="20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ind w:right="192"/>
              <w:spacing w:after="0"/>
              <w:rPr>
                <w:sz w:val="20"/>
                <w:szCs w:val="20"/>
                <w:color w:val="auto"/>
              </w:rPr>
            </w:pPr>
            <w:r>
              <w:rPr>
                <w:rFonts w:ascii="Arial" w:cs="Arial" w:eastAsia="Arial" w:hAnsi="Arial"/>
                <w:sz w:val="10"/>
                <w:szCs w:val="10"/>
                <w:b w:val="1"/>
                <w:bCs w:val="1"/>
                <w:color w:val="auto"/>
              </w:rPr>
              <w:t>2023</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center"/>
              <w:ind w:right="252"/>
              <w:spacing w:after="0"/>
              <w:rPr>
                <w:sz w:val="20"/>
                <w:szCs w:val="20"/>
                <w:color w:val="auto"/>
              </w:rPr>
            </w:pPr>
            <w:r>
              <w:rPr>
                <w:rFonts w:ascii="Arial" w:cs="Arial" w:eastAsia="Arial" w:hAnsi="Arial"/>
                <w:sz w:val="10"/>
                <w:szCs w:val="10"/>
                <w:b w:val="1"/>
                <w:bCs w:val="1"/>
                <w:color w:val="auto"/>
                <w:w w:val="89"/>
              </w:rPr>
              <w:t>2022</w:t>
            </w:r>
          </w:p>
        </w:tc>
        <w:tc>
          <w:tcPr>
            <w:tcW w:w="24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2021</w:t>
            </w:r>
          </w:p>
        </w:tc>
      </w:tr>
      <w:tr>
        <w:trPr>
          <w:trHeight w:val="122"/>
        </w:trPr>
        <w:tc>
          <w:tcPr>
            <w:tcW w:w="56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United States</w:t>
            </w:r>
          </w:p>
        </w:tc>
        <w:tc>
          <w:tcPr>
            <w:tcW w:w="16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20,907</w:t>
            </w:r>
          </w:p>
        </w:tc>
        <w:tc>
          <w:tcPr>
            <w:tcW w:w="3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21,262</w:t>
            </w:r>
          </w:p>
        </w:tc>
        <w:tc>
          <w:tcPr>
            <w:tcW w:w="28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20,662</w:t>
            </w:r>
          </w:p>
        </w:tc>
        <w:tc>
          <w:tcPr>
            <w:tcW w:w="20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4,107</w:t>
            </w:r>
          </w:p>
        </w:tc>
        <w:tc>
          <w:tcPr>
            <w:tcW w:w="40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3,949</w:t>
            </w:r>
          </w:p>
        </w:tc>
        <w:tc>
          <w:tcPr>
            <w:tcW w:w="24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3,964</w:t>
            </w:r>
          </w:p>
        </w:tc>
      </w:tr>
      <w:tr>
        <w:trPr>
          <w:trHeight w:val="124"/>
        </w:trPr>
        <w:tc>
          <w:tcPr>
            <w:tcW w:w="56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Europe</w:t>
            </w:r>
          </w:p>
        </w:tc>
        <w:tc>
          <w:tcPr>
            <w:tcW w:w="1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8,052</w:t>
            </w:r>
          </w:p>
        </w:tc>
        <w:tc>
          <w:tcPr>
            <w:tcW w:w="3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6,840</w:t>
            </w:r>
          </w:p>
        </w:tc>
        <w:tc>
          <w:tcPr>
            <w:tcW w:w="28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6,800</w:t>
            </w:r>
          </w:p>
        </w:tc>
        <w:tc>
          <w:tcPr>
            <w:tcW w:w="20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555</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537</w:t>
            </w:r>
          </w:p>
        </w:tc>
        <w:tc>
          <w:tcPr>
            <w:tcW w:w="24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566</w:t>
            </w:r>
          </w:p>
        </w:tc>
      </w:tr>
      <w:tr>
        <w:trPr>
          <w:trHeight w:val="124"/>
        </w:trPr>
        <w:tc>
          <w:tcPr>
            <w:tcW w:w="56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Other international</w:t>
            </w:r>
          </w:p>
        </w:tc>
        <w:tc>
          <w:tcPr>
            <w:tcW w:w="16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7,703</w:t>
            </w:r>
          </w:p>
        </w:tc>
        <w:tc>
          <w:tcPr>
            <w:tcW w:w="36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7,364</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6,930</w:t>
            </w:r>
          </w:p>
        </w:tc>
        <w:tc>
          <w:tcPr>
            <w:tcW w:w="20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998</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color w:val="auto"/>
              </w:rPr>
              <w:t>985</w:t>
            </w:r>
          </w:p>
        </w:tc>
        <w:tc>
          <w:tcPr>
            <w:tcW w:w="24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1,032</w:t>
            </w:r>
          </w:p>
        </w:tc>
      </w:tr>
      <w:tr>
        <w:trPr>
          <w:trHeight w:val="126"/>
        </w:trPr>
        <w:tc>
          <w:tcPr>
            <w:tcW w:w="566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Net sales</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36,662</w:t>
            </w: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35,466</w:t>
            </w:r>
          </w:p>
        </w:tc>
        <w:tc>
          <w:tcPr>
            <w:tcW w:w="2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34,392</w:t>
            </w:r>
          </w:p>
        </w:tc>
        <w:tc>
          <w:tcPr>
            <w:tcW w:w="20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5,660</w:t>
            </w:r>
          </w:p>
        </w:tc>
        <w:tc>
          <w:tcPr>
            <w:tcW w:w="4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5,471</w:t>
            </w:r>
          </w:p>
        </w:tc>
        <w:tc>
          <w:tcPr>
            <w:tcW w:w="24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62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5,562</w:t>
            </w:r>
          </w:p>
        </w:tc>
      </w:tr>
    </w:tbl>
    <w:p>
      <w:pPr>
        <w:spacing w:after="0" w:line="132" w:lineRule="exact"/>
        <w:rPr>
          <w:sz w:val="20"/>
          <w:szCs w:val="20"/>
          <w:color w:val="auto"/>
        </w:rPr>
      </w:pPr>
    </w:p>
    <w:p>
      <w:pPr>
        <w:ind w:left="428" w:right="20" w:hanging="280"/>
        <w:spacing w:after="0" w:line="181" w:lineRule="auto"/>
        <w:tabs>
          <w:tab w:leader="none" w:pos="428" w:val="left"/>
        </w:tabs>
        <w:numPr>
          <w:ilvl w:val="0"/>
          <w:numId w:val="159"/>
        </w:numPr>
        <w:rPr>
          <w:rFonts w:ascii="Arial" w:cs="Arial" w:eastAsia="Arial" w:hAnsi="Arial"/>
          <w:sz w:val="16"/>
          <w:szCs w:val="16"/>
          <w:color w:val="auto"/>
          <w:vertAlign w:val="superscript"/>
        </w:rPr>
      </w:pPr>
      <w:r>
        <w:rPr>
          <w:rFonts w:ascii="Arial" w:cs="Arial" w:eastAsia="Arial" w:hAnsi="Arial"/>
          <w:sz w:val="8"/>
          <w:szCs w:val="8"/>
          <w:color w:val="auto"/>
        </w:rPr>
        <w:t>Sales between geographic areas approximate market value and are not significant. Net sales are classified according to their country of origin. Included in United States Net sales are export sales of $4,708 million, $4,187 million, and $4,037 million for the years ended December 31, 2023, 2022, and 2021, respectively.</w:t>
      </w:r>
    </w:p>
    <w:p>
      <w:pPr>
        <w:spacing w:after="0" w:line="12" w:lineRule="exact"/>
        <w:rPr>
          <w:sz w:val="20"/>
          <w:szCs w:val="20"/>
          <w:color w:val="auto"/>
        </w:rPr>
      </w:pPr>
    </w:p>
    <w:p>
      <w:pPr>
        <w:ind w:left="428" w:hanging="280"/>
        <w:spacing w:after="0"/>
        <w:tabs>
          <w:tab w:leader="none" w:pos="428" w:val="left"/>
        </w:tabs>
        <w:numPr>
          <w:ilvl w:val="0"/>
          <w:numId w:val="160"/>
        </w:numPr>
        <w:rPr>
          <w:rFonts w:ascii="Arial" w:cs="Arial" w:eastAsia="Arial" w:hAnsi="Arial"/>
          <w:sz w:val="17"/>
          <w:szCs w:val="17"/>
          <w:color w:val="auto"/>
          <w:vertAlign w:val="superscript"/>
        </w:rPr>
      </w:pPr>
      <w:r>
        <w:rPr>
          <w:rFonts w:ascii="Arial" w:cs="Arial" w:eastAsia="Arial" w:hAnsi="Arial"/>
          <w:sz w:val="8"/>
          <w:szCs w:val="8"/>
          <w:color w:val="auto"/>
        </w:rPr>
        <w:t>Long-lived assets consists of Property, plant and equipment—net.</w:t>
      </w:r>
    </w:p>
    <w:p>
      <w:pPr>
        <w:spacing w:after="0" w:line="304" w:lineRule="exact"/>
        <w:rPr>
          <w:sz w:val="20"/>
          <w:szCs w:val="20"/>
          <w:color w:val="auto"/>
        </w:rPr>
      </w:pPr>
    </w:p>
    <w:p>
      <w:pPr>
        <w:ind w:left="8"/>
        <w:spacing w:after="0"/>
        <w:rPr>
          <w:sz w:val="20"/>
          <w:szCs w:val="20"/>
          <w:color w:val="auto"/>
        </w:rPr>
      </w:pPr>
      <w:r>
        <w:rPr>
          <w:rFonts w:ascii="Arial" w:cs="Arial" w:eastAsia="Arial" w:hAnsi="Arial"/>
          <w:sz w:val="19"/>
          <w:szCs w:val="19"/>
          <w:color w:val="D7282F"/>
        </w:rPr>
        <w:t>NOTE 24. SUPPLEMENTAL CASH FLOW INFORMATION</w:t>
      </w:r>
    </w:p>
    <w:p>
      <w:pPr>
        <w:spacing w:after="0" w:line="227"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8580" w:type="dxa"/>
            <w:vAlign w:val="bottom"/>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580" w:type="dxa"/>
            <w:vAlign w:val="bottom"/>
            <w:tcBorders>
              <w:bottom w:val="single" w:sz="8" w:color="D7282F"/>
            </w:tcBorders>
          </w:tcPr>
          <w:p>
            <w:pPr>
              <w:spacing w:after="0"/>
              <w:rPr>
                <w:sz w:val="11"/>
                <w:szCs w:val="11"/>
                <w:color w:val="auto"/>
              </w:rPr>
            </w:pPr>
          </w:p>
        </w:tc>
        <w:tc>
          <w:tcPr>
            <w:tcW w:w="1380" w:type="dxa"/>
            <w:vAlign w:val="bottom"/>
            <w:tcBorders>
              <w:bottom w:val="single" w:sz="8" w:color="D7282F"/>
            </w:tcBorders>
            <w:gridSpan w:val="3"/>
          </w:tcPr>
          <w:p>
            <w:pPr>
              <w:jc w:val="right"/>
              <w:ind w:right="92"/>
              <w:spacing w:after="0"/>
              <w:rPr>
                <w:sz w:val="20"/>
                <w:szCs w:val="20"/>
                <w:color w:val="auto"/>
              </w:rPr>
            </w:pPr>
            <w:r>
              <w:rPr>
                <w:rFonts w:ascii="Arial" w:cs="Arial" w:eastAsia="Arial" w:hAnsi="Arial"/>
                <w:sz w:val="10"/>
                <w:szCs w:val="10"/>
                <w:b w:val="1"/>
                <w:bCs w:val="1"/>
                <w:color w:val="auto"/>
                <w:w w:val="94"/>
              </w:rPr>
              <w:t>Years Ended December 31,</w:t>
            </w:r>
          </w:p>
        </w:tc>
        <w:tc>
          <w:tcPr>
            <w:tcW w:w="600" w:type="dxa"/>
            <w:vAlign w:val="bottom"/>
            <w:tcBorders>
              <w:bottom w:val="single" w:sz="8" w:color="D7282F"/>
            </w:tcBorders>
          </w:tcPr>
          <w:p>
            <w:pPr>
              <w:spacing w:after="0"/>
              <w:rPr>
                <w:sz w:val="11"/>
                <w:szCs w:val="11"/>
                <w:color w:val="auto"/>
              </w:rPr>
            </w:pPr>
          </w:p>
        </w:tc>
      </w:tr>
      <w:tr>
        <w:trPr>
          <w:trHeight w:val="160"/>
        </w:trPr>
        <w:tc>
          <w:tcPr>
            <w:tcW w:w="8580" w:type="dxa"/>
            <w:vAlign w:val="bottom"/>
            <w:tcBorders>
              <w:bottom w:val="single" w:sz="8" w:color="D7282F"/>
            </w:tcBorders>
          </w:tcPr>
          <w:p>
            <w:pPr>
              <w:spacing w:after="0"/>
              <w:rPr>
                <w:sz w:val="13"/>
                <w:szCs w:val="13"/>
                <w:color w:val="auto"/>
              </w:rPr>
            </w:pPr>
          </w:p>
        </w:tc>
        <w:tc>
          <w:tcPr>
            <w:tcW w:w="160" w:type="dxa"/>
            <w:vAlign w:val="bottom"/>
            <w:tcBorders>
              <w:bottom w:val="single" w:sz="8" w:color="D7282F"/>
            </w:tcBorders>
          </w:tcPr>
          <w:p>
            <w:pPr>
              <w:spacing w:after="0"/>
              <w:rPr>
                <w:sz w:val="13"/>
                <w:szCs w:val="13"/>
                <w:color w:val="auto"/>
              </w:rPr>
            </w:pPr>
          </w:p>
        </w:tc>
        <w:tc>
          <w:tcPr>
            <w:tcW w:w="58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b w:val="1"/>
                <w:bCs w:val="1"/>
                <w:color w:val="auto"/>
              </w:rPr>
              <w:t>2023</w:t>
            </w:r>
          </w:p>
        </w:tc>
        <w:tc>
          <w:tcPr>
            <w:tcW w:w="400" w:type="dxa"/>
            <w:vAlign w:val="bottom"/>
            <w:tcBorders>
              <w:bottom w:val="single" w:sz="8" w:color="D7282F"/>
            </w:tcBorders>
          </w:tcPr>
          <w:p>
            <w:pPr>
              <w:spacing w:after="0"/>
              <w:rPr>
                <w:sz w:val="13"/>
                <w:szCs w:val="13"/>
                <w:color w:val="auto"/>
              </w:rPr>
            </w:pPr>
          </w:p>
        </w:tc>
        <w:tc>
          <w:tcPr>
            <w:tcW w:w="70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2022</w:t>
            </w:r>
          </w:p>
        </w:tc>
        <w:tc>
          <w:tcPr>
            <w:tcW w:w="28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2021</w:t>
            </w:r>
          </w:p>
        </w:tc>
      </w:tr>
      <w:tr>
        <w:trPr>
          <w:trHeight w:val="124"/>
        </w:trPr>
        <w:tc>
          <w:tcPr>
            <w:tcW w:w="858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Net payments for repositioning and other charges</w:t>
            </w:r>
          </w:p>
        </w:tc>
        <w:tc>
          <w:tcPr>
            <w:tcW w:w="1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spacing w:after="0"/>
              <w:rPr>
                <w:sz w:val="10"/>
                <w:szCs w:val="10"/>
                <w:color w:val="auto"/>
              </w:rPr>
            </w:pPr>
          </w:p>
        </w:tc>
        <w:tc>
          <w:tcPr>
            <w:tcW w:w="40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spacing w:after="0"/>
              <w:rPr>
                <w:sz w:val="10"/>
                <w:szCs w:val="10"/>
                <w:color w:val="auto"/>
              </w:rPr>
            </w:pPr>
          </w:p>
        </w:tc>
      </w:tr>
      <w:tr>
        <w:trPr>
          <w:trHeight w:val="122"/>
        </w:trPr>
        <w:tc>
          <w:tcPr>
            <w:tcW w:w="858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Severance and exit cost payments</w:t>
            </w:r>
          </w:p>
        </w:tc>
        <w:tc>
          <w:tcPr>
            <w:tcW w:w="16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(294)</w:t>
            </w:r>
          </w:p>
        </w:tc>
        <w:tc>
          <w:tcPr>
            <w:tcW w:w="40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(275)</w:t>
            </w:r>
          </w:p>
        </w:tc>
        <w:tc>
          <w:tcPr>
            <w:tcW w:w="2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(382)</w:t>
            </w:r>
          </w:p>
        </w:tc>
      </w:tr>
      <w:tr>
        <w:trPr>
          <w:trHeight w:val="124"/>
        </w:trPr>
        <w:tc>
          <w:tcPr>
            <w:tcW w:w="858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Environmental payments</w:t>
            </w:r>
          </w:p>
        </w:tc>
        <w:tc>
          <w:tcPr>
            <w:tcW w:w="1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(196)</w:t>
            </w:r>
          </w:p>
        </w:tc>
        <w:tc>
          <w:tcPr>
            <w:tcW w:w="40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(211)</w:t>
            </w:r>
          </w:p>
        </w:tc>
        <w:tc>
          <w:tcPr>
            <w:tcW w:w="2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(210)</w:t>
            </w:r>
          </w:p>
        </w:tc>
      </w:tr>
      <w:tr>
        <w:trPr>
          <w:trHeight w:val="124"/>
        </w:trPr>
        <w:tc>
          <w:tcPr>
            <w:tcW w:w="858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Reimbursement receipts</w:t>
            </w:r>
          </w:p>
        </w:tc>
        <w:tc>
          <w:tcPr>
            <w:tcW w:w="1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140</w:t>
            </w:r>
          </w:p>
        </w:tc>
        <w:tc>
          <w:tcPr>
            <w:tcW w:w="40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140</w:t>
            </w:r>
          </w:p>
        </w:tc>
        <w:tc>
          <w:tcPr>
            <w:tcW w:w="2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140</w:t>
            </w:r>
          </w:p>
        </w:tc>
      </w:tr>
      <w:tr>
        <w:trPr>
          <w:trHeight w:val="124"/>
        </w:trPr>
        <w:tc>
          <w:tcPr>
            <w:tcW w:w="858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Insurance receipts for asbestos-related liabilities</w:t>
            </w:r>
          </w:p>
        </w:tc>
        <w:tc>
          <w:tcPr>
            <w:tcW w:w="1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39</w:t>
            </w:r>
          </w:p>
        </w:tc>
        <w:tc>
          <w:tcPr>
            <w:tcW w:w="40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37</w:t>
            </w:r>
          </w:p>
        </w:tc>
        <w:tc>
          <w:tcPr>
            <w:tcW w:w="2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46</w:t>
            </w:r>
          </w:p>
        </w:tc>
      </w:tr>
      <w:tr>
        <w:trPr>
          <w:trHeight w:val="124"/>
        </w:trPr>
        <w:tc>
          <w:tcPr>
            <w:tcW w:w="858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Insurance receivables settlements and write-offs</w:t>
            </w:r>
          </w:p>
        </w:tc>
        <w:tc>
          <w:tcPr>
            <w:tcW w:w="1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26</w:t>
            </w:r>
          </w:p>
        </w:tc>
        <w:tc>
          <w:tcPr>
            <w:tcW w:w="40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68</w:t>
            </w:r>
          </w:p>
        </w:tc>
        <w:tc>
          <w:tcPr>
            <w:tcW w:w="2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Asbestos-related liability payments</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(174)</w:t>
            </w:r>
          </w:p>
        </w:tc>
        <w:tc>
          <w:tcPr>
            <w:tcW w:w="40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(271)</w:t>
            </w:r>
          </w:p>
        </w:tc>
        <w:tc>
          <w:tcPr>
            <w:tcW w:w="2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(286)</w:t>
            </w:r>
          </w:p>
        </w:tc>
      </w:tr>
      <w:tr>
        <w:trPr>
          <w:trHeight w:val="126"/>
        </w:trPr>
        <w:tc>
          <w:tcPr>
            <w:tcW w:w="85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net payments for repositioning and other charges</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(459)</w:t>
            </w:r>
          </w:p>
        </w:tc>
        <w:tc>
          <w:tcPr>
            <w:tcW w:w="4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(512)</w:t>
            </w:r>
          </w:p>
        </w:tc>
        <w:tc>
          <w:tcPr>
            <w:tcW w:w="2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(692)</w:t>
            </w:r>
          </w:p>
        </w:tc>
      </w:tr>
      <w:tr>
        <w:trPr>
          <w:trHeight w:val="122"/>
        </w:trPr>
        <w:tc>
          <w:tcPr>
            <w:tcW w:w="85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Interest paid, net of amounts capitalized</w:t>
            </w:r>
          </w:p>
        </w:tc>
        <w:tc>
          <w:tcPr>
            <w:tcW w:w="16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649</w:t>
            </w:r>
          </w:p>
        </w:tc>
        <w:tc>
          <w:tcPr>
            <w:tcW w:w="40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375</w:t>
            </w:r>
          </w:p>
        </w:tc>
        <w:tc>
          <w:tcPr>
            <w:tcW w:w="2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339</w:t>
            </w:r>
          </w:p>
        </w:tc>
      </w:tr>
      <w:tr>
        <w:trPr>
          <w:trHeight w:val="124"/>
        </w:trPr>
        <w:tc>
          <w:tcPr>
            <w:tcW w:w="85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Income taxes paid, net of refunds</w:t>
            </w:r>
          </w:p>
        </w:tc>
        <w:tc>
          <w:tcPr>
            <w:tcW w:w="1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1,581</w:t>
            </w:r>
          </w:p>
        </w:tc>
        <w:tc>
          <w:tcPr>
            <w:tcW w:w="40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1,324</w:t>
            </w:r>
          </w:p>
        </w:tc>
        <w:tc>
          <w:tcPr>
            <w:tcW w:w="2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1,202</w:t>
            </w:r>
          </w:p>
        </w:tc>
      </w:tr>
      <w:tr>
        <w:trPr>
          <w:trHeight w:val="124"/>
        </w:trPr>
        <w:tc>
          <w:tcPr>
            <w:tcW w:w="85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Non-cash investing and financing activities</w:t>
            </w:r>
          </w:p>
        </w:tc>
        <w:tc>
          <w:tcPr>
            <w:tcW w:w="1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spacing w:after="0"/>
              <w:rPr>
                <w:sz w:val="10"/>
                <w:szCs w:val="10"/>
                <w:color w:val="auto"/>
              </w:rPr>
            </w:pPr>
          </w:p>
        </w:tc>
        <w:tc>
          <w:tcPr>
            <w:tcW w:w="40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spacing w:after="0"/>
              <w:rPr>
                <w:sz w:val="10"/>
                <w:szCs w:val="10"/>
                <w:color w:val="auto"/>
              </w:rPr>
            </w:pPr>
          </w:p>
        </w:tc>
      </w:tr>
      <w:tr>
        <w:trPr>
          <w:trHeight w:val="124"/>
        </w:trPr>
        <w:tc>
          <w:tcPr>
            <w:tcW w:w="858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Common stock contributed to savings plans</w:t>
            </w:r>
          </w:p>
        </w:tc>
        <w:tc>
          <w:tcPr>
            <w:tcW w:w="1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216</w:t>
            </w:r>
          </w:p>
        </w:tc>
        <w:tc>
          <w:tcPr>
            <w:tcW w:w="40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196</w:t>
            </w:r>
          </w:p>
        </w:tc>
        <w:tc>
          <w:tcPr>
            <w:tcW w:w="2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191</w:t>
            </w:r>
          </w:p>
        </w:tc>
      </w:tr>
      <w:tr>
        <w:trPr>
          <w:trHeight w:val="124"/>
        </w:trPr>
        <w:tc>
          <w:tcPr>
            <w:tcW w:w="858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Marketable securities contributed to non-U.S. pension plans</w:t>
            </w:r>
          </w:p>
        </w:tc>
        <w:tc>
          <w:tcPr>
            <w:tcW w:w="1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81</w:t>
            </w:r>
          </w:p>
        </w:tc>
      </w:tr>
      <w:tr>
        <w:trPr>
          <w:trHeight w:val="127"/>
        </w:trPr>
        <w:tc>
          <w:tcPr>
            <w:tcW w:w="8580" w:type="dxa"/>
            <w:vAlign w:val="bottom"/>
            <w:tcBorders>
              <w:bottom w:val="single" w:sz="8" w:color="61656A"/>
            </w:tcBorders>
          </w:tcPr>
          <w:p>
            <w:pPr>
              <w:ind w:left="80"/>
              <w:spacing w:after="0" w:line="127" w:lineRule="exact"/>
              <w:rPr>
                <w:sz w:val="20"/>
                <w:szCs w:val="20"/>
                <w:color w:val="auto"/>
              </w:rPr>
            </w:pPr>
            <w:r>
              <w:rPr>
                <w:rFonts w:ascii="Arial" w:cs="Arial" w:eastAsia="Arial" w:hAnsi="Arial"/>
                <w:sz w:val="10"/>
                <w:szCs w:val="10"/>
                <w:color w:val="auto"/>
              </w:rPr>
              <w:t>Impact of Quantinuum contribution</w:t>
            </w:r>
            <w:r>
              <w:rPr>
                <w:rFonts w:ascii="Arial" w:cs="Arial" w:eastAsia="Arial" w:hAnsi="Arial"/>
                <w:sz w:val="12"/>
                <w:szCs w:val="12"/>
                <w:color w:val="auto"/>
                <w:vertAlign w:val="superscript"/>
              </w:rPr>
              <w:t>1</w:t>
            </w:r>
          </w:p>
        </w:tc>
        <w:tc>
          <w:tcPr>
            <w:tcW w:w="160" w:type="dxa"/>
            <w:vAlign w:val="bottom"/>
            <w:tcBorders>
              <w:bottom w:val="single" w:sz="8" w:color="61656A"/>
            </w:tcBorders>
          </w:tcPr>
          <w:p>
            <w:pPr>
              <w:spacing w:after="0"/>
              <w:rPr>
                <w:sz w:val="11"/>
                <w:szCs w:val="11"/>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61656A"/>
            </w:tcBorders>
          </w:tcPr>
          <w:p>
            <w:pPr>
              <w:spacing w:after="0"/>
              <w:rPr>
                <w:sz w:val="11"/>
                <w:szCs w:val="11"/>
                <w:color w:val="auto"/>
              </w:rPr>
            </w:pPr>
          </w:p>
        </w:tc>
        <w:tc>
          <w:tcPr>
            <w:tcW w:w="70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spacing w:after="0"/>
              <w:rPr>
                <w:sz w:val="11"/>
                <w:szCs w:val="11"/>
                <w:color w:val="auto"/>
              </w:rPr>
            </w:pP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460</w:t>
            </w:r>
          </w:p>
        </w:tc>
      </w:tr>
      <w:tr>
        <w:trPr>
          <w:trHeight w:val="124"/>
        </w:trPr>
        <w:tc>
          <w:tcPr>
            <w:tcW w:w="8580" w:type="dxa"/>
            <w:vAlign w:val="bottom"/>
            <w:tcBorders>
              <w:bottom w:val="single" w:sz="8" w:color="61656A"/>
            </w:tcBorders>
          </w:tcPr>
          <w:p>
            <w:pPr>
              <w:ind w:left="80"/>
              <w:spacing w:after="0" w:line="124" w:lineRule="exact"/>
              <w:rPr>
                <w:sz w:val="20"/>
                <w:szCs w:val="20"/>
                <w:color w:val="auto"/>
              </w:rPr>
            </w:pPr>
            <w:r>
              <w:rPr>
                <w:rFonts w:ascii="Arial" w:cs="Arial" w:eastAsia="Arial" w:hAnsi="Arial"/>
                <w:sz w:val="10"/>
                <w:szCs w:val="10"/>
                <w:color w:val="auto"/>
              </w:rPr>
              <w:t>Noncontrolling interest non-cash contribution</w:t>
            </w:r>
            <w:r>
              <w:rPr>
                <w:rFonts w:ascii="Arial" w:cs="Arial" w:eastAsia="Arial" w:hAnsi="Arial"/>
                <w:sz w:val="12"/>
                <w:szCs w:val="12"/>
                <w:color w:val="auto"/>
                <w:vertAlign w:val="superscript"/>
              </w:rPr>
              <w:t>1</w:t>
            </w:r>
          </w:p>
        </w:tc>
        <w:tc>
          <w:tcPr>
            <w:tcW w:w="1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419</w:t>
            </w:r>
          </w:p>
        </w:tc>
      </w:tr>
      <w:tr>
        <w:trPr>
          <w:trHeight w:val="121"/>
        </w:trPr>
        <w:tc>
          <w:tcPr>
            <w:tcW w:w="858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Loan in exchange for prepaid assets</w:t>
            </w:r>
          </w:p>
        </w:tc>
        <w:tc>
          <w:tcPr>
            <w:tcW w:w="1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25</w:t>
            </w:r>
          </w:p>
        </w:tc>
      </w:tr>
      <w:tr>
        <w:trPr>
          <w:trHeight w:val="127"/>
        </w:trPr>
        <w:tc>
          <w:tcPr>
            <w:tcW w:w="8580" w:type="dxa"/>
            <w:vAlign w:val="bottom"/>
            <w:tcBorders>
              <w:bottom w:val="single" w:sz="8" w:color="D7282F"/>
            </w:tcBorders>
          </w:tcPr>
          <w:p>
            <w:pPr>
              <w:ind w:left="80"/>
              <w:spacing w:after="0" w:line="127" w:lineRule="exact"/>
              <w:rPr>
                <w:sz w:val="20"/>
                <w:szCs w:val="20"/>
                <w:color w:val="auto"/>
              </w:rPr>
            </w:pPr>
            <w:r>
              <w:rPr>
                <w:rFonts w:ascii="Arial" w:cs="Arial" w:eastAsia="Arial" w:hAnsi="Arial"/>
                <w:sz w:val="10"/>
                <w:szCs w:val="10"/>
                <w:color w:val="auto"/>
              </w:rPr>
              <w:t>Receipt of Garrett Series B Preferred Stock</w:t>
            </w:r>
            <w:r>
              <w:rPr>
                <w:rFonts w:ascii="Arial" w:cs="Arial" w:eastAsia="Arial" w:hAnsi="Arial"/>
                <w:sz w:val="12"/>
                <w:szCs w:val="12"/>
                <w:color w:val="auto"/>
                <w:vertAlign w:val="superscript"/>
              </w:rPr>
              <w:t>2</w:t>
            </w:r>
          </w:p>
        </w:tc>
        <w:tc>
          <w:tcPr>
            <w:tcW w:w="160" w:type="dxa"/>
            <w:vAlign w:val="bottom"/>
            <w:tcBorders>
              <w:bottom w:val="single" w:sz="8" w:color="D7282F"/>
            </w:tcBorders>
          </w:tcPr>
          <w:p>
            <w:pPr>
              <w:spacing w:after="0"/>
              <w:rPr>
                <w:sz w:val="11"/>
                <w:szCs w:val="11"/>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D7282F"/>
            </w:tcBorders>
          </w:tcPr>
          <w:p>
            <w:pPr>
              <w:spacing w:after="0"/>
              <w:rPr>
                <w:sz w:val="11"/>
                <w:szCs w:val="11"/>
                <w:color w:val="auto"/>
              </w:rPr>
            </w:pPr>
          </w:p>
        </w:tc>
        <w:tc>
          <w:tcPr>
            <w:tcW w:w="7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D7282F"/>
            </w:tcBorders>
          </w:tcPr>
          <w:p>
            <w:pPr>
              <w:spacing w:after="0"/>
              <w:rPr>
                <w:sz w:val="11"/>
                <w:szCs w:val="11"/>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577</w:t>
            </w:r>
          </w:p>
        </w:tc>
      </w:tr>
    </w:tbl>
    <w:p>
      <w:pPr>
        <w:spacing w:after="0" w:line="132" w:lineRule="exact"/>
        <w:rPr>
          <w:sz w:val="20"/>
          <w:szCs w:val="20"/>
          <w:color w:val="auto"/>
        </w:rPr>
      </w:pPr>
    </w:p>
    <w:p>
      <w:pPr>
        <w:ind w:left="428" w:right="20" w:hanging="280"/>
        <w:spacing w:after="0"/>
        <w:tabs>
          <w:tab w:leader="none" w:pos="428" w:val="left"/>
        </w:tabs>
        <w:numPr>
          <w:ilvl w:val="0"/>
          <w:numId w:val="161"/>
        </w:numPr>
        <w:rPr>
          <w:rFonts w:ascii="Arial" w:cs="Arial" w:eastAsia="Arial" w:hAnsi="Arial"/>
          <w:sz w:val="17"/>
          <w:szCs w:val="17"/>
          <w:color w:val="auto"/>
          <w:vertAlign w:val="superscript"/>
        </w:rPr>
      </w:pPr>
      <w:r>
        <w:rPr>
          <w:rFonts w:ascii="Arial" w:cs="Arial" w:eastAsia="Arial" w:hAnsi="Arial"/>
          <w:sz w:val="8"/>
          <w:szCs w:val="8"/>
          <w:color w:val="auto"/>
        </w:rPr>
        <w:t>See Note 2 Acquisitions and Divestitures for additional information of non-cash amounts recognized related to the combination of Honeywell Quantum Solutions and Cambridge Quantum Computing to form Quantinuum, a newly formed entity, which Honeywell consolidates as the controlling majority-owner.</w:t>
      </w:r>
    </w:p>
    <w:p>
      <w:pPr>
        <w:spacing w:after="0" w:line="111" w:lineRule="exact"/>
        <w:rPr>
          <w:sz w:val="20"/>
          <w:szCs w:val="20"/>
          <w:color w:val="auto"/>
        </w:rPr>
      </w:pPr>
    </w:p>
    <w:p>
      <w:pPr>
        <w:ind w:left="428" w:right="20" w:hanging="280"/>
        <w:spacing w:after="0" w:line="181" w:lineRule="auto"/>
        <w:tabs>
          <w:tab w:leader="none" w:pos="428" w:val="left"/>
        </w:tabs>
        <w:numPr>
          <w:ilvl w:val="0"/>
          <w:numId w:val="162"/>
        </w:numPr>
        <w:rPr>
          <w:rFonts w:ascii="Arial" w:cs="Arial" w:eastAsia="Arial" w:hAnsi="Arial"/>
          <w:sz w:val="17"/>
          <w:szCs w:val="17"/>
          <w:color w:val="auto"/>
          <w:vertAlign w:val="superscript"/>
        </w:rPr>
      </w:pPr>
      <w:r>
        <w:rPr>
          <w:rFonts w:ascii="Arial" w:cs="Arial" w:eastAsia="Arial" w:hAnsi="Arial"/>
          <w:sz w:val="8"/>
          <w:szCs w:val="8"/>
          <w:color w:val="auto"/>
        </w:rPr>
        <w:t>See Note 19 Commitments and Contingencies for additional information of non-cash amounts recognized related to the receipt of 834.8 million shares of Garrett Series B Preferred Stock in exchange for the full and final satisfaction of the Garrett Indemnity, Tax Matters Agreement, and pending litigation between the Company and Garrett. The non-cash amount reflects the fair value of the Garrett Series B Preferred Stock as of April 30, 2021, the date Garrett issued the Series B Preferred Stock to the Company.</w:t>
      </w:r>
    </w:p>
    <w:p>
      <w:pPr>
        <w:spacing w:after="0" w:line="200" w:lineRule="exact"/>
        <w:rPr>
          <w:sz w:val="20"/>
          <w:szCs w:val="20"/>
          <w:color w:val="auto"/>
        </w:rPr>
      </w:pPr>
    </w:p>
    <w:p>
      <w:pPr>
        <w:spacing w:after="0" w:line="207" w:lineRule="exact"/>
        <w:rPr>
          <w:sz w:val="20"/>
          <w:szCs w:val="20"/>
          <w:color w:val="auto"/>
        </w:rPr>
      </w:pPr>
    </w:p>
    <w:p>
      <w:pPr>
        <w:ind w:left="328" w:hanging="328"/>
        <w:spacing w:after="0"/>
        <w:tabs>
          <w:tab w:leader="none" w:pos="328" w:val="left"/>
        </w:tabs>
        <w:numPr>
          <w:ilvl w:val="0"/>
          <w:numId w:val="163"/>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116" w:name="page117"/>
    <w:bookmarkEnd w:id="116"/>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REPORT OF INDEPENDENT REGISTERED PUBLIC ACCOUNTING FIRM</w:t>
      </w:r>
    </w:p>
    <w:p>
      <w:pPr>
        <w:spacing w:after="0" w:line="262" w:lineRule="exact"/>
        <w:rPr>
          <w:sz w:val="20"/>
          <w:szCs w:val="20"/>
          <w:color w:val="auto"/>
        </w:rPr>
      </w:pPr>
    </w:p>
    <w:p>
      <w:pPr>
        <w:ind w:left="8"/>
        <w:spacing w:after="0"/>
        <w:rPr>
          <w:sz w:val="20"/>
          <w:szCs w:val="20"/>
          <w:color w:val="auto"/>
        </w:rPr>
      </w:pPr>
      <w:r>
        <w:rPr>
          <w:rFonts w:ascii="Arial" w:cs="Arial" w:eastAsia="Arial" w:hAnsi="Arial"/>
          <w:sz w:val="11"/>
          <w:szCs w:val="11"/>
          <w:color w:val="auto"/>
        </w:rPr>
        <w:t>To the shareowners and the Board of Directors of Honeywell International Inc.</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Opinions on the Financial Statements and Internal Control over Financial Reporting</w:t>
      </w:r>
    </w:p>
    <w:p>
      <w:pPr>
        <w:spacing w:after="0" w:line="10" w:lineRule="exact"/>
        <w:rPr>
          <w:sz w:val="20"/>
          <w:szCs w:val="20"/>
          <w:color w:val="auto"/>
        </w:rPr>
      </w:pPr>
    </w:p>
    <w:p>
      <w:pPr>
        <w:jc w:val="both"/>
        <w:ind w:left="8"/>
        <w:spacing w:after="0" w:line="253" w:lineRule="auto"/>
        <w:rPr>
          <w:sz w:val="20"/>
          <w:szCs w:val="20"/>
          <w:color w:val="auto"/>
        </w:rPr>
      </w:pPr>
      <w:r>
        <w:rPr>
          <w:rFonts w:ascii="Arial" w:cs="Arial" w:eastAsia="Arial" w:hAnsi="Arial"/>
          <w:sz w:val="11"/>
          <w:szCs w:val="11"/>
          <w:color w:val="auto"/>
        </w:rPr>
        <w:t xml:space="preserve">We have audited the accompanying consolidated balance sheets of Honeywell International Inc. and subsidiaries (the "Company" or “Honeywell”) as of December 31, 2023 and 2022, and the related consolidated statements of operations, comprehensive income, shareowners’ equity, and cash flows, for each of the three years in the period ended December 31, 2023, and the related notes (collectively referred to as the "financial statements"). We also have audited the Company’s internal control over financial reporting as of December 31, 2023, based on criteria established in </w:t>
      </w:r>
      <w:r>
        <w:rPr>
          <w:rFonts w:ascii="Arial" w:cs="Arial" w:eastAsia="Arial" w:hAnsi="Arial"/>
          <w:sz w:val="11"/>
          <w:szCs w:val="11"/>
          <w:i w:val="1"/>
          <w:iCs w:val="1"/>
          <w:color w:val="auto"/>
        </w:rPr>
        <w:t>Internal Control — Integrated Framework (2013)</w:t>
      </w:r>
      <w:r>
        <w:rPr>
          <w:rFonts w:ascii="Arial" w:cs="Arial" w:eastAsia="Arial" w:hAnsi="Arial"/>
          <w:sz w:val="11"/>
          <w:szCs w:val="11"/>
          <w:color w:val="auto"/>
        </w:rPr>
        <w:t xml:space="preserve"> issued by the Committee of Sponsoring Organizations of the Treadway Commission (COSO).</w:t>
      </w:r>
    </w:p>
    <w:p>
      <w:pPr>
        <w:spacing w:after="0" w:line="51"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As described in Management’s Report on Internal Control Over Financial Reporting, management excluded from its assessment the internal control over financial reporting at Compressor Controls Corporation, which was acquired on June 30, 2023, and whose financial statements constitute less than 1% of net and total assets, revenues, and net income, respectively, of the consolidated financial statement amounts as of and for the year ended December 31, 2023. Accordingly, our audit did not include the internal control over financial reporting at Compressor Controls Corporation.</w:t>
      </w:r>
    </w:p>
    <w:p>
      <w:pPr>
        <w:spacing w:after="0" w:line="45"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 xml:space="preserve">In our opinion, the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(“generally accepted accounting principles”). Also, in our opinion, the Company maintained, in all material respects, effective internal control over financial reporting as of December 31, 2023, based on criteria established in </w:t>
      </w:r>
      <w:r>
        <w:rPr>
          <w:rFonts w:ascii="Arial" w:cs="Arial" w:eastAsia="Arial" w:hAnsi="Arial"/>
          <w:sz w:val="11"/>
          <w:szCs w:val="11"/>
          <w:i w:val="1"/>
          <w:iCs w:val="1"/>
          <w:color w:val="auto"/>
        </w:rPr>
        <w:t>Internal Control — Integrated Framework (2013)</w:t>
      </w:r>
      <w:r>
        <w:rPr>
          <w:rFonts w:ascii="Arial" w:cs="Arial" w:eastAsia="Arial" w:hAnsi="Arial"/>
          <w:sz w:val="11"/>
          <w:szCs w:val="11"/>
          <w:color w:val="auto"/>
        </w:rPr>
        <w:t xml:space="preserve"> issued by COSO.</w:t>
      </w:r>
    </w:p>
    <w:p>
      <w:pPr>
        <w:spacing w:after="0" w:line="45"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Basis for Opinions</w:t>
      </w:r>
    </w:p>
    <w:p>
      <w:pPr>
        <w:spacing w:after="0" w:line="19" w:lineRule="exact"/>
        <w:rPr>
          <w:sz w:val="20"/>
          <w:szCs w:val="20"/>
          <w:color w:val="auto"/>
        </w:rPr>
      </w:pPr>
    </w:p>
    <w:p>
      <w:pPr>
        <w:jc w:val="both"/>
        <w:ind w:left="8"/>
        <w:spacing w:after="0" w:line="248" w:lineRule="auto"/>
        <w:rPr>
          <w:sz w:val="20"/>
          <w:szCs w:val="20"/>
          <w:color w:val="auto"/>
        </w:rPr>
      </w:pPr>
      <w:r>
        <w:rPr>
          <w:rFonts w:ascii="Arial" w:cs="Arial" w:eastAsia="Arial" w:hAnsi="Arial"/>
          <w:sz w:val="11"/>
          <w:szCs w:val="11"/>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2"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33"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Definition and Limitations of Internal Control over Financial Reporting</w:t>
      </w:r>
    </w:p>
    <w:p>
      <w:pPr>
        <w:spacing w:after="0" w:line="10"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1"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57" w:lineRule="exact"/>
        <w:rPr>
          <w:sz w:val="20"/>
          <w:szCs w:val="20"/>
          <w:color w:val="auto"/>
        </w:rPr>
      </w:pPr>
    </w:p>
    <w:p>
      <w:pPr>
        <w:ind w:left="328" w:hanging="328"/>
        <w:spacing w:after="0"/>
        <w:tabs>
          <w:tab w:leader="none" w:pos="328" w:val="left"/>
        </w:tabs>
        <w:numPr>
          <w:ilvl w:val="0"/>
          <w:numId w:val="164"/>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117" w:name="page118"/>
    <w:bookmarkEnd w:id="117"/>
    <w:p>
      <w:pPr>
        <w:ind w:left="8"/>
        <w:spacing w:after="0"/>
        <w:tabs>
          <w:tab w:leader="none" w:pos="84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Critical Audit Matter</w:t>
      </w:r>
    </w:p>
    <w:p>
      <w:pPr>
        <w:spacing w:after="0" w:line="10" w:lineRule="exact"/>
        <w:rPr>
          <w:sz w:val="20"/>
          <w:szCs w:val="20"/>
          <w:color w:val="auto"/>
        </w:rPr>
      </w:pPr>
    </w:p>
    <w:p>
      <w:pPr>
        <w:jc w:val="both"/>
        <w:ind w:left="8"/>
        <w:spacing w:after="0" w:line="252" w:lineRule="auto"/>
        <w:rPr>
          <w:sz w:val="20"/>
          <w:szCs w:val="20"/>
          <w:color w:val="auto"/>
        </w:rPr>
      </w:pPr>
      <w:r>
        <w:rPr>
          <w:rFonts w:ascii="Arial" w:cs="Arial" w:eastAsia="Arial" w:hAnsi="Arial"/>
          <w:sz w:val="11"/>
          <w:szCs w:val="11"/>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6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Revenue Recognition and Contracts with Customers – Long-Term Contracts – Refer to Note 1 and Note 3 to the financial statements</w:t>
      </w:r>
    </w:p>
    <w:p>
      <w:pPr>
        <w:spacing w:after="0" w:line="75" w:lineRule="exact"/>
        <w:rPr>
          <w:sz w:val="20"/>
          <w:szCs w:val="20"/>
          <w:color w:val="auto"/>
        </w:rPr>
      </w:pPr>
    </w:p>
    <w:p>
      <w:pPr>
        <w:ind w:left="8"/>
        <w:spacing w:after="0"/>
        <w:rPr>
          <w:sz w:val="20"/>
          <w:szCs w:val="20"/>
          <w:color w:val="auto"/>
        </w:rPr>
      </w:pPr>
      <w:r>
        <w:rPr>
          <w:rFonts w:ascii="Arial" w:cs="Arial" w:eastAsia="Arial" w:hAnsi="Arial"/>
          <w:sz w:val="10"/>
          <w:szCs w:val="10"/>
          <w:b w:val="1"/>
          <w:bCs w:val="1"/>
          <w:i w:val="1"/>
          <w:iCs w:val="1"/>
          <w:color w:val="D7282F"/>
        </w:rPr>
        <w:t>Critical Audit Matter Description</w:t>
      </w:r>
    </w:p>
    <w:p>
      <w:pPr>
        <w:spacing w:after="0" w:line="70"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The Company has several businesses which enter into long-term contracts whereby revenue is recognized over the contract term (“over time”) as the work progresses and control of the goods and services are continuously transferred to the customer. Revenue for these contracts is recognized based on the extent of progress towards completion, generally measured by using a cost-to-cost input method.</w:t>
      </w:r>
    </w:p>
    <w:p>
      <w:pPr>
        <w:spacing w:after="0" w:line="51" w:lineRule="exact"/>
        <w:rPr>
          <w:sz w:val="20"/>
          <w:szCs w:val="20"/>
          <w:color w:val="auto"/>
        </w:rPr>
      </w:pPr>
    </w:p>
    <w:p>
      <w:pPr>
        <w:jc w:val="both"/>
        <w:ind w:left="8"/>
        <w:spacing w:after="0" w:line="253" w:lineRule="auto"/>
        <w:rPr>
          <w:sz w:val="20"/>
          <w:szCs w:val="20"/>
          <w:color w:val="auto"/>
        </w:rPr>
      </w:pPr>
      <w:r>
        <w:rPr>
          <w:rFonts w:ascii="Arial" w:cs="Arial" w:eastAsia="Arial" w:hAnsi="Arial"/>
          <w:sz w:val="11"/>
          <w:szCs w:val="11"/>
          <w:color w:val="auto"/>
        </w:rPr>
        <w:t>Accounting for long-term contracts requires management’s judgment in estimating total contract costs. Contract costs, which can be incurred over several years, are largely determined based on negotiated or estimated purchase contract terms and consider factors such as historical performance trends, inflationary trends, technical and schedule risk, internal and subcontractor performance trends, business volume assumptions, asset utilization and anticipated labor agreements.</w:t>
      </w:r>
    </w:p>
    <w:p>
      <w:pPr>
        <w:spacing w:after="0" w:line="59" w:lineRule="exact"/>
        <w:rPr>
          <w:sz w:val="20"/>
          <w:szCs w:val="20"/>
          <w:color w:val="auto"/>
        </w:rPr>
      </w:pPr>
    </w:p>
    <w:p>
      <w:pPr>
        <w:ind w:left="8"/>
        <w:spacing w:after="0"/>
        <w:rPr>
          <w:sz w:val="20"/>
          <w:szCs w:val="20"/>
          <w:color w:val="auto"/>
        </w:rPr>
      </w:pPr>
      <w:r>
        <w:rPr>
          <w:rFonts w:ascii="Arial" w:cs="Arial" w:eastAsia="Arial" w:hAnsi="Arial"/>
          <w:sz w:val="11"/>
          <w:szCs w:val="11"/>
          <w:color w:val="auto"/>
        </w:rPr>
        <w:t>Given the significance of the judgments necessary to estimate costs associated with these long-term contracts (which varies upon the length of the contract), auditing long-term contracts requires a high degree of auditor judgment.</w:t>
      </w:r>
    </w:p>
    <w:p>
      <w:pPr>
        <w:spacing w:after="0" w:line="75" w:lineRule="exact"/>
        <w:rPr>
          <w:sz w:val="20"/>
          <w:szCs w:val="20"/>
          <w:color w:val="auto"/>
        </w:rPr>
      </w:pPr>
    </w:p>
    <w:p>
      <w:pPr>
        <w:ind w:left="8"/>
        <w:spacing w:after="0"/>
        <w:rPr>
          <w:sz w:val="20"/>
          <w:szCs w:val="20"/>
          <w:color w:val="auto"/>
        </w:rPr>
      </w:pPr>
      <w:r>
        <w:rPr>
          <w:rFonts w:ascii="Arial" w:cs="Arial" w:eastAsia="Arial" w:hAnsi="Arial"/>
          <w:sz w:val="10"/>
          <w:szCs w:val="10"/>
          <w:b w:val="1"/>
          <w:bCs w:val="1"/>
          <w:i w:val="1"/>
          <w:iCs w:val="1"/>
          <w:color w:val="D7282F"/>
        </w:rPr>
        <w:t>How the Critical Audit Matter Was Addressed in the Audit</w:t>
      </w:r>
    </w:p>
    <w:p>
      <w:pPr>
        <w:spacing w:after="0" w:line="8" w:lineRule="exact"/>
        <w:rPr>
          <w:sz w:val="20"/>
          <w:szCs w:val="20"/>
          <w:color w:val="auto"/>
        </w:rPr>
      </w:pPr>
    </w:p>
    <w:p>
      <w:pPr>
        <w:ind w:left="8"/>
        <w:spacing w:after="0"/>
        <w:rPr>
          <w:sz w:val="20"/>
          <w:szCs w:val="20"/>
          <w:color w:val="auto"/>
        </w:rPr>
      </w:pPr>
      <w:r>
        <w:rPr>
          <w:rFonts w:ascii="Arial" w:cs="Arial" w:eastAsia="Arial" w:hAnsi="Arial"/>
          <w:sz w:val="11"/>
          <w:szCs w:val="11"/>
          <w:color w:val="auto"/>
        </w:rPr>
        <w:t>Our audit procedures related to long-term contracts included the following, among others:</w:t>
      </w:r>
    </w:p>
    <w:p>
      <w:pPr>
        <w:spacing w:after="0" w:line="62" w:lineRule="exact"/>
        <w:rPr>
          <w:sz w:val="20"/>
          <w:szCs w:val="20"/>
          <w:color w:val="auto"/>
        </w:rPr>
      </w:pPr>
    </w:p>
    <w:p>
      <w:pPr>
        <w:ind w:left="128" w:right="20" w:hanging="128"/>
        <w:spacing w:after="0" w:line="285" w:lineRule="auto"/>
        <w:tabs>
          <w:tab w:leader="none" w:pos="126" w:val="left"/>
        </w:tabs>
        <w:numPr>
          <w:ilvl w:val="0"/>
          <w:numId w:val="165"/>
        </w:numPr>
        <w:rPr>
          <w:rFonts w:ascii="Arial" w:cs="Arial" w:eastAsia="Arial" w:hAnsi="Arial"/>
          <w:sz w:val="11"/>
          <w:szCs w:val="11"/>
          <w:color w:val="D7282F"/>
        </w:rPr>
      </w:pPr>
      <w:r>
        <w:rPr>
          <w:rFonts w:ascii="Arial" w:cs="Arial" w:eastAsia="Arial" w:hAnsi="Arial"/>
          <w:sz w:val="11"/>
          <w:szCs w:val="11"/>
          <w:color w:val="auto"/>
        </w:rPr>
        <w:t>We tested the effectiveness of internal controls over the recognition of revenue and the determination of estimated contract costs including controls over the review of management’s assumptions and key inputs used to recognize revenue and costs on long-term contracts using the cost-to-cost input method.</w:t>
      </w:r>
    </w:p>
    <w:p>
      <w:pPr>
        <w:spacing w:after="0" w:line="5" w:lineRule="exact"/>
        <w:rPr>
          <w:rFonts w:ascii="Arial" w:cs="Arial" w:eastAsia="Arial" w:hAnsi="Arial"/>
          <w:sz w:val="11"/>
          <w:szCs w:val="11"/>
          <w:color w:val="D7282F"/>
        </w:rPr>
      </w:pPr>
    </w:p>
    <w:p>
      <w:pPr>
        <w:ind w:left="128" w:hanging="128"/>
        <w:spacing w:after="0"/>
        <w:tabs>
          <w:tab w:leader="none" w:pos="128" w:val="left"/>
        </w:tabs>
        <w:numPr>
          <w:ilvl w:val="0"/>
          <w:numId w:val="165"/>
        </w:numPr>
        <w:rPr>
          <w:rFonts w:ascii="Arial" w:cs="Arial" w:eastAsia="Arial" w:hAnsi="Arial"/>
          <w:sz w:val="11"/>
          <w:szCs w:val="11"/>
          <w:color w:val="D7282F"/>
        </w:rPr>
      </w:pPr>
      <w:r>
        <w:rPr>
          <w:rFonts w:ascii="Arial" w:cs="Arial" w:eastAsia="Arial" w:hAnsi="Arial"/>
          <w:sz w:val="11"/>
          <w:szCs w:val="11"/>
          <w:color w:val="auto"/>
        </w:rPr>
        <w:t>We evaluated the appropriateness and consistency of management’s methods and assumptions used to recognize revenue and costs on long-term contracts using the cost-to-cost input method to recognize revenue over time.</w:t>
      </w:r>
    </w:p>
    <w:p>
      <w:pPr>
        <w:spacing w:after="0" w:line="53" w:lineRule="exact"/>
        <w:rPr>
          <w:rFonts w:ascii="Arial" w:cs="Arial" w:eastAsia="Arial" w:hAnsi="Arial"/>
          <w:sz w:val="11"/>
          <w:szCs w:val="11"/>
          <w:color w:val="D7282F"/>
        </w:rPr>
      </w:pPr>
    </w:p>
    <w:p>
      <w:pPr>
        <w:ind w:left="128" w:hanging="128"/>
        <w:spacing w:after="0"/>
        <w:tabs>
          <w:tab w:leader="none" w:pos="128" w:val="left"/>
        </w:tabs>
        <w:numPr>
          <w:ilvl w:val="0"/>
          <w:numId w:val="165"/>
        </w:numPr>
        <w:rPr>
          <w:rFonts w:ascii="Arial" w:cs="Arial" w:eastAsia="Arial" w:hAnsi="Arial"/>
          <w:sz w:val="11"/>
          <w:szCs w:val="11"/>
          <w:color w:val="D7282F"/>
        </w:rPr>
      </w:pPr>
      <w:r>
        <w:rPr>
          <w:rFonts w:ascii="Arial" w:cs="Arial" w:eastAsia="Arial" w:hAnsi="Arial"/>
          <w:sz w:val="11"/>
          <w:szCs w:val="11"/>
          <w:color w:val="auto"/>
        </w:rPr>
        <w:t>We tested recorded revenue using a combination of analytical procedures and detailed contract testing.</w:t>
      </w:r>
    </w:p>
    <w:p>
      <w:pPr>
        <w:spacing w:after="0" w:line="53" w:lineRule="exact"/>
        <w:rPr>
          <w:rFonts w:ascii="Arial" w:cs="Arial" w:eastAsia="Arial" w:hAnsi="Arial"/>
          <w:sz w:val="11"/>
          <w:szCs w:val="11"/>
          <w:color w:val="D7282F"/>
        </w:rPr>
      </w:pPr>
    </w:p>
    <w:p>
      <w:pPr>
        <w:ind w:left="128" w:hanging="128"/>
        <w:spacing w:after="0" w:line="268" w:lineRule="auto"/>
        <w:tabs>
          <w:tab w:leader="none" w:pos="126" w:val="left"/>
        </w:tabs>
        <w:numPr>
          <w:ilvl w:val="0"/>
          <w:numId w:val="165"/>
        </w:numPr>
        <w:rPr>
          <w:rFonts w:ascii="Arial" w:cs="Arial" w:eastAsia="Arial" w:hAnsi="Arial"/>
          <w:sz w:val="11"/>
          <w:szCs w:val="11"/>
          <w:color w:val="D7282F"/>
        </w:rPr>
      </w:pPr>
      <w:r>
        <w:rPr>
          <w:rFonts w:ascii="Arial" w:cs="Arial" w:eastAsia="Arial" w:hAnsi="Arial"/>
          <w:sz w:val="11"/>
          <w:szCs w:val="11"/>
          <w:color w:val="auto"/>
        </w:rPr>
        <w:t>We profiled the population of long-term contracts with longer duration and evaluated a selection of loss contracts or contracts with significant gross margin changes against historical performance to assess management’s ability to achieve estimates and to identify potential bias in the recognition of revenue over time.</w:t>
      </w:r>
    </w:p>
    <w:p>
      <w:pPr>
        <w:spacing w:after="0" w:line="29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 DELOITTE &amp; TOUCHE LLP</w:t>
      </w:r>
    </w:p>
    <w:p>
      <w:pPr>
        <w:spacing w:after="0" w:line="200" w:lineRule="exact"/>
        <w:rPr>
          <w:sz w:val="20"/>
          <w:szCs w:val="20"/>
          <w:color w:val="auto"/>
        </w:rPr>
      </w:pPr>
    </w:p>
    <w:p>
      <w:pPr>
        <w:spacing w:after="0" w:line="278" w:lineRule="exact"/>
        <w:rPr>
          <w:sz w:val="20"/>
          <w:szCs w:val="20"/>
          <w:color w:val="auto"/>
        </w:rPr>
      </w:pPr>
    </w:p>
    <w:p>
      <w:pPr>
        <w:ind w:left="8"/>
        <w:spacing w:after="0"/>
        <w:rPr>
          <w:sz w:val="20"/>
          <w:szCs w:val="20"/>
          <w:color w:val="auto"/>
        </w:rPr>
      </w:pPr>
      <w:r>
        <w:rPr>
          <w:rFonts w:ascii="Arial" w:cs="Arial" w:eastAsia="Arial" w:hAnsi="Arial"/>
          <w:sz w:val="11"/>
          <w:szCs w:val="11"/>
          <w:color w:val="auto"/>
        </w:rPr>
        <w:t>Charlotte, North Carolina</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1"/>
          <w:szCs w:val="11"/>
          <w:color w:val="auto"/>
        </w:rPr>
        <w:t>February 16, 2024</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1"/>
          <w:szCs w:val="11"/>
          <w:color w:val="auto"/>
        </w:rPr>
        <w:t>We have served as the Company's auditor since 2014.</w:t>
      </w:r>
    </w:p>
    <w:p>
      <w:pPr>
        <w:spacing w:after="0" w:line="296" w:lineRule="exact"/>
        <w:rPr>
          <w:sz w:val="20"/>
          <w:szCs w:val="20"/>
          <w:color w:val="auto"/>
        </w:rPr>
      </w:pPr>
    </w:p>
    <w:p>
      <w:pPr>
        <w:ind w:left="328" w:hanging="328"/>
        <w:spacing w:after="0"/>
        <w:tabs>
          <w:tab w:leader="none" w:pos="328" w:val="left"/>
        </w:tabs>
        <w:numPr>
          <w:ilvl w:val="0"/>
          <w:numId w:val="166"/>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118" w:name="page119"/>
    <w:bookmarkEnd w:id="118"/>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8" w:right="420"/>
        <w:spacing w:after="0" w:line="296" w:lineRule="auto"/>
        <w:rPr>
          <w:sz w:val="20"/>
          <w:szCs w:val="20"/>
          <w:color w:val="auto"/>
        </w:rPr>
      </w:pPr>
      <w:r>
        <w:rPr>
          <w:rFonts w:ascii="Arial" w:cs="Arial" w:eastAsia="Arial" w:hAnsi="Arial"/>
          <w:sz w:val="24"/>
          <w:szCs w:val="24"/>
          <w:b w:val="1"/>
          <w:bCs w:val="1"/>
          <w:color w:val="auto"/>
        </w:rPr>
        <w:t>CHANGES IN AND DISAGREEMENTS WITH ACCOUNTANTS ON ACCOUNTING AND FINANCIAL DISCLOSURE</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1"/>
          <w:szCs w:val="11"/>
          <w:color w:val="auto"/>
        </w:rPr>
        <w:t>Not applicable.</w:t>
      </w:r>
    </w:p>
    <w:p>
      <w:pPr>
        <w:spacing w:after="0" w:line="235"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CONTROLS AND PROCEDURES</w:t>
      </w:r>
    </w:p>
    <w:p>
      <w:pPr>
        <w:spacing w:after="0" w:line="253" w:lineRule="exact"/>
        <w:rPr>
          <w:sz w:val="20"/>
          <w:szCs w:val="20"/>
          <w:color w:val="auto"/>
        </w:rPr>
      </w:pPr>
    </w:p>
    <w:p>
      <w:pPr>
        <w:jc w:val="both"/>
        <w:ind w:left="8"/>
        <w:spacing w:after="0" w:line="300" w:lineRule="auto"/>
        <w:rPr>
          <w:sz w:val="20"/>
          <w:szCs w:val="20"/>
          <w:color w:val="auto"/>
        </w:rPr>
      </w:pPr>
      <w:r>
        <w:rPr>
          <w:rFonts w:ascii="Arial" w:cs="Arial" w:eastAsia="Arial" w:hAnsi="Arial"/>
          <w:sz w:val="10"/>
          <w:szCs w:val="10"/>
          <w:color w:val="auto"/>
        </w:rPr>
        <w:t>Honeywell management maintains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 There have been no changes that have materially affected, or are reasonably likely to materially affect, Honeywell’s internal control over financial reporting that have occurred during the quarter ended December 31, 2023.</w:t>
      </w:r>
    </w:p>
    <w:p>
      <w:pPr>
        <w:spacing w:after="0" w:line="37" w:lineRule="exact"/>
        <w:rPr>
          <w:sz w:val="20"/>
          <w:szCs w:val="20"/>
          <w:color w:val="auto"/>
        </w:rPr>
      </w:pPr>
    </w:p>
    <w:p>
      <w:pPr>
        <w:jc w:val="both"/>
        <w:ind w:left="8" w:right="20"/>
        <w:spacing w:after="0" w:line="268" w:lineRule="auto"/>
        <w:rPr>
          <w:sz w:val="20"/>
          <w:szCs w:val="20"/>
          <w:color w:val="auto"/>
        </w:rPr>
      </w:pPr>
      <w:r>
        <w:rPr>
          <w:rFonts w:ascii="Arial" w:cs="Arial" w:eastAsia="Arial" w:hAnsi="Arial"/>
          <w:sz w:val="11"/>
          <w:szCs w:val="11"/>
          <w:color w:val="auto"/>
        </w:rPr>
        <w:t>Our management, with the participation of our CEO and CFO, evaluated the effectiveness of our disclosure controls and procedures (as defined in Rule 13a-15(e) promulgated under the Exchange Act) as of December 31, 2023. Based on these evaluations, our CEO and CFO concluded that our disclosure controls and procedures were effective as of December 31, 2023.</w:t>
      </w:r>
    </w:p>
    <w:p>
      <w:pPr>
        <w:spacing w:after="0" w:line="205"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MANAGEMENT'S REPORT ON INTERNAL CONTROL OVER FINANCIAL REPORTING</w:t>
      </w:r>
    </w:p>
    <w:p>
      <w:pPr>
        <w:spacing w:after="0" w:line="262" w:lineRule="exact"/>
        <w:rPr>
          <w:sz w:val="20"/>
          <w:szCs w:val="20"/>
          <w:color w:val="auto"/>
        </w:rPr>
      </w:pPr>
    </w:p>
    <w:p>
      <w:pPr>
        <w:jc w:val="both"/>
        <w:ind w:left="8"/>
        <w:spacing w:after="0" w:line="253" w:lineRule="auto"/>
        <w:rPr>
          <w:sz w:val="20"/>
          <w:szCs w:val="20"/>
          <w:color w:val="auto"/>
        </w:rPr>
      </w:pPr>
      <w:r>
        <w:rPr>
          <w:rFonts w:ascii="Arial" w:cs="Arial" w:eastAsia="Arial" w:hAnsi="Arial"/>
          <w:sz w:val="11"/>
          <w:szCs w:val="11"/>
          <w:color w:val="auto"/>
        </w:rPr>
        <w:t>Honeywell management is responsible for establishing and maintaining adequate internal control over financial reporting and for its assessment of the effectiveness of internal control over financial reporting (as defined in Rule 13a-15(f) under the Exchange Act). Honeywell’s internal control over financial reporting is a process designed to provide reasonable assurance to our management and Board of Directors regarding the reliability of financial reporting and the preparation of financial statements for external purposes in accordance with generally accepted accounting principles.</w:t>
      </w:r>
    </w:p>
    <w:p>
      <w:pPr>
        <w:spacing w:after="0" w:line="59" w:lineRule="exact"/>
        <w:rPr>
          <w:sz w:val="20"/>
          <w:szCs w:val="20"/>
          <w:color w:val="auto"/>
        </w:rPr>
      </w:pPr>
    </w:p>
    <w:p>
      <w:pPr>
        <w:ind w:left="8"/>
        <w:spacing w:after="0"/>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0"/>
          <w:szCs w:val="10"/>
          <w:color w:val="auto"/>
        </w:rPr>
        <w:t>Management assessed the effectiveness of Honeywell’s internal control over financial reporting as of December 31, 2023. In making this assessment, management used the criteria set forth by the Committee of Sponsoring Organizations</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of the Treadway Commission (COSO) in </w:t>
      </w:r>
      <w:r>
        <w:rPr>
          <w:rFonts w:ascii="Arial" w:cs="Arial" w:eastAsia="Arial" w:hAnsi="Arial"/>
          <w:sz w:val="11"/>
          <w:szCs w:val="11"/>
          <w:i w:val="1"/>
          <w:iCs w:val="1"/>
          <w:color w:val="auto"/>
        </w:rPr>
        <w:t>Internal Control—Integrated Framework (2013)</w:t>
      </w:r>
      <w:r>
        <w:rPr>
          <w:rFonts w:ascii="Arial" w:cs="Arial" w:eastAsia="Arial" w:hAnsi="Arial"/>
          <w:sz w:val="11"/>
          <w:szCs w:val="11"/>
          <w:color w:val="auto"/>
        </w:rPr>
        <w:t>.</w:t>
      </w:r>
    </w:p>
    <w:p>
      <w:pPr>
        <w:spacing w:after="0" w:line="65" w:lineRule="exact"/>
        <w:rPr>
          <w:sz w:val="20"/>
          <w:szCs w:val="20"/>
          <w:color w:val="auto"/>
        </w:rPr>
      </w:pPr>
    </w:p>
    <w:p>
      <w:pPr>
        <w:ind w:left="8"/>
        <w:spacing w:after="0"/>
        <w:rPr>
          <w:sz w:val="20"/>
          <w:szCs w:val="20"/>
          <w:color w:val="auto"/>
        </w:rPr>
      </w:pPr>
      <w:r>
        <w:rPr>
          <w:rFonts w:ascii="Arial" w:cs="Arial" w:eastAsia="Arial" w:hAnsi="Arial"/>
          <w:sz w:val="11"/>
          <w:szCs w:val="11"/>
          <w:color w:val="auto"/>
        </w:rPr>
        <w:t>Based on this assessment, management determined that Honeywell maintained effective internal control over financial reporting as of December 31, 2023.</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0"/>
          <w:szCs w:val="10"/>
          <w:color w:val="auto"/>
        </w:rPr>
        <w:t>Management’s assessment of the effectiveness of the Company’s internal control over financial reporting as of December 31, 2023, excluded Compressor Controls Corporation, which was acquired by the Company on June 30, 2023.</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total revenues, net income, and net and total assets of Compressor Controls Corporation represents less than 1% each of the related consolidated financial statement amounts as of December 31, 2023.</w:t>
      </w:r>
    </w:p>
    <w:p>
      <w:pPr>
        <w:spacing w:after="0" w:line="65"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The effectiveness of Honeywell’s internal control over financial reporting as of December 31, 2023 has been audited by Deloitte &amp; Touche LLP, an independent registered public accounting firm, as stated in their report which is included in the section titled Financial Statements and Supplementary Data.</w:t>
      </w:r>
    </w:p>
    <w:p>
      <w:pPr>
        <w:spacing w:after="0" w:line="257" w:lineRule="exact"/>
        <w:rPr>
          <w:sz w:val="20"/>
          <w:szCs w:val="20"/>
          <w:color w:val="auto"/>
        </w:rPr>
      </w:pPr>
    </w:p>
    <w:p>
      <w:pPr>
        <w:ind w:left="328" w:hanging="328"/>
        <w:spacing w:after="0"/>
        <w:tabs>
          <w:tab w:leader="none" w:pos="328" w:val="left"/>
        </w:tabs>
        <w:numPr>
          <w:ilvl w:val="0"/>
          <w:numId w:val="167"/>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119" w:name="page120"/>
    <w:bookmarkEnd w:id="119"/>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OTHER INFORMATION</w:t>
      </w:r>
    </w:p>
    <w:p>
      <w:pPr>
        <w:spacing w:after="0" w:line="241" w:lineRule="exact"/>
        <w:rPr>
          <w:sz w:val="20"/>
          <w:szCs w:val="20"/>
          <w:color w:val="auto"/>
        </w:rPr>
      </w:pPr>
    </w:p>
    <w:p>
      <w:pPr>
        <w:ind w:left="8"/>
        <w:spacing w:after="0"/>
        <w:rPr>
          <w:sz w:val="20"/>
          <w:szCs w:val="20"/>
          <w:color w:val="auto"/>
        </w:rPr>
      </w:pPr>
      <w:r>
        <w:rPr>
          <w:rFonts w:ascii="Arial" w:cs="Arial" w:eastAsia="Arial" w:hAnsi="Arial"/>
          <w:sz w:val="19"/>
          <w:szCs w:val="19"/>
          <w:color w:val="D7282F"/>
        </w:rPr>
        <w:t>EQUITY TRADING PLAN ELECTIONS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1"/>
          <w:szCs w:val="11"/>
          <w:color w:val="auto"/>
        </w:rPr>
        <w:t>Certain executive officers and directors of the Company may execute purchases and sales of the Company's common stock through Rule 10b5-1 and non-Rule 10b5-1 equity trading plans.</w:t>
      </w:r>
    </w:p>
    <w:p>
      <w:pPr>
        <w:spacing w:after="0" w:line="72" w:lineRule="exact"/>
        <w:rPr>
          <w:sz w:val="20"/>
          <w:szCs w:val="20"/>
          <w:color w:val="auto"/>
        </w:rPr>
      </w:pPr>
    </w:p>
    <w:p>
      <w:pPr>
        <w:jc w:val="both"/>
        <w:ind w:left="8" w:right="20"/>
        <w:spacing w:after="0" w:line="285" w:lineRule="auto"/>
        <w:rPr>
          <w:sz w:val="20"/>
          <w:szCs w:val="20"/>
          <w:color w:val="auto"/>
        </w:rPr>
      </w:pPr>
      <w:r>
        <w:rPr>
          <w:rFonts w:ascii="Arial" w:cs="Arial" w:eastAsia="Arial" w:hAnsi="Arial"/>
          <w:sz w:val="11"/>
          <w:szCs w:val="11"/>
          <w:color w:val="auto"/>
        </w:rPr>
        <w:t>During the three months ended December 31, 2023, none of our executive officers or directors adopted, terminated, or modified a Rule 10b5-1 equity trading plan, or adopted, terminated, or modified any "non-Rule 10b5-1 trading arrangement" (as defined in Item 408(c) of Regulation S-K).</w:t>
      </w:r>
    </w:p>
    <w:p>
      <w:pPr>
        <w:spacing w:after="0" w:line="196"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DISCLOSURE REGARDING FOREIGN JURISDICTIONS THAT PREVENT INSPECTIONS</w:t>
      </w:r>
    </w:p>
    <w:p>
      <w:pPr>
        <w:spacing w:after="0" w:line="253" w:lineRule="exact"/>
        <w:rPr>
          <w:sz w:val="20"/>
          <w:szCs w:val="20"/>
          <w:color w:val="auto"/>
        </w:rPr>
      </w:pPr>
    </w:p>
    <w:p>
      <w:pPr>
        <w:ind w:left="8"/>
        <w:spacing w:after="0"/>
        <w:rPr>
          <w:sz w:val="20"/>
          <w:szCs w:val="20"/>
          <w:color w:val="auto"/>
        </w:rPr>
      </w:pPr>
      <w:r>
        <w:rPr>
          <w:rFonts w:ascii="Arial" w:cs="Arial" w:eastAsia="Arial" w:hAnsi="Arial"/>
          <w:sz w:val="11"/>
          <w:szCs w:val="11"/>
          <w:color w:val="auto"/>
        </w:rPr>
        <w:t>Not applicable.</w:t>
      </w:r>
    </w:p>
    <w:p>
      <w:pPr>
        <w:spacing w:after="0" w:line="235"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DIRECTORS, EXECUTIVE OFFICERS, AND CORPORATE GOVERNANCE</w:t>
      </w:r>
    </w:p>
    <w:p>
      <w:pPr>
        <w:spacing w:after="0" w:line="262" w:lineRule="exact"/>
        <w:rPr>
          <w:sz w:val="20"/>
          <w:szCs w:val="20"/>
          <w:color w:val="auto"/>
        </w:rPr>
      </w:pPr>
    </w:p>
    <w:p>
      <w:pPr>
        <w:jc w:val="both"/>
        <w:ind w:left="8" w:right="20"/>
        <w:spacing w:after="0" w:line="262" w:lineRule="auto"/>
        <w:rPr>
          <w:sz w:val="20"/>
          <w:szCs w:val="20"/>
          <w:color w:val="auto"/>
        </w:rPr>
      </w:pPr>
      <w:r>
        <w:rPr>
          <w:rFonts w:ascii="Arial" w:cs="Arial" w:eastAsia="Arial" w:hAnsi="Arial"/>
          <w:sz w:val="11"/>
          <w:szCs w:val="11"/>
          <w:color w:val="auto"/>
        </w:rPr>
        <w:t>Information relating to the Directors of Honeywell, as well as information relating to compliance with Section 16(a) of the Securities Exchange Act of 1934, will be contained in the Proxy Statement, which will be filed with the SEC pursuant to Regulation 14A not later than 120 days after December 31, 2023, and such information is incorporated herein by reference. Certain information relating to the Executive Officers of Honeywell appears in this Form 10-K under the heading titled Information about Our Executive Officers.</w:t>
      </w:r>
    </w:p>
    <w:p>
      <w:pPr>
        <w:spacing w:after="0" w:line="45"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The members of the Audit Committee of our Board of Directors are: D. Scott Davis (Chair), Kevin Burke, Michael W. Lamach, Robin L. Washington, and Robin Watson. The Board has determined that Mr. Davis and Ms. Washington are Audit Committee financial experts as defined by applicable SEC rules and that Mr. Davis, Mr. Burke, Mr. Lamach, Ms. Washington, and Mr. Watson satisfy the financial sophistication criteria established by the Nasdaq. All members of the Audit Committee are independent as that term is defined in applicable SEC rules and Nasdaq listing standards.</w:t>
      </w:r>
    </w:p>
    <w:p>
      <w:pPr>
        <w:spacing w:after="0" w:line="45" w:lineRule="exact"/>
        <w:rPr>
          <w:sz w:val="20"/>
          <w:szCs w:val="20"/>
          <w:color w:val="auto"/>
        </w:rPr>
      </w:pPr>
    </w:p>
    <w:p>
      <w:pPr>
        <w:jc w:val="both"/>
        <w:ind w:left="8"/>
        <w:spacing w:after="0" w:line="260" w:lineRule="auto"/>
        <w:rPr>
          <w:sz w:val="20"/>
          <w:szCs w:val="20"/>
          <w:color w:val="auto"/>
        </w:rPr>
      </w:pPr>
      <w:r>
        <w:rPr>
          <w:rFonts w:ascii="Arial" w:cs="Arial" w:eastAsia="Arial" w:hAnsi="Arial"/>
          <w:sz w:val="11"/>
          <w:szCs w:val="11"/>
          <w:color w:val="auto"/>
        </w:rPr>
        <w:t>Honeywell’s corporate governance policies and procedures, including the Code of Business Conduct, Corporate Governance Guidelines, and Charters of the Committees of the Board of Directors are available, free of charge, on our Investor Relations website (investor.honeywell.com) under the heading Governance (see Governance Overview), or by writing to Honeywell, 855 South Mint Street, Charlotte, North Carolina 28202, c/o Vice President and Corporate Secretary. Honeywell’s Code of Business Conduct applies to all Honeywell directors, officers (including the Chief Executive Officer, Chief Financial Officer, and Controller), and employees. Amendments to or waivers of the Code of Business Conduct granted to any of Honeywell’s directors or executive officers will be published on our website within four business days of such amendment or waiver.</w:t>
      </w:r>
    </w:p>
    <w:p>
      <w:pPr>
        <w:spacing w:after="0" w:line="46"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On December 8, 2023, the Board of Directors amended and restated the By-laws of the Company (as amended and restated, the “By-laws”), effective as of such date, to (i) update the procedures and information requirements for the nomination of directors and the proposal of business for consideration at meetings of shareowners, including with respect to Rule 14a-19 promulgated under the Exchange Act; (ii) provide the chair of the meeting of shareowners with the power and duty to determine whether, in certain specified circumstances, a nomination shall be disregarded or business proposal shall not be transacted; (iii) clarify that the chair of the meeting may prescribe rules and determinations as to the conduct of the shareowners’ meeting; and (iv) clarify and conform various provisions of the By-laws to the General Corporation Law of the State of Delaware and to other provisions of the By-laws and make certain non-substantive changes and updates.</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EXECUTIVE COMPENSATION</w:t>
      </w:r>
    </w:p>
    <w:p>
      <w:pPr>
        <w:spacing w:after="0" w:line="199"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Information relating to executive compensation, including the Management Development and Compensation Committee Report and disclosures regarding compensation committee interlocks and insider participation will be contained in the Proxy Statement, and such information is incorporated herein by reference.</w:t>
      </w:r>
    </w:p>
    <w:p>
      <w:pPr>
        <w:spacing w:after="0" w:line="275" w:lineRule="exact"/>
        <w:rPr>
          <w:sz w:val="20"/>
          <w:szCs w:val="20"/>
          <w:color w:val="auto"/>
        </w:rPr>
      </w:pPr>
    </w:p>
    <w:p>
      <w:pPr>
        <w:ind w:left="328" w:hanging="328"/>
        <w:spacing w:after="0"/>
        <w:tabs>
          <w:tab w:leader="none" w:pos="328" w:val="left"/>
        </w:tabs>
        <w:numPr>
          <w:ilvl w:val="0"/>
          <w:numId w:val="168"/>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120" w:name="page121"/>
    <w:bookmarkEnd w:id="120"/>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8" w:right="220"/>
        <w:spacing w:after="0" w:line="296" w:lineRule="auto"/>
        <w:rPr>
          <w:sz w:val="20"/>
          <w:szCs w:val="20"/>
          <w:color w:val="auto"/>
        </w:rPr>
      </w:pPr>
      <w:r>
        <w:rPr>
          <w:rFonts w:ascii="Arial" w:cs="Arial" w:eastAsia="Arial" w:hAnsi="Arial"/>
          <w:sz w:val="24"/>
          <w:szCs w:val="24"/>
          <w:b w:val="1"/>
          <w:bCs w:val="1"/>
          <w:color w:val="auto"/>
        </w:rPr>
        <w:t>SECURITY OWNERSHIP OF CERTAIN BENEFICIAL OWNERS AND MANAGEMENT AND RELATED STOCKHOLDER MATTERS</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1"/>
          <w:szCs w:val="11"/>
          <w:color w:val="auto"/>
        </w:rPr>
        <w:t>Information relating to security ownership of certain beneficial owners and management and related stockholder matters will be contained in the Proxy Statement, and such information is incorporated herein by reference.</w:t>
      </w:r>
    </w:p>
    <w:p>
      <w:pPr>
        <w:spacing w:after="0" w:line="177" w:lineRule="exact"/>
        <w:rPr>
          <w:sz w:val="20"/>
          <w:szCs w:val="20"/>
          <w:color w:val="auto"/>
        </w:rPr>
      </w:pPr>
    </w:p>
    <w:p>
      <w:pPr>
        <w:ind w:left="8"/>
        <w:spacing w:after="0"/>
        <w:rPr>
          <w:sz w:val="20"/>
          <w:szCs w:val="20"/>
          <w:color w:val="auto"/>
        </w:rPr>
      </w:pPr>
      <w:r>
        <w:rPr>
          <w:rFonts w:ascii="Arial" w:cs="Arial" w:eastAsia="Arial" w:hAnsi="Arial"/>
          <w:sz w:val="19"/>
          <w:szCs w:val="19"/>
          <w:color w:val="D7282F"/>
        </w:rPr>
        <w:t>EQUITY COMPENSATION PLANS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1"/>
          <w:szCs w:val="11"/>
          <w:color w:val="auto"/>
        </w:rPr>
        <w:t>As of December 31, 2023, information about our equity compensation plans was as follows:</w:t>
      </w:r>
    </w:p>
    <w:p>
      <w:pPr>
        <w:spacing w:after="0" w:line="118"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52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60" w:type="dxa"/>
            <w:vAlign w:val="bottom"/>
          </w:tcPr>
          <w:p>
            <w:pPr>
              <w:jc w:val="center"/>
              <w:ind w:right="112"/>
              <w:spacing w:after="0"/>
              <w:rPr>
                <w:sz w:val="20"/>
                <w:szCs w:val="20"/>
                <w:color w:val="auto"/>
              </w:rPr>
            </w:pPr>
            <w:r>
              <w:rPr>
                <w:rFonts w:ascii="Arial" w:cs="Arial" w:eastAsia="Arial" w:hAnsi="Arial"/>
                <w:sz w:val="10"/>
                <w:szCs w:val="10"/>
                <w:b w:val="1"/>
                <w:bCs w:val="1"/>
                <w:color w:val="auto"/>
                <w:w w:val="95"/>
              </w:rPr>
              <w:t>Number of Securities</w:t>
            </w:r>
          </w:p>
        </w:tc>
      </w:tr>
      <w:tr>
        <w:trPr>
          <w:trHeight w:val="117"/>
        </w:trPr>
        <w:tc>
          <w:tcPr>
            <w:tcW w:w="52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60" w:type="dxa"/>
            <w:vAlign w:val="bottom"/>
          </w:tcPr>
          <w:p>
            <w:pPr>
              <w:jc w:val="center"/>
              <w:ind w:right="112"/>
              <w:spacing w:after="0"/>
              <w:rPr>
                <w:sz w:val="20"/>
                <w:szCs w:val="20"/>
                <w:color w:val="auto"/>
              </w:rPr>
            </w:pPr>
            <w:r>
              <w:rPr>
                <w:rFonts w:ascii="Arial" w:cs="Arial" w:eastAsia="Arial" w:hAnsi="Arial"/>
                <w:sz w:val="10"/>
                <w:szCs w:val="10"/>
                <w:b w:val="1"/>
                <w:bCs w:val="1"/>
                <w:color w:val="auto"/>
                <w:w w:val="94"/>
              </w:rPr>
              <w:t>Remaining Available for</w:t>
            </w:r>
          </w:p>
        </w:tc>
      </w:tr>
      <w:tr>
        <w:trPr>
          <w:trHeight w:val="117"/>
        </w:trPr>
        <w:tc>
          <w:tcPr>
            <w:tcW w:w="5220" w:type="dxa"/>
            <w:vAlign w:val="bottom"/>
          </w:tcPr>
          <w:p>
            <w:pPr>
              <w:spacing w:after="0"/>
              <w:rPr>
                <w:sz w:val="10"/>
                <w:szCs w:val="10"/>
                <w:color w:val="auto"/>
              </w:rPr>
            </w:pPr>
          </w:p>
        </w:tc>
        <w:tc>
          <w:tcPr>
            <w:tcW w:w="1620" w:type="dxa"/>
            <w:vAlign w:val="bottom"/>
          </w:tcPr>
          <w:p>
            <w:pPr>
              <w:jc w:val="center"/>
              <w:ind w:left="252"/>
              <w:spacing w:after="0"/>
              <w:rPr>
                <w:sz w:val="20"/>
                <w:szCs w:val="20"/>
                <w:color w:val="auto"/>
              </w:rPr>
            </w:pPr>
            <w:r>
              <w:rPr>
                <w:rFonts w:ascii="Arial" w:cs="Arial" w:eastAsia="Arial" w:hAnsi="Arial"/>
                <w:sz w:val="10"/>
                <w:szCs w:val="10"/>
                <w:b w:val="1"/>
                <w:bCs w:val="1"/>
                <w:color w:val="auto"/>
                <w:w w:val="95"/>
              </w:rPr>
              <w:t>Number of Securities</w:t>
            </w:r>
          </w:p>
        </w:tc>
        <w:tc>
          <w:tcPr>
            <w:tcW w:w="100" w:type="dxa"/>
            <w:vAlign w:val="bottom"/>
          </w:tcPr>
          <w:p>
            <w:pPr>
              <w:spacing w:after="0"/>
              <w:rPr>
                <w:sz w:val="10"/>
                <w:szCs w:val="10"/>
                <w:color w:val="auto"/>
              </w:rPr>
            </w:pPr>
          </w:p>
        </w:tc>
        <w:tc>
          <w:tcPr>
            <w:tcW w:w="2400" w:type="dxa"/>
            <w:vAlign w:val="bottom"/>
            <w:gridSpan w:val="2"/>
          </w:tcPr>
          <w:p>
            <w:pPr>
              <w:jc w:val="center"/>
              <w:ind w:right="132"/>
              <w:spacing w:after="0"/>
              <w:rPr>
                <w:sz w:val="20"/>
                <w:szCs w:val="20"/>
                <w:color w:val="auto"/>
              </w:rPr>
            </w:pPr>
            <w:r>
              <w:rPr>
                <w:rFonts w:ascii="Arial" w:cs="Arial" w:eastAsia="Arial" w:hAnsi="Arial"/>
                <w:sz w:val="10"/>
                <w:szCs w:val="10"/>
                <w:b w:val="1"/>
                <w:bCs w:val="1"/>
                <w:color w:val="auto"/>
                <w:w w:val="93"/>
              </w:rPr>
              <w:t>Weighted Average</w:t>
            </w:r>
          </w:p>
        </w:tc>
        <w:tc>
          <w:tcPr>
            <w:tcW w:w="1960" w:type="dxa"/>
            <w:vAlign w:val="bottom"/>
          </w:tcPr>
          <w:p>
            <w:pPr>
              <w:jc w:val="center"/>
              <w:ind w:right="112"/>
              <w:spacing w:after="0"/>
              <w:rPr>
                <w:sz w:val="20"/>
                <w:szCs w:val="20"/>
                <w:color w:val="auto"/>
              </w:rPr>
            </w:pPr>
            <w:r>
              <w:rPr>
                <w:rFonts w:ascii="Arial" w:cs="Arial" w:eastAsia="Arial" w:hAnsi="Arial"/>
                <w:sz w:val="10"/>
                <w:szCs w:val="10"/>
                <w:b w:val="1"/>
                <w:bCs w:val="1"/>
                <w:color w:val="auto"/>
                <w:w w:val="95"/>
              </w:rPr>
              <w:t>Future Issuance Under</w:t>
            </w:r>
          </w:p>
        </w:tc>
      </w:tr>
      <w:tr>
        <w:trPr>
          <w:trHeight w:val="117"/>
        </w:trPr>
        <w:tc>
          <w:tcPr>
            <w:tcW w:w="5220" w:type="dxa"/>
            <w:vAlign w:val="bottom"/>
          </w:tcPr>
          <w:p>
            <w:pPr>
              <w:spacing w:after="0"/>
              <w:rPr>
                <w:sz w:val="10"/>
                <w:szCs w:val="10"/>
                <w:color w:val="auto"/>
              </w:rPr>
            </w:pPr>
          </w:p>
        </w:tc>
        <w:tc>
          <w:tcPr>
            <w:tcW w:w="1620" w:type="dxa"/>
            <w:vAlign w:val="bottom"/>
          </w:tcPr>
          <w:p>
            <w:pPr>
              <w:jc w:val="center"/>
              <w:ind w:left="252"/>
              <w:spacing w:after="0"/>
              <w:rPr>
                <w:sz w:val="20"/>
                <w:szCs w:val="20"/>
                <w:color w:val="auto"/>
              </w:rPr>
            </w:pPr>
            <w:r>
              <w:rPr>
                <w:rFonts w:ascii="Arial" w:cs="Arial" w:eastAsia="Arial" w:hAnsi="Arial"/>
                <w:sz w:val="10"/>
                <w:szCs w:val="10"/>
                <w:b w:val="1"/>
                <w:bCs w:val="1"/>
                <w:color w:val="auto"/>
                <w:w w:val="95"/>
              </w:rPr>
              <w:t>to be Issued</w:t>
            </w:r>
          </w:p>
        </w:tc>
        <w:tc>
          <w:tcPr>
            <w:tcW w:w="100" w:type="dxa"/>
            <w:vAlign w:val="bottom"/>
          </w:tcPr>
          <w:p>
            <w:pPr>
              <w:spacing w:after="0"/>
              <w:rPr>
                <w:sz w:val="10"/>
                <w:szCs w:val="10"/>
                <w:color w:val="auto"/>
              </w:rPr>
            </w:pPr>
          </w:p>
        </w:tc>
        <w:tc>
          <w:tcPr>
            <w:tcW w:w="2400" w:type="dxa"/>
            <w:vAlign w:val="bottom"/>
            <w:gridSpan w:val="2"/>
          </w:tcPr>
          <w:p>
            <w:pPr>
              <w:jc w:val="center"/>
              <w:ind w:right="132"/>
              <w:spacing w:after="0"/>
              <w:rPr>
                <w:sz w:val="20"/>
                <w:szCs w:val="20"/>
                <w:color w:val="auto"/>
              </w:rPr>
            </w:pPr>
            <w:r>
              <w:rPr>
                <w:rFonts w:ascii="Arial" w:cs="Arial" w:eastAsia="Arial" w:hAnsi="Arial"/>
                <w:sz w:val="10"/>
                <w:szCs w:val="10"/>
                <w:b w:val="1"/>
                <w:bCs w:val="1"/>
                <w:color w:val="auto"/>
                <w:w w:val="96"/>
              </w:rPr>
              <w:t>Exercise Price of</w:t>
            </w:r>
          </w:p>
        </w:tc>
        <w:tc>
          <w:tcPr>
            <w:tcW w:w="1960" w:type="dxa"/>
            <w:vAlign w:val="bottom"/>
          </w:tcPr>
          <w:p>
            <w:pPr>
              <w:jc w:val="center"/>
              <w:ind w:right="92"/>
              <w:spacing w:after="0"/>
              <w:rPr>
                <w:sz w:val="20"/>
                <w:szCs w:val="20"/>
                <w:color w:val="auto"/>
              </w:rPr>
            </w:pPr>
            <w:r>
              <w:rPr>
                <w:rFonts w:ascii="Arial" w:cs="Arial" w:eastAsia="Arial" w:hAnsi="Arial"/>
                <w:sz w:val="10"/>
                <w:szCs w:val="10"/>
                <w:b w:val="1"/>
                <w:bCs w:val="1"/>
                <w:color w:val="auto"/>
                <w:w w:val="95"/>
              </w:rPr>
              <w:t>Equity Compensation</w:t>
            </w:r>
          </w:p>
        </w:tc>
      </w:tr>
      <w:tr>
        <w:trPr>
          <w:trHeight w:val="108"/>
        </w:trPr>
        <w:tc>
          <w:tcPr>
            <w:tcW w:w="5220" w:type="dxa"/>
            <w:vAlign w:val="bottom"/>
          </w:tcPr>
          <w:p>
            <w:pPr>
              <w:spacing w:after="0"/>
              <w:rPr>
                <w:sz w:val="9"/>
                <w:szCs w:val="9"/>
                <w:color w:val="auto"/>
              </w:rPr>
            </w:pPr>
          </w:p>
        </w:tc>
        <w:tc>
          <w:tcPr>
            <w:tcW w:w="1620" w:type="dxa"/>
            <w:vAlign w:val="bottom"/>
          </w:tcPr>
          <w:p>
            <w:pPr>
              <w:jc w:val="center"/>
              <w:ind w:left="232"/>
              <w:spacing w:after="0" w:line="108" w:lineRule="exact"/>
              <w:rPr>
                <w:sz w:val="20"/>
                <w:szCs w:val="20"/>
                <w:color w:val="auto"/>
              </w:rPr>
            </w:pPr>
            <w:r>
              <w:rPr>
                <w:rFonts w:ascii="Arial" w:cs="Arial" w:eastAsia="Arial" w:hAnsi="Arial"/>
                <w:sz w:val="10"/>
                <w:szCs w:val="10"/>
                <w:b w:val="1"/>
                <w:bCs w:val="1"/>
                <w:color w:val="auto"/>
                <w:w w:val="95"/>
              </w:rPr>
              <w:t>Upon Exercise of</w:t>
            </w:r>
          </w:p>
        </w:tc>
        <w:tc>
          <w:tcPr>
            <w:tcW w:w="100" w:type="dxa"/>
            <w:vAlign w:val="bottom"/>
          </w:tcPr>
          <w:p>
            <w:pPr>
              <w:spacing w:after="0"/>
              <w:rPr>
                <w:sz w:val="9"/>
                <w:szCs w:val="9"/>
                <w:color w:val="auto"/>
              </w:rPr>
            </w:pPr>
          </w:p>
        </w:tc>
        <w:tc>
          <w:tcPr>
            <w:tcW w:w="1400" w:type="dxa"/>
            <w:vAlign w:val="bottom"/>
          </w:tcPr>
          <w:p>
            <w:pPr>
              <w:jc w:val="center"/>
              <w:ind w:left="752"/>
              <w:spacing w:after="0" w:line="108" w:lineRule="exact"/>
              <w:rPr>
                <w:sz w:val="20"/>
                <w:szCs w:val="20"/>
                <w:color w:val="auto"/>
              </w:rPr>
            </w:pPr>
            <w:r>
              <w:rPr>
                <w:rFonts w:ascii="Arial" w:cs="Arial" w:eastAsia="Arial" w:hAnsi="Arial"/>
                <w:sz w:val="10"/>
                <w:szCs w:val="10"/>
                <w:b w:val="1"/>
                <w:bCs w:val="1"/>
                <w:color w:val="auto"/>
                <w:w w:val="95"/>
              </w:rPr>
              <w:t>Outstanding</w:t>
            </w:r>
          </w:p>
        </w:tc>
        <w:tc>
          <w:tcPr>
            <w:tcW w:w="1000" w:type="dxa"/>
            <w:vAlign w:val="bottom"/>
          </w:tcPr>
          <w:p>
            <w:pPr>
              <w:spacing w:after="0"/>
              <w:rPr>
                <w:sz w:val="9"/>
                <w:szCs w:val="9"/>
                <w:color w:val="auto"/>
              </w:rPr>
            </w:pPr>
          </w:p>
        </w:tc>
        <w:tc>
          <w:tcPr>
            <w:tcW w:w="1960" w:type="dxa"/>
            <w:vAlign w:val="bottom"/>
          </w:tcPr>
          <w:p>
            <w:pPr>
              <w:jc w:val="center"/>
              <w:ind w:right="112"/>
              <w:spacing w:after="0" w:line="108" w:lineRule="exact"/>
              <w:rPr>
                <w:sz w:val="20"/>
                <w:szCs w:val="20"/>
                <w:color w:val="auto"/>
              </w:rPr>
            </w:pPr>
            <w:r>
              <w:rPr>
                <w:rFonts w:ascii="Arial" w:cs="Arial" w:eastAsia="Arial" w:hAnsi="Arial"/>
                <w:sz w:val="10"/>
                <w:szCs w:val="10"/>
                <w:b w:val="1"/>
                <w:bCs w:val="1"/>
                <w:color w:val="auto"/>
                <w:w w:val="94"/>
              </w:rPr>
              <w:t>Plans (Excluding</w:t>
            </w:r>
          </w:p>
        </w:tc>
      </w:tr>
      <w:tr>
        <w:trPr>
          <w:trHeight w:val="117"/>
        </w:trPr>
        <w:tc>
          <w:tcPr>
            <w:tcW w:w="5220" w:type="dxa"/>
            <w:vAlign w:val="bottom"/>
          </w:tcPr>
          <w:p>
            <w:pPr>
              <w:spacing w:after="0"/>
              <w:rPr>
                <w:sz w:val="10"/>
                <w:szCs w:val="10"/>
                <w:color w:val="auto"/>
              </w:rPr>
            </w:pPr>
          </w:p>
        </w:tc>
        <w:tc>
          <w:tcPr>
            <w:tcW w:w="1620" w:type="dxa"/>
            <w:vAlign w:val="bottom"/>
          </w:tcPr>
          <w:p>
            <w:pPr>
              <w:jc w:val="center"/>
              <w:ind w:left="232"/>
              <w:spacing w:after="0"/>
              <w:rPr>
                <w:sz w:val="20"/>
                <w:szCs w:val="20"/>
                <w:color w:val="auto"/>
              </w:rPr>
            </w:pPr>
            <w:r>
              <w:rPr>
                <w:rFonts w:ascii="Arial" w:cs="Arial" w:eastAsia="Arial" w:hAnsi="Arial"/>
                <w:sz w:val="10"/>
                <w:szCs w:val="10"/>
                <w:b w:val="1"/>
                <w:bCs w:val="1"/>
                <w:color w:val="auto"/>
                <w:w w:val="95"/>
              </w:rPr>
              <w:t>Outstanding Options,</w:t>
            </w:r>
          </w:p>
        </w:tc>
        <w:tc>
          <w:tcPr>
            <w:tcW w:w="100" w:type="dxa"/>
            <w:vAlign w:val="bottom"/>
          </w:tcPr>
          <w:p>
            <w:pPr>
              <w:spacing w:after="0"/>
              <w:rPr>
                <w:sz w:val="10"/>
                <w:szCs w:val="10"/>
                <w:color w:val="auto"/>
              </w:rPr>
            </w:pPr>
          </w:p>
        </w:tc>
        <w:tc>
          <w:tcPr>
            <w:tcW w:w="2400" w:type="dxa"/>
            <w:vAlign w:val="bottom"/>
            <w:gridSpan w:val="2"/>
          </w:tcPr>
          <w:p>
            <w:pPr>
              <w:jc w:val="center"/>
              <w:ind w:right="132"/>
              <w:spacing w:after="0"/>
              <w:rPr>
                <w:sz w:val="20"/>
                <w:szCs w:val="20"/>
                <w:color w:val="auto"/>
              </w:rPr>
            </w:pPr>
            <w:r>
              <w:rPr>
                <w:rFonts w:ascii="Arial" w:cs="Arial" w:eastAsia="Arial" w:hAnsi="Arial"/>
                <w:sz w:val="10"/>
                <w:szCs w:val="10"/>
                <w:b w:val="1"/>
                <w:bCs w:val="1"/>
                <w:color w:val="auto"/>
                <w:w w:val="96"/>
              </w:rPr>
              <w:t>Options, Warrants,</w:t>
            </w:r>
          </w:p>
        </w:tc>
        <w:tc>
          <w:tcPr>
            <w:tcW w:w="1960" w:type="dxa"/>
            <w:vAlign w:val="bottom"/>
          </w:tcPr>
          <w:p>
            <w:pPr>
              <w:jc w:val="center"/>
              <w:ind w:right="112"/>
              <w:spacing w:after="0"/>
              <w:rPr>
                <w:sz w:val="20"/>
                <w:szCs w:val="20"/>
                <w:color w:val="auto"/>
              </w:rPr>
            </w:pPr>
            <w:r>
              <w:rPr>
                <w:rFonts w:ascii="Arial" w:cs="Arial" w:eastAsia="Arial" w:hAnsi="Arial"/>
                <w:sz w:val="10"/>
                <w:szCs w:val="10"/>
                <w:b w:val="1"/>
                <w:bCs w:val="1"/>
                <w:color w:val="auto"/>
                <w:w w:val="96"/>
              </w:rPr>
              <w:t>Securities Reflected in</w:t>
            </w:r>
          </w:p>
        </w:tc>
      </w:tr>
      <w:tr>
        <w:trPr>
          <w:trHeight w:val="141"/>
        </w:trPr>
        <w:tc>
          <w:tcPr>
            <w:tcW w:w="5220" w:type="dxa"/>
            <w:vAlign w:val="bottom"/>
          </w:tcPr>
          <w:p>
            <w:pPr>
              <w:spacing w:after="0"/>
              <w:rPr>
                <w:sz w:val="12"/>
                <w:szCs w:val="12"/>
                <w:color w:val="auto"/>
              </w:rPr>
            </w:pPr>
          </w:p>
        </w:tc>
        <w:tc>
          <w:tcPr>
            <w:tcW w:w="1620" w:type="dxa"/>
            <w:vAlign w:val="bottom"/>
            <w:tcBorders>
              <w:bottom w:val="single" w:sz="8" w:color="D7282F"/>
            </w:tcBorders>
          </w:tcPr>
          <w:p>
            <w:pPr>
              <w:jc w:val="center"/>
              <w:ind w:left="252"/>
              <w:spacing w:after="0"/>
              <w:rPr>
                <w:sz w:val="20"/>
                <w:szCs w:val="20"/>
                <w:color w:val="auto"/>
              </w:rPr>
            </w:pPr>
            <w:r>
              <w:rPr>
                <w:rFonts w:ascii="Arial" w:cs="Arial" w:eastAsia="Arial" w:hAnsi="Arial"/>
                <w:sz w:val="10"/>
                <w:szCs w:val="10"/>
                <w:b w:val="1"/>
                <w:bCs w:val="1"/>
                <w:color w:val="auto"/>
                <w:w w:val="95"/>
              </w:rPr>
              <w:t>Warrants, and Rights</w:t>
            </w:r>
          </w:p>
        </w:tc>
        <w:tc>
          <w:tcPr>
            <w:tcW w:w="100" w:type="dxa"/>
            <w:vAlign w:val="bottom"/>
            <w:tcBorders>
              <w:bottom w:val="single" w:sz="8" w:color="D7282F"/>
            </w:tcBorders>
          </w:tcPr>
          <w:p>
            <w:pPr>
              <w:spacing w:after="0"/>
              <w:rPr>
                <w:sz w:val="12"/>
                <w:szCs w:val="12"/>
                <w:color w:val="auto"/>
              </w:rPr>
            </w:pPr>
          </w:p>
        </w:tc>
        <w:tc>
          <w:tcPr>
            <w:tcW w:w="1400" w:type="dxa"/>
            <w:vAlign w:val="bottom"/>
            <w:tcBorders>
              <w:bottom w:val="single" w:sz="8" w:color="D7282F"/>
            </w:tcBorders>
          </w:tcPr>
          <w:p>
            <w:pPr>
              <w:jc w:val="center"/>
              <w:ind w:left="772"/>
              <w:spacing w:after="0"/>
              <w:rPr>
                <w:sz w:val="20"/>
                <w:szCs w:val="20"/>
                <w:color w:val="auto"/>
              </w:rPr>
            </w:pPr>
            <w:r>
              <w:rPr>
                <w:rFonts w:ascii="Arial" w:cs="Arial" w:eastAsia="Arial" w:hAnsi="Arial"/>
                <w:sz w:val="10"/>
                <w:szCs w:val="10"/>
                <w:b w:val="1"/>
                <w:bCs w:val="1"/>
                <w:color w:val="auto"/>
                <w:w w:val="96"/>
              </w:rPr>
              <w:t>and Rights</w:t>
            </w:r>
          </w:p>
        </w:tc>
        <w:tc>
          <w:tcPr>
            <w:tcW w:w="1000" w:type="dxa"/>
            <w:vAlign w:val="bottom"/>
            <w:tcBorders>
              <w:bottom w:val="single" w:sz="8" w:color="D7282F"/>
            </w:tcBorders>
          </w:tcPr>
          <w:p>
            <w:pPr>
              <w:spacing w:after="0"/>
              <w:rPr>
                <w:sz w:val="12"/>
                <w:szCs w:val="12"/>
                <w:color w:val="auto"/>
              </w:rPr>
            </w:pPr>
          </w:p>
        </w:tc>
        <w:tc>
          <w:tcPr>
            <w:tcW w:w="1960" w:type="dxa"/>
            <w:vAlign w:val="bottom"/>
            <w:tcBorders>
              <w:bottom w:val="single" w:sz="8" w:color="D7282F"/>
            </w:tcBorders>
          </w:tcPr>
          <w:p>
            <w:pPr>
              <w:jc w:val="center"/>
              <w:ind w:right="112"/>
              <w:spacing w:after="0"/>
              <w:rPr>
                <w:sz w:val="20"/>
                <w:szCs w:val="20"/>
                <w:color w:val="auto"/>
              </w:rPr>
            </w:pPr>
            <w:r>
              <w:rPr>
                <w:rFonts w:ascii="Arial" w:cs="Arial" w:eastAsia="Arial" w:hAnsi="Arial"/>
                <w:sz w:val="10"/>
                <w:szCs w:val="10"/>
                <w:b w:val="1"/>
                <w:bCs w:val="1"/>
                <w:color w:val="auto"/>
                <w:w w:val="93"/>
              </w:rPr>
              <w:t>Column (a))</w:t>
            </w:r>
          </w:p>
        </w:tc>
      </w:tr>
      <w:tr>
        <w:trPr>
          <w:trHeight w:val="146"/>
        </w:trPr>
        <w:tc>
          <w:tcPr>
            <w:tcW w:w="522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Plan category</w:t>
            </w:r>
          </w:p>
        </w:tc>
        <w:tc>
          <w:tcPr>
            <w:tcW w:w="1620" w:type="dxa"/>
            <w:vAlign w:val="bottom"/>
            <w:tcBorders>
              <w:bottom w:val="single" w:sz="8" w:color="D7282F"/>
            </w:tcBorders>
          </w:tcPr>
          <w:p>
            <w:pPr>
              <w:spacing w:after="0"/>
              <w:rPr>
                <w:sz w:val="12"/>
                <w:szCs w:val="12"/>
                <w:color w:val="auto"/>
              </w:rPr>
            </w:pPr>
          </w:p>
        </w:tc>
        <w:tc>
          <w:tcPr>
            <w:tcW w:w="100" w:type="dxa"/>
            <w:vAlign w:val="bottom"/>
            <w:tcBorders>
              <w:bottom w:val="single" w:sz="8" w:color="D7282F"/>
            </w:tcBorders>
          </w:tcPr>
          <w:p>
            <w:pPr>
              <w:spacing w:after="0"/>
              <w:rPr>
                <w:sz w:val="12"/>
                <w:szCs w:val="12"/>
                <w:color w:val="auto"/>
              </w:rPr>
            </w:pPr>
          </w:p>
        </w:tc>
        <w:tc>
          <w:tcPr>
            <w:tcW w:w="1400" w:type="dxa"/>
            <w:vAlign w:val="bottom"/>
            <w:tcBorders>
              <w:bottom w:val="single" w:sz="8" w:color="D7282F"/>
            </w:tcBorders>
          </w:tcPr>
          <w:p>
            <w:pPr>
              <w:jc w:val="right"/>
              <w:ind w:right="1192"/>
              <w:spacing w:after="0"/>
              <w:rPr>
                <w:sz w:val="20"/>
                <w:szCs w:val="20"/>
                <w:color w:val="auto"/>
              </w:rPr>
            </w:pPr>
            <w:r>
              <w:rPr>
                <w:rFonts w:ascii="Arial" w:cs="Arial" w:eastAsia="Arial" w:hAnsi="Arial"/>
                <w:sz w:val="10"/>
                <w:szCs w:val="10"/>
                <w:b w:val="1"/>
                <w:bCs w:val="1"/>
                <w:color w:val="auto"/>
              </w:rPr>
              <w:t>(a)</w:t>
            </w:r>
          </w:p>
        </w:tc>
        <w:tc>
          <w:tcPr>
            <w:tcW w:w="1000" w:type="dxa"/>
            <w:vAlign w:val="bottom"/>
            <w:tcBorders>
              <w:bottom w:val="single" w:sz="8" w:color="D7282F"/>
            </w:tcBorders>
          </w:tcPr>
          <w:p>
            <w:pPr>
              <w:ind w:left="500"/>
              <w:spacing w:after="0"/>
              <w:rPr>
                <w:sz w:val="20"/>
                <w:szCs w:val="20"/>
                <w:color w:val="auto"/>
              </w:rPr>
            </w:pPr>
            <w:r>
              <w:rPr>
                <w:rFonts w:ascii="Arial" w:cs="Arial" w:eastAsia="Arial" w:hAnsi="Arial"/>
                <w:sz w:val="10"/>
                <w:szCs w:val="10"/>
                <w:b w:val="1"/>
                <w:bCs w:val="1"/>
                <w:color w:val="auto"/>
              </w:rPr>
              <w:t>(b)</w:t>
            </w:r>
          </w:p>
        </w:tc>
        <w:tc>
          <w:tcPr>
            <w:tcW w:w="1960" w:type="dxa"/>
            <w:vAlign w:val="bottom"/>
            <w:tcBorders>
              <w:bottom w:val="single" w:sz="8" w:color="D7282F"/>
            </w:tcBorders>
          </w:tcPr>
          <w:p>
            <w:pPr>
              <w:ind w:left="1820"/>
              <w:spacing w:after="0"/>
              <w:rPr>
                <w:sz w:val="20"/>
                <w:szCs w:val="20"/>
                <w:color w:val="auto"/>
              </w:rPr>
            </w:pPr>
            <w:r>
              <w:rPr>
                <w:rFonts w:ascii="Arial" w:cs="Arial" w:eastAsia="Arial" w:hAnsi="Arial"/>
                <w:sz w:val="10"/>
                <w:szCs w:val="10"/>
                <w:b w:val="1"/>
                <w:bCs w:val="1"/>
                <w:color w:val="auto"/>
                <w:w w:val="97"/>
              </w:rPr>
              <w:t>(c)</w:t>
            </w:r>
          </w:p>
        </w:tc>
      </w:tr>
      <w:tr>
        <w:trPr>
          <w:trHeight w:val="130"/>
        </w:trPr>
        <w:tc>
          <w:tcPr>
            <w:tcW w:w="52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Equity compensation plans approved by security holders</w:t>
            </w:r>
          </w:p>
        </w:tc>
        <w:tc>
          <w:tcPr>
            <w:tcW w:w="16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16,000,561</w:t>
            </w:r>
          </w:p>
        </w:tc>
        <w:tc>
          <w:tcPr>
            <w:tcW w:w="100" w:type="dxa"/>
            <w:vAlign w:val="bottom"/>
            <w:tcBorders>
              <w:bottom w:val="single" w:sz="8" w:color="61656A"/>
            </w:tcBorders>
          </w:tcPr>
          <w:p>
            <w:pPr>
              <w:jc w:val="right"/>
              <w:ind w:right="9"/>
              <w:spacing w:after="0"/>
              <w:rPr>
                <w:sz w:val="20"/>
                <w:szCs w:val="20"/>
                <w:color w:val="auto"/>
              </w:rPr>
            </w:pPr>
            <w:r>
              <w:rPr>
                <w:rFonts w:ascii="Arial" w:cs="Arial" w:eastAsia="Arial" w:hAnsi="Arial"/>
                <w:sz w:val="6"/>
                <w:szCs w:val="6"/>
                <w:color w:val="auto"/>
              </w:rPr>
              <w:t>1</w:t>
            </w:r>
          </w:p>
        </w:tc>
        <w:tc>
          <w:tcPr>
            <w:tcW w:w="1400" w:type="dxa"/>
            <w:vAlign w:val="bottom"/>
            <w:tcBorders>
              <w:bottom w:val="single" w:sz="8" w:color="61656A"/>
            </w:tcBorders>
          </w:tcPr>
          <w:p>
            <w:pPr>
              <w:jc w:val="right"/>
              <w:ind w:right="272"/>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61656A"/>
            </w:tcBorders>
          </w:tcPr>
          <w:p>
            <w:pPr>
              <w:ind w:left="20"/>
              <w:spacing w:after="0" w:line="130" w:lineRule="exact"/>
              <w:rPr>
                <w:sz w:val="20"/>
                <w:szCs w:val="20"/>
                <w:color w:val="auto"/>
              </w:rPr>
            </w:pPr>
            <w:r>
              <w:rPr>
                <w:rFonts w:ascii="Arial" w:cs="Arial" w:eastAsia="Arial" w:hAnsi="Arial"/>
                <w:sz w:val="10"/>
                <w:szCs w:val="10"/>
                <w:color w:val="auto"/>
              </w:rPr>
              <w:t xml:space="preserve">153.79 </w:t>
            </w:r>
            <w:r>
              <w:rPr>
                <w:rFonts w:ascii="Arial" w:cs="Arial" w:eastAsia="Arial" w:hAnsi="Arial"/>
                <w:sz w:val="12"/>
                <w:szCs w:val="12"/>
                <w:color w:val="auto"/>
                <w:vertAlign w:val="superscript"/>
              </w:rPr>
              <w:t>2</w:t>
            </w:r>
          </w:p>
        </w:tc>
        <w:tc>
          <w:tcPr>
            <w:tcW w:w="1960" w:type="dxa"/>
            <w:vAlign w:val="bottom"/>
            <w:tcBorders>
              <w:bottom w:val="single" w:sz="8" w:color="61656A"/>
            </w:tcBorders>
          </w:tcPr>
          <w:p>
            <w:pPr>
              <w:ind w:left="1160"/>
              <w:spacing w:after="0" w:line="130" w:lineRule="exact"/>
              <w:rPr>
                <w:sz w:val="20"/>
                <w:szCs w:val="20"/>
                <w:color w:val="auto"/>
              </w:rPr>
            </w:pPr>
            <w:r>
              <w:rPr>
                <w:rFonts w:ascii="Arial" w:cs="Arial" w:eastAsia="Arial" w:hAnsi="Arial"/>
                <w:sz w:val="10"/>
                <w:szCs w:val="10"/>
                <w:color w:val="auto"/>
              </w:rPr>
              <w:t xml:space="preserve">31,178,450 </w:t>
            </w:r>
            <w:r>
              <w:rPr>
                <w:rFonts w:ascii="Arial" w:cs="Arial" w:eastAsia="Arial" w:hAnsi="Arial"/>
                <w:sz w:val="12"/>
                <w:szCs w:val="12"/>
                <w:color w:val="auto"/>
                <w:vertAlign w:val="superscript"/>
              </w:rPr>
              <w:t>3</w:t>
            </w:r>
          </w:p>
        </w:tc>
      </w:tr>
      <w:tr>
        <w:trPr>
          <w:trHeight w:val="124"/>
        </w:trPr>
        <w:tc>
          <w:tcPr>
            <w:tcW w:w="522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Equity compensation plans not approved by security holders</w:t>
            </w:r>
          </w:p>
        </w:tc>
        <w:tc>
          <w:tcPr>
            <w:tcW w:w="1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144,884</w:t>
            </w:r>
          </w:p>
        </w:tc>
        <w:tc>
          <w:tcPr>
            <w:tcW w:w="100" w:type="dxa"/>
            <w:vAlign w:val="bottom"/>
            <w:tcBorders>
              <w:bottom w:val="single" w:sz="8" w:color="D7282F"/>
            </w:tcBorders>
          </w:tcPr>
          <w:p>
            <w:pPr>
              <w:jc w:val="right"/>
              <w:ind w:right="9"/>
              <w:spacing w:after="0"/>
              <w:rPr>
                <w:sz w:val="20"/>
                <w:szCs w:val="20"/>
                <w:color w:val="auto"/>
              </w:rPr>
            </w:pPr>
            <w:r>
              <w:rPr>
                <w:rFonts w:ascii="Arial" w:cs="Arial" w:eastAsia="Arial" w:hAnsi="Arial"/>
                <w:sz w:val="6"/>
                <w:szCs w:val="6"/>
                <w:color w:val="auto"/>
              </w:rPr>
              <w:t>4</w:t>
            </w:r>
          </w:p>
        </w:tc>
        <w:tc>
          <w:tcPr>
            <w:tcW w:w="140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ind w:left="200"/>
              <w:spacing w:after="0" w:line="124" w:lineRule="exact"/>
              <w:rPr>
                <w:sz w:val="20"/>
                <w:szCs w:val="20"/>
                <w:color w:val="auto"/>
              </w:rPr>
            </w:pPr>
            <w:r>
              <w:rPr>
                <w:rFonts w:ascii="Arial" w:cs="Arial" w:eastAsia="Arial" w:hAnsi="Arial"/>
                <w:sz w:val="10"/>
                <w:szCs w:val="10"/>
                <w:color w:val="auto"/>
              </w:rPr>
              <w:t xml:space="preserve">N/A </w:t>
            </w:r>
            <w:r>
              <w:rPr>
                <w:rFonts w:ascii="Arial" w:cs="Arial" w:eastAsia="Arial" w:hAnsi="Arial"/>
                <w:sz w:val="12"/>
                <w:szCs w:val="12"/>
                <w:color w:val="auto"/>
                <w:vertAlign w:val="superscript"/>
              </w:rPr>
              <w:t>5</w:t>
            </w:r>
          </w:p>
        </w:tc>
        <w:tc>
          <w:tcPr>
            <w:tcW w:w="1960" w:type="dxa"/>
            <w:vAlign w:val="bottom"/>
            <w:tcBorders>
              <w:bottom w:val="single" w:sz="8" w:color="D7282F"/>
            </w:tcBorders>
          </w:tcPr>
          <w:p>
            <w:pPr>
              <w:ind w:left="1520"/>
              <w:spacing w:after="0" w:line="124" w:lineRule="exact"/>
              <w:rPr>
                <w:sz w:val="20"/>
                <w:szCs w:val="20"/>
                <w:color w:val="auto"/>
              </w:rPr>
            </w:pPr>
            <w:r>
              <w:rPr>
                <w:rFonts w:ascii="Arial" w:cs="Arial" w:eastAsia="Arial" w:hAnsi="Arial"/>
                <w:sz w:val="10"/>
                <w:szCs w:val="10"/>
                <w:color w:val="auto"/>
              </w:rPr>
              <w:t xml:space="preserve">N/A </w:t>
            </w:r>
            <w:r>
              <w:rPr>
                <w:rFonts w:ascii="Arial" w:cs="Arial" w:eastAsia="Arial" w:hAnsi="Arial"/>
                <w:sz w:val="12"/>
                <w:szCs w:val="12"/>
                <w:color w:val="auto"/>
                <w:vertAlign w:val="superscript"/>
              </w:rPr>
              <w:t>6</w:t>
            </w:r>
          </w:p>
        </w:tc>
      </w:tr>
      <w:tr>
        <w:trPr>
          <w:trHeight w:val="123"/>
        </w:trPr>
        <w:tc>
          <w:tcPr>
            <w:tcW w:w="522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Total</w:t>
            </w:r>
          </w:p>
        </w:tc>
        <w:tc>
          <w:tcPr>
            <w:tcW w:w="1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16,145,445</w:t>
            </w:r>
          </w:p>
        </w:tc>
        <w:tc>
          <w:tcPr>
            <w:tcW w:w="100" w:type="dxa"/>
            <w:vAlign w:val="bottom"/>
            <w:tcBorders>
              <w:bottom w:val="single" w:sz="8" w:color="D7282F"/>
            </w:tcBorders>
          </w:tcPr>
          <w:p>
            <w:pPr>
              <w:spacing w:after="0"/>
              <w:rPr>
                <w:sz w:val="10"/>
                <w:szCs w:val="10"/>
                <w:color w:val="auto"/>
              </w:rPr>
            </w:pPr>
          </w:p>
        </w:tc>
        <w:tc>
          <w:tcPr>
            <w:tcW w:w="140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rPr>
              <w:t>$</w:t>
            </w:r>
          </w:p>
        </w:tc>
        <w:tc>
          <w:tcPr>
            <w:tcW w:w="1000" w:type="dxa"/>
            <w:vAlign w:val="bottom"/>
            <w:tcBorders>
              <w:bottom w:val="single" w:sz="8" w:color="D7282F"/>
            </w:tcBorders>
          </w:tcPr>
          <w:p>
            <w:pPr>
              <w:ind w:left="20"/>
              <w:spacing w:after="0"/>
              <w:rPr>
                <w:sz w:val="20"/>
                <w:szCs w:val="20"/>
                <w:color w:val="auto"/>
              </w:rPr>
            </w:pPr>
            <w:r>
              <w:rPr>
                <w:rFonts w:ascii="Arial" w:cs="Arial" w:eastAsia="Arial" w:hAnsi="Arial"/>
                <w:sz w:val="10"/>
                <w:szCs w:val="10"/>
                <w:b w:val="1"/>
                <w:bCs w:val="1"/>
                <w:color w:val="auto"/>
              </w:rPr>
              <w:t>153.79</w:t>
            </w:r>
          </w:p>
        </w:tc>
        <w:tc>
          <w:tcPr>
            <w:tcW w:w="1960" w:type="dxa"/>
            <w:vAlign w:val="bottom"/>
            <w:tcBorders>
              <w:bottom w:val="single" w:sz="8" w:color="D7282F"/>
            </w:tcBorders>
          </w:tcPr>
          <w:p>
            <w:pPr>
              <w:ind w:left="1160"/>
              <w:spacing w:after="0"/>
              <w:rPr>
                <w:sz w:val="20"/>
                <w:szCs w:val="20"/>
                <w:color w:val="auto"/>
              </w:rPr>
            </w:pPr>
            <w:r>
              <w:rPr>
                <w:rFonts w:ascii="Arial" w:cs="Arial" w:eastAsia="Arial" w:hAnsi="Arial"/>
                <w:sz w:val="10"/>
                <w:szCs w:val="10"/>
                <w:b w:val="1"/>
                <w:bCs w:val="1"/>
                <w:color w:val="auto"/>
              </w:rPr>
              <w:t>31,178,450</w:t>
            </w:r>
          </w:p>
        </w:tc>
      </w:tr>
    </w:tbl>
    <w:p>
      <w:pPr>
        <w:spacing w:after="0" w:line="132" w:lineRule="exact"/>
        <w:rPr>
          <w:sz w:val="20"/>
          <w:szCs w:val="20"/>
          <w:color w:val="auto"/>
        </w:rPr>
      </w:pPr>
    </w:p>
    <w:p>
      <w:pPr>
        <w:jc w:val="both"/>
        <w:ind w:left="428" w:right="20" w:hanging="416"/>
        <w:spacing w:after="0" w:line="211" w:lineRule="auto"/>
        <w:tabs>
          <w:tab w:leader="none" w:pos="428" w:val="left"/>
        </w:tabs>
        <w:numPr>
          <w:ilvl w:val="0"/>
          <w:numId w:val="169"/>
        </w:numPr>
        <w:rPr>
          <w:rFonts w:ascii="Arial" w:cs="Arial" w:eastAsia="Arial" w:hAnsi="Arial"/>
          <w:sz w:val="17"/>
          <w:szCs w:val="17"/>
          <w:color w:val="auto"/>
          <w:vertAlign w:val="superscript"/>
        </w:rPr>
      </w:pPr>
      <w:r>
        <w:rPr>
          <w:rFonts w:ascii="Arial" w:cs="Arial" w:eastAsia="Arial" w:hAnsi="Arial"/>
          <w:sz w:val="8"/>
          <w:szCs w:val="8"/>
          <w:color w:val="auto"/>
        </w:rPr>
        <w:t>Equity compensation plans approved by shareowners which are included in column (a) of the table are the 2016 Stock Incentive Plan and the 2011 Stock Incentive Plan (including 13,246,624 shares of Common Stock to be issued for options; 2,110,539 RSUs subject to continued employment; 201,130 RSUs at target level and subject to company performance metrics and continued employment; and 265,530 deferred RSUs); and the 2016 Stock Plan for Non-Employee Directors and the 2006 Stock Plan for Non-Employee Directors (including 170,176 shares of Common Stock to be issued for options; and 3,104 RSUs subject to continued services, and 3,458 deferred RSUs). RSUs included in column (a) of the table represent the full number of RSUs awarded and outstanding whereas the number of shares of Common Stock to be issued upon vesting will be lower than what is reflected on the table because the value of shares required to meet employee tax withholding requirements are not issued.</w:t>
      </w:r>
    </w:p>
    <w:p>
      <w:pPr>
        <w:spacing w:after="0" w:line="35" w:lineRule="exact"/>
        <w:rPr>
          <w:rFonts w:ascii="Arial" w:cs="Arial" w:eastAsia="Arial" w:hAnsi="Arial"/>
          <w:sz w:val="17"/>
          <w:szCs w:val="17"/>
          <w:color w:val="auto"/>
          <w:vertAlign w:val="superscript"/>
        </w:rPr>
      </w:pPr>
    </w:p>
    <w:p>
      <w:pPr>
        <w:ind w:left="428"/>
        <w:spacing w:after="0"/>
        <w:rPr>
          <w:rFonts w:ascii="Arial" w:cs="Arial" w:eastAsia="Arial" w:hAnsi="Arial"/>
          <w:sz w:val="17"/>
          <w:szCs w:val="17"/>
          <w:color w:val="auto"/>
          <w:vertAlign w:val="superscript"/>
        </w:rPr>
      </w:pPr>
      <w:r>
        <w:rPr>
          <w:rFonts w:ascii="Arial" w:cs="Arial" w:eastAsia="Arial" w:hAnsi="Arial"/>
          <w:sz w:val="8"/>
          <w:szCs w:val="8"/>
          <w:color w:val="auto"/>
        </w:rPr>
        <w:t>Because the number of future shares that may be distributed to employees participating in the Honeywell Global Stock Plan is unknown, no shares attributable to that plan are included in column (a) of the table above.</w:t>
      </w:r>
    </w:p>
    <w:p>
      <w:pPr>
        <w:spacing w:after="0" w:line="39" w:lineRule="exact"/>
        <w:rPr>
          <w:sz w:val="20"/>
          <w:szCs w:val="20"/>
          <w:color w:val="auto"/>
        </w:rPr>
      </w:pPr>
    </w:p>
    <w:p>
      <w:pPr>
        <w:ind w:left="428" w:hanging="416"/>
        <w:spacing w:after="0"/>
        <w:tabs>
          <w:tab w:leader="none" w:pos="428" w:val="left"/>
        </w:tabs>
        <w:numPr>
          <w:ilvl w:val="0"/>
          <w:numId w:val="170"/>
        </w:numPr>
        <w:rPr>
          <w:rFonts w:ascii="Arial" w:cs="Arial" w:eastAsia="Arial" w:hAnsi="Arial"/>
          <w:sz w:val="17"/>
          <w:szCs w:val="17"/>
          <w:color w:val="auto"/>
          <w:vertAlign w:val="superscript"/>
        </w:rPr>
      </w:pPr>
      <w:r>
        <w:rPr>
          <w:rFonts w:ascii="Arial" w:cs="Arial" w:eastAsia="Arial" w:hAnsi="Arial"/>
          <w:sz w:val="8"/>
          <w:szCs w:val="8"/>
          <w:color w:val="auto"/>
        </w:rPr>
        <w:t>Column (b) relates to stock options and does not include any exercise price for RSUs because an RSU’s value is dependent upon attainment of certain performance goals and/or continued employment or service and they are settled for shares of Common Stock on a one-for-one basis.</w:t>
      </w:r>
    </w:p>
    <w:p>
      <w:pPr>
        <w:spacing w:after="0" w:line="115" w:lineRule="exact"/>
        <w:rPr>
          <w:sz w:val="20"/>
          <w:szCs w:val="20"/>
          <w:color w:val="auto"/>
        </w:rPr>
      </w:pPr>
    </w:p>
    <w:p>
      <w:pPr>
        <w:jc w:val="both"/>
        <w:ind w:left="428" w:right="20" w:hanging="416"/>
        <w:spacing w:after="0" w:line="200" w:lineRule="auto"/>
        <w:tabs>
          <w:tab w:leader="none" w:pos="428" w:val="left"/>
        </w:tabs>
        <w:numPr>
          <w:ilvl w:val="0"/>
          <w:numId w:val="171"/>
        </w:numPr>
        <w:rPr>
          <w:rFonts w:ascii="Arial" w:cs="Arial" w:eastAsia="Arial" w:hAnsi="Arial"/>
          <w:sz w:val="17"/>
          <w:szCs w:val="17"/>
          <w:color w:val="auto"/>
          <w:vertAlign w:val="superscript"/>
        </w:rPr>
      </w:pPr>
      <w:r>
        <w:rPr>
          <w:rFonts w:ascii="Arial" w:cs="Arial" w:eastAsia="Arial" w:hAnsi="Arial"/>
          <w:sz w:val="8"/>
          <w:szCs w:val="8"/>
          <w:color w:val="auto"/>
        </w:rPr>
        <w:t>The number of shares that may be issued under the 2016 Stock Incentive Plan as of December 31, 2023, is 28,946,133, which includes the following additional shares that may again be available for issuance: shares that are settled for cash, expire, are canceled, or under similar prior plans, are tendered as option exercise price or tax withholding obligations, are reacquired with cash option exercise price or with monies attributable to any tax deduction to Honeywell upon the exercise of an option, or are under any outstanding awards assumed under any equity compensation plan of an entity acquired by Honeywell. No securities are available for future issuance under the 2011 Stock Incentive Plan.</w:t>
      </w:r>
    </w:p>
    <w:p>
      <w:pPr>
        <w:spacing w:after="0" w:line="34" w:lineRule="exact"/>
        <w:rPr>
          <w:rFonts w:ascii="Arial" w:cs="Arial" w:eastAsia="Arial" w:hAnsi="Arial"/>
          <w:sz w:val="17"/>
          <w:szCs w:val="17"/>
          <w:color w:val="auto"/>
          <w:vertAlign w:val="superscript"/>
        </w:rPr>
      </w:pPr>
    </w:p>
    <w:p>
      <w:pPr>
        <w:ind w:left="428"/>
        <w:spacing w:after="0"/>
        <w:rPr>
          <w:rFonts w:ascii="Arial" w:cs="Arial" w:eastAsia="Arial" w:hAnsi="Arial"/>
          <w:sz w:val="17"/>
          <w:szCs w:val="17"/>
          <w:color w:val="auto"/>
          <w:vertAlign w:val="superscript"/>
        </w:rPr>
      </w:pPr>
      <w:r>
        <w:rPr>
          <w:rFonts w:ascii="Arial" w:cs="Arial" w:eastAsia="Arial" w:hAnsi="Arial"/>
          <w:sz w:val="8"/>
          <w:szCs w:val="8"/>
          <w:color w:val="auto"/>
        </w:rPr>
        <w:t>The number of shares that may be issued under the Honeywell Global Stock Plan as of December 31, 2023, is 1,450,549. This plan is an umbrella plan for three plans described below maintained solely for eligible employees of participating non-U.S. countries.</w:t>
      </w:r>
    </w:p>
    <w:p>
      <w:pPr>
        <w:spacing w:after="0" w:line="61" w:lineRule="exact"/>
        <w:rPr>
          <w:rFonts w:ascii="Arial" w:cs="Arial" w:eastAsia="Arial" w:hAnsi="Arial"/>
          <w:sz w:val="17"/>
          <w:szCs w:val="17"/>
          <w:color w:val="auto"/>
          <w:vertAlign w:val="superscript"/>
        </w:rPr>
      </w:pPr>
    </w:p>
    <w:p>
      <w:pPr>
        <w:ind w:left="688" w:right="20" w:hanging="123"/>
        <w:spacing w:after="0" w:line="305" w:lineRule="auto"/>
        <w:tabs>
          <w:tab w:leader="none" w:pos="687" w:val="left"/>
        </w:tabs>
        <w:numPr>
          <w:ilvl w:val="1"/>
          <w:numId w:val="171"/>
        </w:numPr>
        <w:rPr>
          <w:rFonts w:ascii="Arial" w:cs="Arial" w:eastAsia="Arial" w:hAnsi="Arial"/>
          <w:sz w:val="8"/>
          <w:szCs w:val="8"/>
          <w:b w:val="1"/>
          <w:bCs w:val="1"/>
          <w:color w:val="D7282F"/>
        </w:rPr>
      </w:pPr>
      <w:r>
        <w:rPr>
          <w:rFonts w:ascii="Arial" w:cs="Arial" w:eastAsia="Arial" w:hAnsi="Arial"/>
          <w:sz w:val="8"/>
          <w:szCs w:val="8"/>
          <w:color w:val="auto"/>
        </w:rPr>
        <w:t>The UK Sharebuilder Plan allows an eligible UK employee to invest taxable earnings in Common Stock. The Company matches those shares and dividends paid are used to purchase additional shares of Common Stock. For the year ended December 31, 2023, 240,267 shares were credited to participants’ accounts under the UK Sharebuilder Plan.</w:t>
      </w:r>
    </w:p>
    <w:p>
      <w:pPr>
        <w:spacing w:after="0" w:line="9" w:lineRule="exact"/>
        <w:rPr>
          <w:rFonts w:ascii="Arial" w:cs="Arial" w:eastAsia="Arial" w:hAnsi="Arial"/>
          <w:sz w:val="8"/>
          <w:szCs w:val="8"/>
          <w:b w:val="1"/>
          <w:bCs w:val="1"/>
          <w:color w:val="D7282F"/>
        </w:rPr>
      </w:pPr>
    </w:p>
    <w:p>
      <w:pPr>
        <w:ind w:left="688" w:right="20" w:hanging="123"/>
        <w:spacing w:after="0" w:line="328" w:lineRule="auto"/>
        <w:tabs>
          <w:tab w:leader="none" w:pos="687" w:val="left"/>
        </w:tabs>
        <w:numPr>
          <w:ilvl w:val="1"/>
          <w:numId w:val="171"/>
        </w:numPr>
        <w:rPr>
          <w:rFonts w:ascii="Arial" w:cs="Arial" w:eastAsia="Arial" w:hAnsi="Arial"/>
          <w:sz w:val="8"/>
          <w:szCs w:val="8"/>
          <w:b w:val="1"/>
          <w:bCs w:val="1"/>
          <w:color w:val="D7282F"/>
        </w:rPr>
      </w:pPr>
      <w:r>
        <w:rPr>
          <w:rFonts w:ascii="Arial" w:cs="Arial" w:eastAsia="Arial" w:hAnsi="Arial"/>
          <w:sz w:val="8"/>
          <w:szCs w:val="8"/>
          <w:color w:val="auto"/>
        </w:rPr>
        <w:t>The Honeywell Aerospace Ireland Share Participation Plan allows eligible Irish employees to contribute a percentage of base pay and/or bonus that is invested in Common Stock. For the year ended December 31, 2023, 685 shares of Common Stock were credited to participants’ accounts under these plans.</w:t>
      </w:r>
    </w:p>
    <w:p>
      <w:pPr>
        <w:ind w:left="688" w:hanging="123"/>
        <w:spacing w:after="0"/>
        <w:tabs>
          <w:tab w:leader="none" w:pos="688" w:val="left"/>
        </w:tabs>
        <w:numPr>
          <w:ilvl w:val="1"/>
          <w:numId w:val="171"/>
        </w:numPr>
        <w:rPr>
          <w:rFonts w:ascii="Arial" w:cs="Arial" w:eastAsia="Arial" w:hAnsi="Arial"/>
          <w:sz w:val="8"/>
          <w:szCs w:val="8"/>
          <w:b w:val="1"/>
          <w:bCs w:val="1"/>
          <w:color w:val="D7282F"/>
        </w:rPr>
      </w:pPr>
      <w:r>
        <w:rPr>
          <w:rFonts w:ascii="Arial" w:cs="Arial" w:eastAsia="Arial" w:hAnsi="Arial"/>
          <w:sz w:val="8"/>
          <w:szCs w:val="8"/>
          <w:color w:val="auto"/>
        </w:rPr>
        <w:t>The remaining 781,768 shares included in column (c) are shares remaining under the 2016 Stock Plan for Non-Employee Directors.</w:t>
      </w:r>
    </w:p>
    <w:p>
      <w:pPr>
        <w:spacing w:after="0" w:line="57" w:lineRule="exact"/>
        <w:rPr>
          <w:sz w:val="20"/>
          <w:szCs w:val="20"/>
          <w:color w:val="auto"/>
        </w:rPr>
      </w:pPr>
    </w:p>
    <w:p>
      <w:pPr>
        <w:ind w:left="428" w:hanging="416"/>
        <w:spacing w:after="0"/>
        <w:tabs>
          <w:tab w:leader="none" w:pos="428" w:val="left"/>
        </w:tabs>
        <w:numPr>
          <w:ilvl w:val="0"/>
          <w:numId w:val="172"/>
        </w:numPr>
        <w:rPr>
          <w:rFonts w:ascii="Arial" w:cs="Arial" w:eastAsia="Arial" w:hAnsi="Arial"/>
          <w:sz w:val="17"/>
          <w:szCs w:val="17"/>
          <w:color w:val="auto"/>
          <w:vertAlign w:val="superscript"/>
        </w:rPr>
      </w:pPr>
      <w:r>
        <w:rPr>
          <w:rFonts w:ascii="Arial" w:cs="Arial" w:eastAsia="Arial" w:hAnsi="Arial"/>
          <w:sz w:val="8"/>
          <w:szCs w:val="8"/>
          <w:color w:val="auto"/>
        </w:rPr>
        <w:t>Equity compensation plans not approved by shareowners included in the table refer to the Honeywell Excess Benefit Plan and Supplemental Savings Plan.</w:t>
      </w:r>
    </w:p>
    <w:p>
      <w:pPr>
        <w:spacing w:after="0" w:line="51" w:lineRule="exact"/>
        <w:rPr>
          <w:rFonts w:ascii="Arial" w:cs="Arial" w:eastAsia="Arial" w:hAnsi="Arial"/>
          <w:sz w:val="17"/>
          <w:szCs w:val="17"/>
          <w:color w:val="auto"/>
          <w:vertAlign w:val="superscript"/>
        </w:rPr>
      </w:pPr>
    </w:p>
    <w:p>
      <w:pPr>
        <w:jc w:val="both"/>
        <w:ind w:left="428" w:right="20"/>
        <w:spacing w:after="0" w:line="271" w:lineRule="auto"/>
        <w:rPr>
          <w:rFonts w:ascii="Arial" w:cs="Arial" w:eastAsia="Arial" w:hAnsi="Arial"/>
          <w:sz w:val="17"/>
          <w:szCs w:val="17"/>
          <w:color w:val="auto"/>
          <w:vertAlign w:val="superscript"/>
        </w:rPr>
      </w:pPr>
      <w:r>
        <w:rPr>
          <w:rFonts w:ascii="Arial" w:cs="Arial" w:eastAsia="Arial" w:hAnsi="Arial"/>
          <w:sz w:val="8"/>
          <w:szCs w:val="8"/>
          <w:color w:val="auto"/>
        </w:rPr>
        <w:t>The Honeywell Excess Benefit Plan and Supplemental Savings Plan for certain highly compensated employees is an unfunded, non-tax qualified plan that provides benefits equal to the employee deferrals and Company matching allocations that would have been provided under Honeywell’s U.S. tax-qualified savings plan if the Internal Revenue Code limitations on compensation and contributions did not apply. The Company matching contribution is credited to participants’ accounts in the form of notional shares of Common Stock. The notional shares are distributed in the form of actual shares of Common Stock. The number of shares to be issued under this plan based on the value of the notional shares as of December 31, 2023, is 144,884.</w:t>
      </w:r>
    </w:p>
    <w:p>
      <w:pPr>
        <w:spacing w:after="0" w:line="9" w:lineRule="exact"/>
        <w:rPr>
          <w:sz w:val="20"/>
          <w:szCs w:val="20"/>
          <w:color w:val="auto"/>
        </w:rPr>
      </w:pPr>
    </w:p>
    <w:p>
      <w:pPr>
        <w:ind w:left="428" w:hanging="416"/>
        <w:spacing w:after="0"/>
        <w:tabs>
          <w:tab w:leader="none" w:pos="428" w:val="left"/>
        </w:tabs>
        <w:numPr>
          <w:ilvl w:val="0"/>
          <w:numId w:val="173"/>
        </w:numPr>
        <w:rPr>
          <w:rFonts w:ascii="Arial" w:cs="Arial" w:eastAsia="Arial" w:hAnsi="Arial"/>
          <w:sz w:val="17"/>
          <w:szCs w:val="17"/>
          <w:color w:val="auto"/>
          <w:vertAlign w:val="superscript"/>
        </w:rPr>
      </w:pPr>
      <w:r>
        <w:rPr>
          <w:rFonts w:ascii="Arial" w:cs="Arial" w:eastAsia="Arial" w:hAnsi="Arial"/>
          <w:sz w:val="8"/>
          <w:szCs w:val="8"/>
          <w:color w:val="auto"/>
        </w:rPr>
        <w:t>Column (b) does not include any exercise price for notional shares allocated to employees under Honeywell’s equity compensation plans not approved by shareowners because all of these shares are only settled for shares of Common Stock on a one-for-one basis.</w:t>
      </w:r>
    </w:p>
    <w:p>
      <w:pPr>
        <w:spacing w:after="0" w:line="97" w:lineRule="exact"/>
        <w:rPr>
          <w:sz w:val="20"/>
          <w:szCs w:val="20"/>
          <w:color w:val="auto"/>
        </w:rPr>
      </w:pPr>
    </w:p>
    <w:p>
      <w:pPr>
        <w:ind w:left="428" w:right="20" w:hanging="416"/>
        <w:spacing w:after="0"/>
        <w:tabs>
          <w:tab w:leader="none" w:pos="428" w:val="left"/>
        </w:tabs>
        <w:numPr>
          <w:ilvl w:val="0"/>
          <w:numId w:val="174"/>
        </w:numPr>
        <w:rPr>
          <w:rFonts w:ascii="Arial" w:cs="Arial" w:eastAsia="Arial" w:hAnsi="Arial"/>
          <w:sz w:val="17"/>
          <w:szCs w:val="17"/>
          <w:color w:val="auto"/>
          <w:vertAlign w:val="superscript"/>
        </w:rPr>
      </w:pPr>
      <w:r>
        <w:rPr>
          <w:rFonts w:ascii="Arial" w:cs="Arial" w:eastAsia="Arial" w:hAnsi="Arial"/>
          <w:sz w:val="8"/>
          <w:szCs w:val="8"/>
          <w:color w:val="auto"/>
        </w:rPr>
        <w:t>The amount of securities available for future issuance under the Honeywell Excess Benefit Plan and Supplemental Savings Plan is not determinable because the number of securities that may be issued under this plan depends upon the amount deferred to the plan by participants in future years.</w:t>
      </w:r>
    </w:p>
    <w:p>
      <w:pPr>
        <w:spacing w:after="0" w:line="200" w:lineRule="exact"/>
        <w:rPr>
          <w:sz w:val="20"/>
          <w:szCs w:val="20"/>
          <w:color w:val="auto"/>
        </w:rPr>
      </w:pPr>
    </w:p>
    <w:p>
      <w:pPr>
        <w:spacing w:after="0" w:line="229" w:lineRule="exact"/>
        <w:rPr>
          <w:sz w:val="20"/>
          <w:szCs w:val="20"/>
          <w:color w:val="auto"/>
        </w:rPr>
      </w:pPr>
    </w:p>
    <w:p>
      <w:pPr>
        <w:ind w:left="328" w:hanging="328"/>
        <w:spacing w:after="0"/>
        <w:tabs>
          <w:tab w:leader="none" w:pos="328" w:val="left"/>
        </w:tabs>
        <w:numPr>
          <w:ilvl w:val="0"/>
          <w:numId w:val="175"/>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121" w:name="page122"/>
    <w:bookmarkEnd w:id="121"/>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CERTAIN RELATIONSHIPS AND RELATED TRANSACTIONS, AND DIRECTOR INDEPENDENCE</w:t>
      </w:r>
    </w:p>
    <w:p>
      <w:pPr>
        <w:spacing w:after="0" w:line="262" w:lineRule="exact"/>
        <w:rPr>
          <w:sz w:val="20"/>
          <w:szCs w:val="20"/>
          <w:color w:val="auto"/>
        </w:rPr>
      </w:pPr>
    </w:p>
    <w:p>
      <w:pPr>
        <w:ind w:left="8"/>
        <w:spacing w:after="0"/>
        <w:rPr>
          <w:sz w:val="20"/>
          <w:szCs w:val="20"/>
          <w:color w:val="auto"/>
        </w:rPr>
      </w:pPr>
      <w:r>
        <w:rPr>
          <w:rFonts w:ascii="Arial" w:cs="Arial" w:eastAsia="Arial" w:hAnsi="Arial"/>
          <w:sz w:val="11"/>
          <w:szCs w:val="11"/>
          <w:color w:val="auto"/>
        </w:rPr>
        <w:t>Information relating to certain relationships and related transactions and director independence will be contained in the Proxy Statement, and such information is incorporated herein by reference.</w:t>
      </w:r>
    </w:p>
    <w:p>
      <w:pPr>
        <w:spacing w:after="0" w:line="235"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PRINCIPAL ACCOUNTING FEES AND SERVICES</w:t>
      </w:r>
    </w:p>
    <w:p>
      <w:pPr>
        <w:spacing w:after="0" w:line="253" w:lineRule="exact"/>
        <w:rPr>
          <w:sz w:val="20"/>
          <w:szCs w:val="20"/>
          <w:color w:val="auto"/>
        </w:rPr>
      </w:pPr>
    </w:p>
    <w:p>
      <w:pPr>
        <w:ind w:left="8" w:right="20"/>
        <w:spacing w:after="0" w:line="285" w:lineRule="auto"/>
        <w:rPr>
          <w:sz w:val="20"/>
          <w:szCs w:val="20"/>
          <w:color w:val="auto"/>
        </w:rPr>
      </w:pPr>
      <w:r>
        <w:rPr>
          <w:rFonts w:ascii="Arial" w:cs="Arial" w:eastAsia="Arial" w:hAnsi="Arial"/>
          <w:sz w:val="11"/>
          <w:szCs w:val="11"/>
          <w:color w:val="auto"/>
        </w:rPr>
        <w:t>Information relating to fees paid to and services performed by Deloitte &amp; Touche LLP and our Audit Committee’s pre-approval policies and procedures with respect to non-audit services will be contained in the Proxy Statement, and such information is incorporated herein by reference.</w:t>
      </w:r>
    </w:p>
    <w:p>
      <w:pPr>
        <w:spacing w:after="0" w:line="196"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EXHIBITS AND FINANCIAL STATEMENT SCHEDULES</w:t>
      </w:r>
    </w:p>
    <w:p>
      <w:pPr>
        <w:spacing w:after="0" w:line="291"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42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3540" w:type="dxa"/>
            <w:vAlign w:val="bottom"/>
          </w:tcPr>
          <w:p>
            <w:pPr>
              <w:jc w:val="center"/>
              <w:ind w:left="2192"/>
              <w:spacing w:after="0"/>
              <w:rPr>
                <w:sz w:val="20"/>
                <w:szCs w:val="20"/>
                <w:color w:val="auto"/>
              </w:rPr>
            </w:pPr>
            <w:r>
              <w:rPr>
                <w:rFonts w:ascii="Arial" w:cs="Arial" w:eastAsia="Arial" w:hAnsi="Arial"/>
                <w:sz w:val="10"/>
                <w:szCs w:val="10"/>
                <w:b w:val="1"/>
                <w:bCs w:val="1"/>
                <w:color w:val="auto"/>
                <w:w w:val="96"/>
              </w:rPr>
              <w:t>Page Number</w:t>
            </w:r>
          </w:p>
        </w:tc>
      </w:tr>
      <w:tr>
        <w:trPr>
          <w:trHeight w:val="136"/>
        </w:trPr>
        <w:tc>
          <w:tcPr>
            <w:tcW w:w="420" w:type="dxa"/>
            <w:vAlign w:val="bottom"/>
            <w:tcBorders>
              <w:bottom w:val="single" w:sz="8" w:color="D7282F"/>
            </w:tcBorders>
          </w:tcPr>
          <w:p>
            <w:pPr>
              <w:spacing w:after="0"/>
              <w:rPr>
                <w:sz w:val="11"/>
                <w:szCs w:val="11"/>
                <w:color w:val="auto"/>
              </w:rPr>
            </w:pPr>
          </w:p>
        </w:tc>
        <w:tc>
          <w:tcPr>
            <w:tcW w:w="7340" w:type="dxa"/>
            <w:vAlign w:val="bottom"/>
            <w:tcBorders>
              <w:bottom w:val="single" w:sz="8" w:color="D7282F"/>
            </w:tcBorders>
          </w:tcPr>
          <w:p>
            <w:pPr>
              <w:spacing w:after="0"/>
              <w:rPr>
                <w:sz w:val="11"/>
                <w:szCs w:val="11"/>
                <w:color w:val="auto"/>
              </w:rPr>
            </w:pPr>
          </w:p>
        </w:tc>
        <w:tc>
          <w:tcPr>
            <w:tcW w:w="3540" w:type="dxa"/>
            <w:vAlign w:val="bottom"/>
            <w:tcBorders>
              <w:bottom w:val="single" w:sz="8" w:color="D7282F"/>
            </w:tcBorders>
          </w:tcPr>
          <w:p>
            <w:pPr>
              <w:jc w:val="center"/>
              <w:ind w:left="2192"/>
              <w:spacing w:after="0"/>
              <w:rPr>
                <w:sz w:val="20"/>
                <w:szCs w:val="20"/>
                <w:color w:val="auto"/>
              </w:rPr>
            </w:pPr>
            <w:r>
              <w:rPr>
                <w:rFonts w:ascii="Arial" w:cs="Arial" w:eastAsia="Arial" w:hAnsi="Arial"/>
                <w:sz w:val="10"/>
                <w:szCs w:val="10"/>
                <w:b w:val="1"/>
                <w:bCs w:val="1"/>
                <w:color w:val="auto"/>
                <w:w w:val="94"/>
              </w:rPr>
              <w:t>in Form 10-K</w:t>
            </w:r>
          </w:p>
        </w:tc>
      </w:tr>
      <w:tr>
        <w:trPr>
          <w:trHeight w:val="129"/>
        </w:trPr>
        <w:tc>
          <w:tcPr>
            <w:tcW w:w="42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DC202E"/>
              </w:rPr>
              <w:t>(a)(1.)</w:t>
            </w:r>
          </w:p>
        </w:tc>
        <w:tc>
          <w:tcPr>
            <w:tcW w:w="7340" w:type="dxa"/>
            <w:vAlign w:val="bottom"/>
            <w:tcBorders>
              <w:bottom w:val="single" w:sz="8" w:color="61656A"/>
            </w:tcBorders>
          </w:tcPr>
          <w:p>
            <w:pPr>
              <w:ind w:left="160"/>
              <w:spacing w:after="0"/>
              <w:rPr>
                <w:sz w:val="20"/>
                <w:szCs w:val="20"/>
                <w:color w:val="auto"/>
              </w:rPr>
            </w:pPr>
            <w:r>
              <w:rPr>
                <w:rFonts w:ascii="Arial" w:cs="Arial" w:eastAsia="Arial" w:hAnsi="Arial"/>
                <w:sz w:val="10"/>
                <w:szCs w:val="10"/>
                <w:b w:val="1"/>
                <w:bCs w:val="1"/>
                <w:color w:val="DC202E"/>
              </w:rPr>
              <w:t>Consolidated Financial Statements:</w:t>
            </w:r>
          </w:p>
        </w:tc>
        <w:tc>
          <w:tcPr>
            <w:tcW w:w="3540" w:type="dxa"/>
            <w:vAlign w:val="bottom"/>
            <w:tcBorders>
              <w:bottom w:val="single" w:sz="8" w:color="61656A"/>
            </w:tcBorders>
          </w:tcPr>
          <w:p>
            <w:pPr>
              <w:spacing w:after="0"/>
              <w:rPr>
                <w:sz w:val="11"/>
                <w:szCs w:val="11"/>
                <w:color w:val="auto"/>
              </w:rPr>
            </w:pPr>
          </w:p>
        </w:tc>
      </w:tr>
      <w:tr>
        <w:trPr>
          <w:trHeight w:val="122"/>
        </w:trPr>
        <w:tc>
          <w:tcPr>
            <w:tcW w:w="420" w:type="dxa"/>
            <w:vAlign w:val="bottom"/>
            <w:tcBorders>
              <w:bottom w:val="single" w:sz="8" w:color="61656A"/>
            </w:tcBorders>
          </w:tcPr>
          <w:p>
            <w:pPr>
              <w:spacing w:after="0"/>
              <w:rPr>
                <w:sz w:val="10"/>
                <w:szCs w:val="10"/>
                <w:color w:val="auto"/>
              </w:rPr>
            </w:pPr>
          </w:p>
        </w:tc>
        <w:tc>
          <w:tcPr>
            <w:tcW w:w="7340" w:type="dxa"/>
            <w:vAlign w:val="bottom"/>
            <w:tcBorders>
              <w:bottom w:val="single" w:sz="8" w:color="61656A"/>
            </w:tcBorders>
          </w:tcPr>
          <w:p>
            <w:pPr>
              <w:ind w:left="160"/>
              <w:spacing w:after="0"/>
              <w:rPr>
                <w:sz w:val="20"/>
                <w:szCs w:val="20"/>
                <w:color w:val="auto"/>
              </w:rPr>
            </w:pPr>
            <w:r>
              <w:rPr>
                <w:rFonts w:ascii="Arial" w:cs="Arial" w:eastAsia="Arial" w:hAnsi="Arial"/>
                <w:sz w:val="10"/>
                <w:szCs w:val="10"/>
                <w:color w:val="auto"/>
              </w:rPr>
              <w:t>Consolidated Statement of Operations for the years ended December 31, 2023, 2022, and 2021</w:t>
            </w:r>
          </w:p>
        </w:tc>
        <w:tc>
          <w:tcPr>
            <w:tcW w:w="3540" w:type="dxa"/>
            <w:vAlign w:val="bottom"/>
            <w:tcBorders>
              <w:bottom w:val="single" w:sz="8" w:color="61656A"/>
            </w:tcBorders>
          </w:tcPr>
          <w:p>
            <w:pPr>
              <w:jc w:val="center"/>
              <w:ind w:left="2192"/>
              <w:spacing w:after="0"/>
              <w:rPr>
                <w:sz w:val="20"/>
                <w:szCs w:val="20"/>
                <w:color w:val="auto"/>
              </w:rPr>
            </w:pPr>
            <w:r>
              <w:rPr>
                <w:rFonts w:ascii="Arial" w:cs="Arial" w:eastAsia="Arial" w:hAnsi="Arial"/>
                <w:sz w:val="10"/>
                <w:szCs w:val="10"/>
                <w:color w:val="auto"/>
                <w:w w:val="89"/>
              </w:rPr>
              <w:t>54</w:t>
            </w:r>
          </w:p>
        </w:tc>
      </w:tr>
      <w:tr>
        <w:trPr>
          <w:trHeight w:val="124"/>
        </w:trPr>
        <w:tc>
          <w:tcPr>
            <w:tcW w:w="420" w:type="dxa"/>
            <w:vAlign w:val="bottom"/>
            <w:tcBorders>
              <w:bottom w:val="single" w:sz="8" w:color="61656A"/>
            </w:tcBorders>
          </w:tcPr>
          <w:p>
            <w:pPr>
              <w:spacing w:after="0"/>
              <w:rPr>
                <w:sz w:val="10"/>
                <w:szCs w:val="10"/>
                <w:color w:val="auto"/>
              </w:rPr>
            </w:pPr>
          </w:p>
        </w:tc>
        <w:tc>
          <w:tcPr>
            <w:tcW w:w="7340" w:type="dxa"/>
            <w:vAlign w:val="bottom"/>
            <w:tcBorders>
              <w:bottom w:val="single" w:sz="8" w:color="61656A"/>
            </w:tcBorders>
          </w:tcPr>
          <w:p>
            <w:pPr>
              <w:ind w:left="160"/>
              <w:spacing w:after="0"/>
              <w:rPr>
                <w:sz w:val="20"/>
                <w:szCs w:val="20"/>
                <w:color w:val="auto"/>
              </w:rPr>
            </w:pPr>
            <w:r>
              <w:rPr>
                <w:rFonts w:ascii="Arial" w:cs="Arial" w:eastAsia="Arial" w:hAnsi="Arial"/>
                <w:sz w:val="10"/>
                <w:szCs w:val="10"/>
                <w:color w:val="auto"/>
              </w:rPr>
              <w:t>Consolidated Statement of Comprehensive Income for the years ended December 31, 2023, 2022, and 2021</w:t>
            </w:r>
          </w:p>
        </w:tc>
        <w:tc>
          <w:tcPr>
            <w:tcW w:w="3540" w:type="dxa"/>
            <w:vAlign w:val="bottom"/>
            <w:tcBorders>
              <w:bottom w:val="single" w:sz="8" w:color="61656A"/>
            </w:tcBorders>
          </w:tcPr>
          <w:p>
            <w:pPr>
              <w:jc w:val="center"/>
              <w:ind w:left="2192"/>
              <w:spacing w:after="0"/>
              <w:rPr>
                <w:sz w:val="20"/>
                <w:szCs w:val="20"/>
                <w:color w:val="auto"/>
              </w:rPr>
            </w:pPr>
            <w:r>
              <w:rPr>
                <w:rFonts w:ascii="Arial" w:cs="Arial" w:eastAsia="Arial" w:hAnsi="Arial"/>
                <w:sz w:val="10"/>
                <w:szCs w:val="10"/>
                <w:color w:val="auto"/>
                <w:w w:val="89"/>
              </w:rPr>
              <w:t>55</w:t>
            </w:r>
          </w:p>
        </w:tc>
      </w:tr>
      <w:tr>
        <w:trPr>
          <w:trHeight w:val="124"/>
        </w:trPr>
        <w:tc>
          <w:tcPr>
            <w:tcW w:w="420" w:type="dxa"/>
            <w:vAlign w:val="bottom"/>
            <w:tcBorders>
              <w:bottom w:val="single" w:sz="8" w:color="61656A"/>
            </w:tcBorders>
          </w:tcPr>
          <w:p>
            <w:pPr>
              <w:spacing w:after="0"/>
              <w:rPr>
                <w:sz w:val="10"/>
                <w:szCs w:val="10"/>
                <w:color w:val="auto"/>
              </w:rPr>
            </w:pPr>
          </w:p>
        </w:tc>
        <w:tc>
          <w:tcPr>
            <w:tcW w:w="7340" w:type="dxa"/>
            <w:vAlign w:val="bottom"/>
            <w:tcBorders>
              <w:bottom w:val="single" w:sz="8" w:color="61656A"/>
            </w:tcBorders>
          </w:tcPr>
          <w:p>
            <w:pPr>
              <w:ind w:left="160"/>
              <w:spacing w:after="0"/>
              <w:rPr>
                <w:sz w:val="20"/>
                <w:szCs w:val="20"/>
                <w:color w:val="auto"/>
              </w:rPr>
            </w:pPr>
            <w:r>
              <w:rPr>
                <w:rFonts w:ascii="Arial" w:cs="Arial" w:eastAsia="Arial" w:hAnsi="Arial"/>
                <w:sz w:val="10"/>
                <w:szCs w:val="10"/>
                <w:color w:val="auto"/>
              </w:rPr>
              <w:t>Consolidated Balance Sheet at December 31, 2023, and 2022</w:t>
            </w:r>
          </w:p>
        </w:tc>
        <w:tc>
          <w:tcPr>
            <w:tcW w:w="3540" w:type="dxa"/>
            <w:vAlign w:val="bottom"/>
            <w:tcBorders>
              <w:bottom w:val="single" w:sz="8" w:color="61656A"/>
            </w:tcBorders>
          </w:tcPr>
          <w:p>
            <w:pPr>
              <w:jc w:val="center"/>
              <w:ind w:left="2192"/>
              <w:spacing w:after="0"/>
              <w:rPr>
                <w:sz w:val="20"/>
                <w:szCs w:val="20"/>
                <w:color w:val="auto"/>
              </w:rPr>
            </w:pPr>
            <w:r>
              <w:rPr>
                <w:rFonts w:ascii="Arial" w:cs="Arial" w:eastAsia="Arial" w:hAnsi="Arial"/>
                <w:sz w:val="10"/>
                <w:szCs w:val="10"/>
                <w:color w:val="auto"/>
                <w:w w:val="89"/>
              </w:rPr>
              <w:t>56</w:t>
            </w:r>
          </w:p>
        </w:tc>
      </w:tr>
      <w:tr>
        <w:trPr>
          <w:trHeight w:val="124"/>
        </w:trPr>
        <w:tc>
          <w:tcPr>
            <w:tcW w:w="420" w:type="dxa"/>
            <w:vAlign w:val="bottom"/>
            <w:tcBorders>
              <w:bottom w:val="single" w:sz="8" w:color="61656A"/>
            </w:tcBorders>
          </w:tcPr>
          <w:p>
            <w:pPr>
              <w:spacing w:after="0"/>
              <w:rPr>
                <w:sz w:val="10"/>
                <w:szCs w:val="10"/>
                <w:color w:val="auto"/>
              </w:rPr>
            </w:pPr>
          </w:p>
        </w:tc>
        <w:tc>
          <w:tcPr>
            <w:tcW w:w="7340" w:type="dxa"/>
            <w:vAlign w:val="bottom"/>
            <w:tcBorders>
              <w:bottom w:val="single" w:sz="8" w:color="61656A"/>
            </w:tcBorders>
          </w:tcPr>
          <w:p>
            <w:pPr>
              <w:ind w:left="160"/>
              <w:spacing w:after="0"/>
              <w:rPr>
                <w:sz w:val="20"/>
                <w:szCs w:val="20"/>
                <w:color w:val="auto"/>
              </w:rPr>
            </w:pPr>
            <w:r>
              <w:rPr>
                <w:rFonts w:ascii="Arial" w:cs="Arial" w:eastAsia="Arial" w:hAnsi="Arial"/>
                <w:sz w:val="10"/>
                <w:szCs w:val="10"/>
                <w:color w:val="auto"/>
              </w:rPr>
              <w:t>Consolidated Statement of Cash Flows for the years ended December 31, 2023, 2022, and 2021</w:t>
            </w:r>
          </w:p>
        </w:tc>
        <w:tc>
          <w:tcPr>
            <w:tcW w:w="3540" w:type="dxa"/>
            <w:vAlign w:val="bottom"/>
            <w:tcBorders>
              <w:bottom w:val="single" w:sz="8" w:color="61656A"/>
            </w:tcBorders>
          </w:tcPr>
          <w:p>
            <w:pPr>
              <w:jc w:val="center"/>
              <w:ind w:left="2192"/>
              <w:spacing w:after="0"/>
              <w:rPr>
                <w:sz w:val="20"/>
                <w:szCs w:val="20"/>
                <w:color w:val="auto"/>
              </w:rPr>
            </w:pPr>
            <w:r>
              <w:rPr>
                <w:rFonts w:ascii="Arial" w:cs="Arial" w:eastAsia="Arial" w:hAnsi="Arial"/>
                <w:sz w:val="10"/>
                <w:szCs w:val="10"/>
                <w:color w:val="auto"/>
                <w:w w:val="89"/>
              </w:rPr>
              <w:t>57</w:t>
            </w:r>
          </w:p>
        </w:tc>
      </w:tr>
      <w:tr>
        <w:trPr>
          <w:trHeight w:val="124"/>
        </w:trPr>
        <w:tc>
          <w:tcPr>
            <w:tcW w:w="420" w:type="dxa"/>
            <w:vAlign w:val="bottom"/>
            <w:tcBorders>
              <w:bottom w:val="single" w:sz="8" w:color="61656A"/>
            </w:tcBorders>
          </w:tcPr>
          <w:p>
            <w:pPr>
              <w:spacing w:after="0"/>
              <w:rPr>
                <w:sz w:val="10"/>
                <w:szCs w:val="10"/>
                <w:color w:val="auto"/>
              </w:rPr>
            </w:pPr>
          </w:p>
        </w:tc>
        <w:tc>
          <w:tcPr>
            <w:tcW w:w="7340" w:type="dxa"/>
            <w:vAlign w:val="bottom"/>
            <w:tcBorders>
              <w:bottom w:val="single" w:sz="8" w:color="61656A"/>
            </w:tcBorders>
          </w:tcPr>
          <w:p>
            <w:pPr>
              <w:ind w:left="160"/>
              <w:spacing w:after="0"/>
              <w:rPr>
                <w:sz w:val="20"/>
                <w:szCs w:val="20"/>
                <w:color w:val="auto"/>
              </w:rPr>
            </w:pPr>
            <w:r>
              <w:rPr>
                <w:rFonts w:ascii="Arial" w:cs="Arial" w:eastAsia="Arial" w:hAnsi="Arial"/>
                <w:sz w:val="10"/>
                <w:szCs w:val="10"/>
                <w:color w:val="auto"/>
              </w:rPr>
              <w:t>Consolidated Statement of Shareowners’ Equity for the years ended December 31, 2023, 2022, and 2021</w:t>
            </w:r>
          </w:p>
        </w:tc>
        <w:tc>
          <w:tcPr>
            <w:tcW w:w="3540" w:type="dxa"/>
            <w:vAlign w:val="bottom"/>
            <w:tcBorders>
              <w:bottom w:val="single" w:sz="8" w:color="61656A"/>
            </w:tcBorders>
          </w:tcPr>
          <w:p>
            <w:pPr>
              <w:jc w:val="center"/>
              <w:ind w:left="2192"/>
              <w:spacing w:after="0"/>
              <w:rPr>
                <w:sz w:val="20"/>
                <w:szCs w:val="20"/>
                <w:color w:val="auto"/>
              </w:rPr>
            </w:pPr>
            <w:r>
              <w:rPr>
                <w:rFonts w:ascii="Arial" w:cs="Arial" w:eastAsia="Arial" w:hAnsi="Arial"/>
                <w:sz w:val="10"/>
                <w:szCs w:val="10"/>
                <w:color w:val="auto"/>
                <w:w w:val="89"/>
              </w:rPr>
              <w:t>58</w:t>
            </w:r>
          </w:p>
        </w:tc>
      </w:tr>
      <w:tr>
        <w:trPr>
          <w:trHeight w:val="124"/>
        </w:trPr>
        <w:tc>
          <w:tcPr>
            <w:tcW w:w="420" w:type="dxa"/>
            <w:vAlign w:val="bottom"/>
            <w:tcBorders>
              <w:bottom w:val="single" w:sz="8" w:color="61656A"/>
            </w:tcBorders>
          </w:tcPr>
          <w:p>
            <w:pPr>
              <w:spacing w:after="0"/>
              <w:rPr>
                <w:sz w:val="10"/>
                <w:szCs w:val="10"/>
                <w:color w:val="auto"/>
              </w:rPr>
            </w:pPr>
          </w:p>
        </w:tc>
        <w:tc>
          <w:tcPr>
            <w:tcW w:w="7340" w:type="dxa"/>
            <w:vAlign w:val="bottom"/>
            <w:tcBorders>
              <w:bottom w:val="single" w:sz="8" w:color="61656A"/>
            </w:tcBorders>
          </w:tcPr>
          <w:p>
            <w:pPr>
              <w:ind w:left="160"/>
              <w:spacing w:after="0"/>
              <w:rPr>
                <w:sz w:val="20"/>
                <w:szCs w:val="20"/>
                <w:color w:val="auto"/>
              </w:rPr>
            </w:pPr>
            <w:r>
              <w:rPr>
                <w:rFonts w:ascii="Arial" w:cs="Arial" w:eastAsia="Arial" w:hAnsi="Arial"/>
                <w:sz w:val="10"/>
                <w:szCs w:val="10"/>
                <w:color w:val="auto"/>
              </w:rPr>
              <w:t>Notes to Consolidated Financial Statements</w:t>
            </w:r>
          </w:p>
        </w:tc>
        <w:tc>
          <w:tcPr>
            <w:tcW w:w="3540" w:type="dxa"/>
            <w:vAlign w:val="bottom"/>
            <w:tcBorders>
              <w:bottom w:val="single" w:sz="8" w:color="61656A"/>
            </w:tcBorders>
          </w:tcPr>
          <w:p>
            <w:pPr>
              <w:jc w:val="center"/>
              <w:ind w:left="2192"/>
              <w:spacing w:after="0"/>
              <w:rPr>
                <w:sz w:val="20"/>
                <w:szCs w:val="20"/>
                <w:color w:val="auto"/>
              </w:rPr>
            </w:pPr>
            <w:r>
              <w:rPr>
                <w:rFonts w:ascii="Arial" w:cs="Arial" w:eastAsia="Arial" w:hAnsi="Arial"/>
                <w:sz w:val="10"/>
                <w:szCs w:val="10"/>
                <w:color w:val="auto"/>
                <w:w w:val="89"/>
              </w:rPr>
              <w:t>59</w:t>
            </w:r>
          </w:p>
        </w:tc>
      </w:tr>
      <w:tr>
        <w:trPr>
          <w:trHeight w:val="124"/>
        </w:trPr>
        <w:tc>
          <w:tcPr>
            <w:tcW w:w="420" w:type="dxa"/>
            <w:vAlign w:val="bottom"/>
            <w:tcBorders>
              <w:bottom w:val="single" w:sz="8" w:color="D7282F"/>
            </w:tcBorders>
          </w:tcPr>
          <w:p>
            <w:pPr>
              <w:spacing w:after="0"/>
              <w:rPr>
                <w:sz w:val="10"/>
                <w:szCs w:val="10"/>
                <w:color w:val="auto"/>
              </w:rPr>
            </w:pPr>
          </w:p>
        </w:tc>
        <w:tc>
          <w:tcPr>
            <w:tcW w:w="7340" w:type="dxa"/>
            <w:vAlign w:val="bottom"/>
            <w:tcBorders>
              <w:bottom w:val="single" w:sz="8" w:color="D7282F"/>
            </w:tcBorders>
          </w:tcPr>
          <w:p>
            <w:pPr>
              <w:ind w:left="160"/>
              <w:spacing w:after="0"/>
              <w:rPr>
                <w:sz w:val="20"/>
                <w:szCs w:val="20"/>
                <w:color w:val="auto"/>
              </w:rPr>
            </w:pPr>
            <w:r>
              <w:rPr>
                <w:rFonts w:ascii="Arial" w:cs="Arial" w:eastAsia="Arial" w:hAnsi="Arial"/>
                <w:sz w:val="10"/>
                <w:szCs w:val="10"/>
                <w:color w:val="auto"/>
              </w:rPr>
              <w:t>Report of Independent Registered Public Accounting Firm (PCAOB ID No. 34)</w:t>
            </w:r>
          </w:p>
        </w:tc>
        <w:tc>
          <w:tcPr>
            <w:tcW w:w="3540" w:type="dxa"/>
            <w:vAlign w:val="bottom"/>
            <w:tcBorders>
              <w:bottom w:val="single" w:sz="8" w:color="D7282F"/>
            </w:tcBorders>
          </w:tcPr>
          <w:p>
            <w:pPr>
              <w:jc w:val="center"/>
              <w:ind w:left="2172"/>
              <w:spacing w:after="0"/>
              <w:rPr>
                <w:sz w:val="20"/>
                <w:szCs w:val="20"/>
                <w:color w:val="auto"/>
              </w:rPr>
            </w:pPr>
            <w:r>
              <w:rPr>
                <w:rFonts w:ascii="Arial" w:cs="Arial" w:eastAsia="Arial" w:hAnsi="Arial"/>
                <w:sz w:val="10"/>
                <w:szCs w:val="10"/>
                <w:color w:val="auto"/>
                <w:w w:val="95"/>
              </w:rPr>
              <w:t>115</w:t>
            </w:r>
          </w:p>
        </w:tc>
      </w:tr>
    </w:tbl>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4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4620" w:type="dxa"/>
            <w:vAlign w:val="bottom"/>
          </w:tcPr>
          <w:p>
            <w:pPr>
              <w:jc w:val="center"/>
              <w:ind w:left="3272"/>
              <w:spacing w:after="0"/>
              <w:rPr>
                <w:sz w:val="20"/>
                <w:szCs w:val="20"/>
                <w:color w:val="auto"/>
              </w:rPr>
            </w:pPr>
            <w:r>
              <w:rPr>
                <w:rFonts w:ascii="Arial" w:cs="Arial" w:eastAsia="Arial" w:hAnsi="Arial"/>
                <w:sz w:val="10"/>
                <w:szCs w:val="10"/>
                <w:b w:val="1"/>
                <w:bCs w:val="1"/>
                <w:color w:val="auto"/>
                <w:w w:val="96"/>
              </w:rPr>
              <w:t>Page Number</w:t>
            </w:r>
          </w:p>
        </w:tc>
      </w:tr>
      <w:tr>
        <w:trPr>
          <w:trHeight w:val="136"/>
        </w:trPr>
        <w:tc>
          <w:tcPr>
            <w:tcW w:w="420" w:type="dxa"/>
            <w:vAlign w:val="bottom"/>
            <w:tcBorders>
              <w:bottom w:val="single" w:sz="8" w:color="D7282F"/>
            </w:tcBorders>
          </w:tcPr>
          <w:p>
            <w:pPr>
              <w:spacing w:after="0"/>
              <w:rPr>
                <w:sz w:val="11"/>
                <w:szCs w:val="11"/>
                <w:color w:val="auto"/>
              </w:rPr>
            </w:pPr>
          </w:p>
        </w:tc>
        <w:tc>
          <w:tcPr>
            <w:tcW w:w="6260" w:type="dxa"/>
            <w:vAlign w:val="bottom"/>
            <w:tcBorders>
              <w:bottom w:val="single" w:sz="8" w:color="D7282F"/>
            </w:tcBorders>
          </w:tcPr>
          <w:p>
            <w:pPr>
              <w:spacing w:after="0"/>
              <w:rPr>
                <w:sz w:val="11"/>
                <w:szCs w:val="11"/>
                <w:color w:val="auto"/>
              </w:rPr>
            </w:pPr>
          </w:p>
        </w:tc>
        <w:tc>
          <w:tcPr>
            <w:tcW w:w="4620" w:type="dxa"/>
            <w:vAlign w:val="bottom"/>
            <w:tcBorders>
              <w:bottom w:val="single" w:sz="8" w:color="D7282F"/>
            </w:tcBorders>
          </w:tcPr>
          <w:p>
            <w:pPr>
              <w:jc w:val="center"/>
              <w:ind w:left="3272"/>
              <w:spacing w:after="0"/>
              <w:rPr>
                <w:sz w:val="20"/>
                <w:szCs w:val="20"/>
                <w:color w:val="auto"/>
              </w:rPr>
            </w:pPr>
            <w:r>
              <w:rPr>
                <w:rFonts w:ascii="Arial" w:cs="Arial" w:eastAsia="Arial" w:hAnsi="Arial"/>
                <w:sz w:val="10"/>
                <w:szCs w:val="10"/>
                <w:b w:val="1"/>
                <w:bCs w:val="1"/>
                <w:color w:val="auto"/>
                <w:w w:val="94"/>
              </w:rPr>
              <w:t>in Form 10-K</w:t>
            </w:r>
          </w:p>
        </w:tc>
      </w:tr>
      <w:tr>
        <w:trPr>
          <w:trHeight w:val="128"/>
        </w:trPr>
        <w:tc>
          <w:tcPr>
            <w:tcW w:w="42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EE2724"/>
              </w:rPr>
              <w:t>(a)(3.)</w:t>
            </w:r>
          </w:p>
        </w:tc>
        <w:tc>
          <w:tcPr>
            <w:tcW w:w="6260" w:type="dxa"/>
            <w:vAlign w:val="bottom"/>
            <w:tcBorders>
              <w:bottom w:val="single" w:sz="8" w:color="61656A"/>
            </w:tcBorders>
          </w:tcPr>
          <w:p>
            <w:pPr>
              <w:ind w:left="160"/>
              <w:spacing w:after="0"/>
              <w:rPr>
                <w:sz w:val="20"/>
                <w:szCs w:val="20"/>
                <w:color w:val="auto"/>
              </w:rPr>
            </w:pPr>
            <w:r>
              <w:rPr>
                <w:rFonts w:ascii="Arial" w:cs="Arial" w:eastAsia="Arial" w:hAnsi="Arial"/>
                <w:sz w:val="10"/>
                <w:szCs w:val="10"/>
                <w:b w:val="1"/>
                <w:bCs w:val="1"/>
                <w:color w:val="EE2724"/>
              </w:rPr>
              <w:t>Exhibits</w:t>
            </w:r>
          </w:p>
        </w:tc>
        <w:tc>
          <w:tcPr>
            <w:tcW w:w="4620" w:type="dxa"/>
            <w:vAlign w:val="bottom"/>
            <w:tcBorders>
              <w:bottom w:val="single" w:sz="8" w:color="61656A"/>
            </w:tcBorders>
          </w:tcPr>
          <w:p>
            <w:pPr>
              <w:spacing w:after="0"/>
              <w:rPr>
                <w:sz w:val="11"/>
                <w:szCs w:val="11"/>
                <w:color w:val="auto"/>
              </w:rPr>
            </w:pPr>
          </w:p>
        </w:tc>
      </w:tr>
      <w:tr>
        <w:trPr>
          <w:trHeight w:val="122"/>
        </w:trPr>
        <w:tc>
          <w:tcPr>
            <w:tcW w:w="420" w:type="dxa"/>
            <w:vAlign w:val="bottom"/>
            <w:tcBorders>
              <w:bottom w:val="single" w:sz="8" w:color="D7282F"/>
            </w:tcBorders>
          </w:tcPr>
          <w:p>
            <w:pPr>
              <w:spacing w:after="0"/>
              <w:rPr>
                <w:sz w:val="10"/>
                <w:szCs w:val="10"/>
                <w:color w:val="auto"/>
              </w:rPr>
            </w:pPr>
          </w:p>
        </w:tc>
        <w:tc>
          <w:tcPr>
            <w:tcW w:w="6260" w:type="dxa"/>
            <w:vAlign w:val="bottom"/>
            <w:tcBorders>
              <w:bottom w:val="single" w:sz="8" w:color="D7282F"/>
            </w:tcBorders>
          </w:tcPr>
          <w:p>
            <w:pPr>
              <w:ind w:left="160"/>
              <w:spacing w:after="0"/>
              <w:rPr>
                <w:sz w:val="20"/>
                <w:szCs w:val="20"/>
                <w:color w:val="auto"/>
              </w:rPr>
            </w:pPr>
            <w:r>
              <w:rPr>
                <w:rFonts w:ascii="Arial" w:cs="Arial" w:eastAsia="Arial" w:hAnsi="Arial"/>
                <w:sz w:val="10"/>
                <w:szCs w:val="10"/>
                <w:color w:val="auto"/>
              </w:rPr>
              <w:t>See the Exhibit Index of this Annual Report on Form 10-K</w:t>
            </w:r>
          </w:p>
        </w:tc>
        <w:tc>
          <w:tcPr>
            <w:tcW w:w="4620" w:type="dxa"/>
            <w:vAlign w:val="bottom"/>
            <w:tcBorders>
              <w:bottom w:val="single" w:sz="8" w:color="D7282F"/>
            </w:tcBorders>
          </w:tcPr>
          <w:p>
            <w:pPr>
              <w:jc w:val="center"/>
              <w:ind w:left="3252"/>
              <w:spacing w:after="0"/>
              <w:rPr>
                <w:sz w:val="20"/>
                <w:szCs w:val="20"/>
                <w:color w:val="auto"/>
              </w:rPr>
            </w:pPr>
            <w:r>
              <w:rPr>
                <w:rFonts w:ascii="Arial" w:cs="Arial" w:eastAsia="Arial" w:hAnsi="Arial"/>
                <w:sz w:val="10"/>
                <w:szCs w:val="10"/>
                <w:color w:val="auto"/>
                <w:w w:val="95"/>
              </w:rPr>
              <w:t>121</w:t>
            </w:r>
          </w:p>
        </w:tc>
      </w:tr>
    </w:tbl>
    <w:p>
      <w:pPr>
        <w:spacing w:after="0" w:line="281"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FORM 10-K SUMMARY</w:t>
      </w:r>
    </w:p>
    <w:p>
      <w:pPr>
        <w:spacing w:after="0" w:line="262" w:lineRule="exact"/>
        <w:rPr>
          <w:sz w:val="20"/>
          <w:szCs w:val="20"/>
          <w:color w:val="auto"/>
        </w:rPr>
      </w:pPr>
    </w:p>
    <w:p>
      <w:pPr>
        <w:ind w:left="8"/>
        <w:spacing w:after="0"/>
        <w:rPr>
          <w:sz w:val="20"/>
          <w:szCs w:val="20"/>
          <w:color w:val="auto"/>
        </w:rPr>
      </w:pPr>
      <w:r>
        <w:rPr>
          <w:rFonts w:ascii="Arial" w:cs="Arial" w:eastAsia="Arial" w:hAnsi="Arial"/>
          <w:sz w:val="11"/>
          <w:szCs w:val="11"/>
          <w:color w:val="auto"/>
        </w:rPr>
        <w:t>None.</w:t>
      </w:r>
    </w:p>
    <w:p>
      <w:pPr>
        <w:spacing w:after="0" w:line="296" w:lineRule="exact"/>
        <w:rPr>
          <w:sz w:val="20"/>
          <w:szCs w:val="20"/>
          <w:color w:val="auto"/>
        </w:rPr>
      </w:pPr>
    </w:p>
    <w:p>
      <w:pPr>
        <w:ind w:left="328" w:hanging="328"/>
        <w:spacing w:after="0"/>
        <w:tabs>
          <w:tab w:leader="none" w:pos="328" w:val="left"/>
        </w:tabs>
        <w:numPr>
          <w:ilvl w:val="0"/>
          <w:numId w:val="176"/>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122" w:name="page123"/>
    <w:bookmarkEnd w:id="122"/>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
        <w:spacing w:after="0"/>
        <w:rPr>
          <w:sz w:val="20"/>
          <w:szCs w:val="20"/>
          <w:color w:val="auto"/>
        </w:rPr>
      </w:pPr>
      <w:r>
        <w:rPr>
          <w:rFonts w:ascii="Arial" w:cs="Arial" w:eastAsia="Arial" w:hAnsi="Arial"/>
          <w:sz w:val="19"/>
          <w:szCs w:val="19"/>
          <w:color w:val="D7282F"/>
        </w:rPr>
        <w:t>EXHIBIT INDEX</w:t>
      </w:r>
    </w:p>
    <w:p>
      <w:pPr>
        <w:spacing w:after="0" w:line="209"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102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Exhibit No.</w:t>
            </w:r>
          </w:p>
        </w:tc>
        <w:tc>
          <w:tcPr>
            <w:tcW w:w="10280" w:type="dxa"/>
            <w:vAlign w:val="bottom"/>
            <w:tcBorders>
              <w:bottom w:val="single" w:sz="8" w:color="D7282F"/>
            </w:tcBorders>
          </w:tcPr>
          <w:p>
            <w:pPr>
              <w:ind w:left="5120"/>
              <w:spacing w:after="0"/>
              <w:rPr>
                <w:sz w:val="20"/>
                <w:szCs w:val="20"/>
                <w:color w:val="auto"/>
              </w:rPr>
            </w:pPr>
            <w:r>
              <w:rPr>
                <w:rFonts w:ascii="Arial" w:cs="Arial" w:eastAsia="Arial" w:hAnsi="Arial"/>
                <w:sz w:val="10"/>
                <w:szCs w:val="10"/>
                <w:b w:val="1"/>
                <w:bCs w:val="1"/>
                <w:color w:val="auto"/>
              </w:rPr>
              <w:t>Description</w:t>
            </w:r>
          </w:p>
        </w:tc>
      </w:tr>
      <w:tr>
        <w:trPr>
          <w:trHeight w:val="127"/>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3(i)</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53">
              <w:r>
                <w:rPr>
                  <w:rFonts w:ascii="Arial" w:cs="Arial" w:eastAsia="Arial" w:hAnsi="Arial"/>
                  <w:sz w:val="10"/>
                  <w:szCs w:val="10"/>
                  <w:color w:val="auto"/>
                </w:rPr>
                <w:t>Amended and Restated Certificate of Incorporation of Honeywell International Inc., as amended April 23, 2018 (incorporated by reference to Exhibit 3(i) to Honeywell’s Form 10-Q for the quarter ended June 30, 2018)</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3(ii)</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54">
              <w:r>
                <w:rPr>
                  <w:rFonts w:ascii="Arial" w:cs="Arial" w:eastAsia="Arial" w:hAnsi="Arial"/>
                  <w:sz w:val="10"/>
                  <w:szCs w:val="10"/>
                  <w:color w:val="auto"/>
                </w:rPr>
                <w:t xml:space="preserve">By-laws of Honeywell International Inc., as amended December 8, 2023 (incorporated by reference to Exhibit </w:t>
              </w:r>
            </w:hyperlink>
            <w:r>
              <w:rPr>
                <w:rFonts w:ascii="Arial" w:cs="Arial" w:eastAsia="Arial" w:hAnsi="Arial"/>
                <w:sz w:val="10"/>
                <w:szCs w:val="10"/>
                <w:color w:val="auto"/>
              </w:rPr>
              <w:t xml:space="preserve">3(i) </w:t>
            </w:r>
            <w:hyperlink r:id="rId254">
              <w:r>
                <w:rPr>
                  <w:rFonts w:ascii="Arial" w:cs="Arial" w:eastAsia="Arial" w:hAnsi="Arial"/>
                  <w:sz w:val="10"/>
                  <w:szCs w:val="10"/>
                  <w:color w:val="auto"/>
                </w:rPr>
                <w:t>to Honeywell’s 8-K filed December 11, 2023)</w:t>
              </w:r>
            </w:hyperlink>
          </w:p>
        </w:tc>
      </w:tr>
      <w:tr>
        <w:trPr>
          <w:trHeight w:val="95"/>
        </w:trPr>
        <w:tc>
          <w:tcPr>
            <w:tcW w:w="1020" w:type="dxa"/>
            <w:vAlign w:val="bottom"/>
          </w:tcPr>
          <w:p>
            <w:pPr>
              <w:spacing w:after="0" w:line="95" w:lineRule="exact"/>
              <w:rPr>
                <w:sz w:val="20"/>
                <w:szCs w:val="20"/>
                <w:color w:val="auto"/>
              </w:rPr>
            </w:pPr>
            <w:r>
              <w:rPr>
                <w:rFonts w:ascii="Arial" w:cs="Arial" w:eastAsia="Arial" w:hAnsi="Arial"/>
                <w:sz w:val="10"/>
                <w:szCs w:val="10"/>
                <w:color w:val="auto"/>
              </w:rPr>
              <w:t>4.1</w:t>
            </w:r>
          </w:p>
        </w:tc>
        <w:tc>
          <w:tcPr>
            <w:tcW w:w="10280" w:type="dxa"/>
            <w:vAlign w:val="bottom"/>
          </w:tcPr>
          <w:p>
            <w:pPr>
              <w:ind w:left="500"/>
              <w:spacing w:after="0" w:line="95" w:lineRule="exact"/>
              <w:rPr>
                <w:sz w:val="20"/>
                <w:szCs w:val="20"/>
                <w:color w:val="auto"/>
              </w:rPr>
            </w:pPr>
            <w:r>
              <w:rPr>
                <w:rFonts w:ascii="Arial" w:cs="Arial" w:eastAsia="Arial" w:hAnsi="Arial"/>
                <w:sz w:val="10"/>
                <w:szCs w:val="10"/>
                <w:color w:val="auto"/>
                <w:w w:val="99"/>
              </w:rPr>
              <w:t>Honeywell International Inc. is a party to several long-term debt instruments under which, in each case, the total amount of securities authorized does not exceed 10% of the total assets of Honeywell and its subsidiaries on a</w:t>
            </w:r>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sz w:val="20"/>
                <w:szCs w:val="20"/>
                <w:color w:val="auto"/>
              </w:rPr>
            </w:pPr>
            <w:r>
              <w:rPr>
                <w:rFonts w:ascii="Arial" w:cs="Arial" w:eastAsia="Arial" w:hAnsi="Arial"/>
                <w:sz w:val="10"/>
                <w:szCs w:val="10"/>
                <w:color w:val="auto"/>
              </w:rPr>
              <w:t>consolidated basis. Pursuant to paragraph 4(iii)(A) of Item 601(b) of Regulation S-K, Honeywell agrees to furnish a copy of such instruments to the Securities and Exchange Commission upon request.</w:t>
            </w:r>
          </w:p>
        </w:tc>
      </w:tr>
      <w:tr>
        <w:trPr>
          <w:trHeight w:val="121"/>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4.2</w:t>
            </w:r>
          </w:p>
        </w:tc>
        <w:tc>
          <w:tcPr>
            <w:tcW w:w="10280" w:type="dxa"/>
            <w:vAlign w:val="bottom"/>
            <w:tcBorders>
              <w:bottom w:val="single" w:sz="8" w:color="61656A"/>
            </w:tcBorders>
          </w:tcPr>
          <w:p>
            <w:pPr>
              <w:ind w:left="500"/>
              <w:spacing w:after="0"/>
              <w:rPr>
                <w:sz w:val="20"/>
                <w:szCs w:val="20"/>
                <w:color w:val="auto"/>
              </w:rPr>
            </w:pPr>
            <w:r>
              <w:rPr>
                <w:rFonts w:ascii="Arial" w:cs="Arial" w:eastAsia="Arial" w:hAnsi="Arial"/>
                <w:sz w:val="10"/>
                <w:szCs w:val="10"/>
                <w:color w:val="auto"/>
              </w:rPr>
              <w:t>Description of Honeywell International Inc. Securities Registered Pursuant to Section 12 of the Securities Exchange Act of 1934 (filed herewith)</w:t>
            </w:r>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10.1*</w:t>
            </w:r>
          </w:p>
        </w:tc>
        <w:tc>
          <w:tcPr>
            <w:tcW w:w="10280" w:type="dxa"/>
            <w:vAlign w:val="bottom"/>
            <w:tcBorders>
              <w:bottom w:val="single" w:sz="8" w:color="61656A"/>
            </w:tcBorders>
          </w:tcPr>
          <w:p>
            <w:pPr>
              <w:ind w:left="500"/>
              <w:spacing w:after="0"/>
              <w:rPr>
                <w:rFonts w:ascii="Arial" w:cs="Arial" w:eastAsia="Arial" w:hAnsi="Arial"/>
                <w:sz w:val="10"/>
                <w:szCs w:val="10"/>
                <w:color w:val="auto"/>
                <w:w w:val="99"/>
              </w:rPr>
            </w:pPr>
            <w:hyperlink r:id="rId255">
              <w:r>
                <w:rPr>
                  <w:rFonts w:ascii="Arial" w:cs="Arial" w:eastAsia="Arial" w:hAnsi="Arial"/>
                  <w:sz w:val="10"/>
                  <w:szCs w:val="10"/>
                  <w:color w:val="auto"/>
                  <w:w w:val="99"/>
                </w:rPr>
                <w:t>Deferred Compensation Plan for Non-Employee Directors of Honeywell International Inc., as amended and restated (incorporated by reference to Exhibit 10.2 to Honeywell’s Form 10-Q for the quarter ended June 30, 2003)</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10.2*</w:t>
            </w:r>
          </w:p>
        </w:tc>
        <w:tc>
          <w:tcPr>
            <w:tcW w:w="10280" w:type="dxa"/>
            <w:vAlign w:val="bottom"/>
            <w:tcBorders>
              <w:bottom w:val="single" w:sz="8" w:color="61656A"/>
            </w:tcBorders>
          </w:tcPr>
          <w:p>
            <w:pPr>
              <w:ind w:left="500"/>
              <w:spacing w:after="0"/>
              <w:rPr>
                <w:rFonts w:ascii="Arial" w:cs="Arial" w:eastAsia="Arial" w:hAnsi="Arial"/>
                <w:sz w:val="10"/>
                <w:szCs w:val="10"/>
                <w:color w:val="auto"/>
                <w:w w:val="98"/>
              </w:rPr>
            </w:pPr>
            <w:hyperlink r:id="rId256">
              <w:r>
                <w:rPr>
                  <w:rFonts w:ascii="Arial" w:cs="Arial" w:eastAsia="Arial" w:hAnsi="Arial"/>
                  <w:sz w:val="10"/>
                  <w:szCs w:val="10"/>
                  <w:color w:val="auto"/>
                  <w:w w:val="98"/>
                </w:rPr>
                <w:t>Amendment to Deferred Compensation Plan for Non-Employee Directors of Honeywell International Inc., as amended and restated (incorporated by reference to Exhibit 10.1 to Honeywell’s Form 8-K filed December 21, 2004)</w:t>
              </w:r>
            </w:hyperlink>
          </w:p>
        </w:tc>
      </w:tr>
      <w:tr>
        <w:trPr>
          <w:trHeight w:val="95"/>
        </w:trPr>
        <w:tc>
          <w:tcPr>
            <w:tcW w:w="1020" w:type="dxa"/>
            <w:vAlign w:val="bottom"/>
          </w:tcPr>
          <w:p>
            <w:pPr>
              <w:spacing w:after="0" w:line="95" w:lineRule="exact"/>
              <w:rPr>
                <w:sz w:val="20"/>
                <w:szCs w:val="20"/>
                <w:color w:val="auto"/>
              </w:rPr>
            </w:pPr>
            <w:r>
              <w:rPr>
                <w:rFonts w:ascii="Arial" w:cs="Arial" w:eastAsia="Arial" w:hAnsi="Arial"/>
                <w:sz w:val="10"/>
                <w:szCs w:val="10"/>
                <w:color w:val="auto"/>
              </w:rPr>
              <w:t>10.3*</w:t>
            </w:r>
          </w:p>
        </w:tc>
        <w:tc>
          <w:tcPr>
            <w:tcW w:w="10280" w:type="dxa"/>
            <w:vAlign w:val="bottom"/>
          </w:tcPr>
          <w:p>
            <w:pPr>
              <w:ind w:left="500"/>
              <w:spacing w:after="0" w:line="95" w:lineRule="exact"/>
              <w:rPr>
                <w:rFonts w:ascii="Arial" w:cs="Arial" w:eastAsia="Arial" w:hAnsi="Arial"/>
                <w:sz w:val="10"/>
                <w:szCs w:val="10"/>
                <w:color w:val="auto"/>
                <w:w w:val="96"/>
              </w:rPr>
            </w:pPr>
            <w:hyperlink r:id="rId257">
              <w:r>
                <w:rPr>
                  <w:rFonts w:ascii="Arial" w:cs="Arial" w:eastAsia="Arial" w:hAnsi="Arial"/>
                  <w:sz w:val="10"/>
                  <w:szCs w:val="10"/>
                  <w:color w:val="auto"/>
                  <w:w w:val="96"/>
                </w:rPr>
                <w:t>Amendment to Deferred Compensation Plan for Non-Employee Directors of Honeywell International Inc., as amended and restated (incorporated by reference to Exhibit 10.2 to Honeywell’s Form 10-K for the year ended December</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57">
              <w:r>
                <w:rPr>
                  <w:rFonts w:ascii="Arial" w:cs="Arial" w:eastAsia="Arial" w:hAnsi="Arial"/>
                  <w:sz w:val="10"/>
                  <w:szCs w:val="10"/>
                  <w:color w:val="auto"/>
                </w:rPr>
                <w:t>31, 2005)</w:t>
              </w:r>
            </w:hyperlink>
          </w:p>
        </w:tc>
      </w:tr>
      <w:tr>
        <w:trPr>
          <w:trHeight w:val="92"/>
        </w:trPr>
        <w:tc>
          <w:tcPr>
            <w:tcW w:w="1020" w:type="dxa"/>
            <w:vAlign w:val="bottom"/>
          </w:tcPr>
          <w:p>
            <w:pPr>
              <w:spacing w:after="0" w:line="92" w:lineRule="exact"/>
              <w:rPr>
                <w:sz w:val="20"/>
                <w:szCs w:val="20"/>
                <w:color w:val="auto"/>
              </w:rPr>
            </w:pPr>
            <w:r>
              <w:rPr>
                <w:rFonts w:ascii="Arial" w:cs="Arial" w:eastAsia="Arial" w:hAnsi="Arial"/>
                <w:sz w:val="10"/>
                <w:szCs w:val="10"/>
                <w:color w:val="auto"/>
              </w:rPr>
              <w:t>10.4*</w:t>
            </w:r>
          </w:p>
        </w:tc>
        <w:tc>
          <w:tcPr>
            <w:tcW w:w="10280" w:type="dxa"/>
            <w:vAlign w:val="bottom"/>
          </w:tcPr>
          <w:p>
            <w:pPr>
              <w:ind w:left="500"/>
              <w:spacing w:after="0" w:line="92" w:lineRule="exact"/>
              <w:rPr>
                <w:rFonts w:ascii="Arial" w:cs="Arial" w:eastAsia="Arial" w:hAnsi="Arial"/>
                <w:sz w:val="10"/>
                <w:szCs w:val="10"/>
                <w:color w:val="auto"/>
                <w:w w:val="98"/>
              </w:rPr>
            </w:pPr>
            <w:hyperlink r:id="rId258">
              <w:r>
                <w:rPr>
                  <w:rFonts w:ascii="Arial" w:cs="Arial" w:eastAsia="Arial" w:hAnsi="Arial"/>
                  <w:sz w:val="10"/>
                  <w:szCs w:val="10"/>
                  <w:color w:val="auto"/>
                  <w:w w:val="98"/>
                </w:rPr>
                <w:t>Omnibus Amendment to Deferred Compensation Plan for Non-Employee Directors of Honeywell International Inc., as amended and restated (incorporated by reference to Exhibit 10.1 to Honeywell’s Form 10-Q for the quarter</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58">
              <w:r>
                <w:rPr>
                  <w:rFonts w:ascii="Arial" w:cs="Arial" w:eastAsia="Arial" w:hAnsi="Arial"/>
                  <w:sz w:val="10"/>
                  <w:szCs w:val="10"/>
                  <w:color w:val="auto"/>
                </w:rPr>
                <w:t>ended June 30, 2021)</w:t>
              </w:r>
            </w:hyperlink>
          </w:p>
        </w:tc>
      </w:tr>
      <w:tr>
        <w:trPr>
          <w:trHeight w:val="121"/>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10.5*</w:t>
            </w:r>
          </w:p>
        </w:tc>
        <w:tc>
          <w:tcPr>
            <w:tcW w:w="10280" w:type="dxa"/>
            <w:vAlign w:val="bottom"/>
            <w:tcBorders>
              <w:bottom w:val="single" w:sz="8" w:color="61656A"/>
            </w:tcBorders>
          </w:tcPr>
          <w:p>
            <w:pPr>
              <w:ind w:left="500"/>
              <w:spacing w:after="0"/>
              <w:rPr>
                <w:sz w:val="20"/>
                <w:szCs w:val="20"/>
                <w:color w:val="auto"/>
              </w:rPr>
            </w:pPr>
            <w:r>
              <w:rPr>
                <w:rFonts w:ascii="Arial" w:cs="Arial" w:eastAsia="Arial" w:hAnsi="Arial"/>
                <w:sz w:val="10"/>
                <w:szCs w:val="10"/>
                <w:color w:val="auto"/>
              </w:rPr>
              <w:t>Amendment to Deferred Compensation Plan for Non-Employee Directors of Honeywell International Inc., as amended and restated (filed herewith)</w:t>
            </w:r>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10.6*</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59">
              <w:r>
                <w:rPr>
                  <w:rFonts w:ascii="Arial" w:cs="Arial" w:eastAsia="Arial" w:hAnsi="Arial"/>
                  <w:sz w:val="10"/>
                  <w:szCs w:val="10"/>
                  <w:color w:val="auto"/>
                </w:rPr>
                <w:t>Honeywell International Inc. Incentive Compensation Plan for Executive Employees, as amended and restated (incorporated by reference to Exhibit 10.4 to Honeywell’s Form 10-K for the year ended December 31, 2018)</w:t>
              </w:r>
            </w:hyperlink>
          </w:p>
        </w:tc>
      </w:tr>
      <w:tr>
        <w:trPr>
          <w:trHeight w:val="95"/>
        </w:trPr>
        <w:tc>
          <w:tcPr>
            <w:tcW w:w="1020" w:type="dxa"/>
            <w:vAlign w:val="bottom"/>
          </w:tcPr>
          <w:p>
            <w:pPr>
              <w:spacing w:after="0" w:line="95" w:lineRule="exact"/>
              <w:rPr>
                <w:sz w:val="20"/>
                <w:szCs w:val="20"/>
                <w:color w:val="auto"/>
              </w:rPr>
            </w:pPr>
            <w:r>
              <w:rPr>
                <w:rFonts w:ascii="Arial" w:cs="Arial" w:eastAsia="Arial" w:hAnsi="Arial"/>
                <w:sz w:val="10"/>
                <w:szCs w:val="10"/>
                <w:color w:val="auto"/>
              </w:rPr>
              <w:t>10.7*</w:t>
            </w:r>
          </w:p>
        </w:tc>
        <w:tc>
          <w:tcPr>
            <w:tcW w:w="10280" w:type="dxa"/>
            <w:vAlign w:val="bottom"/>
          </w:tcPr>
          <w:p>
            <w:pPr>
              <w:ind w:left="500"/>
              <w:spacing w:after="0" w:line="95" w:lineRule="exact"/>
              <w:rPr>
                <w:rFonts w:ascii="Arial" w:cs="Arial" w:eastAsia="Arial" w:hAnsi="Arial"/>
                <w:sz w:val="10"/>
                <w:szCs w:val="10"/>
                <w:color w:val="auto"/>
                <w:w w:val="96"/>
              </w:rPr>
            </w:pPr>
            <w:hyperlink r:id="rId260">
              <w:r>
                <w:rPr>
                  <w:rFonts w:ascii="Arial" w:cs="Arial" w:eastAsia="Arial" w:hAnsi="Arial"/>
                  <w:sz w:val="10"/>
                  <w:szCs w:val="10"/>
                  <w:color w:val="auto"/>
                  <w:w w:val="96"/>
                </w:rPr>
                <w:t>Amendment to Honeywell International Inc. Incentive Compensation Plan for Executive Employees, as amended and restated (incorporated by reference to Exhibit 10.69 to Honeywell’s Form 10-K for the year ended December 31,</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60">
              <w:r>
                <w:rPr>
                  <w:rFonts w:ascii="Arial" w:cs="Arial" w:eastAsia="Arial" w:hAnsi="Arial"/>
                  <w:sz w:val="10"/>
                  <w:szCs w:val="10"/>
                  <w:color w:val="auto"/>
                </w:rPr>
                <w:t>2020)</w:t>
              </w:r>
            </w:hyperlink>
          </w:p>
        </w:tc>
      </w:tr>
      <w:tr>
        <w:trPr>
          <w:trHeight w:val="92"/>
        </w:trPr>
        <w:tc>
          <w:tcPr>
            <w:tcW w:w="1020" w:type="dxa"/>
            <w:vAlign w:val="bottom"/>
          </w:tcPr>
          <w:p>
            <w:pPr>
              <w:spacing w:after="0" w:line="92" w:lineRule="exact"/>
              <w:rPr>
                <w:sz w:val="20"/>
                <w:szCs w:val="20"/>
                <w:color w:val="auto"/>
              </w:rPr>
            </w:pPr>
            <w:r>
              <w:rPr>
                <w:rFonts w:ascii="Arial" w:cs="Arial" w:eastAsia="Arial" w:hAnsi="Arial"/>
                <w:sz w:val="10"/>
                <w:szCs w:val="10"/>
                <w:color w:val="auto"/>
              </w:rPr>
              <w:t>10.8*</w:t>
            </w:r>
          </w:p>
        </w:tc>
        <w:tc>
          <w:tcPr>
            <w:tcW w:w="10280" w:type="dxa"/>
            <w:vAlign w:val="bottom"/>
          </w:tcPr>
          <w:p>
            <w:pPr>
              <w:ind w:left="500"/>
              <w:spacing w:after="0" w:line="92" w:lineRule="exact"/>
              <w:rPr>
                <w:rFonts w:ascii="Arial" w:cs="Arial" w:eastAsia="Arial" w:hAnsi="Arial"/>
                <w:sz w:val="10"/>
                <w:szCs w:val="10"/>
                <w:color w:val="auto"/>
                <w:w w:val="97"/>
              </w:rPr>
            </w:pPr>
            <w:hyperlink r:id="rId261">
              <w:r>
                <w:rPr>
                  <w:rFonts w:ascii="Arial" w:cs="Arial" w:eastAsia="Arial" w:hAnsi="Arial"/>
                  <w:sz w:val="10"/>
                  <w:szCs w:val="10"/>
                  <w:color w:val="auto"/>
                  <w:w w:val="97"/>
                </w:rPr>
                <w:t>Omnibus Amendment to Honeywell International Inc. Incentive Compensation Plan for Executive Employees, as amended and restated (incorporated by reference to Exhibit 10.1 to Honeywell’s Form 10-Q for the quarter ended</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61">
              <w:r>
                <w:rPr>
                  <w:rFonts w:ascii="Arial" w:cs="Arial" w:eastAsia="Arial" w:hAnsi="Arial"/>
                  <w:sz w:val="10"/>
                  <w:szCs w:val="10"/>
                  <w:color w:val="auto"/>
                </w:rPr>
                <w:t>June 30, 2021)</w:t>
              </w:r>
            </w:hyperlink>
          </w:p>
        </w:tc>
      </w:tr>
      <w:tr>
        <w:trPr>
          <w:trHeight w:val="121"/>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10.9*</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62">
              <w:r>
                <w:rPr>
                  <w:rFonts w:ascii="Arial" w:cs="Arial" w:eastAsia="Arial" w:hAnsi="Arial"/>
                  <w:sz w:val="10"/>
                  <w:szCs w:val="10"/>
                  <w:color w:val="auto"/>
                </w:rPr>
                <w:t>Honeywell Excess Benefit Plan and Honeywell Supplemental Savings Plan, as amended and restated (incorporated by reference to Exhibit 10.5 to Honeywell’s Form 10-K for the year ended December 31, 2020)</w:t>
              </w:r>
            </w:hyperlink>
          </w:p>
        </w:tc>
      </w:tr>
      <w:tr>
        <w:trPr>
          <w:trHeight w:val="95"/>
        </w:trPr>
        <w:tc>
          <w:tcPr>
            <w:tcW w:w="1020" w:type="dxa"/>
            <w:vAlign w:val="bottom"/>
          </w:tcPr>
          <w:p>
            <w:pPr>
              <w:spacing w:after="0" w:line="95" w:lineRule="exact"/>
              <w:rPr>
                <w:sz w:val="20"/>
                <w:szCs w:val="20"/>
                <w:color w:val="auto"/>
              </w:rPr>
            </w:pPr>
            <w:r>
              <w:rPr>
                <w:rFonts w:ascii="Arial" w:cs="Arial" w:eastAsia="Arial" w:hAnsi="Arial"/>
                <w:sz w:val="10"/>
                <w:szCs w:val="10"/>
                <w:color w:val="auto"/>
              </w:rPr>
              <w:t>10.10*</w:t>
            </w:r>
          </w:p>
        </w:tc>
        <w:tc>
          <w:tcPr>
            <w:tcW w:w="10280" w:type="dxa"/>
            <w:vAlign w:val="bottom"/>
          </w:tcPr>
          <w:p>
            <w:pPr>
              <w:ind w:left="500"/>
              <w:spacing w:after="0" w:line="95" w:lineRule="exact"/>
              <w:rPr>
                <w:rFonts w:ascii="Arial" w:cs="Arial" w:eastAsia="Arial" w:hAnsi="Arial"/>
                <w:sz w:val="10"/>
                <w:szCs w:val="10"/>
                <w:color w:val="auto"/>
                <w:w w:val="97"/>
              </w:rPr>
            </w:pPr>
            <w:hyperlink r:id="rId258">
              <w:r>
                <w:rPr>
                  <w:rFonts w:ascii="Arial" w:cs="Arial" w:eastAsia="Arial" w:hAnsi="Arial"/>
                  <w:sz w:val="10"/>
                  <w:szCs w:val="10"/>
                  <w:color w:val="auto"/>
                  <w:w w:val="97"/>
                </w:rPr>
                <w:t>Omnibus Amendment to Honeywell Excess Benefit Plan and Honeywell Supplemental Savings Plan, as amended and restated (incorporated by reference to Exhibit 10.1 to Honeywell’s Form 10-Q for the quarter ended June 30,</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58">
              <w:r>
                <w:rPr>
                  <w:rFonts w:ascii="Arial" w:cs="Arial" w:eastAsia="Arial" w:hAnsi="Arial"/>
                  <w:sz w:val="10"/>
                  <w:szCs w:val="10"/>
                  <w:color w:val="auto"/>
                </w:rPr>
                <w:t>2021)</w:t>
              </w:r>
            </w:hyperlink>
          </w:p>
        </w:tc>
      </w:tr>
      <w:tr>
        <w:trPr>
          <w:trHeight w:val="121"/>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10.11*</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63">
              <w:r>
                <w:rPr>
                  <w:rFonts w:ascii="Arial" w:cs="Arial" w:eastAsia="Arial" w:hAnsi="Arial"/>
                  <w:sz w:val="10"/>
                  <w:szCs w:val="10"/>
                  <w:color w:val="auto"/>
                </w:rPr>
                <w:t>Honeywell International Inc. Severance Plan for Designated Officers, as amended and restated (incorporated by reference to Exhibit 10.10 to Honeywell's Form 10-K for the year ended December 31, 2022)</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10.12*</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64">
              <w:r>
                <w:rPr>
                  <w:rFonts w:ascii="Arial" w:cs="Arial" w:eastAsia="Arial" w:hAnsi="Arial"/>
                  <w:sz w:val="10"/>
                  <w:szCs w:val="10"/>
                  <w:color w:val="auto"/>
                </w:rPr>
                <w:t>Honeywell Deferred Incentive Compensation Plan, as amended and restated (incorporated by reference to Exhibit 10.7 to Honeywell's Form 10-K for the year ended December 31, 2020)</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10.13*</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65">
              <w:r>
                <w:rPr>
                  <w:rFonts w:ascii="Arial" w:cs="Arial" w:eastAsia="Arial" w:hAnsi="Arial"/>
                  <w:sz w:val="10"/>
                  <w:szCs w:val="10"/>
                  <w:color w:val="auto"/>
                </w:rPr>
                <w:t>Omnibus Amendment to Honeywell Deferred Incentive Compensation Plan, as amended and restated (incorporated by reference to Exhibit 10.1 to Honeywell’s Form 10-Q for the quarter ended June 30, 2021)</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10.14*</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66">
              <w:r>
                <w:rPr>
                  <w:rFonts w:ascii="Arial" w:cs="Arial" w:eastAsia="Arial" w:hAnsi="Arial"/>
                  <w:sz w:val="10"/>
                  <w:szCs w:val="10"/>
                  <w:color w:val="auto"/>
                </w:rPr>
                <w:t>Honeywell International Inc. Supplemental Pension Plan, as amended and restated (incorporated by reference to Exhibit 10.10 to Honeywell’s Form 10-K for the year ended December 31, 2008)</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10.15*</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67">
              <w:r>
                <w:rPr>
                  <w:rFonts w:ascii="Arial" w:cs="Arial" w:eastAsia="Arial" w:hAnsi="Arial"/>
                  <w:sz w:val="10"/>
                  <w:szCs w:val="10"/>
                  <w:color w:val="auto"/>
                </w:rPr>
                <w:t>Amendment to Honeywell International Inc. Supplemental Pension Plan, as amended and restated (incorporated by reference to Exhibit 10.10 to Honeywell’s Form 10-K for the year ended December 31, 2009)</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10.16*</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68">
              <w:r>
                <w:rPr>
                  <w:rFonts w:ascii="Arial" w:cs="Arial" w:eastAsia="Arial" w:hAnsi="Arial"/>
                  <w:sz w:val="10"/>
                  <w:szCs w:val="10"/>
                  <w:color w:val="auto"/>
                </w:rPr>
                <w:t>Amendment to Honeywell International Inc. Supplemental Pension Plan, as amended and restated (incorporated by reference to Exhibit 10.7 to Honeywell’s Form 10-K for the year ended December 31, 2015)</w:t>
              </w:r>
            </w:hyperlink>
          </w:p>
        </w:tc>
      </w:tr>
      <w:tr>
        <w:trPr>
          <w:trHeight w:val="95"/>
        </w:trPr>
        <w:tc>
          <w:tcPr>
            <w:tcW w:w="1020" w:type="dxa"/>
            <w:vAlign w:val="bottom"/>
          </w:tcPr>
          <w:p>
            <w:pPr>
              <w:spacing w:after="0" w:line="95" w:lineRule="exact"/>
              <w:rPr>
                <w:sz w:val="20"/>
                <w:szCs w:val="20"/>
                <w:color w:val="auto"/>
              </w:rPr>
            </w:pPr>
            <w:r>
              <w:rPr>
                <w:rFonts w:ascii="Arial" w:cs="Arial" w:eastAsia="Arial" w:hAnsi="Arial"/>
                <w:sz w:val="10"/>
                <w:szCs w:val="10"/>
                <w:color w:val="auto"/>
              </w:rPr>
              <w:t>10.17*</w:t>
            </w:r>
          </w:p>
        </w:tc>
        <w:tc>
          <w:tcPr>
            <w:tcW w:w="10280" w:type="dxa"/>
            <w:vAlign w:val="bottom"/>
          </w:tcPr>
          <w:p>
            <w:pPr>
              <w:ind w:left="500"/>
              <w:spacing w:after="0" w:line="95" w:lineRule="exact"/>
              <w:rPr>
                <w:rFonts w:ascii="Arial" w:cs="Arial" w:eastAsia="Arial" w:hAnsi="Arial"/>
                <w:sz w:val="10"/>
                <w:szCs w:val="10"/>
                <w:color w:val="auto"/>
                <w:w w:val="96"/>
              </w:rPr>
            </w:pPr>
            <w:hyperlink r:id="rId269">
              <w:r>
                <w:rPr>
                  <w:rFonts w:ascii="Arial" w:cs="Arial" w:eastAsia="Arial" w:hAnsi="Arial"/>
                  <w:sz w:val="10"/>
                  <w:szCs w:val="10"/>
                  <w:color w:val="auto"/>
                  <w:w w:val="96"/>
                </w:rPr>
                <w:t>Honeywell International Inc. Supplemental Executive Retirement Plan for Executives in Career Band 6 and Above, as amended and restated (incorporated by reference to Exhibit 10.12 to Honeywell’s Form 10-K for the year ended</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69">
              <w:r>
                <w:rPr>
                  <w:rFonts w:ascii="Arial" w:cs="Arial" w:eastAsia="Arial" w:hAnsi="Arial"/>
                  <w:sz w:val="10"/>
                  <w:szCs w:val="10"/>
                  <w:color w:val="auto"/>
                </w:rPr>
                <w:t>December 31, 2008)</w:t>
              </w:r>
            </w:hyperlink>
          </w:p>
        </w:tc>
      </w:tr>
      <w:tr>
        <w:trPr>
          <w:trHeight w:val="92"/>
        </w:trPr>
        <w:tc>
          <w:tcPr>
            <w:tcW w:w="1020" w:type="dxa"/>
            <w:vAlign w:val="bottom"/>
          </w:tcPr>
          <w:p>
            <w:pPr>
              <w:spacing w:after="0" w:line="92" w:lineRule="exact"/>
              <w:rPr>
                <w:sz w:val="20"/>
                <w:szCs w:val="20"/>
                <w:color w:val="auto"/>
              </w:rPr>
            </w:pPr>
            <w:r>
              <w:rPr>
                <w:rFonts w:ascii="Arial" w:cs="Arial" w:eastAsia="Arial" w:hAnsi="Arial"/>
                <w:sz w:val="10"/>
                <w:szCs w:val="10"/>
                <w:color w:val="auto"/>
              </w:rPr>
              <w:t>10.18*</w:t>
            </w:r>
          </w:p>
        </w:tc>
        <w:tc>
          <w:tcPr>
            <w:tcW w:w="10280" w:type="dxa"/>
            <w:vAlign w:val="bottom"/>
          </w:tcPr>
          <w:p>
            <w:pPr>
              <w:ind w:left="500"/>
              <w:spacing w:after="0" w:line="92" w:lineRule="exact"/>
              <w:rPr>
                <w:rFonts w:ascii="Arial" w:cs="Arial" w:eastAsia="Arial" w:hAnsi="Arial"/>
                <w:sz w:val="10"/>
                <w:szCs w:val="10"/>
                <w:color w:val="auto"/>
                <w:w w:val="96"/>
              </w:rPr>
            </w:pPr>
            <w:hyperlink r:id="rId270">
              <w:r>
                <w:rPr>
                  <w:rFonts w:ascii="Arial" w:cs="Arial" w:eastAsia="Arial" w:hAnsi="Arial"/>
                  <w:sz w:val="10"/>
                  <w:szCs w:val="10"/>
                  <w:color w:val="auto"/>
                  <w:w w:val="96"/>
                </w:rPr>
                <w:t>Amendment to Honeywell International Inc. Supplemental Executive Retirement Plan for Executives in Career Band 6 and Above, as amended and restated (incorporated by reference to Exhibit 10.12 to Honeywell’s Form 10-K for</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70">
              <w:r>
                <w:rPr>
                  <w:rFonts w:ascii="Arial" w:cs="Arial" w:eastAsia="Arial" w:hAnsi="Arial"/>
                  <w:sz w:val="10"/>
                  <w:szCs w:val="10"/>
                  <w:color w:val="auto"/>
                </w:rPr>
                <w:t>the year ended December 31, 2009)</w:t>
              </w:r>
            </w:hyperlink>
          </w:p>
        </w:tc>
      </w:tr>
      <w:tr>
        <w:trPr>
          <w:trHeight w:val="92"/>
        </w:trPr>
        <w:tc>
          <w:tcPr>
            <w:tcW w:w="1020" w:type="dxa"/>
            <w:vAlign w:val="bottom"/>
          </w:tcPr>
          <w:p>
            <w:pPr>
              <w:spacing w:after="0" w:line="92" w:lineRule="exact"/>
              <w:rPr>
                <w:sz w:val="20"/>
                <w:szCs w:val="20"/>
                <w:color w:val="auto"/>
              </w:rPr>
            </w:pPr>
            <w:r>
              <w:rPr>
                <w:rFonts w:ascii="Arial" w:cs="Arial" w:eastAsia="Arial" w:hAnsi="Arial"/>
                <w:sz w:val="10"/>
                <w:szCs w:val="10"/>
                <w:color w:val="auto"/>
              </w:rPr>
              <w:t>10.19*</w:t>
            </w:r>
          </w:p>
        </w:tc>
        <w:tc>
          <w:tcPr>
            <w:tcW w:w="10280" w:type="dxa"/>
            <w:vAlign w:val="bottom"/>
          </w:tcPr>
          <w:p>
            <w:pPr>
              <w:ind w:left="500"/>
              <w:spacing w:after="0" w:line="92" w:lineRule="exact"/>
              <w:rPr>
                <w:rFonts w:ascii="Arial" w:cs="Arial" w:eastAsia="Arial" w:hAnsi="Arial"/>
                <w:sz w:val="10"/>
                <w:szCs w:val="10"/>
                <w:color w:val="auto"/>
                <w:w w:val="96"/>
              </w:rPr>
            </w:pPr>
            <w:hyperlink r:id="rId271">
              <w:r>
                <w:rPr>
                  <w:rFonts w:ascii="Arial" w:cs="Arial" w:eastAsia="Arial" w:hAnsi="Arial"/>
                  <w:sz w:val="10"/>
                  <w:szCs w:val="10"/>
                  <w:color w:val="auto"/>
                  <w:w w:val="96"/>
                </w:rPr>
                <w:t>Amendment to Honeywell International Inc. Supplemental Executive Retirement Plan for Executives in Career Band 6 and Above, as amended and restated (incorporated by reference to Exhibit 10.9 to Honeywell’s Form 10-K for</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71">
              <w:r>
                <w:rPr>
                  <w:rFonts w:ascii="Arial" w:cs="Arial" w:eastAsia="Arial" w:hAnsi="Arial"/>
                  <w:sz w:val="10"/>
                  <w:szCs w:val="10"/>
                  <w:color w:val="auto"/>
                </w:rPr>
                <w:t>the year ended December 31, 2013)</w:t>
              </w:r>
            </w:hyperlink>
          </w:p>
        </w:tc>
      </w:tr>
      <w:tr>
        <w:trPr>
          <w:trHeight w:val="92"/>
        </w:trPr>
        <w:tc>
          <w:tcPr>
            <w:tcW w:w="1020" w:type="dxa"/>
            <w:vAlign w:val="bottom"/>
          </w:tcPr>
          <w:p>
            <w:pPr>
              <w:spacing w:after="0" w:line="92" w:lineRule="exact"/>
              <w:rPr>
                <w:sz w:val="20"/>
                <w:szCs w:val="20"/>
                <w:color w:val="auto"/>
              </w:rPr>
            </w:pPr>
            <w:r>
              <w:rPr>
                <w:rFonts w:ascii="Arial" w:cs="Arial" w:eastAsia="Arial" w:hAnsi="Arial"/>
                <w:sz w:val="10"/>
                <w:szCs w:val="10"/>
                <w:color w:val="auto"/>
              </w:rPr>
              <w:t>10.20*</w:t>
            </w:r>
          </w:p>
        </w:tc>
        <w:tc>
          <w:tcPr>
            <w:tcW w:w="10280" w:type="dxa"/>
            <w:vAlign w:val="bottom"/>
          </w:tcPr>
          <w:p>
            <w:pPr>
              <w:ind w:left="500"/>
              <w:spacing w:after="0" w:line="92" w:lineRule="exact"/>
              <w:rPr>
                <w:rFonts w:ascii="Arial" w:cs="Arial" w:eastAsia="Arial" w:hAnsi="Arial"/>
                <w:sz w:val="10"/>
                <w:szCs w:val="10"/>
                <w:color w:val="auto"/>
                <w:w w:val="96"/>
              </w:rPr>
            </w:pPr>
            <w:hyperlink r:id="rId272">
              <w:r>
                <w:rPr>
                  <w:rFonts w:ascii="Arial" w:cs="Arial" w:eastAsia="Arial" w:hAnsi="Arial"/>
                  <w:sz w:val="10"/>
                  <w:szCs w:val="10"/>
                  <w:color w:val="auto"/>
                  <w:w w:val="96"/>
                </w:rPr>
                <w:t>Amendment to Honeywell International Inc. Supplemental Executive Retirement Plan for Executives in Career Band 6 and Above, as amended and restated (incorporated by reference to Exhibit 10.8 to Honeywell’s Form 10-K for</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72">
              <w:r>
                <w:rPr>
                  <w:rFonts w:ascii="Arial" w:cs="Arial" w:eastAsia="Arial" w:hAnsi="Arial"/>
                  <w:sz w:val="10"/>
                  <w:szCs w:val="10"/>
                  <w:color w:val="auto"/>
                </w:rPr>
                <w:t>the year ended December 31, 2015)</w:t>
              </w:r>
            </w:hyperlink>
          </w:p>
        </w:tc>
      </w:tr>
      <w:tr>
        <w:trPr>
          <w:trHeight w:val="118"/>
        </w:trPr>
        <w:tc>
          <w:tcPr>
            <w:tcW w:w="1020" w:type="dxa"/>
            <w:vAlign w:val="bottom"/>
          </w:tcPr>
          <w:p>
            <w:pPr>
              <w:spacing w:after="0"/>
              <w:rPr>
                <w:sz w:val="20"/>
                <w:szCs w:val="20"/>
                <w:color w:val="auto"/>
              </w:rPr>
            </w:pPr>
            <w:r>
              <w:rPr>
                <w:rFonts w:ascii="Arial" w:cs="Arial" w:eastAsia="Arial" w:hAnsi="Arial"/>
                <w:sz w:val="10"/>
                <w:szCs w:val="10"/>
                <w:color w:val="auto"/>
              </w:rPr>
              <w:t>10.21*</w:t>
            </w:r>
          </w:p>
        </w:tc>
        <w:tc>
          <w:tcPr>
            <w:tcW w:w="10280" w:type="dxa"/>
            <w:vAlign w:val="bottom"/>
          </w:tcPr>
          <w:p>
            <w:pPr>
              <w:ind w:left="500"/>
              <w:spacing w:after="0"/>
              <w:rPr>
                <w:rFonts w:ascii="Arial" w:cs="Arial" w:eastAsia="Arial" w:hAnsi="Arial"/>
                <w:sz w:val="10"/>
                <w:szCs w:val="10"/>
                <w:color w:val="auto"/>
              </w:rPr>
            </w:pPr>
            <w:hyperlink r:id="rId273">
              <w:r>
                <w:rPr>
                  <w:rFonts w:ascii="Arial" w:cs="Arial" w:eastAsia="Arial" w:hAnsi="Arial"/>
                  <w:sz w:val="10"/>
                  <w:szCs w:val="10"/>
                  <w:color w:val="auto"/>
                </w:rPr>
                <w:t>Honeywell Supplemental Defined Benefit Retirement Plan, as amended and restated (incorporated by reference to Exhibit 10.13 to Honeywell’s Form 10-K for the year ended December 31, 2008)</w:t>
              </w:r>
            </w:hyperlink>
          </w:p>
        </w:tc>
      </w:tr>
    </w:tbl>
    <w:p>
      <w:pPr>
        <w:spacing w:after="0" w:line="357" w:lineRule="exact"/>
        <w:rPr>
          <w:sz w:val="20"/>
          <w:szCs w:val="20"/>
          <w:color w:val="auto"/>
        </w:rPr>
      </w:pPr>
    </w:p>
    <w:p>
      <w:pPr>
        <w:ind w:left="328" w:hanging="328"/>
        <w:spacing w:after="0"/>
        <w:tabs>
          <w:tab w:leader="none" w:pos="328" w:val="left"/>
        </w:tabs>
        <w:numPr>
          <w:ilvl w:val="0"/>
          <w:numId w:val="177"/>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123" w:name="page124"/>
    <w:bookmarkEnd w:id="123"/>
    <w:p>
      <w:pPr>
        <w:ind w:left="8"/>
        <w:spacing w:after="0"/>
        <w:tabs>
          <w:tab w:leader="none" w:pos="1066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EXHIBIT INDEX</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102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Exhibit No.</w:t>
            </w:r>
          </w:p>
        </w:tc>
        <w:tc>
          <w:tcPr>
            <w:tcW w:w="720" w:type="dxa"/>
            <w:vAlign w:val="bottom"/>
            <w:tcBorders>
              <w:bottom w:val="single" w:sz="8" w:color="D7282F"/>
            </w:tcBorders>
          </w:tcPr>
          <w:p>
            <w:pPr>
              <w:spacing w:after="0"/>
              <w:rPr>
                <w:sz w:val="11"/>
                <w:szCs w:val="11"/>
                <w:color w:val="auto"/>
              </w:rPr>
            </w:pPr>
          </w:p>
        </w:tc>
        <w:tc>
          <w:tcPr>
            <w:tcW w:w="9560" w:type="dxa"/>
            <w:vAlign w:val="bottom"/>
            <w:tcBorders>
              <w:bottom w:val="single" w:sz="8" w:color="D7282F"/>
            </w:tcBorders>
          </w:tcPr>
          <w:p>
            <w:pPr>
              <w:ind w:left="4400"/>
              <w:spacing w:after="0"/>
              <w:rPr>
                <w:sz w:val="20"/>
                <w:szCs w:val="20"/>
                <w:color w:val="auto"/>
              </w:rPr>
            </w:pPr>
            <w:r>
              <w:rPr>
                <w:rFonts w:ascii="Arial" w:cs="Arial" w:eastAsia="Arial" w:hAnsi="Arial"/>
                <w:sz w:val="10"/>
                <w:szCs w:val="10"/>
                <w:b w:val="1"/>
                <w:bCs w:val="1"/>
                <w:color w:val="auto"/>
              </w:rPr>
              <w:t>Description</w:t>
            </w:r>
          </w:p>
        </w:tc>
      </w:tr>
      <w:tr>
        <w:trPr>
          <w:trHeight w:val="126"/>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10.22*</w:t>
            </w:r>
          </w:p>
        </w:tc>
        <w:tc>
          <w:tcPr>
            <w:tcW w:w="10280" w:type="dxa"/>
            <w:vAlign w:val="bottom"/>
            <w:tcBorders>
              <w:bottom w:val="single" w:sz="8" w:color="61656A"/>
            </w:tcBorders>
            <w:gridSpan w:val="2"/>
          </w:tcPr>
          <w:p>
            <w:pPr>
              <w:ind w:left="500"/>
              <w:spacing w:after="0"/>
              <w:rPr>
                <w:rFonts w:ascii="Arial" w:cs="Arial" w:eastAsia="Arial" w:hAnsi="Arial"/>
                <w:sz w:val="10"/>
                <w:szCs w:val="10"/>
                <w:color w:val="auto"/>
              </w:rPr>
            </w:pPr>
            <w:hyperlink r:id="rId275">
              <w:r>
                <w:rPr>
                  <w:rFonts w:ascii="Arial" w:cs="Arial" w:eastAsia="Arial" w:hAnsi="Arial"/>
                  <w:sz w:val="10"/>
                  <w:szCs w:val="10"/>
                  <w:color w:val="auto"/>
                </w:rPr>
                <w:t>Amendment to Honeywell Supplemental Defined Benefit Retirement Plan, as amended and restated (incorporated by reference to Exhibit 10.13 to Honeywell’s Form 10-K for the year ended December 31, 2009)</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10.23*</w:t>
            </w:r>
          </w:p>
        </w:tc>
        <w:tc>
          <w:tcPr>
            <w:tcW w:w="10280" w:type="dxa"/>
            <w:vAlign w:val="bottom"/>
            <w:tcBorders>
              <w:bottom w:val="single" w:sz="8" w:color="61656A"/>
            </w:tcBorders>
            <w:gridSpan w:val="2"/>
          </w:tcPr>
          <w:p>
            <w:pPr>
              <w:ind w:left="500"/>
              <w:spacing w:after="0"/>
              <w:rPr>
                <w:rFonts w:ascii="Arial" w:cs="Arial" w:eastAsia="Arial" w:hAnsi="Arial"/>
                <w:sz w:val="10"/>
                <w:szCs w:val="10"/>
                <w:color w:val="auto"/>
              </w:rPr>
            </w:pPr>
            <w:hyperlink r:id="rId276">
              <w:r>
                <w:rPr>
                  <w:rFonts w:ascii="Arial" w:cs="Arial" w:eastAsia="Arial" w:hAnsi="Arial"/>
                  <w:sz w:val="10"/>
                  <w:szCs w:val="10"/>
                  <w:color w:val="auto"/>
                </w:rPr>
                <w:t>Amendment to Honeywell Supplemental Defined Benefit Retirement Plan, as amended and restated (incorporated by reference to Exhibit 10.9 to Honeywell’s Form 10-K for the year ended December 31, 2015)</w:t>
              </w:r>
            </w:hyperlink>
          </w:p>
        </w:tc>
      </w:tr>
      <w:tr>
        <w:trPr>
          <w:trHeight w:val="95"/>
        </w:trPr>
        <w:tc>
          <w:tcPr>
            <w:tcW w:w="1020" w:type="dxa"/>
            <w:vAlign w:val="bottom"/>
          </w:tcPr>
          <w:p>
            <w:pPr>
              <w:spacing w:after="0" w:line="95" w:lineRule="exact"/>
              <w:rPr>
                <w:sz w:val="20"/>
                <w:szCs w:val="20"/>
                <w:color w:val="auto"/>
              </w:rPr>
            </w:pPr>
            <w:r>
              <w:rPr>
                <w:rFonts w:ascii="Arial" w:cs="Arial" w:eastAsia="Arial" w:hAnsi="Arial"/>
                <w:sz w:val="10"/>
                <w:szCs w:val="10"/>
                <w:color w:val="auto"/>
              </w:rPr>
              <w:t>10.24*</w:t>
            </w:r>
          </w:p>
        </w:tc>
        <w:tc>
          <w:tcPr>
            <w:tcW w:w="10280" w:type="dxa"/>
            <w:vAlign w:val="bottom"/>
            <w:gridSpan w:val="2"/>
          </w:tcPr>
          <w:p>
            <w:pPr>
              <w:ind w:left="500"/>
              <w:spacing w:after="0" w:line="95" w:lineRule="exact"/>
              <w:rPr>
                <w:rFonts w:ascii="Arial" w:cs="Arial" w:eastAsia="Arial" w:hAnsi="Arial"/>
                <w:sz w:val="10"/>
                <w:szCs w:val="10"/>
                <w:color w:val="auto"/>
                <w:w w:val="96"/>
              </w:rPr>
            </w:pPr>
            <w:hyperlink r:id="rId277">
              <w:r>
                <w:rPr>
                  <w:rFonts w:ascii="Arial" w:cs="Arial" w:eastAsia="Arial" w:hAnsi="Arial"/>
                  <w:sz w:val="10"/>
                  <w:szCs w:val="10"/>
                  <w:color w:val="auto"/>
                  <w:w w:val="96"/>
                </w:rPr>
                <w:t>Honeywell International Inc. Severance Plan for Corporate Staff Employees (Involuntary Termination Following a Change in Control), as amended and restated (incorporated by reference to Exhibit 10.12 to Honeywell’s Form 10-K</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gridSpan w:val="2"/>
          </w:tcPr>
          <w:p>
            <w:pPr>
              <w:ind w:left="500"/>
              <w:spacing w:after="0"/>
              <w:rPr>
                <w:rFonts w:ascii="Arial" w:cs="Arial" w:eastAsia="Arial" w:hAnsi="Arial"/>
                <w:sz w:val="10"/>
                <w:szCs w:val="10"/>
                <w:color w:val="auto"/>
              </w:rPr>
            </w:pPr>
            <w:hyperlink r:id="rId277">
              <w:r>
                <w:rPr>
                  <w:rFonts w:ascii="Arial" w:cs="Arial" w:eastAsia="Arial" w:hAnsi="Arial"/>
                  <w:sz w:val="10"/>
                  <w:szCs w:val="10"/>
                  <w:color w:val="auto"/>
                </w:rPr>
                <w:t>for the year ended December 31, 2013)</w:t>
              </w:r>
            </w:hyperlink>
          </w:p>
        </w:tc>
      </w:tr>
      <w:tr>
        <w:trPr>
          <w:trHeight w:val="121"/>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10.25*</w:t>
            </w:r>
          </w:p>
        </w:tc>
        <w:tc>
          <w:tcPr>
            <w:tcW w:w="10280" w:type="dxa"/>
            <w:vAlign w:val="bottom"/>
            <w:tcBorders>
              <w:bottom w:val="single" w:sz="8" w:color="61656A"/>
            </w:tcBorders>
            <w:gridSpan w:val="2"/>
          </w:tcPr>
          <w:p>
            <w:pPr>
              <w:ind w:left="500"/>
              <w:spacing w:after="0"/>
              <w:rPr>
                <w:rFonts w:ascii="Arial" w:cs="Arial" w:eastAsia="Arial" w:hAnsi="Arial"/>
                <w:sz w:val="10"/>
                <w:szCs w:val="10"/>
                <w:color w:val="auto"/>
              </w:rPr>
            </w:pPr>
            <w:hyperlink r:id="rId278">
              <w:r>
                <w:rPr>
                  <w:rFonts w:ascii="Arial" w:cs="Arial" w:eastAsia="Arial" w:hAnsi="Arial"/>
                  <w:sz w:val="10"/>
                  <w:szCs w:val="10"/>
                  <w:color w:val="auto"/>
                </w:rPr>
                <w:t>Honeywell Supplemental Retirement Plan (incorporated by reference to Exhibit 10.24 to Honeywell’s Form 10-K for the year ended December 31, 2006)</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10.26*</w:t>
            </w:r>
          </w:p>
        </w:tc>
        <w:tc>
          <w:tcPr>
            <w:tcW w:w="720" w:type="dxa"/>
            <w:vAlign w:val="bottom"/>
            <w:tcBorders>
              <w:bottom w:val="single" w:sz="8" w:color="61656A"/>
            </w:tcBorders>
          </w:tcPr>
          <w:p>
            <w:pPr>
              <w:ind w:left="500"/>
              <w:spacing w:after="0"/>
              <w:rPr>
                <w:rFonts w:ascii="Arial" w:cs="Arial" w:eastAsia="Arial" w:hAnsi="Arial"/>
                <w:sz w:val="10"/>
                <w:szCs w:val="10"/>
                <w:color w:val="auto"/>
                <w:w w:val="89"/>
              </w:rPr>
            </w:pPr>
            <w:hyperlink r:id="rId279">
              <w:r>
                <w:rPr>
                  <w:rFonts w:ascii="Arial" w:cs="Arial" w:eastAsia="Arial" w:hAnsi="Arial"/>
                  <w:sz w:val="10"/>
                  <w:szCs w:val="10"/>
                  <w:color w:val="auto"/>
                  <w:w w:val="89"/>
                </w:rPr>
                <w:t>2006</w:t>
              </w:r>
            </w:hyperlink>
          </w:p>
        </w:tc>
        <w:tc>
          <w:tcPr>
            <w:tcW w:w="9560" w:type="dxa"/>
            <w:vAlign w:val="bottom"/>
            <w:tcBorders>
              <w:bottom w:val="single" w:sz="8" w:color="61656A"/>
            </w:tcBorders>
          </w:tcPr>
          <w:p>
            <w:pPr>
              <w:ind w:left="20"/>
              <w:spacing w:after="0"/>
              <w:rPr>
                <w:rFonts w:ascii="Arial" w:cs="Arial" w:eastAsia="Arial" w:hAnsi="Arial"/>
                <w:sz w:val="10"/>
                <w:szCs w:val="10"/>
                <w:color w:val="auto"/>
              </w:rPr>
            </w:pPr>
            <w:hyperlink r:id="rId279">
              <w:r>
                <w:rPr>
                  <w:rFonts w:ascii="Arial" w:cs="Arial" w:eastAsia="Arial" w:hAnsi="Arial"/>
                  <w:sz w:val="10"/>
                  <w:szCs w:val="10"/>
                  <w:color w:val="auto"/>
                </w:rPr>
                <w:t>Stock Plan for Non-Employee Directors of Honeywell International Inc., as amended and restated (incorporated by reference to Exhibit 10.31 to Honeywell’s Form 10-K for the year ended December 31, 2008)</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10.27*</w:t>
            </w:r>
          </w:p>
        </w:tc>
        <w:tc>
          <w:tcPr>
            <w:tcW w:w="10280" w:type="dxa"/>
            <w:vAlign w:val="bottom"/>
            <w:tcBorders>
              <w:bottom w:val="single" w:sz="8" w:color="61656A"/>
            </w:tcBorders>
            <w:gridSpan w:val="2"/>
          </w:tcPr>
          <w:p>
            <w:pPr>
              <w:ind w:left="500"/>
              <w:spacing w:after="0"/>
              <w:rPr>
                <w:rFonts w:ascii="Arial" w:cs="Arial" w:eastAsia="Arial" w:hAnsi="Arial"/>
                <w:sz w:val="10"/>
                <w:szCs w:val="10"/>
                <w:color w:val="auto"/>
                <w:w w:val="96"/>
              </w:rPr>
            </w:pPr>
            <w:hyperlink r:id="rId280">
              <w:r>
                <w:rPr>
                  <w:rFonts w:ascii="Arial" w:cs="Arial" w:eastAsia="Arial" w:hAnsi="Arial"/>
                  <w:sz w:val="10"/>
                  <w:szCs w:val="10"/>
                  <w:color w:val="auto"/>
                  <w:w w:val="96"/>
                </w:rPr>
                <w:t>Amendment to 2006 Stock Plan for Non-Employee Directors of Honeywell International Inc., as amended and restated (incorporated by reference to Exhibit 10.27 to Honeywell’s Form 10-K for the year ended December 31, 2011)</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10.28*</w:t>
            </w:r>
          </w:p>
        </w:tc>
        <w:tc>
          <w:tcPr>
            <w:tcW w:w="10280" w:type="dxa"/>
            <w:vAlign w:val="bottom"/>
            <w:tcBorders>
              <w:bottom w:val="single" w:sz="8" w:color="61656A"/>
            </w:tcBorders>
            <w:gridSpan w:val="2"/>
          </w:tcPr>
          <w:p>
            <w:pPr>
              <w:ind w:left="500"/>
              <w:spacing w:after="0"/>
              <w:rPr>
                <w:rFonts w:ascii="Arial" w:cs="Arial" w:eastAsia="Arial" w:hAnsi="Arial"/>
                <w:sz w:val="10"/>
                <w:szCs w:val="10"/>
                <w:color w:val="auto"/>
                <w:w w:val="96"/>
              </w:rPr>
            </w:pPr>
            <w:hyperlink r:id="rId281">
              <w:r>
                <w:rPr>
                  <w:rFonts w:ascii="Arial" w:cs="Arial" w:eastAsia="Arial" w:hAnsi="Arial"/>
                  <w:sz w:val="10"/>
                  <w:szCs w:val="10"/>
                  <w:color w:val="auto"/>
                  <w:w w:val="96"/>
                </w:rPr>
                <w:t>Amendment to 2006 Stock Plan for Non-Employee Directors of Honeywell International Inc., as amended and restated (incorporated by reference to Exhibit 10.24 to Honeywell’s Form 10-K for the year ended December 31, 2014)</w:t>
              </w:r>
            </w:hyperlink>
          </w:p>
        </w:tc>
      </w:tr>
      <w:tr>
        <w:trPr>
          <w:trHeight w:val="95"/>
        </w:trPr>
        <w:tc>
          <w:tcPr>
            <w:tcW w:w="1020" w:type="dxa"/>
            <w:vAlign w:val="bottom"/>
          </w:tcPr>
          <w:p>
            <w:pPr>
              <w:spacing w:after="0" w:line="95" w:lineRule="exact"/>
              <w:rPr>
                <w:sz w:val="20"/>
                <w:szCs w:val="20"/>
                <w:color w:val="auto"/>
              </w:rPr>
            </w:pPr>
            <w:r>
              <w:rPr>
                <w:rFonts w:ascii="Arial" w:cs="Arial" w:eastAsia="Arial" w:hAnsi="Arial"/>
                <w:sz w:val="10"/>
                <w:szCs w:val="10"/>
                <w:color w:val="auto"/>
              </w:rPr>
              <w:t>10.29*</w:t>
            </w:r>
          </w:p>
        </w:tc>
        <w:tc>
          <w:tcPr>
            <w:tcW w:w="10280" w:type="dxa"/>
            <w:vAlign w:val="bottom"/>
            <w:gridSpan w:val="2"/>
          </w:tcPr>
          <w:p>
            <w:pPr>
              <w:ind w:left="500"/>
              <w:spacing w:after="0" w:line="95" w:lineRule="exact"/>
              <w:rPr>
                <w:rFonts w:ascii="Arial" w:cs="Arial" w:eastAsia="Arial" w:hAnsi="Arial"/>
                <w:sz w:val="10"/>
                <w:szCs w:val="10"/>
                <w:color w:val="auto"/>
                <w:w w:val="96"/>
              </w:rPr>
            </w:pPr>
            <w:hyperlink r:id="rId265">
              <w:r>
                <w:rPr>
                  <w:rFonts w:ascii="Arial" w:cs="Arial" w:eastAsia="Arial" w:hAnsi="Arial"/>
                  <w:sz w:val="10"/>
                  <w:szCs w:val="10"/>
                  <w:color w:val="auto"/>
                  <w:w w:val="96"/>
                </w:rPr>
                <w:t>Omnibus Amendment to 2006 Stock Plan for Non-Employee Directors of Honeywell International Inc., as amended and restated (incorporated by reference to Exhibit 10.1 to Honeywell’s Form 10-Q for the quarter ended June 30,</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gridSpan w:val="2"/>
          </w:tcPr>
          <w:p>
            <w:pPr>
              <w:ind w:left="500"/>
              <w:spacing w:after="0"/>
              <w:rPr>
                <w:rFonts w:ascii="Arial" w:cs="Arial" w:eastAsia="Arial" w:hAnsi="Arial"/>
                <w:sz w:val="10"/>
                <w:szCs w:val="10"/>
                <w:color w:val="auto"/>
              </w:rPr>
            </w:pPr>
            <w:hyperlink r:id="rId265">
              <w:r>
                <w:rPr>
                  <w:rFonts w:ascii="Arial" w:cs="Arial" w:eastAsia="Arial" w:hAnsi="Arial"/>
                  <w:sz w:val="10"/>
                  <w:szCs w:val="10"/>
                  <w:color w:val="auto"/>
                </w:rPr>
                <w:t>2021)</w:t>
              </w:r>
            </w:hyperlink>
          </w:p>
        </w:tc>
      </w:tr>
      <w:tr>
        <w:trPr>
          <w:trHeight w:val="121"/>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10.30*</w:t>
            </w:r>
          </w:p>
        </w:tc>
        <w:tc>
          <w:tcPr>
            <w:tcW w:w="720" w:type="dxa"/>
            <w:vAlign w:val="bottom"/>
            <w:tcBorders>
              <w:bottom w:val="single" w:sz="8" w:color="61656A"/>
            </w:tcBorders>
          </w:tcPr>
          <w:p>
            <w:pPr>
              <w:ind w:left="500"/>
              <w:spacing w:after="0"/>
              <w:rPr>
                <w:rFonts w:ascii="Arial" w:cs="Arial" w:eastAsia="Arial" w:hAnsi="Arial"/>
                <w:sz w:val="10"/>
                <w:szCs w:val="10"/>
                <w:color w:val="auto"/>
                <w:w w:val="89"/>
              </w:rPr>
            </w:pPr>
            <w:hyperlink r:id="rId282">
              <w:r>
                <w:rPr>
                  <w:rFonts w:ascii="Arial" w:cs="Arial" w:eastAsia="Arial" w:hAnsi="Arial"/>
                  <w:sz w:val="10"/>
                  <w:szCs w:val="10"/>
                  <w:color w:val="auto"/>
                  <w:w w:val="89"/>
                </w:rPr>
                <w:t>2006</w:t>
              </w:r>
            </w:hyperlink>
          </w:p>
        </w:tc>
        <w:tc>
          <w:tcPr>
            <w:tcW w:w="9560" w:type="dxa"/>
            <w:vAlign w:val="bottom"/>
            <w:tcBorders>
              <w:bottom w:val="single" w:sz="8" w:color="61656A"/>
            </w:tcBorders>
          </w:tcPr>
          <w:p>
            <w:pPr>
              <w:ind w:left="20"/>
              <w:spacing w:after="0"/>
              <w:rPr>
                <w:rFonts w:ascii="Arial" w:cs="Arial" w:eastAsia="Arial" w:hAnsi="Arial"/>
                <w:sz w:val="10"/>
                <w:szCs w:val="10"/>
                <w:color w:val="auto"/>
              </w:rPr>
            </w:pPr>
            <w:hyperlink r:id="rId282">
              <w:r>
                <w:rPr>
                  <w:rFonts w:ascii="Arial" w:cs="Arial" w:eastAsia="Arial" w:hAnsi="Arial"/>
                  <w:sz w:val="10"/>
                  <w:szCs w:val="10"/>
                  <w:color w:val="auto"/>
                </w:rPr>
                <w:t>Stock Plan for Non-Employee Directors of Honeywell International Inc.—Form of Option Agreement (incorporated by reference to Exhibit 10.3 to Honeywell’s Form 10-Q for the quarter ended March 31, 2012)</w:t>
              </w:r>
            </w:hyperlink>
          </w:p>
        </w:tc>
      </w:tr>
      <w:tr>
        <w:trPr>
          <w:trHeight w:val="95"/>
        </w:trPr>
        <w:tc>
          <w:tcPr>
            <w:tcW w:w="1020" w:type="dxa"/>
            <w:vAlign w:val="bottom"/>
          </w:tcPr>
          <w:p>
            <w:pPr>
              <w:spacing w:after="0" w:line="95" w:lineRule="exact"/>
              <w:rPr>
                <w:sz w:val="20"/>
                <w:szCs w:val="20"/>
                <w:color w:val="auto"/>
              </w:rPr>
            </w:pPr>
            <w:r>
              <w:rPr>
                <w:rFonts w:ascii="Arial" w:cs="Arial" w:eastAsia="Arial" w:hAnsi="Arial"/>
                <w:sz w:val="10"/>
                <w:szCs w:val="10"/>
                <w:color w:val="auto"/>
              </w:rPr>
              <w:t>10.31*</w:t>
            </w:r>
          </w:p>
        </w:tc>
        <w:tc>
          <w:tcPr>
            <w:tcW w:w="10280" w:type="dxa"/>
            <w:vAlign w:val="bottom"/>
            <w:gridSpan w:val="2"/>
          </w:tcPr>
          <w:p>
            <w:pPr>
              <w:ind w:left="500"/>
              <w:spacing w:after="0" w:line="95" w:lineRule="exact"/>
              <w:rPr>
                <w:rFonts w:ascii="Arial" w:cs="Arial" w:eastAsia="Arial" w:hAnsi="Arial"/>
                <w:sz w:val="10"/>
                <w:szCs w:val="10"/>
                <w:color w:val="auto"/>
                <w:w w:val="95"/>
              </w:rPr>
            </w:pPr>
            <w:hyperlink r:id="rId265">
              <w:r>
                <w:rPr>
                  <w:rFonts w:ascii="Arial" w:cs="Arial" w:eastAsia="Arial" w:hAnsi="Arial"/>
                  <w:sz w:val="10"/>
                  <w:szCs w:val="10"/>
                  <w:color w:val="auto"/>
                  <w:w w:val="95"/>
                </w:rPr>
                <w:t>Omnibus Amendment to 2006 Stock Plan for Non-Employee Directors of Honeywell International Inc. – Form of Option Agreement (incorporated by reference to Exhibit 10.1 to Honeywell’s Form 10-Q for the quarter ended June 30,</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gridSpan w:val="2"/>
          </w:tcPr>
          <w:p>
            <w:pPr>
              <w:ind w:left="500"/>
              <w:spacing w:after="0"/>
              <w:rPr>
                <w:rFonts w:ascii="Arial" w:cs="Arial" w:eastAsia="Arial" w:hAnsi="Arial"/>
                <w:sz w:val="10"/>
                <w:szCs w:val="10"/>
                <w:color w:val="auto"/>
              </w:rPr>
            </w:pPr>
            <w:hyperlink r:id="rId265">
              <w:r>
                <w:rPr>
                  <w:rFonts w:ascii="Arial" w:cs="Arial" w:eastAsia="Arial" w:hAnsi="Arial"/>
                  <w:sz w:val="10"/>
                  <w:szCs w:val="10"/>
                  <w:color w:val="auto"/>
                </w:rPr>
                <w:t>2021)</w:t>
              </w:r>
            </w:hyperlink>
          </w:p>
        </w:tc>
      </w:tr>
      <w:tr>
        <w:trPr>
          <w:trHeight w:val="121"/>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10.32*</w:t>
            </w:r>
          </w:p>
        </w:tc>
        <w:tc>
          <w:tcPr>
            <w:tcW w:w="720" w:type="dxa"/>
            <w:vAlign w:val="bottom"/>
            <w:tcBorders>
              <w:bottom w:val="single" w:sz="8" w:color="61656A"/>
            </w:tcBorders>
          </w:tcPr>
          <w:p>
            <w:pPr>
              <w:ind w:left="500"/>
              <w:spacing w:after="0"/>
              <w:rPr>
                <w:rFonts w:ascii="Arial" w:cs="Arial" w:eastAsia="Arial" w:hAnsi="Arial"/>
                <w:sz w:val="10"/>
                <w:szCs w:val="10"/>
                <w:color w:val="auto"/>
                <w:w w:val="89"/>
              </w:rPr>
            </w:pPr>
            <w:hyperlink r:id="rId283">
              <w:r>
                <w:rPr>
                  <w:rFonts w:ascii="Arial" w:cs="Arial" w:eastAsia="Arial" w:hAnsi="Arial"/>
                  <w:sz w:val="10"/>
                  <w:szCs w:val="10"/>
                  <w:color w:val="auto"/>
                  <w:w w:val="89"/>
                </w:rPr>
                <w:t>2007</w:t>
              </w:r>
            </w:hyperlink>
          </w:p>
        </w:tc>
        <w:tc>
          <w:tcPr>
            <w:tcW w:w="9560" w:type="dxa"/>
            <w:vAlign w:val="bottom"/>
            <w:tcBorders>
              <w:bottom w:val="single" w:sz="8" w:color="61656A"/>
            </w:tcBorders>
          </w:tcPr>
          <w:p>
            <w:pPr>
              <w:ind w:left="20"/>
              <w:spacing w:after="0"/>
              <w:rPr>
                <w:rFonts w:ascii="Arial" w:cs="Arial" w:eastAsia="Arial" w:hAnsi="Arial"/>
                <w:sz w:val="10"/>
                <w:szCs w:val="10"/>
                <w:color w:val="auto"/>
              </w:rPr>
            </w:pPr>
            <w:hyperlink r:id="rId283">
              <w:r>
                <w:rPr>
                  <w:rFonts w:ascii="Arial" w:cs="Arial" w:eastAsia="Arial" w:hAnsi="Arial"/>
                  <w:sz w:val="10"/>
                  <w:szCs w:val="10"/>
                  <w:color w:val="auto"/>
                </w:rPr>
                <w:t>Honeywell Global Employee Stock Plan (incorporated by reference to Exhibit A of Honeywell’s Proxy Statement, dated March 12, 2007, filed pursuant to Rule 14a-6 of the Securities Exchange Act of 1934)</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10.33*</w:t>
            </w:r>
          </w:p>
        </w:tc>
        <w:tc>
          <w:tcPr>
            <w:tcW w:w="10280" w:type="dxa"/>
            <w:vAlign w:val="bottom"/>
            <w:tcBorders>
              <w:bottom w:val="single" w:sz="8" w:color="61656A"/>
            </w:tcBorders>
            <w:gridSpan w:val="2"/>
          </w:tcPr>
          <w:p>
            <w:pPr>
              <w:ind w:left="500"/>
              <w:spacing w:after="0"/>
              <w:rPr>
                <w:rFonts w:ascii="Arial" w:cs="Arial" w:eastAsia="Arial" w:hAnsi="Arial"/>
                <w:sz w:val="10"/>
                <w:szCs w:val="10"/>
                <w:color w:val="auto"/>
              </w:rPr>
            </w:pPr>
            <w:hyperlink r:id="rId265">
              <w:r>
                <w:rPr>
                  <w:rFonts w:ascii="Arial" w:cs="Arial" w:eastAsia="Arial" w:hAnsi="Arial"/>
                  <w:sz w:val="10"/>
                  <w:szCs w:val="10"/>
                  <w:color w:val="auto"/>
                </w:rPr>
                <w:t>Omnibus Amendment to 2007 Honeywell Global Employee Stock Plan (incorporated by reference to Exhibit 10.1 to Honeywell’s Form 10-Q for the quarter ended June 30, 2021)</w:t>
              </w:r>
            </w:hyperlink>
          </w:p>
        </w:tc>
      </w:tr>
      <w:tr>
        <w:trPr>
          <w:trHeight w:val="95"/>
        </w:trPr>
        <w:tc>
          <w:tcPr>
            <w:tcW w:w="1020" w:type="dxa"/>
            <w:vAlign w:val="bottom"/>
          </w:tcPr>
          <w:p>
            <w:pPr>
              <w:spacing w:after="0" w:line="95" w:lineRule="exact"/>
              <w:rPr>
                <w:sz w:val="20"/>
                <w:szCs w:val="20"/>
                <w:color w:val="auto"/>
              </w:rPr>
            </w:pPr>
            <w:r>
              <w:rPr>
                <w:rFonts w:ascii="Arial" w:cs="Arial" w:eastAsia="Arial" w:hAnsi="Arial"/>
                <w:sz w:val="10"/>
                <w:szCs w:val="10"/>
                <w:color w:val="auto"/>
              </w:rPr>
              <w:t>10.34*</w:t>
            </w:r>
          </w:p>
        </w:tc>
        <w:tc>
          <w:tcPr>
            <w:tcW w:w="10280" w:type="dxa"/>
            <w:vAlign w:val="bottom"/>
            <w:gridSpan w:val="2"/>
          </w:tcPr>
          <w:p>
            <w:pPr>
              <w:ind w:left="500"/>
              <w:spacing w:after="0" w:line="95" w:lineRule="exact"/>
              <w:rPr>
                <w:rFonts w:ascii="Arial" w:cs="Arial" w:eastAsia="Arial" w:hAnsi="Arial"/>
                <w:sz w:val="10"/>
                <w:szCs w:val="10"/>
                <w:color w:val="auto"/>
                <w:w w:val="96"/>
              </w:rPr>
            </w:pPr>
            <w:hyperlink r:id="rId284">
              <w:r>
                <w:rPr>
                  <w:rFonts w:ascii="Arial" w:cs="Arial" w:eastAsia="Arial" w:hAnsi="Arial"/>
                  <w:sz w:val="10"/>
                  <w:szCs w:val="10"/>
                  <w:color w:val="auto"/>
                  <w:w w:val="96"/>
                </w:rPr>
                <w:t>2011 Stock Incentive Plan of Honeywell International Inc. and its Affiliates (incorporated by reference to Exhibit A of Honeywell’s Proxy Statement, dated March 10, 2011, filed pursuant to Rule 14a-6 of the Securities Exchange Act</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gridSpan w:val="2"/>
          </w:tcPr>
          <w:p>
            <w:pPr>
              <w:ind w:left="500"/>
              <w:spacing w:after="0"/>
              <w:rPr>
                <w:rFonts w:ascii="Arial" w:cs="Arial" w:eastAsia="Arial" w:hAnsi="Arial"/>
                <w:sz w:val="10"/>
                <w:szCs w:val="10"/>
                <w:color w:val="auto"/>
              </w:rPr>
            </w:pPr>
            <w:hyperlink r:id="rId284">
              <w:r>
                <w:rPr>
                  <w:rFonts w:ascii="Arial" w:cs="Arial" w:eastAsia="Arial" w:hAnsi="Arial"/>
                  <w:sz w:val="10"/>
                  <w:szCs w:val="10"/>
                  <w:color w:val="auto"/>
                </w:rPr>
                <w:t>of 1934)</w:t>
              </w:r>
            </w:hyperlink>
          </w:p>
        </w:tc>
      </w:tr>
      <w:tr>
        <w:trPr>
          <w:trHeight w:val="121"/>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10.35*</w:t>
            </w:r>
          </w:p>
        </w:tc>
        <w:tc>
          <w:tcPr>
            <w:tcW w:w="10280" w:type="dxa"/>
            <w:vAlign w:val="bottom"/>
            <w:tcBorders>
              <w:bottom w:val="single" w:sz="8" w:color="61656A"/>
            </w:tcBorders>
            <w:gridSpan w:val="2"/>
          </w:tcPr>
          <w:p>
            <w:pPr>
              <w:ind w:left="500"/>
              <w:spacing w:after="0"/>
              <w:rPr>
                <w:rFonts w:ascii="Arial" w:cs="Arial" w:eastAsia="Arial" w:hAnsi="Arial"/>
                <w:sz w:val="10"/>
                <w:szCs w:val="10"/>
                <w:color w:val="auto"/>
              </w:rPr>
            </w:pPr>
            <w:hyperlink r:id="rId285">
              <w:r>
                <w:rPr>
                  <w:rFonts w:ascii="Arial" w:cs="Arial" w:eastAsia="Arial" w:hAnsi="Arial"/>
                  <w:sz w:val="10"/>
                  <w:szCs w:val="10"/>
                  <w:color w:val="auto"/>
                </w:rPr>
                <w:t>Amendment to 2011 Stock Incentive Plan of Honeywell International Inc. and its Affiliates (incorporated by reference to Exhibit 10.36 to Honeywell’s Form 10-K for the year ended December 31, 2012)</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10.36*</w:t>
            </w:r>
          </w:p>
        </w:tc>
        <w:tc>
          <w:tcPr>
            <w:tcW w:w="10280" w:type="dxa"/>
            <w:vAlign w:val="bottom"/>
            <w:tcBorders>
              <w:bottom w:val="single" w:sz="8" w:color="61656A"/>
            </w:tcBorders>
            <w:gridSpan w:val="2"/>
          </w:tcPr>
          <w:p>
            <w:pPr>
              <w:ind w:left="500"/>
              <w:spacing w:after="0"/>
              <w:rPr>
                <w:rFonts w:ascii="Arial" w:cs="Arial" w:eastAsia="Arial" w:hAnsi="Arial"/>
                <w:sz w:val="10"/>
                <w:szCs w:val="10"/>
                <w:color w:val="auto"/>
              </w:rPr>
            </w:pPr>
            <w:hyperlink r:id="rId286">
              <w:r>
                <w:rPr>
                  <w:rFonts w:ascii="Arial" w:cs="Arial" w:eastAsia="Arial" w:hAnsi="Arial"/>
                  <w:sz w:val="10"/>
                  <w:szCs w:val="10"/>
                  <w:color w:val="auto"/>
                </w:rPr>
                <w:t>Amendment to 2011 Stock Incentive Plan of Honeywell International Inc. and its Affiliates (incorporated by reference to Exhibit 10.1 to Honeywell’s Form 10-Q for the quarter ended March 31, 2014)</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10.37*</w:t>
            </w:r>
          </w:p>
        </w:tc>
        <w:tc>
          <w:tcPr>
            <w:tcW w:w="10280" w:type="dxa"/>
            <w:vAlign w:val="bottom"/>
            <w:tcBorders>
              <w:bottom w:val="single" w:sz="8" w:color="61656A"/>
            </w:tcBorders>
            <w:gridSpan w:val="2"/>
          </w:tcPr>
          <w:p>
            <w:pPr>
              <w:ind w:left="500"/>
              <w:spacing w:after="0"/>
              <w:rPr>
                <w:rFonts w:ascii="Arial" w:cs="Arial" w:eastAsia="Arial" w:hAnsi="Arial"/>
                <w:sz w:val="10"/>
                <w:szCs w:val="10"/>
                <w:color w:val="auto"/>
              </w:rPr>
            </w:pPr>
            <w:hyperlink r:id="rId265">
              <w:r>
                <w:rPr>
                  <w:rFonts w:ascii="Arial" w:cs="Arial" w:eastAsia="Arial" w:hAnsi="Arial"/>
                  <w:sz w:val="10"/>
                  <w:szCs w:val="10"/>
                  <w:color w:val="auto"/>
                </w:rPr>
                <w:t>Omnibus Amendment to 2011 Stock Incentive Plan of Honeywell International Inc. and its Affiliates (incorporated by reference to Exhibit 10.1 to Honeywell’s Form 10-Q for the quarter ended June 30, 2021)</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10.38*</w:t>
            </w:r>
          </w:p>
        </w:tc>
        <w:tc>
          <w:tcPr>
            <w:tcW w:w="10280" w:type="dxa"/>
            <w:vAlign w:val="bottom"/>
            <w:tcBorders>
              <w:bottom w:val="single" w:sz="8" w:color="61656A"/>
            </w:tcBorders>
            <w:gridSpan w:val="2"/>
          </w:tcPr>
          <w:p>
            <w:pPr>
              <w:ind w:left="500"/>
              <w:spacing w:after="0"/>
              <w:rPr>
                <w:rFonts w:ascii="Arial" w:cs="Arial" w:eastAsia="Arial" w:hAnsi="Arial"/>
                <w:sz w:val="10"/>
                <w:szCs w:val="10"/>
                <w:color w:val="auto"/>
                <w:w w:val="98"/>
              </w:rPr>
            </w:pPr>
            <w:hyperlink r:id="rId287">
              <w:r>
                <w:rPr>
                  <w:rFonts w:ascii="Arial" w:cs="Arial" w:eastAsia="Arial" w:hAnsi="Arial"/>
                  <w:sz w:val="10"/>
                  <w:szCs w:val="10"/>
                  <w:color w:val="auto"/>
                  <w:w w:val="98"/>
                </w:rPr>
                <w:t>2011 Stock Incentive Plan of Honeywell International Inc. and Its Affiliates—Form of Stock Option Award Agreement (incorporated by reference to Exhibit 10.4 to Honeywell’s Form 10-Q for the quarter ended March 31, 2014)</w:t>
              </w:r>
            </w:hyperlink>
          </w:p>
        </w:tc>
      </w:tr>
      <w:tr>
        <w:trPr>
          <w:trHeight w:val="95"/>
        </w:trPr>
        <w:tc>
          <w:tcPr>
            <w:tcW w:w="1020" w:type="dxa"/>
            <w:vAlign w:val="bottom"/>
          </w:tcPr>
          <w:p>
            <w:pPr>
              <w:spacing w:after="0" w:line="95" w:lineRule="exact"/>
              <w:rPr>
                <w:sz w:val="20"/>
                <w:szCs w:val="20"/>
                <w:color w:val="auto"/>
              </w:rPr>
            </w:pPr>
            <w:r>
              <w:rPr>
                <w:rFonts w:ascii="Arial" w:cs="Arial" w:eastAsia="Arial" w:hAnsi="Arial"/>
                <w:sz w:val="10"/>
                <w:szCs w:val="10"/>
                <w:color w:val="auto"/>
              </w:rPr>
              <w:t>10.39*</w:t>
            </w:r>
          </w:p>
        </w:tc>
        <w:tc>
          <w:tcPr>
            <w:tcW w:w="10280" w:type="dxa"/>
            <w:vAlign w:val="bottom"/>
            <w:gridSpan w:val="2"/>
          </w:tcPr>
          <w:p>
            <w:pPr>
              <w:ind w:left="500"/>
              <w:spacing w:after="0" w:line="95" w:lineRule="exact"/>
              <w:rPr>
                <w:rFonts w:ascii="Arial" w:cs="Arial" w:eastAsia="Arial" w:hAnsi="Arial"/>
                <w:sz w:val="10"/>
                <w:szCs w:val="10"/>
                <w:color w:val="auto"/>
                <w:w w:val="98"/>
              </w:rPr>
            </w:pPr>
            <w:hyperlink r:id="rId265">
              <w:r>
                <w:rPr>
                  <w:rFonts w:ascii="Arial" w:cs="Arial" w:eastAsia="Arial" w:hAnsi="Arial"/>
                  <w:sz w:val="10"/>
                  <w:szCs w:val="10"/>
                  <w:color w:val="auto"/>
                  <w:w w:val="98"/>
                </w:rPr>
                <w:t>Omnibus Amendment to 2011 Stock Incentive Plan of Honeywell International Inc. and its Affiliates – Form of Stock Option Award Agreement (incorporated by reference to Exhibit 10.1 to Honeywell’s Form 10-Q for the quarter</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gridSpan w:val="2"/>
          </w:tcPr>
          <w:p>
            <w:pPr>
              <w:ind w:left="500"/>
              <w:spacing w:after="0"/>
              <w:rPr>
                <w:rFonts w:ascii="Arial" w:cs="Arial" w:eastAsia="Arial" w:hAnsi="Arial"/>
                <w:sz w:val="10"/>
                <w:szCs w:val="10"/>
                <w:color w:val="auto"/>
              </w:rPr>
            </w:pPr>
            <w:hyperlink r:id="rId265">
              <w:r>
                <w:rPr>
                  <w:rFonts w:ascii="Arial" w:cs="Arial" w:eastAsia="Arial" w:hAnsi="Arial"/>
                  <w:sz w:val="10"/>
                  <w:szCs w:val="10"/>
                  <w:color w:val="auto"/>
                </w:rPr>
                <w:t>ended June 30, 2021)</w:t>
              </w:r>
            </w:hyperlink>
          </w:p>
        </w:tc>
      </w:tr>
      <w:tr>
        <w:trPr>
          <w:trHeight w:val="92"/>
        </w:trPr>
        <w:tc>
          <w:tcPr>
            <w:tcW w:w="1020" w:type="dxa"/>
            <w:vAlign w:val="bottom"/>
          </w:tcPr>
          <w:p>
            <w:pPr>
              <w:spacing w:after="0" w:line="92" w:lineRule="exact"/>
              <w:rPr>
                <w:sz w:val="20"/>
                <w:szCs w:val="20"/>
                <w:color w:val="auto"/>
              </w:rPr>
            </w:pPr>
            <w:r>
              <w:rPr>
                <w:rFonts w:ascii="Arial" w:cs="Arial" w:eastAsia="Arial" w:hAnsi="Arial"/>
                <w:sz w:val="10"/>
                <w:szCs w:val="10"/>
                <w:color w:val="auto"/>
              </w:rPr>
              <w:t>10.40*</w:t>
            </w:r>
          </w:p>
        </w:tc>
        <w:tc>
          <w:tcPr>
            <w:tcW w:w="10280" w:type="dxa"/>
            <w:vAlign w:val="bottom"/>
            <w:gridSpan w:val="2"/>
          </w:tcPr>
          <w:p>
            <w:pPr>
              <w:ind w:left="500"/>
              <w:spacing w:after="0" w:line="92" w:lineRule="exact"/>
              <w:rPr>
                <w:rFonts w:ascii="Arial" w:cs="Arial" w:eastAsia="Arial" w:hAnsi="Arial"/>
                <w:sz w:val="10"/>
                <w:szCs w:val="10"/>
                <w:color w:val="auto"/>
                <w:w w:val="96"/>
              </w:rPr>
            </w:pPr>
            <w:hyperlink r:id="rId288">
              <w:r>
                <w:rPr>
                  <w:rFonts w:ascii="Arial" w:cs="Arial" w:eastAsia="Arial" w:hAnsi="Arial"/>
                  <w:sz w:val="10"/>
                  <w:szCs w:val="10"/>
                  <w:color w:val="auto"/>
                  <w:w w:val="96"/>
                </w:rPr>
                <w:t>2011 Stock Incentive Plan of Honeywell International Inc. and Its Affiliates—Form of Stock Option Award Agreement, Form 2 (incorporated by reference to Exhibit 10.39 to Honeywell’s Form 10-K for the year ended December 31,</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gridSpan w:val="2"/>
          </w:tcPr>
          <w:p>
            <w:pPr>
              <w:ind w:left="500"/>
              <w:spacing w:after="0"/>
              <w:rPr>
                <w:rFonts w:ascii="Arial" w:cs="Arial" w:eastAsia="Arial" w:hAnsi="Arial"/>
                <w:sz w:val="10"/>
                <w:szCs w:val="10"/>
                <w:color w:val="auto"/>
              </w:rPr>
            </w:pPr>
            <w:hyperlink r:id="rId288">
              <w:r>
                <w:rPr>
                  <w:rFonts w:ascii="Arial" w:cs="Arial" w:eastAsia="Arial" w:hAnsi="Arial"/>
                  <w:sz w:val="10"/>
                  <w:szCs w:val="10"/>
                  <w:color w:val="auto"/>
                </w:rPr>
                <w:t>2014)</w:t>
              </w:r>
            </w:hyperlink>
          </w:p>
        </w:tc>
      </w:tr>
      <w:tr>
        <w:trPr>
          <w:trHeight w:val="92"/>
        </w:trPr>
        <w:tc>
          <w:tcPr>
            <w:tcW w:w="1020" w:type="dxa"/>
            <w:vAlign w:val="bottom"/>
          </w:tcPr>
          <w:p>
            <w:pPr>
              <w:spacing w:after="0" w:line="92" w:lineRule="exact"/>
              <w:rPr>
                <w:sz w:val="20"/>
                <w:szCs w:val="20"/>
                <w:color w:val="auto"/>
              </w:rPr>
            </w:pPr>
            <w:r>
              <w:rPr>
                <w:rFonts w:ascii="Arial" w:cs="Arial" w:eastAsia="Arial" w:hAnsi="Arial"/>
                <w:sz w:val="10"/>
                <w:szCs w:val="10"/>
                <w:color w:val="auto"/>
              </w:rPr>
              <w:t>10.41*</w:t>
            </w:r>
          </w:p>
        </w:tc>
        <w:tc>
          <w:tcPr>
            <w:tcW w:w="10280" w:type="dxa"/>
            <w:vAlign w:val="bottom"/>
            <w:gridSpan w:val="2"/>
          </w:tcPr>
          <w:p>
            <w:pPr>
              <w:ind w:left="500"/>
              <w:spacing w:after="0" w:line="92" w:lineRule="exact"/>
              <w:rPr>
                <w:rFonts w:ascii="Arial" w:cs="Arial" w:eastAsia="Arial" w:hAnsi="Arial"/>
                <w:sz w:val="10"/>
                <w:szCs w:val="10"/>
                <w:color w:val="auto"/>
                <w:w w:val="97"/>
              </w:rPr>
            </w:pPr>
            <w:hyperlink r:id="rId265">
              <w:r>
                <w:rPr>
                  <w:rFonts w:ascii="Arial" w:cs="Arial" w:eastAsia="Arial" w:hAnsi="Arial"/>
                  <w:sz w:val="10"/>
                  <w:szCs w:val="10"/>
                  <w:color w:val="auto"/>
                  <w:w w:val="97"/>
                </w:rPr>
                <w:t>Omnibus Amendment to 2011 Stock Incentive Plan of Honeywell International Inc. and its Affiliates – Form of Stock Option Award Agreement, Form 2 (incorporated by reference to Exhibit 10.1 to Honeywell’s Form 10-Q for the</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gridSpan w:val="2"/>
          </w:tcPr>
          <w:p>
            <w:pPr>
              <w:ind w:left="500"/>
              <w:spacing w:after="0"/>
              <w:rPr>
                <w:rFonts w:ascii="Arial" w:cs="Arial" w:eastAsia="Arial" w:hAnsi="Arial"/>
                <w:sz w:val="10"/>
                <w:szCs w:val="10"/>
                <w:color w:val="auto"/>
              </w:rPr>
            </w:pPr>
            <w:hyperlink r:id="rId265">
              <w:r>
                <w:rPr>
                  <w:rFonts w:ascii="Arial" w:cs="Arial" w:eastAsia="Arial" w:hAnsi="Arial"/>
                  <w:sz w:val="10"/>
                  <w:szCs w:val="10"/>
                  <w:color w:val="auto"/>
                </w:rPr>
                <w:t>quarter ended June 30, 2021)</w:t>
              </w:r>
            </w:hyperlink>
          </w:p>
        </w:tc>
      </w:tr>
      <w:tr>
        <w:trPr>
          <w:trHeight w:val="92"/>
        </w:trPr>
        <w:tc>
          <w:tcPr>
            <w:tcW w:w="1020" w:type="dxa"/>
            <w:vAlign w:val="bottom"/>
          </w:tcPr>
          <w:p>
            <w:pPr>
              <w:spacing w:after="0" w:line="92" w:lineRule="exact"/>
              <w:rPr>
                <w:sz w:val="20"/>
                <w:szCs w:val="20"/>
                <w:color w:val="auto"/>
              </w:rPr>
            </w:pPr>
            <w:r>
              <w:rPr>
                <w:rFonts w:ascii="Arial" w:cs="Arial" w:eastAsia="Arial" w:hAnsi="Arial"/>
                <w:sz w:val="10"/>
                <w:szCs w:val="10"/>
                <w:color w:val="auto"/>
              </w:rPr>
              <w:t>10.42*</w:t>
            </w:r>
          </w:p>
        </w:tc>
        <w:tc>
          <w:tcPr>
            <w:tcW w:w="720" w:type="dxa"/>
            <w:vAlign w:val="bottom"/>
          </w:tcPr>
          <w:p>
            <w:pPr>
              <w:ind w:left="500"/>
              <w:spacing w:after="0" w:line="92" w:lineRule="exact"/>
              <w:rPr>
                <w:rFonts w:ascii="Arial" w:cs="Arial" w:eastAsia="Arial" w:hAnsi="Arial"/>
                <w:sz w:val="10"/>
                <w:szCs w:val="10"/>
                <w:color w:val="auto"/>
                <w:w w:val="89"/>
              </w:rPr>
            </w:pPr>
            <w:hyperlink r:id="rId289">
              <w:r>
                <w:rPr>
                  <w:rFonts w:ascii="Arial" w:cs="Arial" w:eastAsia="Arial" w:hAnsi="Arial"/>
                  <w:sz w:val="10"/>
                  <w:szCs w:val="10"/>
                  <w:color w:val="auto"/>
                  <w:w w:val="89"/>
                </w:rPr>
                <w:t>2016</w:t>
              </w:r>
            </w:hyperlink>
          </w:p>
        </w:tc>
        <w:tc>
          <w:tcPr>
            <w:tcW w:w="9560" w:type="dxa"/>
            <w:vAlign w:val="bottom"/>
          </w:tcPr>
          <w:p>
            <w:pPr>
              <w:ind w:left="20"/>
              <w:spacing w:after="0" w:line="92" w:lineRule="exact"/>
              <w:rPr>
                <w:rFonts w:ascii="Arial" w:cs="Arial" w:eastAsia="Arial" w:hAnsi="Arial"/>
                <w:sz w:val="10"/>
                <w:szCs w:val="10"/>
                <w:color w:val="auto"/>
                <w:w w:val="96"/>
              </w:rPr>
            </w:pPr>
            <w:hyperlink r:id="rId289">
              <w:r>
                <w:rPr>
                  <w:rFonts w:ascii="Arial" w:cs="Arial" w:eastAsia="Arial" w:hAnsi="Arial"/>
                  <w:sz w:val="10"/>
                  <w:szCs w:val="10"/>
                  <w:color w:val="auto"/>
                  <w:w w:val="96"/>
                </w:rPr>
                <w:t>Stock Incentive Plan of Honeywell International Inc. and its Affiliates (incorporated by reference to Exhibit A of Honeywell’s Proxy Statement, dated March 10, 2016, filed pursuant to Rule 14a-6 of the Securities Exchange Act</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gridSpan w:val="2"/>
          </w:tcPr>
          <w:p>
            <w:pPr>
              <w:ind w:left="500"/>
              <w:spacing w:after="0"/>
              <w:rPr>
                <w:rFonts w:ascii="Arial" w:cs="Arial" w:eastAsia="Arial" w:hAnsi="Arial"/>
                <w:sz w:val="10"/>
                <w:szCs w:val="10"/>
                <w:color w:val="auto"/>
              </w:rPr>
            </w:pPr>
            <w:hyperlink r:id="rId289">
              <w:r>
                <w:rPr>
                  <w:rFonts w:ascii="Arial" w:cs="Arial" w:eastAsia="Arial" w:hAnsi="Arial"/>
                  <w:sz w:val="10"/>
                  <w:szCs w:val="10"/>
                  <w:color w:val="auto"/>
                </w:rPr>
                <w:t>of 1934)</w:t>
              </w:r>
            </w:hyperlink>
          </w:p>
        </w:tc>
      </w:tr>
      <w:tr>
        <w:trPr>
          <w:trHeight w:val="121"/>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10.43*</w:t>
            </w:r>
          </w:p>
        </w:tc>
        <w:tc>
          <w:tcPr>
            <w:tcW w:w="10280" w:type="dxa"/>
            <w:vAlign w:val="bottom"/>
            <w:tcBorders>
              <w:bottom w:val="single" w:sz="8" w:color="61656A"/>
            </w:tcBorders>
            <w:gridSpan w:val="2"/>
          </w:tcPr>
          <w:p>
            <w:pPr>
              <w:ind w:left="500"/>
              <w:spacing w:after="0"/>
              <w:rPr>
                <w:rFonts w:ascii="Arial" w:cs="Arial" w:eastAsia="Arial" w:hAnsi="Arial"/>
                <w:sz w:val="10"/>
                <w:szCs w:val="10"/>
                <w:color w:val="auto"/>
              </w:rPr>
            </w:pPr>
            <w:hyperlink r:id="rId290">
              <w:r>
                <w:rPr>
                  <w:rFonts w:ascii="Arial" w:cs="Arial" w:eastAsia="Arial" w:hAnsi="Arial"/>
                  <w:sz w:val="10"/>
                  <w:szCs w:val="10"/>
                  <w:color w:val="auto"/>
                </w:rPr>
                <w:t>Amendment to the 2016 Stock Incentive Plan of Honeywell International Inc. and its Affiliates (incorporated by reference to Exhibit 10.2 to Honeywell’s Form 10-Q for the quarter ended September 30, 2020)</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10.44*</w:t>
            </w:r>
          </w:p>
        </w:tc>
        <w:tc>
          <w:tcPr>
            <w:tcW w:w="10280" w:type="dxa"/>
            <w:vAlign w:val="bottom"/>
            <w:tcBorders>
              <w:bottom w:val="single" w:sz="8" w:color="61656A"/>
            </w:tcBorders>
            <w:gridSpan w:val="2"/>
          </w:tcPr>
          <w:p>
            <w:pPr>
              <w:ind w:left="500"/>
              <w:spacing w:after="0"/>
              <w:rPr>
                <w:rFonts w:ascii="Arial" w:cs="Arial" w:eastAsia="Arial" w:hAnsi="Arial"/>
                <w:sz w:val="10"/>
                <w:szCs w:val="10"/>
                <w:color w:val="auto"/>
              </w:rPr>
            </w:pPr>
            <w:hyperlink r:id="rId265">
              <w:r>
                <w:rPr>
                  <w:rFonts w:ascii="Arial" w:cs="Arial" w:eastAsia="Arial" w:hAnsi="Arial"/>
                  <w:sz w:val="10"/>
                  <w:szCs w:val="10"/>
                  <w:color w:val="auto"/>
                </w:rPr>
                <w:t>Omnibus Amendment to 2016 Stock Incentive Plan of Honeywell International Inc. and its Affiliates (incorporated by reference to Exhibit 10.1 to Honeywell’s Form 10-Q for the quarter ended June 30, 2021)</w:t>
              </w:r>
            </w:hyperlink>
          </w:p>
        </w:tc>
      </w:tr>
      <w:tr>
        <w:trPr>
          <w:trHeight w:val="95"/>
        </w:trPr>
        <w:tc>
          <w:tcPr>
            <w:tcW w:w="1020" w:type="dxa"/>
            <w:vAlign w:val="bottom"/>
          </w:tcPr>
          <w:p>
            <w:pPr>
              <w:spacing w:after="0" w:line="95" w:lineRule="exact"/>
              <w:rPr>
                <w:sz w:val="20"/>
                <w:szCs w:val="20"/>
                <w:color w:val="auto"/>
              </w:rPr>
            </w:pPr>
            <w:r>
              <w:rPr>
                <w:rFonts w:ascii="Arial" w:cs="Arial" w:eastAsia="Arial" w:hAnsi="Arial"/>
                <w:sz w:val="10"/>
                <w:szCs w:val="10"/>
                <w:color w:val="auto"/>
              </w:rPr>
              <w:t>10.45*</w:t>
            </w:r>
          </w:p>
        </w:tc>
        <w:tc>
          <w:tcPr>
            <w:tcW w:w="720" w:type="dxa"/>
            <w:vAlign w:val="bottom"/>
          </w:tcPr>
          <w:p>
            <w:pPr>
              <w:ind w:left="500"/>
              <w:spacing w:after="0" w:line="95" w:lineRule="exact"/>
              <w:rPr>
                <w:rFonts w:ascii="Arial" w:cs="Arial" w:eastAsia="Arial" w:hAnsi="Arial"/>
                <w:sz w:val="10"/>
                <w:szCs w:val="10"/>
                <w:color w:val="auto"/>
                <w:w w:val="89"/>
              </w:rPr>
            </w:pPr>
            <w:hyperlink r:id="rId291">
              <w:r>
                <w:rPr>
                  <w:rFonts w:ascii="Arial" w:cs="Arial" w:eastAsia="Arial" w:hAnsi="Arial"/>
                  <w:sz w:val="10"/>
                  <w:szCs w:val="10"/>
                  <w:color w:val="auto"/>
                  <w:w w:val="89"/>
                </w:rPr>
                <w:t>2016</w:t>
              </w:r>
            </w:hyperlink>
          </w:p>
        </w:tc>
        <w:tc>
          <w:tcPr>
            <w:tcW w:w="9560" w:type="dxa"/>
            <w:vAlign w:val="bottom"/>
          </w:tcPr>
          <w:p>
            <w:pPr>
              <w:ind w:left="20"/>
              <w:spacing w:after="0" w:line="95" w:lineRule="exact"/>
              <w:rPr>
                <w:rFonts w:ascii="Arial" w:cs="Arial" w:eastAsia="Arial" w:hAnsi="Arial"/>
                <w:sz w:val="10"/>
                <w:szCs w:val="10"/>
                <w:color w:val="auto"/>
                <w:w w:val="97"/>
              </w:rPr>
            </w:pPr>
            <w:hyperlink r:id="rId291">
              <w:r>
                <w:rPr>
                  <w:rFonts w:ascii="Arial" w:cs="Arial" w:eastAsia="Arial" w:hAnsi="Arial"/>
                  <w:sz w:val="10"/>
                  <w:szCs w:val="10"/>
                  <w:color w:val="auto"/>
                  <w:w w:val="97"/>
                </w:rPr>
                <w:t>Stock Incentive Plan of Honeywell International Inc. and its Affiliates—Form of Restricted Stock Unit Agreement, Form 1 (incorporated by reference to Exhibit 10.3 to Honeywell’s Form 10-Q for the quarter ended March 31,</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gridSpan w:val="2"/>
          </w:tcPr>
          <w:p>
            <w:pPr>
              <w:ind w:left="500"/>
              <w:spacing w:after="0"/>
              <w:rPr>
                <w:rFonts w:ascii="Arial" w:cs="Arial" w:eastAsia="Arial" w:hAnsi="Arial"/>
                <w:sz w:val="10"/>
                <w:szCs w:val="10"/>
                <w:color w:val="auto"/>
              </w:rPr>
            </w:pPr>
            <w:hyperlink r:id="rId291">
              <w:r>
                <w:rPr>
                  <w:rFonts w:ascii="Arial" w:cs="Arial" w:eastAsia="Arial" w:hAnsi="Arial"/>
                  <w:sz w:val="10"/>
                  <w:szCs w:val="10"/>
                  <w:color w:val="auto"/>
                </w:rPr>
                <w:t>2022)</w:t>
              </w:r>
            </w:hyperlink>
          </w:p>
        </w:tc>
      </w:tr>
      <w:tr>
        <w:trPr>
          <w:trHeight w:val="92"/>
        </w:trPr>
        <w:tc>
          <w:tcPr>
            <w:tcW w:w="1020" w:type="dxa"/>
            <w:vAlign w:val="bottom"/>
          </w:tcPr>
          <w:p>
            <w:pPr>
              <w:spacing w:after="0" w:line="92" w:lineRule="exact"/>
              <w:rPr>
                <w:sz w:val="20"/>
                <w:szCs w:val="20"/>
                <w:color w:val="auto"/>
              </w:rPr>
            </w:pPr>
            <w:r>
              <w:rPr>
                <w:rFonts w:ascii="Arial" w:cs="Arial" w:eastAsia="Arial" w:hAnsi="Arial"/>
                <w:sz w:val="10"/>
                <w:szCs w:val="10"/>
                <w:color w:val="auto"/>
              </w:rPr>
              <w:t>10.46*</w:t>
            </w:r>
          </w:p>
        </w:tc>
        <w:tc>
          <w:tcPr>
            <w:tcW w:w="720" w:type="dxa"/>
            <w:vAlign w:val="bottom"/>
          </w:tcPr>
          <w:p>
            <w:pPr>
              <w:ind w:left="500"/>
              <w:spacing w:after="0" w:line="92" w:lineRule="exact"/>
              <w:rPr>
                <w:rFonts w:ascii="Arial" w:cs="Arial" w:eastAsia="Arial" w:hAnsi="Arial"/>
                <w:sz w:val="10"/>
                <w:szCs w:val="10"/>
                <w:color w:val="auto"/>
                <w:w w:val="89"/>
              </w:rPr>
            </w:pPr>
            <w:hyperlink r:id="rId292">
              <w:r>
                <w:rPr>
                  <w:rFonts w:ascii="Arial" w:cs="Arial" w:eastAsia="Arial" w:hAnsi="Arial"/>
                  <w:sz w:val="10"/>
                  <w:szCs w:val="10"/>
                  <w:color w:val="auto"/>
                  <w:w w:val="89"/>
                </w:rPr>
                <w:t>2016</w:t>
              </w:r>
            </w:hyperlink>
          </w:p>
        </w:tc>
        <w:tc>
          <w:tcPr>
            <w:tcW w:w="9560" w:type="dxa"/>
            <w:vAlign w:val="bottom"/>
          </w:tcPr>
          <w:p>
            <w:pPr>
              <w:ind w:left="20"/>
              <w:spacing w:after="0" w:line="92" w:lineRule="exact"/>
              <w:rPr>
                <w:rFonts w:ascii="Arial" w:cs="Arial" w:eastAsia="Arial" w:hAnsi="Arial"/>
                <w:sz w:val="10"/>
                <w:szCs w:val="10"/>
                <w:color w:val="auto"/>
                <w:w w:val="97"/>
              </w:rPr>
            </w:pPr>
            <w:hyperlink r:id="rId292">
              <w:r>
                <w:rPr>
                  <w:rFonts w:ascii="Arial" w:cs="Arial" w:eastAsia="Arial" w:hAnsi="Arial"/>
                  <w:sz w:val="10"/>
                  <w:szCs w:val="10"/>
                  <w:color w:val="auto"/>
                  <w:w w:val="97"/>
                </w:rPr>
                <w:t>Stock Incentive Plan of Honeywell International Inc. and its Affiliates—Form of Restricted Stock Unit Agreement, Form 2 (incorporated by reference to Exhibit 10.4 to Honeywell’s Form 10-Q for the quarter ended March 31,</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gridSpan w:val="2"/>
          </w:tcPr>
          <w:p>
            <w:pPr>
              <w:ind w:left="500"/>
              <w:spacing w:after="0"/>
              <w:rPr>
                <w:rFonts w:ascii="Arial" w:cs="Arial" w:eastAsia="Arial" w:hAnsi="Arial"/>
                <w:sz w:val="10"/>
                <w:szCs w:val="10"/>
                <w:color w:val="auto"/>
              </w:rPr>
            </w:pPr>
            <w:hyperlink r:id="rId292">
              <w:r>
                <w:rPr>
                  <w:rFonts w:ascii="Arial" w:cs="Arial" w:eastAsia="Arial" w:hAnsi="Arial"/>
                  <w:sz w:val="10"/>
                  <w:szCs w:val="10"/>
                  <w:color w:val="auto"/>
                </w:rPr>
                <w:t>2022)</w:t>
              </w:r>
            </w:hyperlink>
          </w:p>
        </w:tc>
      </w:tr>
      <w:tr>
        <w:trPr>
          <w:trHeight w:val="121"/>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10.47*</w:t>
            </w:r>
          </w:p>
        </w:tc>
        <w:tc>
          <w:tcPr>
            <w:tcW w:w="720" w:type="dxa"/>
            <w:vAlign w:val="bottom"/>
            <w:tcBorders>
              <w:bottom w:val="single" w:sz="8" w:color="61656A"/>
            </w:tcBorders>
          </w:tcPr>
          <w:p>
            <w:pPr>
              <w:ind w:left="500"/>
              <w:spacing w:after="0"/>
              <w:rPr>
                <w:rFonts w:ascii="Arial" w:cs="Arial" w:eastAsia="Arial" w:hAnsi="Arial"/>
                <w:sz w:val="10"/>
                <w:szCs w:val="10"/>
                <w:color w:val="auto"/>
                <w:w w:val="89"/>
              </w:rPr>
            </w:pPr>
            <w:hyperlink r:id="rId293">
              <w:r>
                <w:rPr>
                  <w:rFonts w:ascii="Arial" w:cs="Arial" w:eastAsia="Arial" w:hAnsi="Arial"/>
                  <w:sz w:val="10"/>
                  <w:szCs w:val="10"/>
                  <w:color w:val="auto"/>
                  <w:w w:val="89"/>
                </w:rPr>
                <w:t>2016</w:t>
              </w:r>
            </w:hyperlink>
          </w:p>
        </w:tc>
        <w:tc>
          <w:tcPr>
            <w:tcW w:w="9560" w:type="dxa"/>
            <w:vAlign w:val="bottom"/>
            <w:tcBorders>
              <w:bottom w:val="single" w:sz="8" w:color="61656A"/>
            </w:tcBorders>
          </w:tcPr>
          <w:p>
            <w:pPr>
              <w:ind w:left="20"/>
              <w:spacing w:after="0"/>
              <w:rPr>
                <w:rFonts w:ascii="Arial" w:cs="Arial" w:eastAsia="Arial" w:hAnsi="Arial"/>
                <w:sz w:val="10"/>
                <w:szCs w:val="10"/>
                <w:color w:val="auto"/>
                <w:w w:val="98"/>
              </w:rPr>
            </w:pPr>
            <w:hyperlink r:id="rId293">
              <w:r>
                <w:rPr>
                  <w:rFonts w:ascii="Arial" w:cs="Arial" w:eastAsia="Arial" w:hAnsi="Arial"/>
                  <w:sz w:val="10"/>
                  <w:szCs w:val="10"/>
                  <w:color w:val="auto"/>
                  <w:w w:val="98"/>
                </w:rPr>
                <w:t>Stock Incentive Plan of Honeywell International Inc. and its Affiliates—Form of Stock Option Award Agreement (incorporated by reference to Exhibit 10.5 to Honeywell’s Form 10-Q for the quarter ended March 31, 2022)</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10.48*</w:t>
            </w:r>
          </w:p>
        </w:tc>
        <w:tc>
          <w:tcPr>
            <w:tcW w:w="720" w:type="dxa"/>
            <w:vAlign w:val="bottom"/>
            <w:tcBorders>
              <w:bottom w:val="single" w:sz="8" w:color="61656A"/>
            </w:tcBorders>
          </w:tcPr>
          <w:p>
            <w:pPr>
              <w:ind w:left="500"/>
              <w:spacing w:after="0"/>
              <w:rPr>
                <w:rFonts w:ascii="Arial" w:cs="Arial" w:eastAsia="Arial" w:hAnsi="Arial"/>
                <w:sz w:val="10"/>
                <w:szCs w:val="10"/>
                <w:color w:val="auto"/>
                <w:w w:val="89"/>
              </w:rPr>
            </w:pPr>
            <w:hyperlink r:id="rId294">
              <w:r>
                <w:rPr>
                  <w:rFonts w:ascii="Arial" w:cs="Arial" w:eastAsia="Arial" w:hAnsi="Arial"/>
                  <w:sz w:val="10"/>
                  <w:szCs w:val="10"/>
                  <w:color w:val="auto"/>
                  <w:w w:val="89"/>
                </w:rPr>
                <w:t>2016</w:t>
              </w:r>
            </w:hyperlink>
          </w:p>
        </w:tc>
        <w:tc>
          <w:tcPr>
            <w:tcW w:w="9560" w:type="dxa"/>
            <w:vAlign w:val="bottom"/>
            <w:tcBorders>
              <w:bottom w:val="single" w:sz="8" w:color="61656A"/>
            </w:tcBorders>
          </w:tcPr>
          <w:p>
            <w:pPr>
              <w:ind w:left="20"/>
              <w:spacing w:after="0"/>
              <w:rPr>
                <w:rFonts w:ascii="Arial" w:cs="Arial" w:eastAsia="Arial" w:hAnsi="Arial"/>
                <w:sz w:val="10"/>
                <w:szCs w:val="10"/>
                <w:color w:val="auto"/>
                <w:w w:val="97"/>
              </w:rPr>
            </w:pPr>
            <w:hyperlink r:id="rId294">
              <w:r>
                <w:rPr>
                  <w:rFonts w:ascii="Arial" w:cs="Arial" w:eastAsia="Arial" w:hAnsi="Arial"/>
                  <w:sz w:val="10"/>
                  <w:szCs w:val="10"/>
                  <w:color w:val="auto"/>
                  <w:w w:val="97"/>
                </w:rPr>
                <w:t>Stock Incentive Plan of Honeywell International Inc. and its Affiliates–Form of Performance Plan Grant Agreement (incorporated by reference to Exhibit 10.6 to Honeywell’s Form 10-Q for the quarter ended March 31, 2022)</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10.49*</w:t>
            </w:r>
          </w:p>
        </w:tc>
        <w:tc>
          <w:tcPr>
            <w:tcW w:w="720" w:type="dxa"/>
            <w:vAlign w:val="bottom"/>
            <w:tcBorders>
              <w:bottom w:val="single" w:sz="8" w:color="61656A"/>
            </w:tcBorders>
          </w:tcPr>
          <w:p>
            <w:pPr>
              <w:ind w:left="500"/>
              <w:spacing w:after="0"/>
              <w:rPr>
                <w:rFonts w:ascii="Arial" w:cs="Arial" w:eastAsia="Arial" w:hAnsi="Arial"/>
                <w:sz w:val="10"/>
                <w:szCs w:val="10"/>
                <w:color w:val="auto"/>
                <w:w w:val="89"/>
              </w:rPr>
            </w:pPr>
            <w:hyperlink r:id="rId289">
              <w:r>
                <w:rPr>
                  <w:rFonts w:ascii="Arial" w:cs="Arial" w:eastAsia="Arial" w:hAnsi="Arial"/>
                  <w:sz w:val="10"/>
                  <w:szCs w:val="10"/>
                  <w:color w:val="auto"/>
                  <w:w w:val="89"/>
                </w:rPr>
                <w:t>2016</w:t>
              </w:r>
            </w:hyperlink>
          </w:p>
        </w:tc>
        <w:tc>
          <w:tcPr>
            <w:tcW w:w="9560" w:type="dxa"/>
            <w:vAlign w:val="bottom"/>
            <w:tcBorders>
              <w:bottom w:val="single" w:sz="8" w:color="61656A"/>
            </w:tcBorders>
          </w:tcPr>
          <w:p>
            <w:pPr>
              <w:ind w:left="20"/>
              <w:spacing w:after="0"/>
              <w:rPr>
                <w:rFonts w:ascii="Arial" w:cs="Arial" w:eastAsia="Arial" w:hAnsi="Arial"/>
                <w:sz w:val="10"/>
                <w:szCs w:val="10"/>
                <w:color w:val="auto"/>
              </w:rPr>
            </w:pPr>
            <w:hyperlink r:id="rId289">
              <w:r>
                <w:rPr>
                  <w:rFonts w:ascii="Arial" w:cs="Arial" w:eastAsia="Arial" w:hAnsi="Arial"/>
                  <w:sz w:val="10"/>
                  <w:szCs w:val="10"/>
                  <w:color w:val="auto"/>
                </w:rPr>
                <w:t>Stock Plan for Non-Employee Directors (incorporated by reference to Exhibit B of Honeywell’s Proxy Statement, dated March 10, 2016, filed pursuant to Rule 14a-6 of the Securities Exchange Act of 1934)</w:t>
              </w:r>
            </w:hyperlink>
          </w:p>
        </w:tc>
      </w:tr>
      <w:tr>
        <w:trPr>
          <w:trHeight w:val="121"/>
        </w:trPr>
        <w:tc>
          <w:tcPr>
            <w:tcW w:w="1020" w:type="dxa"/>
            <w:vAlign w:val="bottom"/>
          </w:tcPr>
          <w:p>
            <w:pPr>
              <w:spacing w:after="0"/>
              <w:rPr>
                <w:sz w:val="20"/>
                <w:szCs w:val="20"/>
                <w:color w:val="auto"/>
              </w:rPr>
            </w:pPr>
            <w:r>
              <w:rPr>
                <w:rFonts w:ascii="Arial" w:cs="Arial" w:eastAsia="Arial" w:hAnsi="Arial"/>
                <w:sz w:val="10"/>
                <w:szCs w:val="10"/>
                <w:color w:val="auto"/>
              </w:rPr>
              <w:t>10.50*</w:t>
            </w:r>
          </w:p>
        </w:tc>
        <w:tc>
          <w:tcPr>
            <w:tcW w:w="10280" w:type="dxa"/>
            <w:vAlign w:val="bottom"/>
            <w:gridSpan w:val="2"/>
          </w:tcPr>
          <w:p>
            <w:pPr>
              <w:ind w:left="500"/>
              <w:spacing w:after="0"/>
              <w:rPr>
                <w:rFonts w:ascii="Arial" w:cs="Arial" w:eastAsia="Arial" w:hAnsi="Arial"/>
                <w:sz w:val="10"/>
                <w:szCs w:val="10"/>
                <w:color w:val="auto"/>
              </w:rPr>
            </w:pPr>
            <w:hyperlink r:id="rId295">
              <w:r>
                <w:rPr>
                  <w:rFonts w:ascii="Arial" w:cs="Arial" w:eastAsia="Arial" w:hAnsi="Arial"/>
                  <w:sz w:val="10"/>
                  <w:szCs w:val="10"/>
                  <w:color w:val="auto"/>
                </w:rPr>
                <w:t>Amendment to the 2016 Stock Plan for Non-Employee Directors of Honeywell International Inc. (incorporated by reference to Exhibit 99.2 to Honeywell's Form 8-K filed October 8, 2019)</w:t>
              </w:r>
            </w:hyperlink>
          </w:p>
        </w:tc>
      </w:tr>
    </w:tbl>
    <w:p>
      <w:pPr>
        <w:spacing w:after="0" w:line="357" w:lineRule="exact"/>
        <w:rPr>
          <w:sz w:val="20"/>
          <w:szCs w:val="20"/>
          <w:color w:val="auto"/>
        </w:rPr>
      </w:pPr>
    </w:p>
    <w:p>
      <w:pPr>
        <w:ind w:left="328" w:hanging="328"/>
        <w:spacing w:after="0"/>
        <w:tabs>
          <w:tab w:leader="none" w:pos="328" w:val="left"/>
        </w:tabs>
        <w:numPr>
          <w:ilvl w:val="0"/>
          <w:numId w:val="178"/>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124" w:name="page125"/>
    <w:bookmarkEnd w:id="124"/>
    <w:p>
      <w:pPr>
        <w:ind w:left="8"/>
        <w:spacing w:after="0"/>
        <w:tabs>
          <w:tab w:leader="none" w:pos="1066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EXHIBIT INDEX</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102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Exhibit No.</w:t>
            </w:r>
          </w:p>
        </w:tc>
        <w:tc>
          <w:tcPr>
            <w:tcW w:w="10280" w:type="dxa"/>
            <w:vAlign w:val="bottom"/>
            <w:tcBorders>
              <w:bottom w:val="single" w:sz="8" w:color="D7282F"/>
            </w:tcBorders>
          </w:tcPr>
          <w:p>
            <w:pPr>
              <w:ind w:left="5120"/>
              <w:spacing w:after="0"/>
              <w:rPr>
                <w:sz w:val="20"/>
                <w:szCs w:val="20"/>
                <w:color w:val="auto"/>
              </w:rPr>
            </w:pPr>
            <w:r>
              <w:rPr>
                <w:rFonts w:ascii="Arial" w:cs="Arial" w:eastAsia="Arial" w:hAnsi="Arial"/>
                <w:sz w:val="10"/>
                <w:szCs w:val="10"/>
                <w:b w:val="1"/>
                <w:bCs w:val="1"/>
                <w:color w:val="auto"/>
              </w:rPr>
              <w:t>Description</w:t>
            </w:r>
          </w:p>
        </w:tc>
      </w:tr>
      <w:tr>
        <w:trPr>
          <w:trHeight w:val="126"/>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10.51*</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97">
              <w:r>
                <w:rPr>
                  <w:rFonts w:ascii="Arial" w:cs="Arial" w:eastAsia="Arial" w:hAnsi="Arial"/>
                  <w:sz w:val="10"/>
                  <w:szCs w:val="10"/>
                  <w:color w:val="auto"/>
                </w:rPr>
                <w:t>Amendment to the 2016 Stock Plan for Non-Employee Directors of Honeywell International Inc. (incorporated by reference to Exhibit 10.1 to Honeywell’s Form 10-Q for the quarter ended June 30, 2020)</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10.52*</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65">
              <w:r>
                <w:rPr>
                  <w:rFonts w:ascii="Arial" w:cs="Arial" w:eastAsia="Arial" w:hAnsi="Arial"/>
                  <w:sz w:val="10"/>
                  <w:szCs w:val="10"/>
                  <w:color w:val="auto"/>
                </w:rPr>
                <w:t>Omnibus Amendment to 2016 Stock Plan for Non-Employee Directors of Honeywell International Inc. (incorporated by reference to Exhibit 10.1 to Honeywell’s Form 10-Q for the quarter ended June 30, 2021)</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10.53*</w:t>
            </w:r>
          </w:p>
        </w:tc>
        <w:tc>
          <w:tcPr>
            <w:tcW w:w="10280" w:type="dxa"/>
            <w:vAlign w:val="bottom"/>
            <w:tcBorders>
              <w:bottom w:val="single" w:sz="8" w:color="61656A"/>
            </w:tcBorders>
          </w:tcPr>
          <w:p>
            <w:pPr>
              <w:ind w:left="500"/>
              <w:spacing w:after="0"/>
              <w:rPr>
                <w:rFonts w:ascii="Arial" w:cs="Arial" w:eastAsia="Arial" w:hAnsi="Arial"/>
                <w:sz w:val="10"/>
                <w:szCs w:val="10"/>
                <w:color w:val="auto"/>
                <w:w w:val="98"/>
              </w:rPr>
            </w:pPr>
            <w:hyperlink r:id="rId298">
              <w:r>
                <w:rPr>
                  <w:rFonts w:ascii="Arial" w:cs="Arial" w:eastAsia="Arial" w:hAnsi="Arial"/>
                  <w:sz w:val="10"/>
                  <w:szCs w:val="10"/>
                  <w:color w:val="auto"/>
                  <w:w w:val="98"/>
                </w:rPr>
                <w:t>2016 Stock Plan for Non-Employee Directors of Honeywell International Inc. – Form of Stock Option Award Agreement (incorporated by reference to Exhibit 10.6 to Honeywell’s Form 10-Q for the quarter ended June 30, 2021)</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10.54*</w:t>
            </w:r>
          </w:p>
        </w:tc>
        <w:tc>
          <w:tcPr>
            <w:tcW w:w="10280" w:type="dxa"/>
            <w:vAlign w:val="bottom"/>
            <w:tcBorders>
              <w:bottom w:val="single" w:sz="8" w:color="61656A"/>
            </w:tcBorders>
          </w:tcPr>
          <w:p>
            <w:pPr>
              <w:ind w:left="500"/>
              <w:spacing w:after="0"/>
              <w:rPr>
                <w:rFonts w:ascii="Arial" w:cs="Arial" w:eastAsia="Arial" w:hAnsi="Arial"/>
                <w:sz w:val="10"/>
                <w:szCs w:val="10"/>
                <w:color w:val="auto"/>
                <w:w w:val="97"/>
              </w:rPr>
            </w:pPr>
            <w:hyperlink r:id="rId299">
              <w:r>
                <w:rPr>
                  <w:rFonts w:ascii="Arial" w:cs="Arial" w:eastAsia="Arial" w:hAnsi="Arial"/>
                  <w:sz w:val="10"/>
                  <w:szCs w:val="10"/>
                  <w:color w:val="auto"/>
                  <w:w w:val="97"/>
                </w:rPr>
                <w:t>2016 Stock Plan for Non-Employee Directors of Honeywell International Inc. – Form of Restricted Stock Unit Agreement (incorporated by reference to Exhibit 10.7 to Honeywell’s Form 10-Q for the quarter ended June 30, 2021)</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10.55*</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300">
              <w:r>
                <w:rPr>
                  <w:rFonts w:ascii="Arial" w:cs="Arial" w:eastAsia="Arial" w:hAnsi="Arial"/>
                  <w:sz w:val="10"/>
                  <w:szCs w:val="10"/>
                  <w:color w:val="auto"/>
                </w:rPr>
                <w:t xml:space="preserve">Form of Honeywell International Inc. Noncompete Agreement for Senior Executives </w:t>
              </w:r>
            </w:hyperlink>
            <w:r>
              <w:rPr>
                <w:rFonts w:ascii="Arial" w:cs="Arial" w:eastAsia="Arial" w:hAnsi="Arial"/>
                <w:sz w:val="10"/>
                <w:szCs w:val="10"/>
                <w:color w:val="auto"/>
              </w:rPr>
              <w:t xml:space="preserve">(incorporated by reference to Exhibit 10.61 to Honeywell’s Form 10-K for the year ended December 31, </w:t>
            </w:r>
            <w:hyperlink r:id="rId300">
              <w:r>
                <w:rPr>
                  <w:rFonts w:ascii="Arial" w:cs="Arial" w:eastAsia="Arial" w:hAnsi="Arial"/>
                  <w:sz w:val="10"/>
                  <w:szCs w:val="10"/>
                  <w:color w:val="auto"/>
                </w:rPr>
                <w:t>2021)</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10.56*</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301">
              <w:r>
                <w:rPr>
                  <w:rFonts w:ascii="Arial" w:cs="Arial" w:eastAsia="Arial" w:hAnsi="Arial"/>
                  <w:sz w:val="10"/>
                  <w:szCs w:val="10"/>
                  <w:color w:val="auto"/>
                </w:rPr>
                <w:t>Letter Agreement dated February 24, 2012 between Honeywell and Darius Adamczyk (incorporated by reference to Exhibit 10.1 to Honeywell’s Form 10-Q for the quarter ended March 31, 2016)</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10.57*</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302">
              <w:r>
                <w:rPr>
                  <w:rFonts w:ascii="Arial" w:cs="Arial" w:eastAsia="Arial" w:hAnsi="Arial"/>
                  <w:sz w:val="10"/>
                  <w:szCs w:val="10"/>
                  <w:color w:val="auto"/>
                </w:rPr>
                <w:t>Offer Letter dated March 31, 2016 from Honeywell to Darius Adamczyk (incorporated by reference to Exhibit 99.1 to Honeywell’s Form 8-K filed April 6, 2016)</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10.58*</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303">
              <w:r>
                <w:rPr>
                  <w:rFonts w:ascii="Arial" w:cs="Arial" w:eastAsia="Arial" w:hAnsi="Arial"/>
                  <w:sz w:val="10"/>
                  <w:szCs w:val="10"/>
                  <w:color w:val="auto"/>
                </w:rPr>
                <w:t>Employment Offer Letter dated March 1, 2017 between Honeywell International Inc. and Darius Adamczyk (incorporated by reference to Exhibit 99.1 to Honeywell’s Form 8-K filed March 6, 2017)</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10.59*</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304">
              <w:r>
                <w:rPr>
                  <w:rFonts w:ascii="Arial" w:cs="Arial" w:eastAsia="Arial" w:hAnsi="Arial"/>
                  <w:sz w:val="10"/>
                  <w:szCs w:val="10"/>
                  <w:color w:val="auto"/>
                </w:rPr>
                <w:t>Letter Agreement dated March 13, 2023 from Honeywell International Inc. to Darius Adamczyk (incorporated by reference to Exhibit 10.1 to Honeywell's Form 8-K filed March 14, 2023)</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10.60*</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305">
              <w:r>
                <w:rPr>
                  <w:rFonts w:ascii="Arial" w:cs="Arial" w:eastAsia="Arial" w:hAnsi="Arial"/>
                  <w:sz w:val="10"/>
                  <w:szCs w:val="10"/>
                  <w:color w:val="auto"/>
                </w:rPr>
                <w:t>Letter Agreement dated July 27, 2018 between Honeywell International Inc. and Greg Lewis (incorporated by reference to Exhibit 99.1 to Honeywell’s Form 8-K filed August 2, 2018)</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10.61*</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306">
              <w:r>
                <w:rPr>
                  <w:rFonts w:ascii="Arial" w:cs="Arial" w:eastAsia="Arial" w:hAnsi="Arial"/>
                  <w:sz w:val="10"/>
                  <w:szCs w:val="10"/>
                  <w:color w:val="auto"/>
                </w:rPr>
                <w:t>Letter Agreement dated October 2, 2017, between Honeywell and Anne Madden (incorporated by reference to Exhibit 10.70 to Honeywell’s Form 10-K for the year ended December 31, 2020)</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10.62*</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307">
              <w:r>
                <w:rPr>
                  <w:rFonts w:ascii="Arial" w:cs="Arial" w:eastAsia="Arial" w:hAnsi="Arial"/>
                  <w:sz w:val="10"/>
                  <w:szCs w:val="10"/>
                  <w:color w:val="auto"/>
                </w:rPr>
                <w:t>Offer Letter dated March 13, 2023 from Honeywell International Inc. to Vimal Kapur (incorporated by reference to Exhibit 10.2 to Honeywell's Form 8-K filed March 14, 2023)</w:t>
              </w:r>
            </w:hyperlink>
          </w:p>
        </w:tc>
      </w:tr>
      <w:tr>
        <w:trPr>
          <w:trHeight w:val="95"/>
        </w:trPr>
        <w:tc>
          <w:tcPr>
            <w:tcW w:w="1020" w:type="dxa"/>
            <w:vAlign w:val="bottom"/>
          </w:tcPr>
          <w:p>
            <w:pPr>
              <w:spacing w:after="0" w:line="95" w:lineRule="exact"/>
              <w:rPr>
                <w:sz w:val="20"/>
                <w:szCs w:val="20"/>
                <w:color w:val="auto"/>
              </w:rPr>
            </w:pPr>
            <w:r>
              <w:rPr>
                <w:rFonts w:ascii="Arial" w:cs="Arial" w:eastAsia="Arial" w:hAnsi="Arial"/>
                <w:sz w:val="10"/>
                <w:szCs w:val="10"/>
                <w:color w:val="auto"/>
              </w:rPr>
              <w:t>10.63*</w:t>
            </w:r>
          </w:p>
        </w:tc>
        <w:tc>
          <w:tcPr>
            <w:tcW w:w="10280" w:type="dxa"/>
            <w:vAlign w:val="bottom"/>
          </w:tcPr>
          <w:p>
            <w:pPr>
              <w:ind w:left="500"/>
              <w:spacing w:after="0" w:line="95" w:lineRule="exact"/>
              <w:rPr>
                <w:rFonts w:ascii="Arial" w:cs="Arial" w:eastAsia="Arial" w:hAnsi="Arial"/>
                <w:sz w:val="10"/>
                <w:szCs w:val="10"/>
                <w:color w:val="auto"/>
                <w:w w:val="96"/>
              </w:rPr>
            </w:pPr>
            <w:hyperlink r:id="rId308">
              <w:r>
                <w:rPr>
                  <w:rFonts w:ascii="Arial" w:cs="Arial" w:eastAsia="Arial" w:hAnsi="Arial"/>
                  <w:sz w:val="10"/>
                  <w:szCs w:val="10"/>
                  <w:color w:val="auto"/>
                  <w:w w:val="96"/>
                </w:rPr>
                <w:t>Offer Letter dated July 26, 2022 from Honeywell International Inc. to Vimal Kapur (incorporated by reference to Exhibit 10.1 to Honeywell's Form 10-Q for the quarter ended September 30, 2022, and Honeywell's Form 8-K filed July</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308">
              <w:r>
                <w:rPr>
                  <w:rFonts w:ascii="Arial" w:cs="Arial" w:eastAsia="Arial" w:hAnsi="Arial"/>
                  <w:sz w:val="10"/>
                  <w:szCs w:val="10"/>
                  <w:color w:val="auto"/>
                </w:rPr>
                <w:t>28, 2022)</w:t>
              </w:r>
            </w:hyperlink>
          </w:p>
        </w:tc>
      </w:tr>
      <w:tr>
        <w:trPr>
          <w:trHeight w:val="121"/>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10.64*</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309">
              <w:r>
                <w:rPr>
                  <w:rFonts w:ascii="Arial" w:cs="Arial" w:eastAsia="Arial" w:hAnsi="Arial"/>
                  <w:sz w:val="10"/>
                  <w:szCs w:val="10"/>
                  <w:color w:val="auto"/>
                </w:rPr>
                <w:t>Letter Agreement dated August 21, 2022 between Honeywell and Lucian Boldea (incorporated by reference to Exhibit 10.70 to Honeywell's Form 10-K for the year ended December 31, 2022)</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10.65*</w:t>
            </w:r>
          </w:p>
        </w:tc>
        <w:tc>
          <w:tcPr>
            <w:tcW w:w="10280" w:type="dxa"/>
            <w:vAlign w:val="bottom"/>
            <w:tcBorders>
              <w:bottom w:val="single" w:sz="8" w:color="61656A"/>
            </w:tcBorders>
          </w:tcPr>
          <w:p>
            <w:pPr>
              <w:ind w:left="500"/>
              <w:spacing w:after="0"/>
              <w:rPr>
                <w:sz w:val="20"/>
                <w:szCs w:val="20"/>
                <w:color w:val="auto"/>
              </w:rPr>
            </w:pPr>
            <w:r>
              <w:rPr>
                <w:rFonts w:ascii="Arial" w:cs="Arial" w:eastAsia="Arial" w:hAnsi="Arial"/>
                <w:sz w:val="10"/>
                <w:szCs w:val="10"/>
                <w:color w:val="auto"/>
              </w:rPr>
              <w:t>Offer Letter dated October 6, 2023 between Honeywell and Lucian Boldea (filed herewith)</w:t>
            </w:r>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10.66*</w:t>
            </w:r>
          </w:p>
        </w:tc>
        <w:tc>
          <w:tcPr>
            <w:tcW w:w="10280" w:type="dxa"/>
            <w:vAlign w:val="bottom"/>
            <w:tcBorders>
              <w:bottom w:val="single" w:sz="8" w:color="61656A"/>
            </w:tcBorders>
          </w:tcPr>
          <w:p>
            <w:pPr>
              <w:ind w:left="500"/>
              <w:spacing w:after="0"/>
              <w:rPr>
                <w:sz w:val="20"/>
                <w:szCs w:val="20"/>
                <w:color w:val="auto"/>
              </w:rPr>
            </w:pPr>
            <w:r>
              <w:rPr>
                <w:rFonts w:ascii="Arial" w:cs="Arial" w:eastAsia="Arial" w:hAnsi="Arial"/>
                <w:sz w:val="10"/>
                <w:szCs w:val="10"/>
                <w:color w:val="auto"/>
              </w:rPr>
              <w:t>Offer Letter dated June 12, 2023 between Honeywell and James Currier (filed herewith)</w:t>
            </w:r>
          </w:p>
        </w:tc>
      </w:tr>
      <w:tr>
        <w:trPr>
          <w:trHeight w:val="95"/>
        </w:trPr>
        <w:tc>
          <w:tcPr>
            <w:tcW w:w="1020" w:type="dxa"/>
            <w:vAlign w:val="bottom"/>
          </w:tcPr>
          <w:p>
            <w:pPr>
              <w:spacing w:after="0" w:line="95" w:lineRule="exact"/>
              <w:rPr>
                <w:sz w:val="20"/>
                <w:szCs w:val="20"/>
                <w:color w:val="auto"/>
              </w:rPr>
            </w:pPr>
            <w:r>
              <w:rPr>
                <w:rFonts w:ascii="Arial" w:cs="Arial" w:eastAsia="Arial" w:hAnsi="Arial"/>
                <w:sz w:val="10"/>
                <w:szCs w:val="10"/>
                <w:color w:val="auto"/>
              </w:rPr>
              <w:t>10.67</w:t>
            </w:r>
          </w:p>
        </w:tc>
        <w:tc>
          <w:tcPr>
            <w:tcW w:w="10280" w:type="dxa"/>
            <w:vAlign w:val="bottom"/>
          </w:tcPr>
          <w:p>
            <w:pPr>
              <w:ind w:left="500"/>
              <w:spacing w:after="0" w:line="95" w:lineRule="exact"/>
              <w:rPr>
                <w:rFonts w:ascii="Arial" w:cs="Arial" w:eastAsia="Arial" w:hAnsi="Arial"/>
                <w:sz w:val="10"/>
                <w:szCs w:val="10"/>
                <w:color w:val="auto"/>
                <w:w w:val="98"/>
              </w:rPr>
            </w:pPr>
            <w:hyperlink r:id="rId310">
              <w:r>
                <w:rPr>
                  <w:rFonts w:ascii="Arial" w:cs="Arial" w:eastAsia="Arial" w:hAnsi="Arial"/>
                  <w:sz w:val="10"/>
                  <w:szCs w:val="10"/>
                  <w:color w:val="auto"/>
                  <w:w w:val="98"/>
                </w:rPr>
                <w:t>364-Day Credit Agreement, dated as of March 20, 2023, among Honeywell International Inc., the banks, financial institutions, and other institutional lenders parties thereto, Bank of America, N.A., as administrative agent, and</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310">
              <w:r>
                <w:rPr>
                  <w:rFonts w:ascii="Arial" w:cs="Arial" w:eastAsia="Arial" w:hAnsi="Arial"/>
                  <w:sz w:val="10"/>
                  <w:szCs w:val="10"/>
                  <w:color w:val="auto"/>
                </w:rPr>
                <w:t>JPMorgan Chase Bank, N.A. and Wells Fargo Bank, National Association, as syndication agents (incorporated by reference to Exhibit 10.1 to Honeywell's Form 8-K filed March 21, 2023)</w:t>
              </w:r>
            </w:hyperlink>
          </w:p>
        </w:tc>
      </w:tr>
      <w:tr>
        <w:trPr>
          <w:trHeight w:val="92"/>
        </w:trPr>
        <w:tc>
          <w:tcPr>
            <w:tcW w:w="1020" w:type="dxa"/>
            <w:vAlign w:val="bottom"/>
          </w:tcPr>
          <w:p>
            <w:pPr>
              <w:spacing w:after="0" w:line="92" w:lineRule="exact"/>
              <w:rPr>
                <w:sz w:val="20"/>
                <w:szCs w:val="20"/>
                <w:color w:val="auto"/>
              </w:rPr>
            </w:pPr>
            <w:r>
              <w:rPr>
                <w:rFonts w:ascii="Arial" w:cs="Arial" w:eastAsia="Arial" w:hAnsi="Arial"/>
                <w:sz w:val="10"/>
                <w:szCs w:val="10"/>
                <w:color w:val="auto"/>
              </w:rPr>
              <w:t>10.68</w:t>
            </w:r>
          </w:p>
        </w:tc>
        <w:tc>
          <w:tcPr>
            <w:tcW w:w="10280" w:type="dxa"/>
            <w:vAlign w:val="bottom"/>
          </w:tcPr>
          <w:p>
            <w:pPr>
              <w:ind w:left="500"/>
              <w:spacing w:after="0" w:line="92" w:lineRule="exact"/>
              <w:rPr>
                <w:rFonts w:ascii="Arial" w:cs="Arial" w:eastAsia="Arial" w:hAnsi="Arial"/>
                <w:sz w:val="10"/>
                <w:szCs w:val="10"/>
                <w:color w:val="auto"/>
                <w:w w:val="99"/>
              </w:rPr>
            </w:pPr>
            <w:hyperlink r:id="rId311">
              <w:r>
                <w:rPr>
                  <w:rFonts w:ascii="Arial" w:cs="Arial" w:eastAsia="Arial" w:hAnsi="Arial"/>
                  <w:sz w:val="10"/>
                  <w:szCs w:val="10"/>
                  <w:color w:val="auto"/>
                  <w:w w:val="99"/>
                </w:rPr>
                <w:t>Amended and Restated Five-Year Credit Agreement, dated as of March 20, 2023, among Honeywell International Inc., the banks, financial institutions, and other institutional lenders parties thereto, Bank of America, N.A., as</w:t>
              </w:r>
            </w:hyperlink>
          </w:p>
        </w:tc>
      </w:tr>
      <w:tr>
        <w:trPr>
          <w:trHeight w:val="95"/>
        </w:trPr>
        <w:tc>
          <w:tcPr>
            <w:tcW w:w="1020" w:type="dxa"/>
            <w:vAlign w:val="bottom"/>
          </w:tcPr>
          <w:p>
            <w:pPr>
              <w:spacing w:after="0"/>
              <w:rPr>
                <w:sz w:val="8"/>
                <w:szCs w:val="8"/>
                <w:color w:val="auto"/>
              </w:rPr>
            </w:pPr>
          </w:p>
        </w:tc>
        <w:tc>
          <w:tcPr>
            <w:tcW w:w="10280" w:type="dxa"/>
            <w:vAlign w:val="bottom"/>
          </w:tcPr>
          <w:p>
            <w:pPr>
              <w:ind w:left="500"/>
              <w:spacing w:after="0" w:line="95" w:lineRule="exact"/>
              <w:rPr>
                <w:rFonts w:ascii="Arial" w:cs="Arial" w:eastAsia="Arial" w:hAnsi="Arial"/>
                <w:sz w:val="10"/>
                <w:szCs w:val="10"/>
                <w:color w:val="auto"/>
                <w:w w:val="96"/>
              </w:rPr>
            </w:pPr>
            <w:hyperlink r:id="rId311">
              <w:r>
                <w:rPr>
                  <w:rFonts w:ascii="Arial" w:cs="Arial" w:eastAsia="Arial" w:hAnsi="Arial"/>
                  <w:sz w:val="10"/>
                  <w:szCs w:val="10"/>
                  <w:color w:val="auto"/>
                  <w:w w:val="96"/>
                </w:rPr>
                <w:t>administrative agent and as swing line agent and JPMorgan Chase Bank, N.A., and Wells Fargo Bank, National Association, as syndication agents (incorporated by reference to Exhibit 10.2 to Honeywell's Form 8-K filed March 21,</w:t>
              </w:r>
            </w:hyperlink>
          </w:p>
        </w:tc>
      </w:tr>
      <w:tr>
        <w:trPr>
          <w:trHeight w:val="125"/>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311">
              <w:r>
                <w:rPr>
                  <w:rFonts w:ascii="Arial" w:cs="Arial" w:eastAsia="Arial" w:hAnsi="Arial"/>
                  <w:sz w:val="10"/>
                  <w:szCs w:val="10"/>
                  <w:color w:val="auto"/>
                </w:rPr>
                <w:t>2023)</w:t>
              </w:r>
            </w:hyperlink>
          </w:p>
        </w:tc>
      </w:tr>
      <w:tr>
        <w:trPr>
          <w:trHeight w:val="122"/>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10.69</w:t>
            </w:r>
          </w:p>
        </w:tc>
        <w:tc>
          <w:tcPr>
            <w:tcW w:w="10280" w:type="dxa"/>
            <w:vAlign w:val="bottom"/>
            <w:tcBorders>
              <w:bottom w:val="single" w:sz="8" w:color="61656A"/>
            </w:tcBorders>
          </w:tcPr>
          <w:p>
            <w:pPr>
              <w:ind w:left="500"/>
              <w:spacing w:after="0"/>
              <w:rPr>
                <w:rFonts w:ascii="Arial" w:cs="Arial" w:eastAsia="Arial" w:hAnsi="Arial"/>
                <w:sz w:val="10"/>
                <w:szCs w:val="10"/>
                <w:color w:val="auto"/>
                <w:w w:val="97"/>
              </w:rPr>
            </w:pPr>
            <w:hyperlink r:id="rId312">
              <w:r>
                <w:rPr>
                  <w:rFonts w:ascii="Arial" w:cs="Arial" w:eastAsia="Arial" w:hAnsi="Arial"/>
                  <w:sz w:val="10"/>
                  <w:szCs w:val="10"/>
                  <w:color w:val="auto"/>
                  <w:w w:val="97"/>
                </w:rPr>
                <w:t>Indemnification and Reimbursement Agreement, dated October 14, 2018, by and among New HAPI Inc. and Honeywell International Inc. (incorporated by reference to Exhibit 2.1 to Honeywell’s Form 8-K filed October 15, 2018)</w:t>
              </w:r>
            </w:hyperlink>
          </w:p>
        </w:tc>
      </w:tr>
      <w:tr>
        <w:trPr>
          <w:trHeight w:val="95"/>
        </w:trPr>
        <w:tc>
          <w:tcPr>
            <w:tcW w:w="1020" w:type="dxa"/>
            <w:vAlign w:val="bottom"/>
          </w:tcPr>
          <w:p>
            <w:pPr>
              <w:spacing w:after="0" w:line="95" w:lineRule="exact"/>
              <w:rPr>
                <w:sz w:val="20"/>
                <w:szCs w:val="20"/>
                <w:color w:val="auto"/>
              </w:rPr>
            </w:pPr>
            <w:r>
              <w:rPr>
                <w:rFonts w:ascii="Arial" w:cs="Arial" w:eastAsia="Arial" w:hAnsi="Arial"/>
                <w:sz w:val="10"/>
                <w:szCs w:val="10"/>
                <w:color w:val="auto"/>
              </w:rPr>
              <w:t>10.70</w:t>
            </w:r>
          </w:p>
        </w:tc>
        <w:tc>
          <w:tcPr>
            <w:tcW w:w="10280" w:type="dxa"/>
            <w:vAlign w:val="bottom"/>
          </w:tcPr>
          <w:p>
            <w:pPr>
              <w:ind w:left="500"/>
              <w:spacing w:after="0" w:line="95" w:lineRule="exact"/>
              <w:rPr>
                <w:rFonts w:ascii="Arial" w:cs="Arial" w:eastAsia="Arial" w:hAnsi="Arial"/>
                <w:sz w:val="10"/>
                <w:szCs w:val="10"/>
                <w:color w:val="auto"/>
              </w:rPr>
            </w:pPr>
            <w:hyperlink r:id="rId313">
              <w:r>
                <w:rPr>
                  <w:rFonts w:ascii="Arial" w:cs="Arial" w:eastAsia="Arial" w:hAnsi="Arial"/>
                  <w:sz w:val="10"/>
                  <w:szCs w:val="10"/>
                  <w:color w:val="auto"/>
                </w:rPr>
                <w:t>First Amendment, dated April 21, 2020, to Indemnification and Reimbursement Agreement, dated October 14, 2018 among Honeywell and Resideo Intermediate Holding Inc. (incorporated by reference to Exhibit 10.6 to</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313">
              <w:r>
                <w:rPr>
                  <w:rFonts w:ascii="Arial" w:cs="Arial" w:eastAsia="Arial" w:hAnsi="Arial"/>
                  <w:sz w:val="10"/>
                  <w:szCs w:val="10"/>
                  <w:color w:val="auto"/>
                </w:rPr>
                <w:t>Honeywell’s Form 10-Q for the quarter ended June 30, 2020)</w:t>
              </w:r>
            </w:hyperlink>
          </w:p>
        </w:tc>
      </w:tr>
      <w:tr>
        <w:trPr>
          <w:trHeight w:val="92"/>
        </w:trPr>
        <w:tc>
          <w:tcPr>
            <w:tcW w:w="1020" w:type="dxa"/>
            <w:vAlign w:val="bottom"/>
          </w:tcPr>
          <w:p>
            <w:pPr>
              <w:spacing w:after="0" w:line="92" w:lineRule="exact"/>
              <w:rPr>
                <w:sz w:val="20"/>
                <w:szCs w:val="20"/>
                <w:color w:val="auto"/>
              </w:rPr>
            </w:pPr>
            <w:r>
              <w:rPr>
                <w:rFonts w:ascii="Arial" w:cs="Arial" w:eastAsia="Arial" w:hAnsi="Arial"/>
                <w:sz w:val="10"/>
                <w:szCs w:val="10"/>
                <w:color w:val="auto"/>
              </w:rPr>
              <w:t>10.71</w:t>
            </w:r>
          </w:p>
        </w:tc>
        <w:tc>
          <w:tcPr>
            <w:tcW w:w="10280" w:type="dxa"/>
            <w:vAlign w:val="bottom"/>
          </w:tcPr>
          <w:p>
            <w:pPr>
              <w:ind w:left="500"/>
              <w:spacing w:after="0" w:line="92" w:lineRule="exact"/>
              <w:rPr>
                <w:rFonts w:ascii="Arial" w:cs="Arial" w:eastAsia="Arial" w:hAnsi="Arial"/>
                <w:sz w:val="10"/>
                <w:szCs w:val="10"/>
                <w:color w:val="auto"/>
              </w:rPr>
            </w:pPr>
            <w:hyperlink r:id="rId314">
              <w:r>
                <w:rPr>
                  <w:rFonts w:ascii="Arial" w:cs="Arial" w:eastAsia="Arial" w:hAnsi="Arial"/>
                  <w:sz w:val="10"/>
                  <w:szCs w:val="10"/>
                  <w:color w:val="auto"/>
                </w:rPr>
                <w:t>Second Amendment, dated July 28, 2020, to Indemnification and Reimbursement Agreement dated October 14, 2018 among Honeywell and Resideo Intermediate Holding Inc. (incorporated by reference to Exhibit 10.1 to</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314">
              <w:r>
                <w:rPr>
                  <w:rFonts w:ascii="Arial" w:cs="Arial" w:eastAsia="Arial" w:hAnsi="Arial"/>
                  <w:sz w:val="10"/>
                  <w:szCs w:val="10"/>
                  <w:color w:val="auto"/>
                </w:rPr>
                <w:t>Honeywell's Form 10-Q for the quarter ended September 30, 2020)</w:t>
              </w:r>
            </w:hyperlink>
          </w:p>
        </w:tc>
      </w:tr>
      <w:tr>
        <w:trPr>
          <w:trHeight w:val="92"/>
        </w:trPr>
        <w:tc>
          <w:tcPr>
            <w:tcW w:w="1020" w:type="dxa"/>
            <w:vAlign w:val="bottom"/>
          </w:tcPr>
          <w:p>
            <w:pPr>
              <w:spacing w:after="0" w:line="92" w:lineRule="exact"/>
              <w:rPr>
                <w:sz w:val="20"/>
                <w:szCs w:val="20"/>
                <w:color w:val="auto"/>
              </w:rPr>
            </w:pPr>
            <w:r>
              <w:rPr>
                <w:rFonts w:ascii="Arial" w:cs="Arial" w:eastAsia="Arial" w:hAnsi="Arial"/>
                <w:sz w:val="10"/>
                <w:szCs w:val="10"/>
                <w:color w:val="auto"/>
              </w:rPr>
              <w:t>10.72</w:t>
            </w:r>
          </w:p>
        </w:tc>
        <w:tc>
          <w:tcPr>
            <w:tcW w:w="10280" w:type="dxa"/>
            <w:vAlign w:val="bottom"/>
          </w:tcPr>
          <w:p>
            <w:pPr>
              <w:ind w:left="500"/>
              <w:spacing w:after="0" w:line="92" w:lineRule="exact"/>
              <w:rPr>
                <w:rFonts w:ascii="Arial" w:cs="Arial" w:eastAsia="Arial" w:hAnsi="Arial"/>
                <w:sz w:val="10"/>
                <w:szCs w:val="10"/>
                <w:color w:val="auto"/>
                <w:w w:val="98"/>
              </w:rPr>
            </w:pPr>
            <w:hyperlink r:id="rId315">
              <w:r>
                <w:rPr>
                  <w:rFonts w:ascii="Arial" w:cs="Arial" w:eastAsia="Arial" w:hAnsi="Arial"/>
                  <w:sz w:val="10"/>
                  <w:szCs w:val="10"/>
                  <w:color w:val="auto"/>
                  <w:w w:val="98"/>
                </w:rPr>
                <w:t>Third Amendment, dated November 16, 2020, to Indemnification and Reimbursement Agreement dated October 14, 2018 among Honeywell and Resideo Intermediate Holding Inc. (incorporated by reference to Exhibit 10.2 to</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315">
              <w:r>
                <w:rPr>
                  <w:rFonts w:ascii="Arial" w:cs="Arial" w:eastAsia="Arial" w:hAnsi="Arial"/>
                  <w:sz w:val="10"/>
                  <w:szCs w:val="10"/>
                  <w:color w:val="auto"/>
                </w:rPr>
                <w:t>Honeywell’s Form 10-Q for the quarter ended March 31, 2021)</w:t>
              </w:r>
            </w:hyperlink>
          </w:p>
        </w:tc>
      </w:tr>
      <w:tr>
        <w:trPr>
          <w:trHeight w:val="92"/>
        </w:trPr>
        <w:tc>
          <w:tcPr>
            <w:tcW w:w="1020" w:type="dxa"/>
            <w:vAlign w:val="bottom"/>
          </w:tcPr>
          <w:p>
            <w:pPr>
              <w:spacing w:after="0" w:line="92" w:lineRule="exact"/>
              <w:rPr>
                <w:sz w:val="20"/>
                <w:szCs w:val="20"/>
                <w:color w:val="auto"/>
              </w:rPr>
            </w:pPr>
            <w:r>
              <w:rPr>
                <w:rFonts w:ascii="Arial" w:cs="Arial" w:eastAsia="Arial" w:hAnsi="Arial"/>
                <w:sz w:val="10"/>
                <w:szCs w:val="10"/>
                <w:color w:val="auto"/>
              </w:rPr>
              <w:t>10.73</w:t>
            </w:r>
          </w:p>
        </w:tc>
        <w:tc>
          <w:tcPr>
            <w:tcW w:w="10280" w:type="dxa"/>
            <w:vAlign w:val="bottom"/>
          </w:tcPr>
          <w:p>
            <w:pPr>
              <w:ind w:left="500"/>
              <w:spacing w:after="0" w:line="92" w:lineRule="exact"/>
              <w:rPr>
                <w:rFonts w:ascii="Arial" w:cs="Arial" w:eastAsia="Arial" w:hAnsi="Arial"/>
                <w:sz w:val="10"/>
                <w:szCs w:val="10"/>
                <w:color w:val="auto"/>
                <w:w w:val="98"/>
              </w:rPr>
            </w:pPr>
            <w:hyperlink r:id="rId316">
              <w:r>
                <w:rPr>
                  <w:rFonts w:ascii="Arial" w:cs="Arial" w:eastAsia="Arial" w:hAnsi="Arial"/>
                  <w:sz w:val="10"/>
                  <w:szCs w:val="10"/>
                  <w:color w:val="auto"/>
                  <w:w w:val="98"/>
                </w:rPr>
                <w:t>Fourth Amendment, dated February 12, 2021, to Indemnification and Reimbursement Agreement dated October 14, 2018 among Honeywell and Resideo Intermediate Holding Inc. (incorporated by reference to Exhibit 10.3 to</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316">
              <w:r>
                <w:rPr>
                  <w:rFonts w:ascii="Arial" w:cs="Arial" w:eastAsia="Arial" w:hAnsi="Arial"/>
                  <w:sz w:val="10"/>
                  <w:szCs w:val="10"/>
                  <w:color w:val="auto"/>
                </w:rPr>
                <w:t>Honeywell’s Form 10-Q for the quarter ended March 31, 2021)</w:t>
              </w:r>
            </w:hyperlink>
          </w:p>
        </w:tc>
      </w:tr>
      <w:tr>
        <w:trPr>
          <w:trHeight w:val="92"/>
        </w:trPr>
        <w:tc>
          <w:tcPr>
            <w:tcW w:w="1020" w:type="dxa"/>
            <w:vAlign w:val="bottom"/>
          </w:tcPr>
          <w:p>
            <w:pPr>
              <w:spacing w:after="0" w:line="92" w:lineRule="exact"/>
              <w:rPr>
                <w:sz w:val="20"/>
                <w:szCs w:val="20"/>
                <w:color w:val="auto"/>
              </w:rPr>
            </w:pPr>
            <w:r>
              <w:rPr>
                <w:rFonts w:ascii="Arial" w:cs="Arial" w:eastAsia="Arial" w:hAnsi="Arial"/>
                <w:sz w:val="10"/>
                <w:szCs w:val="10"/>
                <w:color w:val="auto"/>
              </w:rPr>
              <w:t>10.74</w:t>
            </w:r>
          </w:p>
        </w:tc>
        <w:tc>
          <w:tcPr>
            <w:tcW w:w="10280" w:type="dxa"/>
            <w:vAlign w:val="bottom"/>
          </w:tcPr>
          <w:p>
            <w:pPr>
              <w:ind w:left="500"/>
              <w:spacing w:after="0" w:line="92" w:lineRule="exact"/>
              <w:rPr>
                <w:rFonts w:ascii="Arial" w:cs="Arial" w:eastAsia="Arial" w:hAnsi="Arial"/>
                <w:sz w:val="10"/>
                <w:szCs w:val="10"/>
                <w:color w:val="auto"/>
                <w:w w:val="95"/>
              </w:rPr>
            </w:pPr>
            <w:hyperlink r:id="rId317">
              <w:r>
                <w:rPr>
                  <w:rFonts w:ascii="Arial" w:cs="Arial" w:eastAsia="Arial" w:hAnsi="Arial"/>
                  <w:sz w:val="10"/>
                  <w:szCs w:val="10"/>
                  <w:color w:val="auto"/>
                  <w:w w:val="95"/>
                </w:rPr>
                <w:t>Amended and Restated Buyout Agreement, dated November 20, 2022, between Honeywell International Inc., the North American Refractories Asbestos Personal Injury Settlement Trust, the NARCO Trust Advisory Committee, and</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317">
              <w:r>
                <w:rPr>
                  <w:rFonts w:ascii="Arial" w:cs="Arial" w:eastAsia="Arial" w:hAnsi="Arial"/>
                  <w:sz w:val="10"/>
                  <w:szCs w:val="10"/>
                  <w:color w:val="auto"/>
                </w:rPr>
                <w:t>Lawrence Fitzpatrick, in his capacity as the NARCO Asbestos Future Claimants Representative (incorporated by reference to Exhibit 10.1 to Honeywell’s Form 8-K filed November 21, 2022)</w:t>
              </w:r>
            </w:hyperlink>
          </w:p>
        </w:tc>
      </w:tr>
      <w:tr>
        <w:trPr>
          <w:trHeight w:val="121"/>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21</w:t>
            </w:r>
          </w:p>
        </w:tc>
        <w:tc>
          <w:tcPr>
            <w:tcW w:w="10280" w:type="dxa"/>
            <w:vAlign w:val="bottom"/>
            <w:tcBorders>
              <w:bottom w:val="single" w:sz="8" w:color="61656A"/>
            </w:tcBorders>
          </w:tcPr>
          <w:p>
            <w:pPr>
              <w:ind w:left="500"/>
              <w:spacing w:after="0"/>
              <w:rPr>
                <w:sz w:val="20"/>
                <w:szCs w:val="20"/>
                <w:color w:val="auto"/>
              </w:rPr>
            </w:pPr>
            <w:r>
              <w:rPr>
                <w:rFonts w:ascii="Arial" w:cs="Arial" w:eastAsia="Arial" w:hAnsi="Arial"/>
                <w:sz w:val="10"/>
                <w:szCs w:val="10"/>
                <w:color w:val="auto"/>
              </w:rPr>
              <w:t>Subsidiaries of the Registrant (filed herewith)</w:t>
            </w:r>
          </w:p>
        </w:tc>
      </w:tr>
      <w:tr>
        <w:trPr>
          <w:trHeight w:val="121"/>
        </w:trPr>
        <w:tc>
          <w:tcPr>
            <w:tcW w:w="1020" w:type="dxa"/>
            <w:vAlign w:val="bottom"/>
          </w:tcPr>
          <w:p>
            <w:pPr>
              <w:spacing w:after="0"/>
              <w:rPr>
                <w:sz w:val="20"/>
                <w:szCs w:val="20"/>
                <w:color w:val="auto"/>
              </w:rPr>
            </w:pPr>
            <w:r>
              <w:rPr>
                <w:rFonts w:ascii="Arial" w:cs="Arial" w:eastAsia="Arial" w:hAnsi="Arial"/>
                <w:sz w:val="10"/>
                <w:szCs w:val="10"/>
                <w:color w:val="auto"/>
              </w:rPr>
              <w:t>23.1</w:t>
            </w:r>
          </w:p>
        </w:tc>
        <w:tc>
          <w:tcPr>
            <w:tcW w:w="10280" w:type="dxa"/>
            <w:vAlign w:val="bottom"/>
          </w:tcPr>
          <w:p>
            <w:pPr>
              <w:ind w:left="500"/>
              <w:spacing w:after="0"/>
              <w:rPr>
                <w:sz w:val="20"/>
                <w:szCs w:val="20"/>
                <w:color w:val="auto"/>
              </w:rPr>
            </w:pPr>
            <w:r>
              <w:rPr>
                <w:rFonts w:ascii="Arial" w:cs="Arial" w:eastAsia="Arial" w:hAnsi="Arial"/>
                <w:sz w:val="10"/>
                <w:szCs w:val="10"/>
                <w:color w:val="auto"/>
              </w:rPr>
              <w:t>Consent of Deloitte &amp; Touche LLP (filed herewith)</w:t>
            </w:r>
          </w:p>
        </w:tc>
      </w:tr>
    </w:tbl>
    <w:p>
      <w:pPr>
        <w:spacing w:after="0" w:line="357" w:lineRule="exact"/>
        <w:rPr>
          <w:sz w:val="20"/>
          <w:szCs w:val="20"/>
          <w:color w:val="auto"/>
        </w:rPr>
      </w:pPr>
    </w:p>
    <w:p>
      <w:pPr>
        <w:ind w:left="328" w:hanging="328"/>
        <w:spacing w:after="0"/>
        <w:tabs>
          <w:tab w:leader="none" w:pos="328" w:val="left"/>
        </w:tabs>
        <w:numPr>
          <w:ilvl w:val="0"/>
          <w:numId w:val="179"/>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125" w:name="page126"/>
    <w:bookmarkEnd w:id="125"/>
    <w:p>
      <w:pPr>
        <w:ind w:left="8"/>
        <w:spacing w:after="0"/>
        <w:tabs>
          <w:tab w:leader="none" w:pos="1066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EXHIBIT INDEX</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102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Exhibit No.</w:t>
            </w:r>
          </w:p>
        </w:tc>
        <w:tc>
          <w:tcPr>
            <w:tcW w:w="10280" w:type="dxa"/>
            <w:vAlign w:val="bottom"/>
            <w:tcBorders>
              <w:bottom w:val="single" w:sz="8" w:color="D7282F"/>
            </w:tcBorders>
          </w:tcPr>
          <w:p>
            <w:pPr>
              <w:ind w:left="5120"/>
              <w:spacing w:after="0"/>
              <w:rPr>
                <w:sz w:val="20"/>
                <w:szCs w:val="20"/>
                <w:color w:val="auto"/>
              </w:rPr>
            </w:pPr>
            <w:r>
              <w:rPr>
                <w:rFonts w:ascii="Arial" w:cs="Arial" w:eastAsia="Arial" w:hAnsi="Arial"/>
                <w:sz w:val="10"/>
                <w:szCs w:val="10"/>
                <w:b w:val="1"/>
                <w:bCs w:val="1"/>
                <w:color w:val="auto"/>
              </w:rPr>
              <w:t>Description</w:t>
            </w:r>
          </w:p>
        </w:tc>
      </w:tr>
      <w:tr>
        <w:trPr>
          <w:trHeight w:val="127"/>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24</w:t>
            </w:r>
          </w:p>
        </w:tc>
        <w:tc>
          <w:tcPr>
            <w:tcW w:w="10280" w:type="dxa"/>
            <w:vAlign w:val="bottom"/>
            <w:tcBorders>
              <w:bottom w:val="single" w:sz="8" w:color="61656A"/>
            </w:tcBorders>
          </w:tcPr>
          <w:p>
            <w:pPr>
              <w:ind w:left="500"/>
              <w:spacing w:after="0"/>
              <w:rPr>
                <w:sz w:val="20"/>
                <w:szCs w:val="20"/>
                <w:color w:val="auto"/>
              </w:rPr>
            </w:pPr>
            <w:r>
              <w:rPr>
                <w:rFonts w:ascii="Arial" w:cs="Arial" w:eastAsia="Arial" w:hAnsi="Arial"/>
                <w:sz w:val="10"/>
                <w:szCs w:val="10"/>
                <w:color w:val="auto"/>
              </w:rPr>
              <w:t>Powers of Attorney (filed herewith)</w:t>
            </w:r>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31.1</w:t>
            </w:r>
          </w:p>
        </w:tc>
        <w:tc>
          <w:tcPr>
            <w:tcW w:w="10280" w:type="dxa"/>
            <w:vAlign w:val="bottom"/>
            <w:tcBorders>
              <w:bottom w:val="single" w:sz="8" w:color="61656A"/>
            </w:tcBorders>
          </w:tcPr>
          <w:p>
            <w:pPr>
              <w:ind w:left="500"/>
              <w:spacing w:after="0"/>
              <w:rPr>
                <w:sz w:val="20"/>
                <w:szCs w:val="20"/>
                <w:color w:val="auto"/>
              </w:rPr>
            </w:pPr>
            <w:r>
              <w:rPr>
                <w:rFonts w:ascii="Arial" w:cs="Arial" w:eastAsia="Arial" w:hAnsi="Arial"/>
                <w:sz w:val="10"/>
                <w:szCs w:val="10"/>
                <w:color w:val="auto"/>
              </w:rPr>
              <w:t>Certification of Principal Executive Officer Pursuant to Section 302 of the Sarbanes-Oxley Act of 2002 (filed herewith)</w:t>
            </w:r>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31.2</w:t>
            </w:r>
          </w:p>
        </w:tc>
        <w:tc>
          <w:tcPr>
            <w:tcW w:w="10280" w:type="dxa"/>
            <w:vAlign w:val="bottom"/>
            <w:tcBorders>
              <w:bottom w:val="single" w:sz="8" w:color="61656A"/>
            </w:tcBorders>
          </w:tcPr>
          <w:p>
            <w:pPr>
              <w:ind w:left="500"/>
              <w:spacing w:after="0"/>
              <w:rPr>
                <w:sz w:val="20"/>
                <w:szCs w:val="20"/>
                <w:color w:val="auto"/>
              </w:rPr>
            </w:pPr>
            <w:r>
              <w:rPr>
                <w:rFonts w:ascii="Arial" w:cs="Arial" w:eastAsia="Arial" w:hAnsi="Arial"/>
                <w:sz w:val="10"/>
                <w:szCs w:val="10"/>
                <w:color w:val="auto"/>
              </w:rPr>
              <w:t>Certification of Principal Financial Officer Pursuant to Section 302 of the Sarbanes-Oxley Act of 2002 (filed herewith)</w:t>
            </w:r>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32.1</w:t>
            </w:r>
          </w:p>
        </w:tc>
        <w:tc>
          <w:tcPr>
            <w:tcW w:w="10280" w:type="dxa"/>
            <w:vAlign w:val="bottom"/>
            <w:tcBorders>
              <w:bottom w:val="single" w:sz="8" w:color="61656A"/>
            </w:tcBorders>
          </w:tcPr>
          <w:p>
            <w:pPr>
              <w:ind w:left="500"/>
              <w:spacing w:after="0"/>
              <w:rPr>
                <w:sz w:val="20"/>
                <w:szCs w:val="20"/>
                <w:color w:val="auto"/>
              </w:rPr>
            </w:pPr>
            <w:r>
              <w:rPr>
                <w:rFonts w:ascii="Arial" w:cs="Arial" w:eastAsia="Arial" w:hAnsi="Arial"/>
                <w:sz w:val="10"/>
                <w:szCs w:val="10"/>
                <w:color w:val="auto"/>
              </w:rPr>
              <w:t>Certification of Principal Executive Officer Pursuant to 18 U.S.C. Section 1350, as Adopted Pursuant to Section 906 of the Sarbanes-Oxley Act of 2002 (furnished herewith)</w:t>
            </w:r>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32.2</w:t>
            </w:r>
          </w:p>
        </w:tc>
        <w:tc>
          <w:tcPr>
            <w:tcW w:w="10280" w:type="dxa"/>
            <w:vAlign w:val="bottom"/>
            <w:tcBorders>
              <w:bottom w:val="single" w:sz="8" w:color="61656A"/>
            </w:tcBorders>
          </w:tcPr>
          <w:p>
            <w:pPr>
              <w:ind w:left="500"/>
              <w:spacing w:after="0"/>
              <w:rPr>
                <w:sz w:val="20"/>
                <w:szCs w:val="20"/>
                <w:color w:val="auto"/>
              </w:rPr>
            </w:pPr>
            <w:r>
              <w:rPr>
                <w:rFonts w:ascii="Arial" w:cs="Arial" w:eastAsia="Arial" w:hAnsi="Arial"/>
                <w:sz w:val="10"/>
                <w:szCs w:val="10"/>
                <w:color w:val="auto"/>
              </w:rPr>
              <w:t>Certification of Principal Financial Officer Pursuant to 18 U.S.C. Section 1350, as Adopted Pursuant to Section 906 of the Sarbanes-Oxley Act of 2002 (furnished herewith)</w:t>
            </w:r>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95</w:t>
            </w:r>
          </w:p>
        </w:tc>
        <w:tc>
          <w:tcPr>
            <w:tcW w:w="10280" w:type="dxa"/>
            <w:vAlign w:val="bottom"/>
            <w:tcBorders>
              <w:bottom w:val="single" w:sz="8" w:color="61656A"/>
            </w:tcBorders>
          </w:tcPr>
          <w:p>
            <w:pPr>
              <w:ind w:left="500"/>
              <w:spacing w:after="0"/>
              <w:rPr>
                <w:sz w:val="20"/>
                <w:szCs w:val="20"/>
                <w:color w:val="auto"/>
              </w:rPr>
            </w:pPr>
            <w:r>
              <w:rPr>
                <w:rFonts w:ascii="Arial" w:cs="Arial" w:eastAsia="Arial" w:hAnsi="Arial"/>
                <w:sz w:val="10"/>
                <w:szCs w:val="10"/>
                <w:color w:val="auto"/>
              </w:rPr>
              <w:t>Mine Safety Disclosures (filed herewith)</w:t>
            </w:r>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97</w:t>
            </w:r>
          </w:p>
        </w:tc>
        <w:tc>
          <w:tcPr>
            <w:tcW w:w="10280" w:type="dxa"/>
            <w:vAlign w:val="bottom"/>
            <w:tcBorders>
              <w:bottom w:val="single" w:sz="8" w:color="61656A"/>
            </w:tcBorders>
          </w:tcPr>
          <w:p>
            <w:pPr>
              <w:ind w:left="500"/>
              <w:spacing w:after="0"/>
              <w:rPr>
                <w:sz w:val="20"/>
                <w:szCs w:val="20"/>
                <w:color w:val="auto"/>
              </w:rPr>
            </w:pPr>
            <w:r>
              <w:rPr>
                <w:rFonts w:ascii="Arial" w:cs="Arial" w:eastAsia="Arial" w:hAnsi="Arial"/>
                <w:sz w:val="10"/>
                <w:szCs w:val="10"/>
                <w:color w:val="auto"/>
              </w:rPr>
              <w:t>Honeywell International Inc. Clawback Policy dated December 1, 2023 (filed herewith)</w:t>
            </w:r>
          </w:p>
        </w:tc>
      </w:tr>
      <w:tr>
        <w:trPr>
          <w:trHeight w:val="95"/>
        </w:trPr>
        <w:tc>
          <w:tcPr>
            <w:tcW w:w="1020" w:type="dxa"/>
            <w:vAlign w:val="bottom"/>
          </w:tcPr>
          <w:p>
            <w:pPr>
              <w:spacing w:after="0" w:line="95" w:lineRule="exact"/>
              <w:rPr>
                <w:sz w:val="20"/>
                <w:szCs w:val="20"/>
                <w:color w:val="auto"/>
              </w:rPr>
            </w:pPr>
            <w:r>
              <w:rPr>
                <w:rFonts w:ascii="Arial" w:cs="Arial" w:eastAsia="Arial" w:hAnsi="Arial"/>
                <w:sz w:val="10"/>
                <w:szCs w:val="10"/>
                <w:color w:val="auto"/>
              </w:rPr>
              <w:t>101.INS</w:t>
            </w:r>
          </w:p>
        </w:tc>
        <w:tc>
          <w:tcPr>
            <w:tcW w:w="10280" w:type="dxa"/>
            <w:vAlign w:val="bottom"/>
          </w:tcPr>
          <w:p>
            <w:pPr>
              <w:ind w:left="500"/>
              <w:spacing w:after="0" w:line="95" w:lineRule="exact"/>
              <w:rPr>
                <w:sz w:val="20"/>
                <w:szCs w:val="20"/>
                <w:color w:val="auto"/>
              </w:rPr>
            </w:pPr>
            <w:r>
              <w:rPr>
                <w:rFonts w:ascii="Arial" w:cs="Arial" w:eastAsia="Arial" w:hAnsi="Arial"/>
                <w:sz w:val="10"/>
                <w:szCs w:val="10"/>
                <w:color w:val="auto"/>
                <w:w w:val="98"/>
              </w:rPr>
              <w:t>The following financial statements from the Company's Annual Report on Form 10-K for the year ended December 31, 2023, formatted in Inline XBRL: (i) Consolidated Statements of Operations, (ii) Consolidated Statements of</w:t>
            </w:r>
          </w:p>
        </w:tc>
      </w:tr>
      <w:tr>
        <w:trPr>
          <w:trHeight w:val="95"/>
        </w:trPr>
        <w:tc>
          <w:tcPr>
            <w:tcW w:w="1020" w:type="dxa"/>
            <w:vAlign w:val="bottom"/>
          </w:tcPr>
          <w:p>
            <w:pPr>
              <w:spacing w:after="0"/>
              <w:rPr>
                <w:sz w:val="8"/>
                <w:szCs w:val="8"/>
                <w:color w:val="auto"/>
              </w:rPr>
            </w:pPr>
          </w:p>
        </w:tc>
        <w:tc>
          <w:tcPr>
            <w:tcW w:w="10280" w:type="dxa"/>
            <w:vAlign w:val="bottom"/>
          </w:tcPr>
          <w:p>
            <w:pPr>
              <w:ind w:left="500"/>
              <w:spacing w:after="0" w:line="95" w:lineRule="exact"/>
              <w:rPr>
                <w:sz w:val="20"/>
                <w:szCs w:val="20"/>
                <w:color w:val="auto"/>
              </w:rPr>
            </w:pPr>
            <w:r>
              <w:rPr>
                <w:rFonts w:ascii="Arial" w:cs="Arial" w:eastAsia="Arial" w:hAnsi="Arial"/>
                <w:sz w:val="10"/>
                <w:szCs w:val="10"/>
                <w:color w:val="auto"/>
                <w:w w:val="96"/>
              </w:rPr>
              <w:t>Comprehensive Income, (iii) Consolidated Balance Sheet, (iv) Consolidated Statements of Cash Flows, (v) Consolidated Statements of Shareowners' Equity and (vi) Notes to Consolidated Financial Statements, tagged as blocks of</w:t>
            </w:r>
          </w:p>
        </w:tc>
      </w:tr>
      <w:tr>
        <w:trPr>
          <w:trHeight w:val="125"/>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sz w:val="20"/>
                <w:szCs w:val="20"/>
                <w:color w:val="auto"/>
              </w:rPr>
            </w:pPr>
            <w:r>
              <w:rPr>
                <w:rFonts w:ascii="Arial" w:cs="Arial" w:eastAsia="Arial" w:hAnsi="Arial"/>
                <w:sz w:val="10"/>
                <w:szCs w:val="10"/>
                <w:color w:val="auto"/>
              </w:rPr>
              <w:t>text and including detailed tags (filed herewith)</w:t>
            </w:r>
          </w:p>
        </w:tc>
      </w:tr>
      <w:tr>
        <w:trPr>
          <w:trHeight w:val="122"/>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101.SCH</w:t>
            </w:r>
          </w:p>
        </w:tc>
        <w:tc>
          <w:tcPr>
            <w:tcW w:w="10280" w:type="dxa"/>
            <w:vAlign w:val="bottom"/>
            <w:tcBorders>
              <w:bottom w:val="single" w:sz="8" w:color="61656A"/>
            </w:tcBorders>
          </w:tcPr>
          <w:p>
            <w:pPr>
              <w:ind w:left="500"/>
              <w:spacing w:after="0"/>
              <w:rPr>
                <w:sz w:val="20"/>
                <w:szCs w:val="20"/>
                <w:color w:val="auto"/>
              </w:rPr>
            </w:pPr>
            <w:r>
              <w:rPr>
                <w:rFonts w:ascii="Arial" w:cs="Arial" w:eastAsia="Arial" w:hAnsi="Arial"/>
                <w:sz w:val="10"/>
                <w:szCs w:val="10"/>
                <w:color w:val="auto"/>
              </w:rPr>
              <w:t>iXBRL Taxonomy Extension Schema (filed herewith)</w:t>
            </w:r>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101.CAL</w:t>
            </w:r>
          </w:p>
        </w:tc>
        <w:tc>
          <w:tcPr>
            <w:tcW w:w="10280" w:type="dxa"/>
            <w:vAlign w:val="bottom"/>
            <w:tcBorders>
              <w:bottom w:val="single" w:sz="8" w:color="61656A"/>
            </w:tcBorders>
          </w:tcPr>
          <w:p>
            <w:pPr>
              <w:ind w:left="500"/>
              <w:spacing w:after="0"/>
              <w:rPr>
                <w:sz w:val="20"/>
                <w:szCs w:val="20"/>
                <w:color w:val="auto"/>
              </w:rPr>
            </w:pPr>
            <w:r>
              <w:rPr>
                <w:rFonts w:ascii="Arial" w:cs="Arial" w:eastAsia="Arial" w:hAnsi="Arial"/>
                <w:sz w:val="10"/>
                <w:szCs w:val="10"/>
                <w:color w:val="auto"/>
              </w:rPr>
              <w:t>iXBRL Taxonomy Extension Calculation Linkbase (filed herewith)</w:t>
            </w:r>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101.DEF</w:t>
            </w:r>
          </w:p>
        </w:tc>
        <w:tc>
          <w:tcPr>
            <w:tcW w:w="10280" w:type="dxa"/>
            <w:vAlign w:val="bottom"/>
            <w:tcBorders>
              <w:bottom w:val="single" w:sz="8" w:color="61656A"/>
            </w:tcBorders>
          </w:tcPr>
          <w:p>
            <w:pPr>
              <w:ind w:left="500"/>
              <w:spacing w:after="0"/>
              <w:rPr>
                <w:sz w:val="20"/>
                <w:szCs w:val="20"/>
                <w:color w:val="auto"/>
              </w:rPr>
            </w:pPr>
            <w:r>
              <w:rPr>
                <w:rFonts w:ascii="Arial" w:cs="Arial" w:eastAsia="Arial" w:hAnsi="Arial"/>
                <w:sz w:val="10"/>
                <w:szCs w:val="10"/>
                <w:color w:val="auto"/>
              </w:rPr>
              <w:t>iXBRL Taxonomy Extension Definition Linkbase (filed herewith)</w:t>
            </w:r>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101.LAB</w:t>
            </w:r>
          </w:p>
        </w:tc>
        <w:tc>
          <w:tcPr>
            <w:tcW w:w="10280" w:type="dxa"/>
            <w:vAlign w:val="bottom"/>
            <w:tcBorders>
              <w:bottom w:val="single" w:sz="8" w:color="61656A"/>
            </w:tcBorders>
          </w:tcPr>
          <w:p>
            <w:pPr>
              <w:ind w:left="500"/>
              <w:spacing w:after="0"/>
              <w:rPr>
                <w:sz w:val="20"/>
                <w:szCs w:val="20"/>
                <w:color w:val="auto"/>
              </w:rPr>
            </w:pPr>
            <w:r>
              <w:rPr>
                <w:rFonts w:ascii="Arial" w:cs="Arial" w:eastAsia="Arial" w:hAnsi="Arial"/>
                <w:sz w:val="10"/>
                <w:szCs w:val="10"/>
                <w:color w:val="auto"/>
              </w:rPr>
              <w:t>iXBRL Taxonomy Extension Label Linkbase (filed herewith)</w:t>
            </w:r>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101.PRE</w:t>
            </w:r>
          </w:p>
        </w:tc>
        <w:tc>
          <w:tcPr>
            <w:tcW w:w="10280" w:type="dxa"/>
            <w:vAlign w:val="bottom"/>
            <w:tcBorders>
              <w:bottom w:val="single" w:sz="8" w:color="61656A"/>
            </w:tcBorders>
          </w:tcPr>
          <w:p>
            <w:pPr>
              <w:ind w:left="500"/>
              <w:spacing w:after="0"/>
              <w:rPr>
                <w:sz w:val="20"/>
                <w:szCs w:val="20"/>
                <w:color w:val="auto"/>
              </w:rPr>
            </w:pPr>
            <w:r>
              <w:rPr>
                <w:rFonts w:ascii="Arial" w:cs="Arial" w:eastAsia="Arial" w:hAnsi="Arial"/>
                <w:sz w:val="10"/>
                <w:szCs w:val="10"/>
                <w:color w:val="auto"/>
              </w:rPr>
              <w:t>iXBRL Taxonomy Extension Presentation Linkbase (filed herewith)</w:t>
            </w:r>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104</w:t>
            </w:r>
          </w:p>
        </w:tc>
        <w:tc>
          <w:tcPr>
            <w:tcW w:w="10280" w:type="dxa"/>
            <w:vAlign w:val="bottom"/>
            <w:tcBorders>
              <w:bottom w:val="single" w:sz="8" w:color="61656A"/>
            </w:tcBorders>
          </w:tcPr>
          <w:p>
            <w:pPr>
              <w:ind w:left="500"/>
              <w:spacing w:after="0"/>
              <w:rPr>
                <w:sz w:val="20"/>
                <w:szCs w:val="20"/>
                <w:color w:val="auto"/>
              </w:rPr>
            </w:pPr>
            <w:r>
              <w:rPr>
                <w:rFonts w:ascii="Arial" w:cs="Arial" w:eastAsia="Arial" w:hAnsi="Arial"/>
                <w:sz w:val="10"/>
                <w:szCs w:val="10"/>
                <w:color w:val="auto"/>
              </w:rPr>
              <w:t>Cover page from the Company’s Annual Report on Form 10-K for the year ended December 31, 2023, formatted in Inline XBRL (and contained in Exhibit 101) (filed herewith)</w:t>
            </w:r>
          </w:p>
        </w:tc>
      </w:tr>
    </w:tbl>
    <w:p>
      <w:pPr>
        <w:spacing w:after="0" w:line="126"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Exhibits identified above with an asterisk (*) are management contracts or compensatory plans or arrangements.</w:t>
      </w:r>
    </w:p>
    <w:p>
      <w:pPr>
        <w:spacing w:after="0" w:line="296" w:lineRule="exact"/>
        <w:rPr>
          <w:sz w:val="20"/>
          <w:szCs w:val="20"/>
          <w:color w:val="auto"/>
        </w:rPr>
      </w:pPr>
    </w:p>
    <w:p>
      <w:pPr>
        <w:ind w:left="328" w:hanging="328"/>
        <w:spacing w:after="0"/>
        <w:tabs>
          <w:tab w:leader="none" w:pos="328" w:val="left"/>
        </w:tabs>
        <w:numPr>
          <w:ilvl w:val="0"/>
          <w:numId w:val="180"/>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126" w:name="page127"/>
    <w:bookmarkEnd w:id="126"/>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SIGNATURES</w:t>
      </w:r>
    </w:p>
    <w:p>
      <w:pPr>
        <w:spacing w:after="0" w:line="262" w:lineRule="exact"/>
        <w:rPr>
          <w:sz w:val="20"/>
          <w:szCs w:val="20"/>
          <w:color w:val="auto"/>
        </w:rPr>
      </w:pPr>
    </w:p>
    <w:p>
      <w:pPr>
        <w:ind w:left="8"/>
        <w:spacing w:after="0"/>
        <w:rPr>
          <w:sz w:val="20"/>
          <w:szCs w:val="20"/>
          <w:color w:val="auto"/>
        </w:rPr>
      </w:pPr>
      <w:r>
        <w:rPr>
          <w:rFonts w:ascii="Arial" w:cs="Arial" w:eastAsia="Arial" w:hAnsi="Arial"/>
          <w:sz w:val="10"/>
          <w:szCs w:val="10"/>
          <w:color w:val="auto"/>
        </w:rPr>
        <w:t>Pursuant to the requirements of Section 13 or 15(d) of the Securities Exchange Act of 1934, the Registrant has duly caused this report to be signed on its behalf by the undersigned thereunto duly authorized.</w:t>
      </w:r>
    </w:p>
    <w:p>
      <w:pPr>
        <w:spacing w:after="0" w:line="110" w:lineRule="exact"/>
        <w:rPr>
          <w:sz w:val="20"/>
          <w:szCs w:val="20"/>
          <w:color w:val="auto"/>
        </w:rPr>
      </w:pPr>
    </w:p>
    <w:p>
      <w:pPr>
        <w:ind w:left="5828"/>
        <w:spacing w:after="0"/>
        <w:rPr>
          <w:sz w:val="20"/>
          <w:szCs w:val="20"/>
          <w:color w:val="auto"/>
        </w:rPr>
      </w:pPr>
      <w:r>
        <w:rPr>
          <w:rFonts w:ascii="Arial" w:cs="Arial" w:eastAsia="Arial" w:hAnsi="Arial"/>
          <w:sz w:val="11"/>
          <w:szCs w:val="11"/>
          <w:color w:val="auto"/>
        </w:rPr>
        <w:t>HONEYWELL INTERNATIONAL INC.</w:t>
      </w:r>
    </w:p>
    <w:p>
      <w:pPr>
        <w:spacing w:after="0" w:line="162" w:lineRule="exact"/>
        <w:rPr>
          <w:sz w:val="20"/>
          <w:szCs w:val="20"/>
          <w:color w:val="auto"/>
        </w:rPr>
      </w:pPr>
    </w:p>
    <w:p>
      <w:pPr>
        <w:ind w:left="8"/>
        <w:spacing w:after="0"/>
        <w:tabs>
          <w:tab w:leader="none" w:pos="5768" w:val="left"/>
          <w:tab w:leader="none" w:pos="6528" w:val="left"/>
        </w:tabs>
        <w:rPr>
          <w:sz w:val="20"/>
          <w:szCs w:val="20"/>
          <w:color w:val="auto"/>
        </w:rPr>
      </w:pPr>
      <w:r>
        <w:rPr>
          <w:rFonts w:ascii="Arial" w:cs="Arial" w:eastAsia="Arial" w:hAnsi="Arial"/>
          <w:sz w:val="11"/>
          <w:szCs w:val="11"/>
          <w:color w:val="auto"/>
        </w:rPr>
        <w:t>Date: February 16, 2024</w:t>
      </w:r>
      <w:r>
        <w:rPr>
          <w:sz w:val="20"/>
          <w:szCs w:val="20"/>
          <w:color w:val="auto"/>
        </w:rPr>
        <w:tab/>
      </w:r>
      <w:r>
        <w:rPr>
          <w:rFonts w:ascii="Arial" w:cs="Arial" w:eastAsia="Arial" w:hAnsi="Arial"/>
          <w:sz w:val="11"/>
          <w:szCs w:val="11"/>
          <w:color w:val="auto"/>
        </w:rPr>
        <w:t>By:</w:t>
      </w:r>
      <w:r>
        <w:rPr>
          <w:sz w:val="20"/>
          <w:szCs w:val="20"/>
          <w:color w:val="auto"/>
        </w:rPr>
        <w:tab/>
      </w:r>
      <w:r>
        <w:rPr>
          <w:rFonts w:ascii="Arial" w:cs="Arial" w:eastAsia="Arial" w:hAnsi="Arial"/>
          <w:sz w:val="10"/>
          <w:szCs w:val="10"/>
          <w:color w:val="auto"/>
        </w:rPr>
        <w:t>/s/ Robert D. Mailloux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10795</wp:posOffset>
            </wp:positionV>
            <wp:extent cx="302323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0">
                      <a:extLst>
                        <a:ext uri="{28A0092B-C50C-407E-A947-70E740481C1C}"/>
                      </a:extLst>
                    </a:blip>
                    <a:srcRect/>
                    <a:stretch>
                      <a:fillRect/>
                    </a:stretch>
                  </pic:blipFill>
                  <pic:spPr bwMode="auto">
                    <a:xfrm>
                      <a:off x="0" y="0"/>
                      <a:ext cx="3023235" cy="5715"/>
                    </a:xfrm>
                    <a:prstGeom prst="rect">
                      <a:avLst/>
                    </a:prstGeom>
                    <a:noFill/>
                  </pic:spPr>
                </pic:pic>
              </a:graphicData>
            </a:graphic>
          </wp:anchor>
        </w:drawing>
      </w:r>
    </w:p>
    <w:p>
      <w:pPr>
        <w:spacing w:after="0" w:line="16" w:lineRule="exact"/>
        <w:rPr>
          <w:sz w:val="20"/>
          <w:szCs w:val="20"/>
          <w:color w:val="auto"/>
        </w:rPr>
      </w:pPr>
    </w:p>
    <w:p>
      <w:pPr>
        <w:ind w:left="6548"/>
        <w:spacing w:after="0"/>
        <w:rPr>
          <w:sz w:val="20"/>
          <w:szCs w:val="20"/>
          <w:color w:val="auto"/>
        </w:rPr>
      </w:pPr>
      <w:r>
        <w:rPr>
          <w:rFonts w:ascii="Arial" w:cs="Arial" w:eastAsia="Arial" w:hAnsi="Arial"/>
          <w:sz w:val="11"/>
          <w:szCs w:val="11"/>
          <w:color w:val="auto"/>
        </w:rPr>
        <w:t>Robert D. Mailloux</w:t>
      </w:r>
    </w:p>
    <w:p>
      <w:pPr>
        <w:spacing w:after="0" w:line="10" w:lineRule="exact"/>
        <w:rPr>
          <w:sz w:val="20"/>
          <w:szCs w:val="20"/>
          <w:color w:val="auto"/>
        </w:rPr>
      </w:pPr>
    </w:p>
    <w:p>
      <w:pPr>
        <w:ind w:left="6548"/>
        <w:spacing w:after="0"/>
        <w:rPr>
          <w:sz w:val="20"/>
          <w:szCs w:val="20"/>
          <w:color w:val="auto"/>
        </w:rPr>
      </w:pPr>
      <w:r>
        <w:rPr>
          <w:rFonts w:ascii="Arial" w:cs="Arial" w:eastAsia="Arial" w:hAnsi="Arial"/>
          <w:sz w:val="11"/>
          <w:szCs w:val="11"/>
          <w:color w:val="auto"/>
        </w:rPr>
        <w:t>Vice President and Controller</w:t>
      </w:r>
    </w:p>
    <w:p>
      <w:pPr>
        <w:spacing w:after="0" w:line="5" w:lineRule="exact"/>
        <w:rPr>
          <w:sz w:val="20"/>
          <w:szCs w:val="20"/>
          <w:color w:val="auto"/>
        </w:rPr>
      </w:pPr>
    </w:p>
    <w:p>
      <w:pPr>
        <w:ind w:left="6548"/>
        <w:spacing w:after="0"/>
        <w:rPr>
          <w:sz w:val="20"/>
          <w:szCs w:val="20"/>
          <w:color w:val="auto"/>
        </w:rPr>
      </w:pPr>
      <w:r>
        <w:rPr>
          <w:rFonts w:ascii="Arial" w:cs="Arial" w:eastAsia="Arial" w:hAnsi="Arial"/>
          <w:sz w:val="11"/>
          <w:szCs w:val="11"/>
          <w:color w:val="auto"/>
        </w:rPr>
        <w:t>(on behalf of the Registrant</w:t>
      </w:r>
    </w:p>
    <w:p>
      <w:pPr>
        <w:spacing w:after="0" w:line="3" w:lineRule="exact"/>
        <w:rPr>
          <w:sz w:val="20"/>
          <w:szCs w:val="20"/>
          <w:color w:val="auto"/>
        </w:rPr>
      </w:pPr>
    </w:p>
    <w:p>
      <w:pPr>
        <w:ind w:left="6548"/>
        <w:spacing w:after="0"/>
        <w:rPr>
          <w:sz w:val="20"/>
          <w:szCs w:val="20"/>
          <w:color w:val="auto"/>
        </w:rPr>
      </w:pPr>
      <w:r>
        <w:rPr>
          <w:rFonts w:ascii="Arial" w:cs="Arial" w:eastAsia="Arial" w:hAnsi="Arial"/>
          <w:sz w:val="11"/>
          <w:szCs w:val="11"/>
          <w:color w:val="auto"/>
        </w:rPr>
        <w:t>and as the Registrant’s</w:t>
      </w:r>
    </w:p>
    <w:p>
      <w:pPr>
        <w:spacing w:after="0" w:line="5" w:lineRule="exact"/>
        <w:rPr>
          <w:sz w:val="20"/>
          <w:szCs w:val="20"/>
          <w:color w:val="auto"/>
        </w:rPr>
      </w:pPr>
    </w:p>
    <w:p>
      <w:pPr>
        <w:ind w:left="6548"/>
        <w:spacing w:after="0"/>
        <w:rPr>
          <w:sz w:val="20"/>
          <w:szCs w:val="20"/>
          <w:color w:val="auto"/>
        </w:rPr>
      </w:pPr>
      <w:r>
        <w:rPr>
          <w:rFonts w:ascii="Arial" w:cs="Arial" w:eastAsia="Arial" w:hAnsi="Arial"/>
          <w:sz w:val="11"/>
          <w:szCs w:val="1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8" w:hanging="328"/>
        <w:spacing w:after="0"/>
        <w:tabs>
          <w:tab w:leader="none" w:pos="328" w:val="left"/>
        </w:tabs>
        <w:numPr>
          <w:ilvl w:val="0"/>
          <w:numId w:val="181"/>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67"/>
          </w:cols>
          <w:pgMar w:left="292" w:top="155" w:right="1440" w:bottom="1440" w:gutter="0" w:footer="0" w:header="0"/>
        </w:sectPr>
      </w:pPr>
    </w:p>
    <w:bookmarkStart w:id="127" w:name="page128"/>
    <w:bookmarkEnd w:id="127"/>
    <w:p>
      <w:pPr>
        <w:ind w:left="8"/>
        <w:spacing w:after="0"/>
        <w:tabs>
          <w:tab w:leader="none" w:pos="107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SIGNATURES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
        <w:spacing w:after="0"/>
        <w:rPr>
          <w:sz w:val="20"/>
          <w:szCs w:val="20"/>
          <w:color w:val="auto"/>
        </w:rPr>
      </w:pPr>
      <w:r>
        <w:rPr>
          <w:rFonts w:ascii="Arial" w:cs="Arial" w:eastAsia="Arial" w:hAnsi="Arial"/>
          <w:sz w:val="11"/>
          <w:szCs w:val="11"/>
          <w:color w:val="auto"/>
        </w:rPr>
        <w:t>Pursuant to the requirements of the Securities Exchange Act of 1934, this annual report has been signed below by the following persons on behalf of the Registrant and in the capacities and on the date indicated:</w:t>
      </w:r>
    </w:p>
    <w:p>
      <w:pPr>
        <w:sectPr>
          <w:pgSz w:w="11900" w:h="16838" w:orient="portrait"/>
          <w:cols w:equalWidth="0" w:num="1">
            <w:col w:w="11288"/>
          </w:cols>
          <w:pgMar w:left="292" w:top="155" w:right="319" w:bottom="1440" w:gutter="0" w:footer="0" w:header="0"/>
        </w:sectPr>
      </w:pPr>
    </w:p>
    <w:p>
      <w:pPr>
        <w:spacing w:after="0" w:line="99" w:lineRule="exact"/>
        <w:rPr>
          <w:sz w:val="20"/>
          <w:szCs w:val="20"/>
          <w:color w:val="auto"/>
        </w:rPr>
      </w:pPr>
    </w:p>
    <w:p>
      <w:pPr>
        <w:ind w:left="2568"/>
        <w:spacing w:after="0"/>
        <w:rPr>
          <w:sz w:val="20"/>
          <w:szCs w:val="20"/>
          <w:color w:val="auto"/>
        </w:rPr>
      </w:pPr>
      <w:r>
        <w:rPr>
          <w:rFonts w:ascii="Arial" w:cs="Arial" w:eastAsia="Arial" w:hAnsi="Arial"/>
          <w:sz w:val="11"/>
          <w:szCs w:val="11"/>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45186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2">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151" w:lineRule="exact"/>
        <w:rPr>
          <w:sz w:val="20"/>
          <w:szCs w:val="20"/>
          <w:color w:val="auto"/>
        </w:rPr>
      </w:pPr>
    </w:p>
    <w:p>
      <w:pPr>
        <w:ind w:left="2688"/>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45186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3">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2228"/>
        <w:spacing w:after="0"/>
        <w:rPr>
          <w:sz w:val="20"/>
          <w:szCs w:val="20"/>
          <w:color w:val="auto"/>
        </w:rPr>
      </w:pPr>
      <w:r>
        <w:rPr>
          <w:rFonts w:ascii="Arial" w:cs="Arial" w:eastAsia="Arial" w:hAnsi="Arial"/>
          <w:sz w:val="11"/>
          <w:szCs w:val="11"/>
          <w:color w:val="auto"/>
        </w:rPr>
        <w:t>Darius E. Adamczyk</w:t>
      </w:r>
    </w:p>
    <w:p>
      <w:pPr>
        <w:jc w:val="center"/>
        <w:ind w:right="1732"/>
        <w:spacing w:after="0"/>
        <w:rPr>
          <w:sz w:val="20"/>
          <w:szCs w:val="20"/>
          <w:color w:val="auto"/>
        </w:rPr>
      </w:pPr>
      <w:r>
        <w:rPr>
          <w:rFonts w:ascii="Arial" w:cs="Arial" w:eastAsia="Arial" w:hAnsi="Arial"/>
          <w:sz w:val="11"/>
          <w:szCs w:val="11"/>
          <w:color w:val="auto"/>
        </w:rPr>
        <w:t>Chairman of the Board</w:t>
      </w:r>
    </w:p>
    <w:p>
      <w:pPr>
        <w:spacing w:after="0" w:line="152" w:lineRule="exact"/>
        <w:rPr>
          <w:sz w:val="20"/>
          <w:szCs w:val="20"/>
          <w:color w:val="auto"/>
        </w:rPr>
      </w:pPr>
    </w:p>
    <w:p>
      <w:pPr>
        <w:ind w:left="2688"/>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45186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4">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2268"/>
        <w:spacing w:after="0"/>
        <w:rPr>
          <w:sz w:val="20"/>
          <w:szCs w:val="20"/>
          <w:color w:val="auto"/>
        </w:rPr>
      </w:pPr>
      <w:r>
        <w:rPr>
          <w:rFonts w:ascii="Arial" w:cs="Arial" w:eastAsia="Arial" w:hAnsi="Arial"/>
          <w:sz w:val="11"/>
          <w:szCs w:val="11"/>
          <w:color w:val="auto"/>
        </w:rPr>
        <w:t>Duncan B. Angove</w:t>
      </w:r>
    </w:p>
    <w:p>
      <w:pPr>
        <w:ind w:left="2528"/>
        <w:spacing w:after="0"/>
        <w:rPr>
          <w:sz w:val="20"/>
          <w:szCs w:val="20"/>
          <w:color w:val="auto"/>
        </w:rPr>
      </w:pPr>
      <w:r>
        <w:rPr>
          <w:rFonts w:ascii="Arial" w:cs="Arial" w:eastAsia="Arial" w:hAnsi="Arial"/>
          <w:sz w:val="11"/>
          <w:szCs w:val="11"/>
          <w:color w:val="auto"/>
        </w:rPr>
        <w:t>Director</w:t>
      </w:r>
    </w:p>
    <w:p>
      <w:pPr>
        <w:spacing w:after="0" w:line="179" w:lineRule="exact"/>
        <w:rPr>
          <w:sz w:val="20"/>
          <w:szCs w:val="20"/>
          <w:color w:val="auto"/>
        </w:rPr>
      </w:pPr>
    </w:p>
    <w:p>
      <w:pPr>
        <w:ind w:left="2688"/>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45186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5">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2348"/>
        <w:spacing w:after="0"/>
        <w:rPr>
          <w:sz w:val="20"/>
          <w:szCs w:val="20"/>
          <w:color w:val="auto"/>
        </w:rPr>
      </w:pPr>
      <w:r>
        <w:rPr>
          <w:rFonts w:ascii="Arial" w:cs="Arial" w:eastAsia="Arial" w:hAnsi="Arial"/>
          <w:sz w:val="11"/>
          <w:szCs w:val="11"/>
          <w:color w:val="auto"/>
        </w:rPr>
        <w:t>William S. Ayer</w:t>
      </w:r>
    </w:p>
    <w:p>
      <w:pPr>
        <w:ind w:left="2528"/>
        <w:spacing w:after="0"/>
        <w:rPr>
          <w:sz w:val="20"/>
          <w:szCs w:val="20"/>
          <w:color w:val="auto"/>
        </w:rPr>
      </w:pPr>
      <w:r>
        <w:rPr>
          <w:rFonts w:ascii="Arial" w:cs="Arial" w:eastAsia="Arial" w:hAnsi="Arial"/>
          <w:sz w:val="11"/>
          <w:szCs w:val="11"/>
          <w:color w:val="auto"/>
        </w:rPr>
        <w:t>Director</w:t>
      </w:r>
    </w:p>
    <w:p>
      <w:pPr>
        <w:spacing w:after="0" w:line="179" w:lineRule="exact"/>
        <w:rPr>
          <w:sz w:val="20"/>
          <w:szCs w:val="20"/>
          <w:color w:val="auto"/>
        </w:rPr>
      </w:pPr>
    </w:p>
    <w:p>
      <w:pPr>
        <w:ind w:left="2688"/>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45186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6">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2428"/>
        <w:spacing w:after="0"/>
        <w:rPr>
          <w:sz w:val="20"/>
          <w:szCs w:val="20"/>
          <w:color w:val="auto"/>
        </w:rPr>
      </w:pPr>
      <w:r>
        <w:rPr>
          <w:rFonts w:ascii="Arial" w:cs="Arial" w:eastAsia="Arial" w:hAnsi="Arial"/>
          <w:sz w:val="11"/>
          <w:szCs w:val="11"/>
          <w:color w:val="auto"/>
        </w:rPr>
        <w:t>Kevin Burke</w:t>
      </w:r>
    </w:p>
    <w:p>
      <w:pPr>
        <w:jc w:val="center"/>
        <w:ind w:right="1732"/>
        <w:spacing w:after="0"/>
        <w:rPr>
          <w:sz w:val="20"/>
          <w:szCs w:val="20"/>
          <w:color w:val="auto"/>
        </w:rPr>
      </w:pPr>
      <w:r>
        <w:rPr>
          <w:rFonts w:ascii="Arial" w:cs="Arial" w:eastAsia="Arial" w:hAnsi="Arial"/>
          <w:sz w:val="11"/>
          <w:szCs w:val="11"/>
          <w:color w:val="auto"/>
        </w:rPr>
        <w:t>Director</w:t>
      </w:r>
    </w:p>
    <w:p>
      <w:pPr>
        <w:spacing w:after="0" w:line="152" w:lineRule="exact"/>
        <w:rPr>
          <w:sz w:val="20"/>
          <w:szCs w:val="20"/>
          <w:color w:val="auto"/>
        </w:rPr>
      </w:pPr>
    </w:p>
    <w:p>
      <w:pPr>
        <w:ind w:left="2688"/>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45186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7">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2368"/>
        <w:spacing w:after="0"/>
        <w:rPr>
          <w:sz w:val="20"/>
          <w:szCs w:val="20"/>
          <w:color w:val="auto"/>
        </w:rPr>
      </w:pPr>
      <w:r>
        <w:rPr>
          <w:rFonts w:ascii="Arial" w:cs="Arial" w:eastAsia="Arial" w:hAnsi="Arial"/>
          <w:sz w:val="11"/>
          <w:szCs w:val="11"/>
          <w:color w:val="auto"/>
        </w:rPr>
        <w:t>D. Scott Davis</w:t>
      </w:r>
    </w:p>
    <w:p>
      <w:pPr>
        <w:jc w:val="center"/>
        <w:ind w:right="1732"/>
        <w:spacing w:after="0"/>
        <w:rPr>
          <w:sz w:val="20"/>
          <w:szCs w:val="20"/>
          <w:color w:val="auto"/>
        </w:rPr>
      </w:pPr>
      <w:r>
        <w:rPr>
          <w:rFonts w:ascii="Arial" w:cs="Arial" w:eastAsia="Arial" w:hAnsi="Arial"/>
          <w:sz w:val="11"/>
          <w:szCs w:val="11"/>
          <w:color w:val="auto"/>
        </w:rPr>
        <w:t>Director</w:t>
      </w:r>
    </w:p>
    <w:p>
      <w:pPr>
        <w:spacing w:after="0" w:line="152" w:lineRule="exact"/>
        <w:rPr>
          <w:sz w:val="20"/>
          <w:szCs w:val="20"/>
          <w:color w:val="auto"/>
        </w:rPr>
      </w:pPr>
    </w:p>
    <w:p>
      <w:pPr>
        <w:ind w:left="2688"/>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45186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8">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2388"/>
        <w:spacing w:after="0"/>
        <w:rPr>
          <w:sz w:val="20"/>
          <w:szCs w:val="20"/>
          <w:color w:val="auto"/>
        </w:rPr>
      </w:pPr>
      <w:r>
        <w:rPr>
          <w:rFonts w:ascii="Arial" w:cs="Arial" w:eastAsia="Arial" w:hAnsi="Arial"/>
          <w:sz w:val="11"/>
          <w:szCs w:val="11"/>
          <w:color w:val="auto"/>
        </w:rPr>
        <w:t>Deborah Flint</w:t>
      </w:r>
    </w:p>
    <w:p>
      <w:pPr>
        <w:jc w:val="center"/>
        <w:ind w:right="1732"/>
        <w:spacing w:after="0"/>
        <w:rPr>
          <w:sz w:val="20"/>
          <w:szCs w:val="20"/>
          <w:color w:val="auto"/>
        </w:rPr>
      </w:pPr>
      <w:r>
        <w:rPr>
          <w:rFonts w:ascii="Arial" w:cs="Arial" w:eastAsia="Arial" w:hAnsi="Arial"/>
          <w:sz w:val="11"/>
          <w:szCs w:val="11"/>
          <w:color w:val="auto"/>
        </w:rPr>
        <w:t>Director</w:t>
      </w:r>
    </w:p>
    <w:p>
      <w:pPr>
        <w:spacing w:after="0" w:line="152" w:lineRule="exact"/>
        <w:rPr>
          <w:sz w:val="20"/>
          <w:szCs w:val="20"/>
          <w:color w:val="auto"/>
        </w:rPr>
      </w:pPr>
    </w:p>
    <w:p>
      <w:pPr>
        <w:ind w:left="2348"/>
        <w:spacing w:after="0"/>
        <w:rPr>
          <w:sz w:val="20"/>
          <w:szCs w:val="20"/>
          <w:color w:val="auto"/>
        </w:rPr>
      </w:pPr>
      <w:r>
        <w:rPr>
          <w:rFonts w:ascii="Arial" w:cs="Arial" w:eastAsia="Arial" w:hAnsi="Arial"/>
          <w:sz w:val="11"/>
          <w:szCs w:val="11"/>
          <w:color w:val="auto"/>
        </w:rPr>
        <w:t>/s/ Vimal Kapur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45186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9">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2428"/>
        <w:spacing w:after="0"/>
        <w:rPr>
          <w:sz w:val="20"/>
          <w:szCs w:val="20"/>
          <w:color w:val="auto"/>
        </w:rPr>
      </w:pPr>
      <w:r>
        <w:rPr>
          <w:rFonts w:ascii="Arial" w:cs="Arial" w:eastAsia="Arial" w:hAnsi="Arial"/>
          <w:sz w:val="11"/>
          <w:szCs w:val="11"/>
          <w:color w:val="auto"/>
        </w:rPr>
        <w:t>Vimal Kapur</w:t>
      </w:r>
    </w:p>
    <w:p>
      <w:pPr>
        <w:jc w:val="center"/>
        <w:ind w:right="1732"/>
        <w:spacing w:after="0" w:line="225" w:lineRule="auto"/>
        <w:rPr>
          <w:sz w:val="20"/>
          <w:szCs w:val="20"/>
          <w:color w:val="auto"/>
        </w:rPr>
      </w:pPr>
      <w:r>
        <w:rPr>
          <w:rFonts w:ascii="Arial" w:cs="Arial" w:eastAsia="Arial" w:hAnsi="Arial"/>
          <w:sz w:val="10"/>
          <w:szCs w:val="10"/>
          <w:color w:val="auto"/>
        </w:rPr>
        <w:t>Chief Executive Officer and Director</w:t>
      </w:r>
    </w:p>
    <w:p>
      <w:pPr>
        <w:jc w:val="center"/>
        <w:ind w:right="1732"/>
        <w:spacing w:after="0"/>
        <w:rPr>
          <w:sz w:val="20"/>
          <w:szCs w:val="20"/>
          <w:color w:val="auto"/>
        </w:rPr>
      </w:pPr>
      <w:r>
        <w:rPr>
          <w:rFonts w:ascii="Arial" w:cs="Arial" w:eastAsia="Arial" w:hAnsi="Arial"/>
          <w:sz w:val="11"/>
          <w:szCs w:val="11"/>
          <w:color w:val="auto"/>
        </w:rPr>
        <w:t>(Principal Executive Officer)</w:t>
      </w:r>
    </w:p>
    <w:p>
      <w:pPr>
        <w:spacing w:after="0" w:line="152" w:lineRule="exact"/>
        <w:rPr>
          <w:sz w:val="20"/>
          <w:szCs w:val="20"/>
          <w:color w:val="auto"/>
        </w:rPr>
      </w:pPr>
    </w:p>
    <w:p>
      <w:pPr>
        <w:ind w:left="2248"/>
        <w:spacing w:after="0"/>
        <w:rPr>
          <w:sz w:val="20"/>
          <w:szCs w:val="20"/>
          <w:color w:val="auto"/>
        </w:rPr>
      </w:pPr>
      <w:r>
        <w:rPr>
          <w:rFonts w:ascii="Arial" w:cs="Arial" w:eastAsia="Arial" w:hAnsi="Arial"/>
          <w:sz w:val="11"/>
          <w:szCs w:val="11"/>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45186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30">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2308"/>
        <w:spacing w:after="0"/>
        <w:rPr>
          <w:sz w:val="20"/>
          <w:szCs w:val="20"/>
          <w:color w:val="auto"/>
        </w:rPr>
      </w:pPr>
      <w:r>
        <w:rPr>
          <w:rFonts w:ascii="Arial" w:cs="Arial" w:eastAsia="Arial" w:hAnsi="Arial"/>
          <w:sz w:val="11"/>
          <w:szCs w:val="11"/>
          <w:color w:val="auto"/>
        </w:rPr>
        <w:t>Gregory P. Lewis</w:t>
      </w:r>
    </w:p>
    <w:p>
      <w:pPr>
        <w:jc w:val="center"/>
        <w:ind w:right="1732"/>
        <w:spacing w:after="0" w:line="204" w:lineRule="auto"/>
        <w:rPr>
          <w:sz w:val="20"/>
          <w:szCs w:val="20"/>
          <w:color w:val="auto"/>
        </w:rPr>
      </w:pPr>
      <w:r>
        <w:rPr>
          <w:rFonts w:ascii="Arial" w:cs="Arial" w:eastAsia="Arial" w:hAnsi="Arial"/>
          <w:sz w:val="11"/>
          <w:szCs w:val="11"/>
          <w:color w:val="auto"/>
        </w:rPr>
        <w:t>Senior Vice President and</w:t>
      </w:r>
    </w:p>
    <w:p>
      <w:pPr>
        <w:jc w:val="center"/>
        <w:ind w:right="1732"/>
        <w:spacing w:after="0" w:line="205" w:lineRule="auto"/>
        <w:rPr>
          <w:sz w:val="20"/>
          <w:szCs w:val="20"/>
          <w:color w:val="auto"/>
        </w:rPr>
      </w:pPr>
      <w:r>
        <w:rPr>
          <w:rFonts w:ascii="Arial" w:cs="Arial" w:eastAsia="Arial" w:hAnsi="Arial"/>
          <w:sz w:val="11"/>
          <w:szCs w:val="11"/>
          <w:color w:val="auto"/>
        </w:rPr>
        <w:t>Chief Financial Officer</w:t>
      </w:r>
    </w:p>
    <w:p>
      <w:pPr>
        <w:jc w:val="center"/>
        <w:ind w:right="1732"/>
        <w:spacing w:after="0"/>
        <w:rPr>
          <w:sz w:val="20"/>
          <w:szCs w:val="20"/>
          <w:color w:val="auto"/>
        </w:rPr>
      </w:pPr>
      <w:r>
        <w:rPr>
          <w:rFonts w:ascii="Arial" w:cs="Arial" w:eastAsia="Arial" w:hAnsi="Arial"/>
          <w:sz w:val="11"/>
          <w:szCs w:val="11"/>
          <w:color w:val="auto"/>
        </w:rPr>
        <w:t>(Principal Financial Officer)</w:t>
      </w:r>
    </w:p>
    <w:p>
      <w:pPr>
        <w:spacing w:after="0" w:line="161" w:lineRule="exact"/>
        <w:rPr>
          <w:sz w:val="20"/>
          <w:szCs w:val="20"/>
          <w:color w:val="auto"/>
        </w:rPr>
      </w:pPr>
    </w:p>
    <w:p>
      <w:pPr>
        <w:ind w:left="8"/>
        <w:spacing w:after="0"/>
        <w:tabs>
          <w:tab w:leader="none" w:pos="848" w:val="left"/>
        </w:tabs>
        <w:rPr>
          <w:sz w:val="20"/>
          <w:szCs w:val="20"/>
          <w:color w:val="auto"/>
        </w:rPr>
      </w:pPr>
      <w:r>
        <w:rPr>
          <w:rFonts w:ascii="Arial" w:cs="Arial" w:eastAsia="Arial" w:hAnsi="Arial"/>
          <w:sz w:val="11"/>
          <w:szCs w:val="11"/>
          <w:color w:val="auto"/>
        </w:rPr>
        <w:t>*By:</w:t>
      </w:r>
      <w:r>
        <w:rPr>
          <w:sz w:val="20"/>
          <w:szCs w:val="20"/>
          <w:color w:val="auto"/>
        </w:rPr>
        <w:tab/>
      </w:r>
      <w:r>
        <w:rPr>
          <w:rFonts w:ascii="Arial" w:cs="Arial" w:eastAsia="Arial" w:hAnsi="Arial"/>
          <w:sz w:val="11"/>
          <w:szCs w:val="11"/>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10795</wp:posOffset>
            </wp:positionV>
            <wp:extent cx="289750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31">
                      <a:extLst>
                        <a:ext uri="{28A0092B-C50C-407E-A947-70E740481C1C}"/>
                      </a:extLst>
                    </a:blip>
                    <a:srcRect/>
                    <a:stretch>
                      <a:fillRect/>
                    </a:stretch>
                  </pic:blipFill>
                  <pic:spPr bwMode="auto">
                    <a:xfrm>
                      <a:off x="0" y="0"/>
                      <a:ext cx="2897505" cy="5715"/>
                    </a:xfrm>
                    <a:prstGeom prst="rect">
                      <a:avLst/>
                    </a:prstGeom>
                    <a:noFill/>
                  </pic:spPr>
                </pic:pic>
              </a:graphicData>
            </a:graphic>
          </wp:anchor>
        </w:drawing>
      </w:r>
    </w:p>
    <w:p>
      <w:pPr>
        <w:ind w:left="868"/>
        <w:spacing w:after="0"/>
        <w:rPr>
          <w:sz w:val="20"/>
          <w:szCs w:val="20"/>
          <w:color w:val="auto"/>
        </w:rPr>
      </w:pPr>
      <w:r>
        <w:rPr>
          <w:rFonts w:ascii="Arial" w:cs="Arial" w:eastAsia="Arial" w:hAnsi="Arial"/>
          <w:sz w:val="11"/>
          <w:szCs w:val="11"/>
          <w:color w:val="auto"/>
        </w:rPr>
        <w:t>Gregory P. Lewis</w:t>
      </w:r>
    </w:p>
    <w:p>
      <w:pPr>
        <w:ind w:left="868"/>
        <w:spacing w:after="0"/>
        <w:rPr>
          <w:sz w:val="20"/>
          <w:szCs w:val="20"/>
          <w:color w:val="auto"/>
        </w:rPr>
      </w:pPr>
      <w:r>
        <w:rPr>
          <w:rFonts w:ascii="Arial" w:cs="Arial" w:eastAsia="Arial" w:hAnsi="Arial"/>
          <w:sz w:val="11"/>
          <w:szCs w:val="11"/>
          <w:color w:val="auto"/>
        </w:rPr>
        <w:t>Attorney-in-fact</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1"/>
          <w:szCs w:val="11"/>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10795</wp:posOffset>
            </wp:positionV>
            <wp:extent cx="345186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2">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10795</wp:posOffset>
            </wp:positionV>
            <wp:extent cx="345186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3">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1"/>
          <w:szCs w:val="11"/>
          <w:color w:val="auto"/>
        </w:rPr>
        <w:t>Michael W. Lamach</w:t>
      </w:r>
    </w:p>
    <w:p>
      <w:pPr>
        <w:jc w:val="center"/>
        <w:ind w:right="2000"/>
        <w:spacing w:after="0"/>
        <w:rPr>
          <w:sz w:val="20"/>
          <w:szCs w:val="20"/>
          <w:color w:val="auto"/>
        </w:rPr>
      </w:pPr>
      <w:r>
        <w:rPr>
          <w:rFonts w:ascii="Arial" w:cs="Arial" w:eastAsia="Arial" w:hAnsi="Arial"/>
          <w:sz w:val="11"/>
          <w:szCs w:val="11"/>
          <w:color w:val="auto"/>
        </w:rPr>
        <w:t>Director</w:t>
      </w:r>
    </w:p>
    <w:p>
      <w:pPr>
        <w:spacing w:after="0" w:line="152" w:lineRule="exact"/>
        <w:rPr>
          <w:sz w:val="20"/>
          <w:szCs w:val="20"/>
          <w:color w:val="auto"/>
        </w:rPr>
      </w:pPr>
    </w:p>
    <w:p>
      <w:pPr>
        <w:ind w:left="68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10795</wp:posOffset>
            </wp:positionV>
            <wp:extent cx="345186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4">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1"/>
          <w:szCs w:val="11"/>
          <w:color w:val="auto"/>
        </w:rPr>
        <w:t>Rose Lee</w:t>
      </w:r>
    </w:p>
    <w:p>
      <w:pPr>
        <w:ind w:left="500"/>
        <w:spacing w:after="0"/>
        <w:rPr>
          <w:sz w:val="20"/>
          <w:szCs w:val="20"/>
          <w:color w:val="auto"/>
        </w:rPr>
      </w:pPr>
      <w:r>
        <w:rPr>
          <w:rFonts w:ascii="Arial" w:cs="Arial" w:eastAsia="Arial" w:hAnsi="Arial"/>
          <w:sz w:val="11"/>
          <w:szCs w:val="11"/>
          <w:color w:val="auto"/>
        </w:rPr>
        <w:t>Director</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10795</wp:posOffset>
            </wp:positionV>
            <wp:extent cx="345186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5">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1"/>
          <w:szCs w:val="11"/>
          <w:color w:val="auto"/>
        </w:rPr>
        <w:t>Grace D. Lieblein</w:t>
      </w:r>
    </w:p>
    <w:p>
      <w:pPr>
        <w:ind w:left="500"/>
        <w:spacing w:after="0"/>
        <w:rPr>
          <w:sz w:val="20"/>
          <w:szCs w:val="20"/>
          <w:color w:val="auto"/>
        </w:rPr>
      </w:pPr>
      <w:r>
        <w:rPr>
          <w:rFonts w:ascii="Arial" w:cs="Arial" w:eastAsia="Arial" w:hAnsi="Arial"/>
          <w:sz w:val="11"/>
          <w:szCs w:val="11"/>
          <w:color w:val="auto"/>
        </w:rPr>
        <w:t>Director</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10795</wp:posOffset>
            </wp:positionV>
            <wp:extent cx="345186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6">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1"/>
          <w:szCs w:val="11"/>
          <w:color w:val="auto"/>
        </w:rPr>
        <w:t>Robin L. Washington</w:t>
      </w:r>
    </w:p>
    <w:p>
      <w:pPr>
        <w:jc w:val="center"/>
        <w:ind w:right="2000"/>
        <w:spacing w:after="0"/>
        <w:rPr>
          <w:sz w:val="20"/>
          <w:szCs w:val="20"/>
          <w:color w:val="auto"/>
        </w:rPr>
      </w:pPr>
      <w:r>
        <w:rPr>
          <w:rFonts w:ascii="Arial" w:cs="Arial" w:eastAsia="Arial" w:hAnsi="Arial"/>
          <w:sz w:val="11"/>
          <w:szCs w:val="11"/>
          <w:color w:val="auto"/>
        </w:rPr>
        <w:t>Director</w:t>
      </w:r>
    </w:p>
    <w:p>
      <w:pPr>
        <w:spacing w:after="0" w:line="152" w:lineRule="exact"/>
        <w:rPr>
          <w:sz w:val="20"/>
          <w:szCs w:val="20"/>
          <w:color w:val="auto"/>
        </w:rPr>
      </w:pPr>
    </w:p>
    <w:p>
      <w:pPr>
        <w:ind w:left="68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10795</wp:posOffset>
            </wp:positionV>
            <wp:extent cx="345186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7">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1"/>
          <w:szCs w:val="11"/>
          <w:color w:val="auto"/>
        </w:rPr>
        <w:t>Robin Watson</w:t>
      </w:r>
    </w:p>
    <w:p>
      <w:pPr>
        <w:ind w:left="500"/>
        <w:spacing w:after="0"/>
        <w:rPr>
          <w:sz w:val="20"/>
          <w:szCs w:val="20"/>
          <w:color w:val="auto"/>
        </w:rPr>
      </w:pPr>
      <w:r>
        <w:rPr>
          <w:rFonts w:ascii="Arial" w:cs="Arial" w:eastAsia="Arial" w:hAnsi="Arial"/>
          <w:sz w:val="11"/>
          <w:szCs w:val="1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80"/>
        <w:spacing w:after="0"/>
        <w:rPr>
          <w:sz w:val="20"/>
          <w:szCs w:val="20"/>
          <w:color w:val="auto"/>
        </w:rPr>
      </w:pPr>
      <w:r>
        <w:rPr>
          <w:rFonts w:ascii="Arial" w:cs="Arial" w:eastAsia="Arial" w:hAnsi="Arial"/>
          <w:sz w:val="11"/>
          <w:szCs w:val="11"/>
          <w:color w:val="auto"/>
        </w:rPr>
        <w:t>/s/ Robert D. Mailloux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10795</wp:posOffset>
            </wp:positionV>
            <wp:extent cx="345186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8">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1"/>
          <w:szCs w:val="11"/>
          <w:color w:val="auto"/>
        </w:rPr>
        <w:t>Robert D. Mailloux</w:t>
      </w:r>
    </w:p>
    <w:p>
      <w:pPr>
        <w:spacing w:after="0" w:line="225" w:lineRule="auto"/>
        <w:rPr>
          <w:sz w:val="20"/>
          <w:szCs w:val="20"/>
          <w:color w:val="auto"/>
        </w:rPr>
      </w:pPr>
      <w:r>
        <w:rPr>
          <w:rFonts w:ascii="Arial" w:cs="Arial" w:eastAsia="Arial" w:hAnsi="Arial"/>
          <w:sz w:val="10"/>
          <w:szCs w:val="10"/>
          <w:color w:val="auto"/>
        </w:rPr>
        <w:t>Vice President and Controller</w:t>
      </w:r>
    </w:p>
    <w:p>
      <w:pPr>
        <w:spacing w:after="0"/>
        <w:rPr>
          <w:sz w:val="20"/>
          <w:szCs w:val="20"/>
          <w:color w:val="auto"/>
        </w:rPr>
      </w:pPr>
      <w:r>
        <w:rPr>
          <w:rFonts w:ascii="Arial" w:cs="Arial" w:eastAsia="Arial" w:hAnsi="Arial"/>
          <w:sz w:val="10"/>
          <w:szCs w:val="10"/>
          <w:color w:val="auto"/>
        </w:rPr>
        <w:t>(Principal Accounting Officer)</w:t>
      </w:r>
    </w:p>
    <w:p>
      <w:pPr>
        <w:spacing w:after="0" w:line="811" w:lineRule="exact"/>
        <w:rPr>
          <w:sz w:val="20"/>
          <w:szCs w:val="20"/>
          <w:color w:val="auto"/>
        </w:rPr>
      </w:pPr>
    </w:p>
    <w:p>
      <w:pPr>
        <w:sectPr>
          <w:pgSz w:w="11900" w:h="16838" w:orient="portrait"/>
          <w:cols w:equalWidth="0" w:num="2">
            <w:col w:w="7168" w:space="720"/>
            <w:col w:w="3400"/>
          </w:cols>
          <w:pgMar w:left="292" w:top="155" w:right="319" w:bottom="1440" w:gutter="0" w:footer="0" w:header="0"/>
          <w:type w:val="continuous"/>
        </w:sectPr>
      </w:pPr>
    </w:p>
    <w:p>
      <w:pPr>
        <w:ind w:left="8"/>
        <w:spacing w:after="0"/>
        <w:rPr>
          <w:sz w:val="20"/>
          <w:szCs w:val="20"/>
          <w:color w:val="auto"/>
        </w:rPr>
      </w:pPr>
      <w:r>
        <w:rPr>
          <w:rFonts w:ascii="Arial" w:cs="Arial" w:eastAsia="Arial" w:hAnsi="Arial"/>
          <w:sz w:val="11"/>
          <w:szCs w:val="11"/>
          <w:color w:val="auto"/>
        </w:rPr>
        <w:t>February 16, 2024</w:t>
      </w:r>
    </w:p>
    <w:p>
      <w:pPr>
        <w:spacing w:after="0" w:line="308" w:lineRule="exact"/>
        <w:rPr>
          <w:sz w:val="20"/>
          <w:szCs w:val="20"/>
          <w:color w:val="auto"/>
        </w:rPr>
      </w:pPr>
    </w:p>
    <w:p>
      <w:pPr>
        <w:ind w:left="328" w:hanging="328"/>
        <w:spacing w:after="0"/>
        <w:tabs>
          <w:tab w:leader="none" w:pos="328" w:val="left"/>
        </w:tabs>
        <w:numPr>
          <w:ilvl w:val="0"/>
          <w:numId w:val="182"/>
        </w:numPr>
        <w:rPr>
          <w:rFonts w:ascii="Arial" w:cs="Arial" w:eastAsia="Arial" w:hAnsi="Arial"/>
          <w:sz w:val="11"/>
          <w:szCs w:val="11"/>
          <w:b w:val="1"/>
          <w:bCs w:val="1"/>
          <w:color w:val="D7282F"/>
        </w:rPr>
      </w:pPr>
      <w:r>
        <w:rPr>
          <w:rFonts w:ascii="Arial" w:cs="Arial" w:eastAsia="Arial" w:hAnsi="Arial"/>
          <w:sz w:val="9"/>
          <w:szCs w:val="9"/>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55" w:right="319" w:bottom="1440" w:gutter="0" w:footer="0" w:header="0"/>
          <w:type w:val="continuous"/>
        </w:sectPr>
      </w:pPr>
    </w:p>
    <w:bookmarkStart w:id="128" w:name="page129"/>
    <w:bookmarkEnd w:id="128"/>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FORM 10-K CROSS-REFERENCE INDEX</w:t>
      </w:r>
    </w:p>
    <w:p>
      <w:pPr>
        <w:spacing w:after="0" w:line="289"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auto"/>
              </w:rPr>
              <w:t>Page(s)</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DC202E"/>
              </w:rPr>
              <w:t>PART I</w:t>
            </w:r>
          </w:p>
        </w:tc>
        <w:tc>
          <w:tcPr>
            <w:tcW w:w="8800" w:type="dxa"/>
            <w:vAlign w:val="bottom"/>
            <w:tcBorders>
              <w:bottom w:val="single" w:sz="8" w:color="888B8D"/>
            </w:tcBorders>
          </w:tcPr>
          <w:p>
            <w:pPr>
              <w:spacing w:after="0"/>
              <w:rPr>
                <w:sz w:val="12"/>
                <w:szCs w:val="12"/>
                <w:color w:val="auto"/>
              </w:rPr>
            </w:pP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2</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1</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About Honeywell</w:t>
            </w: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48</w:t>
            </w:r>
          </w:p>
        </w:tc>
        <w:tc>
          <w:tcPr>
            <w:tcW w:w="1060" w:type="dxa"/>
            <w:vAlign w:val="bottom"/>
            <w:tcBorders>
              <w:bottom w:val="single" w:sz="8" w:color="888B8D"/>
            </w:tcBorders>
          </w:tcPr>
          <w:p>
            <w:pPr>
              <w:spacing w:after="0"/>
              <w:rPr>
                <w:sz w:val="11"/>
                <w:szCs w:val="11"/>
                <w:color w:val="auto"/>
              </w:rPr>
            </w:pP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Information about Our Executive Officers</w:t>
            </w: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30</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1A.</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Risk Factors</w:t>
            </w: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49</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1B.</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Unresolved Staff Comments</w:t>
            </w: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49</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1C.</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Cybersecurity</w:t>
            </w: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50</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2</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Properties</w:t>
            </w: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50</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3</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Legal Proceedings</w:t>
            </w: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50</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4</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Mine Safety Disclosures</w:t>
            </w:r>
          </w:p>
        </w:tc>
      </w:tr>
      <w:tr>
        <w:trPr>
          <w:trHeight w:val="151"/>
        </w:trPr>
        <w:tc>
          <w:tcPr>
            <w:tcW w:w="1440" w:type="dxa"/>
            <w:vAlign w:val="bottom"/>
            <w:tcBorders>
              <w:bottom w:val="single" w:sz="8" w:color="888B8D"/>
            </w:tcBorders>
          </w:tcPr>
          <w:p>
            <w:pPr>
              <w:spacing w:after="0"/>
              <w:rPr>
                <w:sz w:val="13"/>
                <w:szCs w:val="13"/>
                <w:color w:val="auto"/>
              </w:rPr>
            </w:pPr>
          </w:p>
        </w:tc>
        <w:tc>
          <w:tcPr>
            <w:tcW w:w="1060" w:type="dxa"/>
            <w:vAlign w:val="bottom"/>
            <w:tcBorders>
              <w:bottom w:val="single" w:sz="8" w:color="888B8D"/>
            </w:tcBorders>
          </w:tcPr>
          <w:p>
            <w:pPr>
              <w:spacing w:after="0"/>
              <w:rPr>
                <w:sz w:val="13"/>
                <w:szCs w:val="13"/>
                <w:color w:val="auto"/>
              </w:rPr>
            </w:pPr>
          </w:p>
        </w:tc>
        <w:tc>
          <w:tcPr>
            <w:tcW w:w="8800" w:type="dxa"/>
            <w:vAlign w:val="bottom"/>
            <w:tcBorders>
              <w:bottom w:val="single" w:sz="8" w:color="888B8D"/>
            </w:tcBorders>
          </w:tcPr>
          <w:p>
            <w:pPr>
              <w:spacing w:after="0"/>
              <w:rPr>
                <w:sz w:val="13"/>
                <w:szCs w:val="13"/>
                <w:color w:val="auto"/>
              </w:rPr>
            </w:pPr>
          </w:p>
        </w:tc>
      </w:tr>
      <w:tr>
        <w:trPr>
          <w:trHeight w:val="133"/>
        </w:trPr>
        <w:tc>
          <w:tcPr>
            <w:tcW w:w="1440" w:type="dxa"/>
            <w:vAlign w:val="bottom"/>
            <w:tcBorders>
              <w:bottom w:val="single" w:sz="8" w:color="888B8D"/>
            </w:tcBorders>
          </w:tcPr>
          <w:p>
            <w:pPr>
              <w:spacing w:after="0"/>
              <w:rPr>
                <w:sz w:val="11"/>
                <w:szCs w:val="11"/>
                <w:color w:val="auto"/>
              </w:rPr>
            </w:pP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DC202E"/>
              </w:rPr>
              <w:t>PART II.</w:t>
            </w:r>
          </w:p>
        </w:tc>
        <w:tc>
          <w:tcPr>
            <w:tcW w:w="8800" w:type="dxa"/>
            <w:vAlign w:val="bottom"/>
            <w:tcBorders>
              <w:bottom w:val="single" w:sz="8" w:color="888B8D"/>
            </w:tcBorders>
          </w:tcPr>
          <w:p>
            <w:pPr>
              <w:spacing w:after="0"/>
              <w:rPr>
                <w:sz w:val="11"/>
                <w:szCs w:val="11"/>
                <w:color w:val="auto"/>
              </w:rPr>
            </w:pP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51</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5</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Market for Registrant’s Common Equity, Related Stockholder Matters and Issuer Purchases of Equity Securities</w:t>
            </w:r>
          </w:p>
        </w:tc>
      </w:tr>
      <w:tr>
        <w:trPr>
          <w:trHeight w:val="144"/>
        </w:trPr>
        <w:tc>
          <w:tcPr>
            <w:tcW w:w="1440" w:type="dxa"/>
            <w:vAlign w:val="bottom"/>
            <w:tcBorders>
              <w:bottom w:val="single" w:sz="8" w:color="888B8D"/>
            </w:tcBorders>
          </w:tcPr>
          <w:p>
            <w:pPr>
              <w:spacing w:after="0"/>
              <w:rPr>
                <w:sz w:val="12"/>
                <w:szCs w:val="12"/>
                <w:color w:val="auto"/>
              </w:rPr>
            </w:pP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6</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[Reserved]</w:t>
            </w:r>
          </w:p>
        </w:tc>
      </w:tr>
      <w:tr>
        <w:trPr>
          <w:trHeight w:val="104"/>
        </w:trPr>
        <w:tc>
          <w:tcPr>
            <w:tcW w:w="1440" w:type="dxa"/>
            <w:vAlign w:val="bottom"/>
          </w:tcPr>
          <w:p>
            <w:pPr>
              <w:jc w:val="right"/>
              <w:ind w:right="126"/>
              <w:spacing w:after="0" w:line="104" w:lineRule="exact"/>
              <w:rPr>
                <w:sz w:val="20"/>
                <w:szCs w:val="20"/>
                <w:color w:val="auto"/>
              </w:rPr>
            </w:pPr>
            <w:r>
              <w:rPr>
                <w:rFonts w:ascii="Arial" w:cs="Arial" w:eastAsia="Arial" w:hAnsi="Arial"/>
                <w:sz w:val="11"/>
                <w:szCs w:val="11"/>
                <w:b w:val="1"/>
                <w:bCs w:val="1"/>
                <w:color w:val="D7282F"/>
              </w:rPr>
              <w:t>17 - 29,</w:t>
            </w:r>
          </w:p>
        </w:tc>
        <w:tc>
          <w:tcPr>
            <w:tcW w:w="1060" w:type="dxa"/>
            <w:vAlign w:val="bottom"/>
          </w:tcPr>
          <w:p>
            <w:pPr>
              <w:ind w:left="180"/>
              <w:spacing w:after="0" w:line="104" w:lineRule="exact"/>
              <w:rPr>
                <w:sz w:val="20"/>
                <w:szCs w:val="20"/>
                <w:color w:val="auto"/>
              </w:rPr>
            </w:pPr>
            <w:r>
              <w:rPr>
                <w:rFonts w:ascii="Arial" w:cs="Arial" w:eastAsia="Arial" w:hAnsi="Arial"/>
                <w:sz w:val="11"/>
                <w:szCs w:val="11"/>
                <w:b w:val="1"/>
                <w:bCs w:val="1"/>
                <w:color w:val="auto"/>
              </w:rPr>
              <w:t>ITEM 7</w:t>
            </w:r>
          </w:p>
        </w:tc>
        <w:tc>
          <w:tcPr>
            <w:tcW w:w="8800" w:type="dxa"/>
            <w:vAlign w:val="bottom"/>
          </w:tcPr>
          <w:p>
            <w:pPr>
              <w:ind w:left="420"/>
              <w:spacing w:after="0" w:line="104" w:lineRule="exact"/>
              <w:rPr>
                <w:sz w:val="20"/>
                <w:szCs w:val="20"/>
                <w:color w:val="auto"/>
              </w:rPr>
            </w:pPr>
            <w:r>
              <w:rPr>
                <w:rFonts w:ascii="Arial" w:cs="Arial" w:eastAsia="Arial" w:hAnsi="Arial"/>
                <w:sz w:val="11"/>
                <w:szCs w:val="11"/>
                <w:color w:val="auto"/>
              </w:rPr>
              <w:t>Management’s Discussion and Analysis of Financial Condition and Results of Operations</w:t>
            </w:r>
          </w:p>
        </w:tc>
      </w:tr>
      <w:tr>
        <w:trPr>
          <w:trHeight w:val="144"/>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38 - 47</w:t>
            </w:r>
          </w:p>
        </w:tc>
        <w:tc>
          <w:tcPr>
            <w:tcW w:w="1060" w:type="dxa"/>
            <w:vAlign w:val="bottom"/>
            <w:tcBorders>
              <w:bottom w:val="single" w:sz="8" w:color="888B8D"/>
            </w:tcBorders>
          </w:tcPr>
          <w:p>
            <w:pPr>
              <w:spacing w:after="0"/>
              <w:rPr>
                <w:sz w:val="12"/>
                <w:szCs w:val="12"/>
                <w:color w:val="auto"/>
              </w:rPr>
            </w:pPr>
          </w:p>
        </w:tc>
        <w:tc>
          <w:tcPr>
            <w:tcW w:w="8800" w:type="dxa"/>
            <w:vAlign w:val="bottom"/>
            <w:tcBorders>
              <w:bottom w:val="single" w:sz="8" w:color="888B8D"/>
            </w:tcBorders>
          </w:tcPr>
          <w:p>
            <w:pPr>
              <w:spacing w:after="0"/>
              <w:rPr>
                <w:sz w:val="12"/>
                <w:szCs w:val="12"/>
                <w:color w:val="auto"/>
              </w:rPr>
            </w:pP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38</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7A.</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Quantitative and Qualitative Disclosures about Market Risks</w:t>
            </w: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53</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8</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Financial Statements and Supplementary Data</w:t>
            </w: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117</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9</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Changes in and Disagreements with Accountants on Accounting and Financial Disclosure</w:t>
            </w: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117</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9A.</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Controls and Procedures</w:t>
            </w: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118</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9B.</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Other Information</w:t>
            </w: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118</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9C.</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Disclosure Regarding Foreign Jurisdictions that Prevent Inspections</w:t>
            </w:r>
          </w:p>
        </w:tc>
      </w:tr>
      <w:tr>
        <w:trPr>
          <w:trHeight w:val="151"/>
        </w:trPr>
        <w:tc>
          <w:tcPr>
            <w:tcW w:w="1440" w:type="dxa"/>
            <w:vAlign w:val="bottom"/>
            <w:tcBorders>
              <w:bottom w:val="single" w:sz="8" w:color="888B8D"/>
            </w:tcBorders>
          </w:tcPr>
          <w:p>
            <w:pPr>
              <w:spacing w:after="0"/>
              <w:rPr>
                <w:sz w:val="13"/>
                <w:szCs w:val="13"/>
                <w:color w:val="auto"/>
              </w:rPr>
            </w:pPr>
          </w:p>
        </w:tc>
        <w:tc>
          <w:tcPr>
            <w:tcW w:w="1060" w:type="dxa"/>
            <w:vAlign w:val="bottom"/>
            <w:tcBorders>
              <w:bottom w:val="single" w:sz="8" w:color="888B8D"/>
            </w:tcBorders>
          </w:tcPr>
          <w:p>
            <w:pPr>
              <w:spacing w:after="0"/>
              <w:rPr>
                <w:sz w:val="13"/>
                <w:szCs w:val="13"/>
                <w:color w:val="auto"/>
              </w:rPr>
            </w:pPr>
          </w:p>
        </w:tc>
        <w:tc>
          <w:tcPr>
            <w:tcW w:w="8800" w:type="dxa"/>
            <w:vAlign w:val="bottom"/>
            <w:tcBorders>
              <w:bottom w:val="single" w:sz="8" w:color="888B8D"/>
            </w:tcBorders>
          </w:tcPr>
          <w:p>
            <w:pPr>
              <w:spacing w:after="0"/>
              <w:rPr>
                <w:sz w:val="13"/>
                <w:szCs w:val="13"/>
                <w:color w:val="auto"/>
              </w:rPr>
            </w:pPr>
          </w:p>
        </w:tc>
      </w:tr>
      <w:tr>
        <w:trPr>
          <w:trHeight w:val="133"/>
        </w:trPr>
        <w:tc>
          <w:tcPr>
            <w:tcW w:w="1440" w:type="dxa"/>
            <w:vAlign w:val="bottom"/>
            <w:tcBorders>
              <w:bottom w:val="single" w:sz="8" w:color="888B8D"/>
            </w:tcBorders>
          </w:tcPr>
          <w:p>
            <w:pPr>
              <w:spacing w:after="0"/>
              <w:rPr>
                <w:sz w:val="11"/>
                <w:szCs w:val="11"/>
                <w:color w:val="auto"/>
              </w:rPr>
            </w:pP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DC202E"/>
              </w:rPr>
              <w:t>Part III.</w:t>
            </w:r>
          </w:p>
        </w:tc>
        <w:tc>
          <w:tcPr>
            <w:tcW w:w="8800" w:type="dxa"/>
            <w:vAlign w:val="bottom"/>
            <w:tcBorders>
              <w:bottom w:val="single" w:sz="8" w:color="888B8D"/>
            </w:tcBorders>
          </w:tcPr>
          <w:p>
            <w:pPr>
              <w:spacing w:after="0"/>
              <w:rPr>
                <w:sz w:val="11"/>
                <w:szCs w:val="11"/>
                <w:color w:val="auto"/>
              </w:rPr>
            </w:pP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118</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10</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Directors, Executive Officers, and Corporate Governance</w:t>
            </w: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118</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11</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Executive Compensation</w:t>
            </w: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119</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12</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Security Ownership of Certain Beneficial Owners and Management and Related Stockholder Matters</w:t>
            </w: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120</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13</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Certain Relationships and Related Transactions, and Director Independence</w:t>
            </w: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120</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14</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Principal Accounting Fees and Services</w:t>
            </w:r>
          </w:p>
        </w:tc>
      </w:tr>
      <w:tr>
        <w:trPr>
          <w:trHeight w:val="151"/>
        </w:trPr>
        <w:tc>
          <w:tcPr>
            <w:tcW w:w="1440" w:type="dxa"/>
            <w:vAlign w:val="bottom"/>
            <w:tcBorders>
              <w:bottom w:val="single" w:sz="8" w:color="888B8D"/>
            </w:tcBorders>
          </w:tcPr>
          <w:p>
            <w:pPr>
              <w:spacing w:after="0"/>
              <w:rPr>
                <w:sz w:val="13"/>
                <w:szCs w:val="13"/>
                <w:color w:val="auto"/>
              </w:rPr>
            </w:pPr>
          </w:p>
        </w:tc>
        <w:tc>
          <w:tcPr>
            <w:tcW w:w="1060" w:type="dxa"/>
            <w:vAlign w:val="bottom"/>
            <w:tcBorders>
              <w:bottom w:val="single" w:sz="8" w:color="888B8D"/>
            </w:tcBorders>
          </w:tcPr>
          <w:p>
            <w:pPr>
              <w:spacing w:after="0"/>
              <w:rPr>
                <w:sz w:val="13"/>
                <w:szCs w:val="13"/>
                <w:color w:val="auto"/>
              </w:rPr>
            </w:pPr>
          </w:p>
        </w:tc>
        <w:tc>
          <w:tcPr>
            <w:tcW w:w="8800" w:type="dxa"/>
            <w:vAlign w:val="bottom"/>
            <w:tcBorders>
              <w:bottom w:val="single" w:sz="8" w:color="888B8D"/>
            </w:tcBorders>
          </w:tcPr>
          <w:p>
            <w:pPr>
              <w:spacing w:after="0"/>
              <w:rPr>
                <w:sz w:val="13"/>
                <w:szCs w:val="13"/>
                <w:color w:val="auto"/>
              </w:rPr>
            </w:pPr>
          </w:p>
        </w:tc>
      </w:tr>
      <w:tr>
        <w:trPr>
          <w:trHeight w:val="133"/>
        </w:trPr>
        <w:tc>
          <w:tcPr>
            <w:tcW w:w="1440" w:type="dxa"/>
            <w:vAlign w:val="bottom"/>
            <w:tcBorders>
              <w:bottom w:val="single" w:sz="8" w:color="888B8D"/>
            </w:tcBorders>
          </w:tcPr>
          <w:p>
            <w:pPr>
              <w:spacing w:after="0"/>
              <w:rPr>
                <w:sz w:val="11"/>
                <w:szCs w:val="11"/>
                <w:color w:val="auto"/>
              </w:rPr>
            </w:pP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DC202E"/>
              </w:rPr>
              <w:t>Part IV.</w:t>
            </w:r>
          </w:p>
        </w:tc>
        <w:tc>
          <w:tcPr>
            <w:tcW w:w="8800" w:type="dxa"/>
            <w:vAlign w:val="bottom"/>
            <w:tcBorders>
              <w:bottom w:val="single" w:sz="8" w:color="888B8D"/>
            </w:tcBorders>
          </w:tcPr>
          <w:p>
            <w:pPr>
              <w:spacing w:after="0"/>
              <w:rPr>
                <w:sz w:val="11"/>
                <w:szCs w:val="11"/>
                <w:color w:val="auto"/>
              </w:rPr>
            </w:pP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120</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15</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Exhibits and Financial Statement Schedules</w:t>
            </w: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120</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16</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Form 10-K Summary</w:t>
            </w:r>
          </w:p>
        </w:tc>
      </w:tr>
      <w:tr>
        <w:trPr>
          <w:trHeight w:val="133"/>
        </w:trPr>
        <w:tc>
          <w:tcPr>
            <w:tcW w:w="1440" w:type="dxa"/>
            <w:vAlign w:val="bottom"/>
            <w:tcBorders>
              <w:bottom w:val="single" w:sz="8" w:color="61656A"/>
            </w:tcBorders>
          </w:tcPr>
          <w:p>
            <w:pPr>
              <w:jc w:val="right"/>
              <w:ind w:right="126"/>
              <w:spacing w:after="0"/>
              <w:rPr>
                <w:sz w:val="20"/>
                <w:szCs w:val="20"/>
                <w:color w:val="auto"/>
              </w:rPr>
            </w:pPr>
            <w:r>
              <w:rPr>
                <w:rFonts w:ascii="Arial" w:cs="Arial" w:eastAsia="Arial" w:hAnsi="Arial"/>
                <w:sz w:val="11"/>
                <w:szCs w:val="11"/>
                <w:b w:val="1"/>
                <w:bCs w:val="1"/>
                <w:color w:val="D7282F"/>
              </w:rPr>
              <w:t>125</w:t>
            </w:r>
          </w:p>
        </w:tc>
        <w:tc>
          <w:tcPr>
            <w:tcW w:w="1060" w:type="dxa"/>
            <w:vAlign w:val="bottom"/>
            <w:tcBorders>
              <w:bottom w:val="single" w:sz="8" w:color="61656A"/>
            </w:tcBorders>
          </w:tcPr>
          <w:p>
            <w:pPr>
              <w:spacing w:after="0"/>
              <w:rPr>
                <w:sz w:val="11"/>
                <w:szCs w:val="11"/>
                <w:color w:val="auto"/>
              </w:rPr>
            </w:pPr>
          </w:p>
        </w:tc>
        <w:tc>
          <w:tcPr>
            <w:tcW w:w="8800" w:type="dxa"/>
            <w:vAlign w:val="bottom"/>
            <w:tcBorders>
              <w:bottom w:val="single" w:sz="8" w:color="61656A"/>
            </w:tcBorders>
          </w:tcPr>
          <w:p>
            <w:pPr>
              <w:ind w:left="420"/>
              <w:spacing w:after="0"/>
              <w:rPr>
                <w:sz w:val="20"/>
                <w:szCs w:val="20"/>
                <w:color w:val="auto"/>
              </w:rPr>
            </w:pPr>
            <w:r>
              <w:rPr>
                <w:rFonts w:ascii="Arial" w:cs="Arial" w:eastAsia="Arial" w:hAnsi="Arial"/>
                <w:sz w:val="11"/>
                <w:szCs w:val="11"/>
                <w:color w:val="auto"/>
              </w:rPr>
              <w:t>Signatures</w:t>
            </w:r>
          </w:p>
        </w:tc>
      </w:tr>
    </w:tbl>
    <w:p>
      <w:pPr>
        <w:spacing w:after="0" w:line="342" w:lineRule="exact"/>
        <w:rPr>
          <w:sz w:val="20"/>
          <w:szCs w:val="20"/>
          <w:color w:val="auto"/>
        </w:rPr>
      </w:pPr>
    </w:p>
    <w:p>
      <w:pPr>
        <w:ind w:left="328" w:hanging="328"/>
        <w:spacing w:after="0"/>
        <w:tabs>
          <w:tab w:leader="none" w:pos="328" w:val="left"/>
        </w:tabs>
        <w:numPr>
          <w:ilvl w:val="0"/>
          <w:numId w:val="183"/>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ectPr>
          <w:pgSz w:w="11900" w:h="16838" w:orient="portrait"/>
          <w:cols w:equalWidth="0" w:num="1">
            <w:col w:w="11308"/>
          </w:cols>
          <w:pgMar w:left="292" w:top="227" w:right="299" w:bottom="1440" w:gutter="0" w:footer="0" w:header="0"/>
        </w:sectPr>
      </w:pPr>
    </w:p>
    <w:bookmarkStart w:id="129" w:name="page130"/>
    <w:bookmarkEnd w:id="129"/>
    <w:p>
      <w:pPr>
        <w:jc w:val="right"/>
        <w:spacing w:after="0"/>
        <w:rPr>
          <w:sz w:val="20"/>
          <w:szCs w:val="20"/>
          <w:color w:val="auto"/>
        </w:rPr>
      </w:pPr>
      <w:r>
        <w:rPr>
          <w:rFonts w:ascii="Arial" w:cs="Arial" w:eastAsia="Arial" w:hAnsi="Arial"/>
          <w:sz w:val="12"/>
          <w:szCs w:val="12"/>
          <w:b w:val="1"/>
          <w:bCs w:val="1"/>
          <w:color w:val="auto"/>
        </w:rPr>
        <w:t>EXHIBIT 4.2</w:t>
      </w:r>
    </w:p>
    <w:p>
      <w:pPr>
        <w:spacing w:after="0" w:line="150" w:lineRule="exact"/>
        <w:rPr>
          <w:sz w:val="20"/>
          <w:szCs w:val="20"/>
          <w:color w:val="auto"/>
        </w:rPr>
      </w:pPr>
    </w:p>
    <w:p>
      <w:pPr>
        <w:ind w:left="4160"/>
        <w:spacing w:after="0"/>
        <w:rPr>
          <w:sz w:val="20"/>
          <w:szCs w:val="20"/>
          <w:color w:val="auto"/>
        </w:rPr>
      </w:pPr>
      <w:r>
        <w:rPr>
          <w:rFonts w:ascii="Arial" w:cs="Arial" w:eastAsia="Arial" w:hAnsi="Arial"/>
          <w:sz w:val="12"/>
          <w:szCs w:val="12"/>
          <w:b w:val="1"/>
          <w:bCs w:val="1"/>
          <w:color w:val="auto"/>
        </w:rPr>
        <w:t>DESCRIPTION OF THE REGISTRANT’S SECURITIES</w:t>
      </w:r>
    </w:p>
    <w:p>
      <w:pPr>
        <w:ind w:left="4200"/>
        <w:spacing w:after="0" w:line="219" w:lineRule="auto"/>
        <w:rPr>
          <w:sz w:val="20"/>
          <w:szCs w:val="20"/>
          <w:color w:val="auto"/>
        </w:rPr>
      </w:pPr>
      <w:r>
        <w:rPr>
          <w:rFonts w:ascii="Arial" w:cs="Arial" w:eastAsia="Arial" w:hAnsi="Arial"/>
          <w:sz w:val="12"/>
          <w:szCs w:val="12"/>
          <w:b w:val="1"/>
          <w:bCs w:val="1"/>
          <w:color w:val="auto"/>
        </w:rPr>
        <w:t>REGISTERED PURSUANT TO SECTION 12 OF THE</w:t>
      </w:r>
    </w:p>
    <w:p>
      <w:pPr>
        <w:jc w:val="center"/>
        <w:spacing w:after="0"/>
        <w:rPr>
          <w:sz w:val="20"/>
          <w:szCs w:val="20"/>
          <w:color w:val="auto"/>
        </w:rPr>
      </w:pPr>
      <w:r>
        <w:rPr>
          <w:rFonts w:ascii="Arial" w:cs="Arial" w:eastAsia="Arial" w:hAnsi="Arial"/>
          <w:sz w:val="12"/>
          <w:szCs w:val="12"/>
          <w:b w:val="1"/>
          <w:bCs w:val="1"/>
          <w:color w:val="auto"/>
        </w:rPr>
        <w:t>SECURITIES EXCHANGE ACT OF 1934</w:t>
      </w:r>
    </w:p>
    <w:p>
      <w:pPr>
        <w:spacing w:after="0" w:line="39" w:lineRule="exact"/>
        <w:rPr>
          <w:sz w:val="20"/>
          <w:szCs w:val="20"/>
          <w:color w:val="auto"/>
        </w:rPr>
      </w:pPr>
    </w:p>
    <w:p>
      <w:pPr>
        <w:jc w:val="both"/>
        <w:spacing w:after="0" w:line="221" w:lineRule="auto"/>
        <w:rPr>
          <w:sz w:val="20"/>
          <w:szCs w:val="20"/>
          <w:color w:val="auto"/>
        </w:rPr>
      </w:pPr>
      <w:r>
        <w:rPr>
          <w:rFonts w:ascii="Arial" w:cs="Arial" w:eastAsia="Arial" w:hAnsi="Arial"/>
          <w:sz w:val="12"/>
          <w:szCs w:val="12"/>
          <w:color w:val="auto"/>
        </w:rPr>
        <w:t>As of December 31, 2023, Honeywell International Inc. (“Honeywell,” “we,” “our” or “us”) had seven classes of securities registered under Section 12 of the Securities Exchange Act of 1934, as amended (the “Exchange Act”): (1) our Common Stock, par value $1.00 per share; (2) our 0.000% Senior Notes due 2024; (3) our 3.500% Senior Notes due 2027; (4) our 2.250% Senior Notes due 2028; (5) our 0.750% Senior</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Notes due 2032; (6) our 3.750% Senior Notes due 2032; and (7) our 4.125% Senior Notes due 2034.</w:t>
      </w:r>
    </w:p>
    <w:p>
      <w:pPr>
        <w:spacing w:after="0" w:line="39"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Description of Common Stock</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60" w:lineRule="exact"/>
        <w:rPr>
          <w:sz w:val="20"/>
          <w:szCs w:val="20"/>
          <w:color w:val="auto"/>
        </w:rPr>
      </w:pPr>
    </w:p>
    <w:p>
      <w:pPr>
        <w:jc w:val="both"/>
        <w:ind w:firstLine="288"/>
        <w:spacing w:after="0" w:line="227" w:lineRule="auto"/>
        <w:rPr>
          <w:sz w:val="20"/>
          <w:szCs w:val="20"/>
          <w:color w:val="auto"/>
        </w:rPr>
      </w:pPr>
      <w:r>
        <w:rPr>
          <w:rFonts w:ascii="Arial" w:cs="Arial" w:eastAsia="Arial" w:hAnsi="Arial"/>
          <w:sz w:val="12"/>
          <w:szCs w:val="12"/>
          <w:color w:val="auto"/>
        </w:rPr>
        <w:t>As of the date of this filing, we are authorized to issue up to 2,000,000,000 shares of common stock. As of December 31, 2023, we had approximately 958 million shares of common stock issued (including approximately 306 million shares held in treasury). EQ Shareowner Services, a division of Equiniti Trust Company, is the transfer agent and registrar for our common stock. Shares of common stock are listed on The Nasdaq Stock Market LLC (“Nasdaq”) under the symbol “HON.”</w:t>
      </w:r>
    </w:p>
    <w:p>
      <w:pPr>
        <w:spacing w:after="0" w:line="40" w:lineRule="exact"/>
        <w:rPr>
          <w:sz w:val="20"/>
          <w:szCs w:val="20"/>
          <w:color w:val="auto"/>
        </w:rPr>
      </w:pPr>
    </w:p>
    <w:p>
      <w:pPr>
        <w:jc w:val="both"/>
        <w:ind w:right="20" w:firstLine="288"/>
        <w:spacing w:after="0" w:line="239" w:lineRule="auto"/>
        <w:rPr>
          <w:sz w:val="20"/>
          <w:szCs w:val="20"/>
          <w:color w:val="auto"/>
        </w:rPr>
      </w:pPr>
      <w:r>
        <w:rPr>
          <w:rFonts w:ascii="Arial" w:cs="Arial" w:eastAsia="Arial" w:hAnsi="Arial"/>
          <w:sz w:val="12"/>
          <w:szCs w:val="12"/>
          <w:color w:val="auto"/>
        </w:rPr>
        <w:t>The following summary is not complete. You should refer to the applicable provision of Honeywell’s charter and by-laws, each of which are incorporated by reference as an exhibit to the Annual Report on Form 10-K of which this Exhibit 4.2 is a part, and to Delaware corporate law for a complete statement of the terms and rights of our common stock.</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Dividends</w:t>
      </w:r>
    </w:p>
    <w:p>
      <w:pPr>
        <w:spacing w:after="0" w:line="60" w:lineRule="exact"/>
        <w:rPr>
          <w:sz w:val="20"/>
          <w:szCs w:val="20"/>
          <w:color w:val="auto"/>
        </w:rPr>
      </w:pPr>
    </w:p>
    <w:p>
      <w:pPr>
        <w:jc w:val="both"/>
        <w:ind w:firstLine="288"/>
        <w:spacing w:after="0" w:line="239" w:lineRule="auto"/>
        <w:rPr>
          <w:sz w:val="20"/>
          <w:szCs w:val="20"/>
          <w:color w:val="auto"/>
        </w:rPr>
      </w:pPr>
      <w:r>
        <w:rPr>
          <w:rFonts w:ascii="Arial" w:cs="Arial" w:eastAsia="Arial" w:hAnsi="Arial"/>
          <w:sz w:val="12"/>
          <w:szCs w:val="12"/>
          <w:color w:val="auto"/>
        </w:rPr>
        <w:t>Holders of common stock are entitled to receive dividends when, as and if declared by the board of directors, out of funds legally available for their payment, subject to the rights of holders of any preferred stock outstanding.</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Voting Rights</w:t>
      </w:r>
    </w:p>
    <w:p>
      <w:pPr>
        <w:spacing w:after="0" w:line="60" w:lineRule="exact"/>
        <w:rPr>
          <w:sz w:val="20"/>
          <w:szCs w:val="20"/>
          <w:color w:val="auto"/>
        </w:rPr>
      </w:pPr>
    </w:p>
    <w:p>
      <w:pPr>
        <w:jc w:val="both"/>
        <w:ind w:firstLine="288"/>
        <w:spacing w:after="0" w:line="227" w:lineRule="auto"/>
        <w:rPr>
          <w:sz w:val="20"/>
          <w:szCs w:val="20"/>
          <w:color w:val="auto"/>
        </w:rPr>
      </w:pPr>
      <w:r>
        <w:rPr>
          <w:rFonts w:ascii="Arial" w:cs="Arial" w:eastAsia="Arial" w:hAnsi="Arial"/>
          <w:sz w:val="12"/>
          <w:szCs w:val="12"/>
          <w:color w:val="auto"/>
        </w:rPr>
        <w:t>Each holder of common stock is entitled to one vote per share. Subject to any rights of the holders of any series of preferred stock pursuant to applicable law or the provision of the certificate of designations creating that series, all voting rights are vested in the holders of shares of common stock. Holders of shares of common stock have noncumulative voting rights, which means that the holders of more than 50% of the shares voting for the election of directors can elect 100% of the directors, and the holders of the remaining shares voting for the election of directors will not be able to elect any directors.</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Rights Upon Liquidation</w:t>
      </w:r>
    </w:p>
    <w:p>
      <w:pPr>
        <w:spacing w:after="0" w:line="51" w:lineRule="exact"/>
        <w:rPr>
          <w:sz w:val="20"/>
          <w:szCs w:val="20"/>
          <w:color w:val="auto"/>
        </w:rPr>
      </w:pPr>
    </w:p>
    <w:p>
      <w:pPr>
        <w:jc w:val="both"/>
        <w:ind w:right="20" w:firstLine="288"/>
        <w:spacing w:after="0" w:line="239" w:lineRule="auto"/>
        <w:rPr>
          <w:sz w:val="20"/>
          <w:szCs w:val="20"/>
          <w:color w:val="auto"/>
        </w:rPr>
      </w:pPr>
      <w:r>
        <w:rPr>
          <w:rFonts w:ascii="Arial" w:cs="Arial" w:eastAsia="Arial" w:hAnsi="Arial"/>
          <w:sz w:val="12"/>
          <w:szCs w:val="12"/>
          <w:color w:val="auto"/>
        </w:rPr>
        <w:t>In the event of Honeywell’s voluntary or involuntary liquidation, dissolution or winding up, the holders of common stock will be entitled to share equally in any of Honeywell’s assets available for distribution after the payment in full of all debts and distributions and after the holders of any series of outstanding preferred stock have received their liquidation preferences in full.</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Rights</w:t>
      </w:r>
    </w:p>
    <w:p>
      <w:pPr>
        <w:spacing w:after="0" w:line="51" w:lineRule="exact"/>
        <w:rPr>
          <w:sz w:val="20"/>
          <w:szCs w:val="20"/>
          <w:color w:val="auto"/>
        </w:rPr>
      </w:pPr>
    </w:p>
    <w:p>
      <w:pPr>
        <w:jc w:val="both"/>
        <w:ind w:firstLine="288"/>
        <w:spacing w:after="0" w:line="221" w:lineRule="auto"/>
        <w:rPr>
          <w:sz w:val="20"/>
          <w:szCs w:val="20"/>
          <w:color w:val="auto"/>
        </w:rPr>
      </w:pPr>
      <w:r>
        <w:rPr>
          <w:rFonts w:ascii="Arial" w:cs="Arial" w:eastAsia="Arial" w:hAnsi="Arial"/>
          <w:sz w:val="12"/>
          <w:szCs w:val="12"/>
          <w:color w:val="auto"/>
        </w:rPr>
        <w:t>Holders of shares of common stock are not entitled to preemptive rights. Shares of common stock are not convertible into shares of any other class of capital stock. If we merge or consolidate with or into another company and as a result our common stock is converted into or exchangeable for shares of stock, other securities or property (including cash), all holders of common stock will be entitled to receive the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same kind and amount of consideration per share of common stock.</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Possible Anti-Takeover Provisions</w:t>
      </w:r>
    </w:p>
    <w:p>
      <w:pPr>
        <w:spacing w:after="0" w:line="5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Honeywell’s charter and by-laws provide:</w:t>
      </w:r>
    </w:p>
    <w:p>
      <w:pPr>
        <w:spacing w:after="0" w:line="60" w:lineRule="exact"/>
        <w:rPr>
          <w:sz w:val="20"/>
          <w:szCs w:val="20"/>
          <w:color w:val="auto"/>
        </w:rPr>
      </w:pPr>
    </w:p>
    <w:p>
      <w:pPr>
        <w:ind w:left="640" w:right="260" w:hanging="216"/>
        <w:spacing w:after="0" w:line="239" w:lineRule="auto"/>
        <w:tabs>
          <w:tab w:leader="none" w:pos="637" w:val="left"/>
        </w:tabs>
        <w:numPr>
          <w:ilvl w:val="0"/>
          <w:numId w:val="184"/>
        </w:numPr>
        <w:rPr>
          <w:rFonts w:ascii="Times New Roman" w:cs="Times New Roman" w:eastAsia="Times New Roman" w:hAnsi="Times New Roman"/>
          <w:sz w:val="12"/>
          <w:szCs w:val="12"/>
          <w:color w:val="auto"/>
        </w:rPr>
      </w:pPr>
      <w:r>
        <w:rPr>
          <w:rFonts w:ascii="Arial" w:cs="Arial" w:eastAsia="Arial" w:hAnsi="Arial"/>
          <w:sz w:val="12"/>
          <w:szCs w:val="12"/>
          <w:color w:val="auto"/>
        </w:rPr>
        <w:t>that the board of directors may establish the number of seats on the board, subject to the right of preferred stockholders to elect directors in certain circumstances and shareowners’ rights to set the number of seats upon the vote of holders of a majority of the outstanding shares of common stock;</w:t>
      </w:r>
    </w:p>
    <w:p>
      <w:pPr>
        <w:spacing w:after="0" w:line="3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84"/>
        </w:numPr>
        <w:rPr>
          <w:rFonts w:ascii="Times New Roman" w:cs="Times New Roman" w:eastAsia="Times New Roman" w:hAnsi="Times New Roman"/>
          <w:sz w:val="12"/>
          <w:szCs w:val="12"/>
          <w:color w:val="auto"/>
        </w:rPr>
      </w:pPr>
      <w:r>
        <w:rPr>
          <w:rFonts w:ascii="Arial" w:cs="Arial" w:eastAsia="Arial" w:hAnsi="Arial"/>
          <w:sz w:val="12"/>
          <w:szCs w:val="12"/>
          <w:color w:val="auto"/>
        </w:rPr>
        <w:t>that vacancies on the board of directors other than at the annual meeting are filled by a vote of the remaining directors;</w:t>
      </w:r>
    </w:p>
    <w:p>
      <w:pPr>
        <w:sectPr>
          <w:pgSz w:w="11900" w:h="16838" w:orient="portrait"/>
          <w:cols w:equalWidth="0" w:num="1">
            <w:col w:w="11300"/>
          </w:cols>
          <w:pgMar w:left="300" w:top="991" w:right="299" w:bottom="1440" w:gutter="0" w:footer="0" w:header="0"/>
        </w:sectPr>
      </w:pPr>
    </w:p>
    <w:bookmarkStart w:id="130" w:name="page131"/>
    <w:bookmarkEnd w:id="130"/>
    <w:p>
      <w:pPr>
        <w:ind w:left="640" w:right="120" w:hanging="216"/>
        <w:spacing w:after="0" w:line="239" w:lineRule="auto"/>
        <w:tabs>
          <w:tab w:leader="none" w:pos="637" w:val="left"/>
        </w:tabs>
        <w:numPr>
          <w:ilvl w:val="0"/>
          <w:numId w:val="185"/>
        </w:numPr>
        <w:rPr>
          <w:rFonts w:ascii="Times New Roman" w:cs="Times New Roman" w:eastAsia="Times New Roman" w:hAnsi="Times New Roman"/>
          <w:sz w:val="12"/>
          <w:szCs w:val="12"/>
          <w:color w:val="auto"/>
        </w:rPr>
      </w:pPr>
      <w:r>
        <w:rPr>
          <w:rFonts w:ascii="Arial" w:cs="Arial" w:eastAsia="Arial" w:hAnsi="Arial"/>
          <w:sz w:val="12"/>
          <w:szCs w:val="12"/>
          <w:color w:val="auto"/>
        </w:rPr>
        <w:t>that special meetings of shareowners generally may be called only by the chief executive officer, by a majority of the authorized number of directors, or by the holders of not less than fifteen percent of the outstanding shares of Honeywell’s common stock (excluding derivatives);</w:t>
      </w:r>
    </w:p>
    <w:p>
      <w:pPr>
        <w:spacing w:after="0" w:line="39"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85"/>
        </w:numPr>
        <w:rPr>
          <w:rFonts w:ascii="Times New Roman" w:cs="Times New Roman" w:eastAsia="Times New Roman" w:hAnsi="Times New Roman"/>
          <w:sz w:val="12"/>
          <w:szCs w:val="12"/>
          <w:color w:val="auto"/>
        </w:rPr>
      </w:pPr>
      <w:r>
        <w:rPr>
          <w:rFonts w:ascii="Arial" w:cs="Arial" w:eastAsia="Arial" w:hAnsi="Arial"/>
          <w:sz w:val="12"/>
          <w:szCs w:val="12"/>
          <w:color w:val="auto"/>
        </w:rPr>
        <w:t>that action may be taken by shareowners only at annual or special meetings and not by written consent;</w:t>
      </w:r>
    </w:p>
    <w:p>
      <w:pPr>
        <w:spacing w:after="0" w:line="50" w:lineRule="exact"/>
        <w:rPr>
          <w:rFonts w:ascii="Times New Roman" w:cs="Times New Roman" w:eastAsia="Times New Roman" w:hAnsi="Times New Roman"/>
          <w:sz w:val="12"/>
          <w:szCs w:val="12"/>
          <w:color w:val="auto"/>
        </w:rPr>
      </w:pPr>
    </w:p>
    <w:p>
      <w:pPr>
        <w:ind w:left="640" w:right="180" w:hanging="216"/>
        <w:spacing w:after="0" w:line="239" w:lineRule="auto"/>
        <w:tabs>
          <w:tab w:leader="none" w:pos="637" w:val="left"/>
        </w:tabs>
        <w:numPr>
          <w:ilvl w:val="0"/>
          <w:numId w:val="185"/>
        </w:numPr>
        <w:rPr>
          <w:rFonts w:ascii="Times New Roman" w:cs="Times New Roman" w:eastAsia="Times New Roman" w:hAnsi="Times New Roman"/>
          <w:sz w:val="12"/>
          <w:szCs w:val="12"/>
          <w:color w:val="auto"/>
        </w:rPr>
      </w:pPr>
      <w:r>
        <w:rPr>
          <w:rFonts w:ascii="Arial" w:cs="Arial" w:eastAsia="Arial" w:hAnsi="Arial"/>
          <w:sz w:val="12"/>
          <w:szCs w:val="12"/>
          <w:color w:val="auto"/>
        </w:rPr>
        <w:t>that advance notice must be given to Honeywell for a shareowner to nominate directors for election at a shareowner meeting, including for director election contests subject to the U.S. Securities and Exchange Commission’s (the “SEC”) universal proxy rules; and</w:t>
      </w:r>
    </w:p>
    <w:p>
      <w:pPr>
        <w:spacing w:after="0" w:line="39" w:lineRule="exact"/>
        <w:rPr>
          <w:rFonts w:ascii="Times New Roman" w:cs="Times New Roman" w:eastAsia="Times New Roman" w:hAnsi="Times New Roman"/>
          <w:sz w:val="12"/>
          <w:szCs w:val="12"/>
          <w:color w:val="auto"/>
        </w:rPr>
      </w:pPr>
    </w:p>
    <w:p>
      <w:pPr>
        <w:ind w:left="640" w:right="180" w:hanging="216"/>
        <w:spacing w:after="0" w:line="239" w:lineRule="auto"/>
        <w:tabs>
          <w:tab w:leader="none" w:pos="637" w:val="left"/>
        </w:tabs>
        <w:numPr>
          <w:ilvl w:val="0"/>
          <w:numId w:val="185"/>
        </w:numPr>
        <w:rPr>
          <w:rFonts w:ascii="Times New Roman" w:cs="Times New Roman" w:eastAsia="Times New Roman" w:hAnsi="Times New Roman"/>
          <w:sz w:val="12"/>
          <w:szCs w:val="12"/>
          <w:color w:val="auto"/>
        </w:rPr>
      </w:pPr>
      <w:r>
        <w:rPr>
          <w:rFonts w:ascii="Arial" w:cs="Arial" w:eastAsia="Arial" w:hAnsi="Arial"/>
          <w:sz w:val="12"/>
          <w:szCs w:val="12"/>
          <w:color w:val="auto"/>
        </w:rPr>
        <w:t>that the board of directors may in limited circumstances, without stockholder approval, adopt a plan to provide for the distribution to stockholders of preferred stock or certain other securities upon the occurrence of certain triggering events (but any such plan adopted without stockholder approval must expire within one year of adoption unless ratified by the stockholders).</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Any of these provisions could delay, deter or prevent a tender offer for or attempted takeover of Honeywell.</w:t>
      </w:r>
    </w:p>
    <w:p>
      <w:pPr>
        <w:spacing w:after="0" w:line="60" w:lineRule="exact"/>
        <w:rPr>
          <w:sz w:val="20"/>
          <w:szCs w:val="20"/>
          <w:color w:val="auto"/>
        </w:rPr>
      </w:pPr>
    </w:p>
    <w:p>
      <w:pPr>
        <w:ind w:firstLine="288"/>
        <w:spacing w:after="0" w:line="239" w:lineRule="auto"/>
        <w:rPr>
          <w:sz w:val="20"/>
          <w:szCs w:val="20"/>
          <w:color w:val="auto"/>
        </w:rPr>
      </w:pPr>
      <w:r>
        <w:rPr>
          <w:rFonts w:ascii="Arial" w:cs="Arial" w:eastAsia="Arial" w:hAnsi="Arial"/>
          <w:sz w:val="12"/>
          <w:szCs w:val="12"/>
          <w:color w:val="auto"/>
        </w:rPr>
        <w:t>Our charter permits us to issue up to 40,000,000 shares of preferred stock with terms that may be set by our board of directors or a committee of the board. That preferred stock could have terms that could delay, deter or prevent a tender offer or takeover attempt of Honeywell.</w:t>
      </w:r>
    </w:p>
    <w:p>
      <w:pPr>
        <w:spacing w:after="0" w:line="3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Under Delaware law, an acquirer of 15% or more of our shares of stock must wait three years before a business combination with us unless one of the following exceptions is available:</w:t>
      </w:r>
    </w:p>
    <w:p>
      <w:pPr>
        <w:spacing w:after="0" w:line="60" w:lineRule="exact"/>
        <w:rPr>
          <w:sz w:val="20"/>
          <w:szCs w:val="20"/>
          <w:color w:val="auto"/>
        </w:rPr>
      </w:pPr>
    </w:p>
    <w:p>
      <w:pPr>
        <w:ind w:left="640" w:hanging="216"/>
        <w:spacing w:after="0"/>
        <w:tabs>
          <w:tab w:leader="none" w:pos="640" w:val="left"/>
        </w:tabs>
        <w:numPr>
          <w:ilvl w:val="0"/>
          <w:numId w:val="186"/>
        </w:numPr>
        <w:rPr>
          <w:rFonts w:ascii="Times New Roman" w:cs="Times New Roman" w:eastAsia="Times New Roman" w:hAnsi="Times New Roman"/>
          <w:sz w:val="12"/>
          <w:szCs w:val="12"/>
          <w:color w:val="auto"/>
        </w:rPr>
      </w:pPr>
      <w:r>
        <w:rPr>
          <w:rFonts w:ascii="Arial" w:cs="Arial" w:eastAsia="Arial" w:hAnsi="Arial"/>
          <w:sz w:val="12"/>
          <w:szCs w:val="12"/>
          <w:color w:val="auto"/>
        </w:rPr>
        <w:t>approval by our board of directors prior to the time the acquirer became a 15% shareowner of Honeywell;</w:t>
      </w:r>
    </w:p>
    <w:p>
      <w:pPr>
        <w:spacing w:after="0" w:line="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86"/>
        </w:numPr>
        <w:rPr>
          <w:rFonts w:ascii="Times New Roman" w:cs="Times New Roman" w:eastAsia="Times New Roman" w:hAnsi="Times New Roman"/>
          <w:sz w:val="12"/>
          <w:szCs w:val="12"/>
          <w:color w:val="auto"/>
        </w:rPr>
      </w:pPr>
      <w:r>
        <w:rPr>
          <w:rFonts w:ascii="Arial" w:cs="Arial" w:eastAsia="Arial" w:hAnsi="Arial"/>
          <w:sz w:val="12"/>
          <w:szCs w:val="12"/>
          <w:color w:val="auto"/>
        </w:rPr>
        <w:t>acquisition of at least 85% of our voting stock in the transaction in which the acquirer became a 15% shareowner of Honeywell; or</w:t>
      </w:r>
    </w:p>
    <w:p>
      <w:pPr>
        <w:spacing w:after="0" w:line="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86"/>
        </w:numPr>
        <w:rPr>
          <w:rFonts w:ascii="Times New Roman" w:cs="Times New Roman" w:eastAsia="Times New Roman" w:hAnsi="Times New Roman"/>
          <w:sz w:val="12"/>
          <w:szCs w:val="12"/>
          <w:color w:val="auto"/>
        </w:rPr>
      </w:pPr>
      <w:r>
        <w:rPr>
          <w:rFonts w:ascii="Arial" w:cs="Arial" w:eastAsia="Arial" w:hAnsi="Arial"/>
          <w:sz w:val="12"/>
          <w:szCs w:val="12"/>
          <w:color w:val="auto"/>
        </w:rPr>
        <w:t>approval of the business combination by our board of directors and two-thirds of our disinterested shareowners.</w:t>
      </w:r>
    </w:p>
    <w:p>
      <w:pPr>
        <w:spacing w:after="0" w:line="59" w:lineRule="exact"/>
        <w:rPr>
          <w:sz w:val="20"/>
          <w:szCs w:val="20"/>
          <w:color w:val="auto"/>
        </w:rPr>
      </w:pPr>
    </w:p>
    <w:p>
      <w:pPr>
        <w:jc w:val="both"/>
        <w:ind w:firstLine="288"/>
        <w:spacing w:after="0" w:line="215" w:lineRule="auto"/>
        <w:rPr>
          <w:sz w:val="20"/>
          <w:szCs w:val="20"/>
          <w:color w:val="auto"/>
        </w:rPr>
      </w:pPr>
      <w:r>
        <w:rPr>
          <w:rFonts w:ascii="Arial" w:cs="Arial" w:eastAsia="Arial" w:hAnsi="Arial"/>
          <w:sz w:val="12"/>
          <w:szCs w:val="12"/>
          <w:color w:val="auto"/>
        </w:rPr>
        <w:t>Honeywell’s by-laws provide that, unless Honeywell consents in writing to the selection of an alternative forum, a state or federal court located within the State of Delaware will be the sole and exclusive forum for (i) any derivative action or proceeding brought on behalf of Honeywell, (ii) any action asserting a claim of breach of a fiduciary duty owed by any director, officer or other employee of Honeywell to Honeywell or Honeywell’s stockholders, (iii) any action asserting a claim arising pursuant to any provision of the Delaware General Corporation Law or (iv) any action asserting a claim governed by the internal affairs doctrine.</w:t>
      </w:r>
    </w:p>
    <w:p>
      <w:pPr>
        <w:spacing w:after="0" w:line="1" w:lineRule="exact"/>
        <w:rPr>
          <w:sz w:val="20"/>
          <w:szCs w:val="20"/>
          <w:color w:val="auto"/>
        </w:rPr>
      </w:pPr>
    </w:p>
    <w:p>
      <w:pPr>
        <w:jc w:val="both"/>
        <w:ind w:right="20"/>
        <w:spacing w:after="0" w:line="229" w:lineRule="auto"/>
        <w:rPr>
          <w:sz w:val="20"/>
          <w:szCs w:val="20"/>
          <w:color w:val="auto"/>
        </w:rPr>
      </w:pPr>
      <w:r>
        <w:rPr>
          <w:rFonts w:ascii="Arial" w:cs="Arial" w:eastAsia="Arial" w:hAnsi="Arial"/>
          <w:sz w:val="12"/>
          <w:szCs w:val="12"/>
          <w:color w:val="auto"/>
        </w:rPr>
        <w:t>Honeywell’s by-laws also provide that any person or entity purchasing or otherwise acquiring any interest in shares of capital stock of Honeywell will be deemed to have notice of and consented to the exclusive forum provisions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982" w:right="29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2"/>
          <w:szCs w:val="12"/>
          <w:b w:val="1"/>
          <w:bCs w:val="1"/>
          <w:color w:val="auto"/>
        </w:rPr>
        <w:t>Description of Debt Securities</w:t>
      </w:r>
    </w:p>
    <w:p>
      <w:pPr>
        <w:spacing w:after="0" w:line="51" w:lineRule="exact"/>
        <w:rPr>
          <w:sz w:val="20"/>
          <w:szCs w:val="20"/>
          <w:color w:val="auto"/>
        </w:rPr>
      </w:pPr>
    </w:p>
    <w:p>
      <w:pPr>
        <w:jc w:val="center"/>
        <w:ind w:right="-219"/>
        <w:spacing w:after="0"/>
        <w:rPr>
          <w:sz w:val="20"/>
          <w:szCs w:val="20"/>
          <w:color w:val="auto"/>
        </w:rPr>
      </w:pPr>
      <w:r>
        <w:rPr>
          <w:rFonts w:ascii="Arial" w:cs="Arial" w:eastAsia="Arial" w:hAnsi="Arial"/>
          <w:sz w:val="12"/>
          <w:szCs w:val="12"/>
          <w:i w:val="1"/>
          <w:iCs w:val="1"/>
          <w:color w:val="auto"/>
        </w:rPr>
        <w:t>The following description of certain material terms of our 0.000% Senior Notes due 2024 (the “2024 notes”), our 3.500% Senior Notes due 2027 (the “2027 notes”), our 2.250% Senior Notes due 2028 (the</w:t>
      </w:r>
    </w:p>
    <w:p>
      <w:pPr>
        <w:jc w:val="both"/>
        <w:spacing w:after="0" w:line="208" w:lineRule="auto"/>
        <w:rPr>
          <w:sz w:val="20"/>
          <w:szCs w:val="20"/>
          <w:color w:val="auto"/>
        </w:rPr>
      </w:pPr>
      <w:r>
        <w:rPr>
          <w:rFonts w:ascii="Arial" w:cs="Arial" w:eastAsia="Arial" w:hAnsi="Arial"/>
          <w:sz w:val="12"/>
          <w:szCs w:val="12"/>
          <w:i w:val="1"/>
          <w:iCs w:val="1"/>
          <w:color w:val="auto"/>
        </w:rPr>
        <w:t>“2028 notes”), our 0.750% Senior Notes due 2032 (the “0.750% 2032 notes”), our 3.750% Senior Notes due 2032 (the “3.750% 2032 notes”) and our 4.125% Senior Notes due 2034 (the “2034 Notes”) (collectively referred to in this exhibit as the “debt securities”) does not purport to be complete. The following description is subject to, and is qualified in its entirety by reference to, the debt securities and the indenture between us and Deutsche Bank Trust Company Americas, as trustee, dated March 1, 2007 (as may be amended, supplemented or amended and restated from time to time) (the “indenture”). Terms used that are otherwise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not defined have the meanings given to them in the indenture.</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have outstanding €500 million aggregate principal amount of our 0.000% Senior Notes due 2024, €650 million aggregate principal amount of our 3.500% Senior Notes due 2027, €750 million aggregate</w:t>
      </w:r>
    </w:p>
    <w:p>
      <w:pPr>
        <w:jc w:val="both"/>
        <w:ind w:right="20"/>
        <w:spacing w:after="0" w:line="229" w:lineRule="auto"/>
        <w:rPr>
          <w:sz w:val="20"/>
          <w:szCs w:val="20"/>
          <w:color w:val="auto"/>
        </w:rPr>
      </w:pPr>
      <w:r>
        <w:rPr>
          <w:rFonts w:ascii="Arial" w:cs="Arial" w:eastAsia="Arial" w:hAnsi="Arial"/>
          <w:sz w:val="12"/>
          <w:szCs w:val="12"/>
          <w:color w:val="auto"/>
        </w:rPr>
        <w:t>principal amount of our 2.250% Senior Notes due 2028, €500 million aggregate principal amount of our 0.750% Senior Notes due 2032, €500 million aggregate principal amount of our 3.750% Senior Notes due 2032, and €1.0 billion aggregate principal amount of our 4.125% Senior Notes due 2034, which securities are listed on Nasdaq.</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Each series of the debt securities was issued as separate series under the indenture between us and Deutsche Bank Trust Company Americas, as trustee. The 2024 notes will mature on March 10, 2024, the</w:t>
      </w:r>
    </w:p>
    <w:p>
      <w:pPr>
        <w:spacing w:after="0" w:line="203" w:lineRule="auto"/>
        <w:rPr>
          <w:sz w:val="20"/>
          <w:szCs w:val="20"/>
          <w:color w:val="auto"/>
        </w:rPr>
      </w:pPr>
      <w:r>
        <w:rPr>
          <w:rFonts w:ascii="Arial" w:cs="Arial" w:eastAsia="Arial" w:hAnsi="Arial"/>
          <w:sz w:val="12"/>
          <w:szCs w:val="12"/>
          <w:color w:val="auto"/>
        </w:rPr>
        <w:t>2027 notes will mature on May 17, 2027, the 2028 notes will mature on February 22, 2028, the 0.750% 2032 notes will mature on March 10, 2032, the 3.750% 2032 notes will mature on May 17, 2032, and the</w:t>
      </w:r>
    </w:p>
    <w:p>
      <w:pPr>
        <w:spacing w:after="0"/>
        <w:rPr>
          <w:sz w:val="20"/>
          <w:szCs w:val="20"/>
          <w:color w:val="auto"/>
        </w:rPr>
      </w:pPr>
      <w:r>
        <w:rPr>
          <w:rFonts w:ascii="Arial" w:cs="Arial" w:eastAsia="Arial" w:hAnsi="Arial"/>
          <w:sz w:val="12"/>
          <w:szCs w:val="12"/>
          <w:color w:val="auto"/>
        </w:rPr>
        <w:t>2034 notes will mature on November 2, 2034.</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debt securities are issued only in registered, book-entry form without interest coupons in minimum denominations of €100,000 and integral multiples of €1,000 in excess thereof.</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debt securities are not subject to a sinking fund.</w:t>
      </w:r>
    </w:p>
    <w:p>
      <w:pPr>
        <w:spacing w:after="0" w:line="51"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2"/>
          <w:szCs w:val="12"/>
          <w:color w:val="auto"/>
        </w:rPr>
        <w:t>The term “business day” means any day, other than a Saturday or Sunday, (1) which is not a day on which banking institutions in The City of New York or The City of London are authorized or required by law or executive order to close and (2) on which the Trans-European Automated Real-time Gross Settlement Express Transfer system (the TARGET2 system), or any successor thereto, operates.</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Covenants</w:t>
      </w:r>
    </w:p>
    <w:p>
      <w:pPr>
        <w:spacing w:after="0" w:line="51" w:lineRule="exact"/>
        <w:rPr>
          <w:sz w:val="20"/>
          <w:szCs w:val="20"/>
          <w:color w:val="auto"/>
        </w:rPr>
      </w:pPr>
    </w:p>
    <w:p>
      <w:pPr>
        <w:jc w:val="both"/>
        <w:ind w:firstLine="228"/>
        <w:spacing w:after="0" w:line="221" w:lineRule="auto"/>
        <w:rPr>
          <w:sz w:val="20"/>
          <w:szCs w:val="20"/>
          <w:color w:val="auto"/>
        </w:rPr>
      </w:pPr>
      <w:r>
        <w:rPr>
          <w:rFonts w:ascii="Arial" w:cs="Arial" w:eastAsia="Arial" w:hAnsi="Arial"/>
          <w:sz w:val="12"/>
          <w:szCs w:val="12"/>
          <w:color w:val="auto"/>
        </w:rPr>
        <w:t>Except as described below with respect to any series of debt securities, we are not restricted by the indenture from incurring, assuming or becoming liable for any type of debt or other obligations, from paying dividends or making distributions on our capital stock or purchasing or redeeming our capital stock. The indenture does not require the maintenance of any financial ratios or specified levels of net worth or liquidity.</w:t>
      </w:r>
    </w:p>
    <w:p>
      <w:pPr>
        <w:spacing w:after="0" w:line="1" w:lineRule="exact"/>
        <w:rPr>
          <w:sz w:val="20"/>
          <w:szCs w:val="20"/>
          <w:color w:val="auto"/>
        </w:rPr>
      </w:pPr>
    </w:p>
    <w:p>
      <w:pPr>
        <w:jc w:val="both"/>
        <w:ind w:right="20"/>
        <w:spacing w:after="0" w:line="220" w:lineRule="auto"/>
        <w:rPr>
          <w:sz w:val="20"/>
          <w:szCs w:val="20"/>
          <w:color w:val="auto"/>
        </w:rPr>
      </w:pPr>
      <w:r>
        <w:rPr>
          <w:rFonts w:ascii="Arial" w:cs="Arial" w:eastAsia="Arial" w:hAnsi="Arial"/>
          <w:sz w:val="12"/>
          <w:szCs w:val="12"/>
          <w:color w:val="auto"/>
        </w:rPr>
        <w:t>In addition, with certain exceptions, the indenture does not contain any covenants or other provisions that would limit our right to incur additional indebtedness. The indenture does not contain any provisions that would require us to repurchase or redeem or otherwise modify the terms of any of the debt securities upon a change in control or other events that may adversely affect the creditworthiness of the debt securities, such as, for example, a highly leveraged transaction.</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Covenants contained in the indenture, which are summarized below, are applicable to each series of debt securities so long as any of the debt securities of that series are outstanding.</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982" w:right="299" w:bottom="1440" w:gutter="0" w:footer="0" w:header="0"/>
        </w:sectPr>
      </w:pPr>
    </w:p>
    <w:bookmarkStart w:id="132" w:name="page133"/>
    <w:bookmarkEnd w:id="132"/>
    <w:p>
      <w:pPr>
        <w:ind w:left="220"/>
        <w:spacing w:after="0"/>
        <w:rPr>
          <w:sz w:val="20"/>
          <w:szCs w:val="20"/>
          <w:color w:val="auto"/>
        </w:rPr>
      </w:pPr>
      <w:r>
        <w:rPr>
          <w:rFonts w:ascii="Arial" w:cs="Arial" w:eastAsia="Arial" w:hAnsi="Arial"/>
          <w:sz w:val="12"/>
          <w:szCs w:val="12"/>
          <w:i w:val="1"/>
          <w:iCs w:val="1"/>
          <w:color w:val="auto"/>
        </w:rPr>
        <w:t xml:space="preserve">Limitation on Mortgages. </w:t>
      </w:r>
      <w:r>
        <w:rPr>
          <w:rFonts w:ascii="Arial" w:cs="Arial" w:eastAsia="Arial" w:hAnsi="Arial"/>
          <w:sz w:val="12"/>
          <w:szCs w:val="12"/>
          <w:color w:val="auto"/>
        </w:rPr>
        <w:t>In the indenture, we covenant not to issue, assume or guarantee any indebtedness for borrowed money secured by liens on:</w:t>
      </w:r>
    </w:p>
    <w:p>
      <w:pPr>
        <w:spacing w:after="0" w:line="51" w:lineRule="exact"/>
        <w:rPr>
          <w:sz w:val="20"/>
          <w:szCs w:val="20"/>
          <w:color w:val="auto"/>
        </w:rPr>
      </w:pPr>
    </w:p>
    <w:p>
      <w:pPr>
        <w:ind w:left="640" w:hanging="216"/>
        <w:spacing w:after="0"/>
        <w:tabs>
          <w:tab w:leader="none" w:pos="640" w:val="left"/>
        </w:tabs>
        <w:numPr>
          <w:ilvl w:val="0"/>
          <w:numId w:val="187"/>
        </w:numPr>
        <w:rPr>
          <w:rFonts w:ascii="Times New Roman" w:cs="Times New Roman" w:eastAsia="Times New Roman" w:hAnsi="Times New Roman"/>
          <w:sz w:val="12"/>
          <w:szCs w:val="12"/>
          <w:color w:val="auto"/>
        </w:rPr>
      </w:pPr>
      <w:r>
        <w:rPr>
          <w:rFonts w:ascii="Arial" w:cs="Arial" w:eastAsia="Arial" w:hAnsi="Arial"/>
          <w:sz w:val="12"/>
          <w:szCs w:val="12"/>
          <w:color w:val="auto"/>
        </w:rPr>
        <w:t>any property located in the United States which is, in the opinion of our board of directors, a principal manufacturing property; or</w:t>
      </w:r>
    </w:p>
    <w:p>
      <w:pPr>
        <w:spacing w:after="0" w:line="59"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87"/>
        </w:numPr>
        <w:rPr>
          <w:rFonts w:ascii="Times New Roman" w:cs="Times New Roman" w:eastAsia="Times New Roman" w:hAnsi="Times New Roman"/>
          <w:sz w:val="12"/>
          <w:szCs w:val="12"/>
          <w:color w:val="auto"/>
        </w:rPr>
      </w:pPr>
      <w:r>
        <w:rPr>
          <w:rFonts w:ascii="Arial" w:cs="Arial" w:eastAsia="Arial" w:hAnsi="Arial"/>
          <w:sz w:val="12"/>
          <w:szCs w:val="12"/>
          <w:color w:val="auto"/>
        </w:rPr>
        <w:t>any shares of capital stock or indebtedness of any subsidiary owning such property,</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without equally and ratably securing the debt securities, subject to exceptions specified in the indenture. These exceptions include:</w:t>
      </w:r>
    </w:p>
    <w:p>
      <w:pPr>
        <w:spacing w:after="0" w:line="51" w:lineRule="exact"/>
        <w:rPr>
          <w:sz w:val="20"/>
          <w:szCs w:val="20"/>
          <w:color w:val="auto"/>
        </w:rPr>
      </w:pPr>
    </w:p>
    <w:p>
      <w:pPr>
        <w:ind w:left="640" w:hanging="216"/>
        <w:spacing w:after="0"/>
        <w:tabs>
          <w:tab w:leader="none" w:pos="640" w:val="left"/>
        </w:tabs>
        <w:numPr>
          <w:ilvl w:val="0"/>
          <w:numId w:val="188"/>
        </w:numPr>
        <w:rPr>
          <w:rFonts w:ascii="Times New Roman" w:cs="Times New Roman" w:eastAsia="Times New Roman" w:hAnsi="Times New Roman"/>
          <w:sz w:val="12"/>
          <w:szCs w:val="12"/>
          <w:color w:val="auto"/>
        </w:rPr>
      </w:pPr>
      <w:r>
        <w:rPr>
          <w:rFonts w:ascii="Arial" w:cs="Arial" w:eastAsia="Arial" w:hAnsi="Arial"/>
          <w:sz w:val="12"/>
          <w:szCs w:val="12"/>
          <w:color w:val="auto"/>
        </w:rPr>
        <w:t>existing liens on our property or liens on property of corporations at the time those corporations become our subsidiaries or are merged with us;</w:t>
      </w:r>
    </w:p>
    <w:p>
      <w:pPr>
        <w:spacing w:after="0" w:line="59"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88"/>
        </w:numPr>
        <w:rPr>
          <w:rFonts w:ascii="Times New Roman" w:cs="Times New Roman" w:eastAsia="Times New Roman" w:hAnsi="Times New Roman"/>
          <w:sz w:val="12"/>
          <w:szCs w:val="12"/>
          <w:color w:val="auto"/>
        </w:rPr>
      </w:pPr>
      <w:r>
        <w:rPr>
          <w:rFonts w:ascii="Arial" w:cs="Arial" w:eastAsia="Arial" w:hAnsi="Arial"/>
          <w:sz w:val="12"/>
          <w:szCs w:val="12"/>
          <w:color w:val="auto"/>
        </w:rPr>
        <w:t>liens existing on property when acquired, or incurred to finance the purchase price of that property;</w:t>
      </w:r>
    </w:p>
    <w:p>
      <w:pPr>
        <w:spacing w:after="0" w:line="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88"/>
        </w:numPr>
        <w:rPr>
          <w:rFonts w:ascii="Times New Roman" w:cs="Times New Roman" w:eastAsia="Times New Roman" w:hAnsi="Times New Roman"/>
          <w:sz w:val="12"/>
          <w:szCs w:val="12"/>
          <w:color w:val="auto"/>
        </w:rPr>
      </w:pPr>
      <w:r>
        <w:rPr>
          <w:rFonts w:ascii="Arial" w:cs="Arial" w:eastAsia="Arial" w:hAnsi="Arial"/>
          <w:sz w:val="12"/>
          <w:szCs w:val="12"/>
          <w:color w:val="auto"/>
        </w:rPr>
        <w:t>certain liens on property to secure the cost of development of, or improvements on, that property;</w:t>
      </w:r>
    </w:p>
    <w:p>
      <w:pPr>
        <w:spacing w:after="0" w:line="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88"/>
        </w:numPr>
        <w:rPr>
          <w:rFonts w:ascii="Times New Roman" w:cs="Times New Roman" w:eastAsia="Times New Roman" w:hAnsi="Times New Roman"/>
          <w:sz w:val="12"/>
          <w:szCs w:val="12"/>
          <w:color w:val="auto"/>
        </w:rPr>
      </w:pPr>
      <w:r>
        <w:rPr>
          <w:rFonts w:ascii="Arial" w:cs="Arial" w:eastAsia="Arial" w:hAnsi="Arial"/>
          <w:sz w:val="12"/>
          <w:szCs w:val="12"/>
          <w:color w:val="auto"/>
        </w:rPr>
        <w:t>certain liens in favor of or required by contracts with governmental entities; and</w:t>
      </w:r>
    </w:p>
    <w:p>
      <w:pPr>
        <w:spacing w:after="0" w:line="59"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88"/>
        </w:numPr>
        <w:rPr>
          <w:rFonts w:ascii="Times New Roman" w:cs="Times New Roman" w:eastAsia="Times New Roman" w:hAnsi="Times New Roman"/>
          <w:sz w:val="12"/>
          <w:szCs w:val="12"/>
          <w:color w:val="auto"/>
        </w:rPr>
      </w:pPr>
      <w:r>
        <w:rPr>
          <w:rFonts w:ascii="Arial" w:cs="Arial" w:eastAsia="Arial" w:hAnsi="Arial"/>
          <w:sz w:val="12"/>
          <w:szCs w:val="12"/>
          <w:color w:val="auto"/>
        </w:rPr>
        <w:t>indebtedness secured by liens otherwise prohibited by the covenant not exceeding 10% of the consolidated net tangible assets of Honeywell and our consolidated subsidiaries.</w:t>
      </w:r>
    </w:p>
    <w:p>
      <w:pPr>
        <w:spacing w:after="0" w:line="50" w:lineRule="exact"/>
        <w:rPr>
          <w:sz w:val="20"/>
          <w:szCs w:val="20"/>
          <w:color w:val="auto"/>
        </w:rPr>
      </w:pPr>
    </w:p>
    <w:p>
      <w:pPr>
        <w:ind w:firstLine="228"/>
        <w:spacing w:after="0" w:line="239" w:lineRule="auto"/>
        <w:rPr>
          <w:sz w:val="20"/>
          <w:szCs w:val="20"/>
          <w:color w:val="auto"/>
        </w:rPr>
      </w:pPr>
      <w:r>
        <w:rPr>
          <w:rFonts w:ascii="Arial" w:cs="Arial" w:eastAsia="Arial" w:hAnsi="Arial"/>
          <w:sz w:val="12"/>
          <w:szCs w:val="12"/>
          <w:i w:val="1"/>
          <w:iCs w:val="1"/>
          <w:color w:val="auto"/>
        </w:rPr>
        <w:t xml:space="preserve">Limitation on Sale and Lease-Back. </w:t>
      </w:r>
      <w:r>
        <w:rPr>
          <w:rFonts w:ascii="Arial" w:cs="Arial" w:eastAsia="Arial" w:hAnsi="Arial"/>
          <w:sz w:val="12"/>
          <w:szCs w:val="12"/>
          <w:color w:val="auto"/>
        </w:rPr>
        <w:t>We also covenant not to enter into any sale and lease-back transaction covering any property located in the United States which is, in the opinion of our board of directors, a</w:t>
      </w:r>
      <w:r>
        <w:rPr>
          <w:rFonts w:ascii="Arial" w:cs="Arial" w:eastAsia="Arial" w:hAnsi="Arial"/>
          <w:sz w:val="12"/>
          <w:szCs w:val="12"/>
          <w:i w:val="1"/>
          <w:iCs w:val="1"/>
          <w:color w:val="auto"/>
        </w:rPr>
        <w:t xml:space="preserve"> </w:t>
      </w:r>
      <w:r>
        <w:rPr>
          <w:rFonts w:ascii="Arial" w:cs="Arial" w:eastAsia="Arial" w:hAnsi="Arial"/>
          <w:sz w:val="12"/>
          <w:szCs w:val="12"/>
          <w:color w:val="auto"/>
        </w:rPr>
        <w:t>principal manufacturing property, unless:</w:t>
      </w:r>
    </w:p>
    <w:p>
      <w:pPr>
        <w:spacing w:after="0" w:line="40" w:lineRule="exact"/>
        <w:rPr>
          <w:sz w:val="20"/>
          <w:szCs w:val="20"/>
          <w:color w:val="auto"/>
        </w:rPr>
      </w:pPr>
    </w:p>
    <w:p>
      <w:pPr>
        <w:ind w:left="640" w:hanging="216"/>
        <w:spacing w:after="0" w:line="239" w:lineRule="auto"/>
        <w:tabs>
          <w:tab w:leader="none" w:pos="637" w:val="left"/>
        </w:tabs>
        <w:numPr>
          <w:ilvl w:val="0"/>
          <w:numId w:val="189"/>
        </w:numPr>
        <w:rPr>
          <w:rFonts w:ascii="Times New Roman" w:cs="Times New Roman" w:eastAsia="Times New Roman" w:hAnsi="Times New Roman"/>
          <w:sz w:val="12"/>
          <w:szCs w:val="12"/>
          <w:color w:val="auto"/>
        </w:rPr>
      </w:pPr>
      <w:r>
        <w:rPr>
          <w:rFonts w:ascii="Arial" w:cs="Arial" w:eastAsia="Arial" w:hAnsi="Arial"/>
          <w:sz w:val="12"/>
          <w:szCs w:val="12"/>
          <w:color w:val="auto"/>
        </w:rPr>
        <w:t>we would be entitled under the provisions described under “Limitation on Mortgages” to incur debt equal to the value of such sale and lease-back transaction, secured by liens on the property to be leased, without equally securing the outstanding debt securities; or</w:t>
      </w:r>
    </w:p>
    <w:p>
      <w:pPr>
        <w:spacing w:after="0" w:line="30" w:lineRule="exact"/>
        <w:rPr>
          <w:rFonts w:ascii="Times New Roman" w:cs="Times New Roman" w:eastAsia="Times New Roman" w:hAnsi="Times New Roman"/>
          <w:sz w:val="12"/>
          <w:szCs w:val="12"/>
          <w:color w:val="auto"/>
        </w:rPr>
      </w:pPr>
    </w:p>
    <w:p>
      <w:pPr>
        <w:ind w:left="640" w:hanging="216"/>
        <w:spacing w:after="0" w:line="254" w:lineRule="auto"/>
        <w:tabs>
          <w:tab w:leader="none" w:pos="637" w:val="left"/>
        </w:tabs>
        <w:numPr>
          <w:ilvl w:val="0"/>
          <w:numId w:val="189"/>
        </w:numPr>
        <w:rPr>
          <w:rFonts w:ascii="Times New Roman" w:cs="Times New Roman" w:eastAsia="Times New Roman" w:hAnsi="Times New Roman"/>
          <w:sz w:val="12"/>
          <w:szCs w:val="12"/>
          <w:color w:val="auto"/>
        </w:rPr>
      </w:pPr>
      <w:r>
        <w:rPr>
          <w:rFonts w:ascii="Arial" w:cs="Arial" w:eastAsia="Arial" w:hAnsi="Arial"/>
          <w:sz w:val="12"/>
          <w:szCs w:val="12"/>
          <w:color w:val="auto"/>
        </w:rPr>
        <w:t>we, during the four months following the effective date of such sale and lease-back transaction, apply an amount equal to the value of such sale and lease-back transaction to the voluntary retirement of long-term indebtedness of Honeywell or our subsidiaries.</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 xml:space="preserve">Consolidation, Merger and Sale of Assets. </w:t>
      </w:r>
      <w:r>
        <w:rPr>
          <w:rFonts w:ascii="Arial" w:cs="Arial" w:eastAsia="Arial" w:hAnsi="Arial"/>
          <w:sz w:val="12"/>
          <w:szCs w:val="12"/>
          <w:color w:val="auto"/>
        </w:rPr>
        <w:t>The indenture provides that we may not consolidate with or merge into any other person or sell our assets substantially as an entirety, unless:</w:t>
      </w:r>
    </w:p>
    <w:p>
      <w:pPr>
        <w:spacing w:after="0" w:line="51" w:lineRule="exact"/>
        <w:rPr>
          <w:sz w:val="20"/>
          <w:szCs w:val="20"/>
          <w:color w:val="auto"/>
        </w:rPr>
      </w:pPr>
    </w:p>
    <w:p>
      <w:pPr>
        <w:ind w:left="640" w:right="20" w:hanging="216"/>
        <w:spacing w:after="0" w:line="254" w:lineRule="auto"/>
        <w:tabs>
          <w:tab w:leader="none" w:pos="637" w:val="left"/>
        </w:tabs>
        <w:numPr>
          <w:ilvl w:val="0"/>
          <w:numId w:val="190"/>
        </w:numPr>
        <w:rPr>
          <w:rFonts w:ascii="Times New Roman" w:cs="Times New Roman" w:eastAsia="Times New Roman" w:hAnsi="Times New Roman"/>
          <w:sz w:val="12"/>
          <w:szCs w:val="12"/>
          <w:color w:val="auto"/>
        </w:rPr>
      </w:pPr>
      <w:r>
        <w:rPr>
          <w:rFonts w:ascii="Arial" w:cs="Arial" w:eastAsia="Arial" w:hAnsi="Arial"/>
          <w:sz w:val="12"/>
          <w:szCs w:val="12"/>
          <w:color w:val="auto"/>
        </w:rPr>
        <w:t>the person formed by such consolidation or into which we are merged or the person which acquires our assets is a person organized in the United States of America and expressly assumes the due and punctual payment of the principal of and interest on all the debt securities and the performance of every covenant of the indenture on our part;</w:t>
      </w:r>
    </w:p>
    <w:p>
      <w:pPr>
        <w:spacing w:after="0" w:line="22" w:lineRule="exact"/>
        <w:rPr>
          <w:rFonts w:ascii="Times New Roman" w:cs="Times New Roman" w:eastAsia="Times New Roman" w:hAnsi="Times New Roman"/>
          <w:sz w:val="12"/>
          <w:szCs w:val="12"/>
          <w:color w:val="auto"/>
        </w:rPr>
      </w:pPr>
    </w:p>
    <w:p>
      <w:pPr>
        <w:ind w:left="640" w:right="20" w:hanging="216"/>
        <w:spacing w:after="0" w:line="239" w:lineRule="auto"/>
        <w:tabs>
          <w:tab w:leader="none" w:pos="637" w:val="left"/>
        </w:tabs>
        <w:numPr>
          <w:ilvl w:val="0"/>
          <w:numId w:val="190"/>
        </w:numPr>
        <w:rPr>
          <w:rFonts w:ascii="Times New Roman" w:cs="Times New Roman" w:eastAsia="Times New Roman" w:hAnsi="Times New Roman"/>
          <w:sz w:val="12"/>
          <w:szCs w:val="12"/>
          <w:color w:val="auto"/>
        </w:rPr>
      </w:pPr>
      <w:r>
        <w:rPr>
          <w:rFonts w:ascii="Arial" w:cs="Arial" w:eastAsia="Arial" w:hAnsi="Arial"/>
          <w:sz w:val="12"/>
          <w:szCs w:val="12"/>
          <w:color w:val="auto"/>
        </w:rPr>
        <w:t>immediately after giving effect to such transaction, no event of default, and no event which, after notice or lapse of time, or both, would become an event of default, shall have happened and be continuing; and</w:t>
      </w:r>
    </w:p>
    <w:p>
      <w:pPr>
        <w:spacing w:after="0" w:line="39" w:lineRule="exact"/>
        <w:rPr>
          <w:rFonts w:ascii="Times New Roman" w:cs="Times New Roman" w:eastAsia="Times New Roman" w:hAnsi="Times New Roman"/>
          <w:sz w:val="12"/>
          <w:szCs w:val="12"/>
          <w:color w:val="auto"/>
        </w:rPr>
      </w:pPr>
    </w:p>
    <w:p>
      <w:pPr>
        <w:ind w:left="640" w:hanging="216"/>
        <w:spacing w:after="0" w:line="239" w:lineRule="auto"/>
        <w:tabs>
          <w:tab w:leader="none" w:pos="637" w:val="left"/>
        </w:tabs>
        <w:numPr>
          <w:ilvl w:val="0"/>
          <w:numId w:val="190"/>
        </w:numPr>
        <w:rPr>
          <w:rFonts w:ascii="Times New Roman" w:cs="Times New Roman" w:eastAsia="Times New Roman" w:hAnsi="Times New Roman"/>
          <w:sz w:val="12"/>
          <w:szCs w:val="12"/>
          <w:color w:val="auto"/>
        </w:rPr>
      </w:pPr>
      <w:r>
        <w:rPr>
          <w:rFonts w:ascii="Arial" w:cs="Arial" w:eastAsia="Arial" w:hAnsi="Arial"/>
          <w:sz w:val="12"/>
          <w:szCs w:val="12"/>
          <w:color w:val="auto"/>
        </w:rPr>
        <w:t>we have delivered to the trustee an officers’ certificate and an opinion of counsel each stating that such consolidation or transfer and a supplemental indenture, if applicable, comply with the indenture and that all conditions precedent provided for in the indenture relating to such transaction have been complied with.</w:t>
      </w:r>
    </w:p>
    <w:p>
      <w:pPr>
        <w:spacing w:after="0" w:line="31" w:lineRule="exact"/>
        <w:rPr>
          <w:sz w:val="20"/>
          <w:szCs w:val="20"/>
          <w:color w:val="auto"/>
        </w:rPr>
      </w:pPr>
    </w:p>
    <w:p>
      <w:pPr>
        <w:ind w:firstLine="228"/>
        <w:spacing w:after="0" w:line="254" w:lineRule="auto"/>
        <w:rPr>
          <w:sz w:val="20"/>
          <w:szCs w:val="20"/>
          <w:color w:val="auto"/>
        </w:rPr>
      </w:pPr>
      <w:r>
        <w:rPr>
          <w:rFonts w:ascii="Arial" w:cs="Arial" w:eastAsia="Arial" w:hAnsi="Arial"/>
          <w:sz w:val="12"/>
          <w:szCs w:val="12"/>
          <w:color w:val="auto"/>
        </w:rPr>
        <w:t>Upon such consolidation, merger or sale, the successor corporation formed by such consolidation or into which we are merged or to which such sale is made will succeed to, and be substituted for, us under the indenture, and the predecessor corporation shall be released from all obligations and covenants under the indenture and the debt securities.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indenture does not restrict, or require us to redeem or permit holders to cause redemption of debt securities in the event of:</w:t>
      </w:r>
    </w:p>
    <w:p>
      <w:pPr>
        <w:spacing w:after="0" w:line="51" w:lineRule="exact"/>
        <w:rPr>
          <w:sz w:val="20"/>
          <w:szCs w:val="20"/>
          <w:color w:val="auto"/>
        </w:rPr>
      </w:pPr>
    </w:p>
    <w:p>
      <w:pPr>
        <w:ind w:left="640" w:hanging="216"/>
        <w:spacing w:after="0"/>
        <w:tabs>
          <w:tab w:leader="none" w:pos="640" w:val="left"/>
        </w:tabs>
        <w:numPr>
          <w:ilvl w:val="0"/>
          <w:numId w:val="191"/>
        </w:numPr>
        <w:rPr>
          <w:rFonts w:ascii="Times New Roman" w:cs="Times New Roman" w:eastAsia="Times New Roman" w:hAnsi="Times New Roman"/>
          <w:sz w:val="12"/>
          <w:szCs w:val="12"/>
          <w:color w:val="auto"/>
        </w:rPr>
      </w:pPr>
      <w:r>
        <w:rPr>
          <w:rFonts w:ascii="Arial" w:cs="Arial" w:eastAsia="Arial" w:hAnsi="Arial"/>
          <w:sz w:val="12"/>
          <w:szCs w:val="12"/>
          <w:color w:val="auto"/>
        </w:rPr>
        <w:t>a consolidation, merger, sale of assets or other similar transaction that may adversely affect our creditworthiness or the successor or combined entity;</w:t>
      </w:r>
    </w:p>
    <w:p>
      <w:pPr>
        <w:spacing w:after="0" w:line="59"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91"/>
        </w:numPr>
        <w:rPr>
          <w:rFonts w:ascii="Times New Roman" w:cs="Times New Roman" w:eastAsia="Times New Roman" w:hAnsi="Times New Roman"/>
          <w:sz w:val="12"/>
          <w:szCs w:val="12"/>
          <w:color w:val="auto"/>
        </w:rPr>
      </w:pPr>
      <w:r>
        <w:rPr>
          <w:rFonts w:ascii="Arial" w:cs="Arial" w:eastAsia="Arial" w:hAnsi="Arial"/>
          <w:sz w:val="12"/>
          <w:szCs w:val="12"/>
          <w:color w:val="auto"/>
        </w:rPr>
        <w:t>a change in control of us; or</w:t>
      </w:r>
    </w:p>
    <w:p>
      <w:pPr>
        <w:spacing w:after="0" w:line="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91"/>
        </w:numPr>
        <w:rPr>
          <w:rFonts w:ascii="Times New Roman" w:cs="Times New Roman" w:eastAsia="Times New Roman" w:hAnsi="Times New Roman"/>
          <w:sz w:val="12"/>
          <w:szCs w:val="12"/>
          <w:color w:val="auto"/>
        </w:rPr>
      </w:pPr>
      <w:r>
        <w:rPr>
          <w:rFonts w:ascii="Arial" w:cs="Arial" w:eastAsia="Arial" w:hAnsi="Arial"/>
          <w:sz w:val="12"/>
          <w:szCs w:val="12"/>
          <w:color w:val="auto"/>
        </w:rPr>
        <w:t>a highly leveraged transaction involving us whether or not involving a change in control.</w:t>
      </w:r>
    </w:p>
    <w:p>
      <w:pPr>
        <w:spacing w:after="0" w:line="50" w:lineRule="exact"/>
        <w:rPr>
          <w:sz w:val="20"/>
          <w:szCs w:val="20"/>
          <w:color w:val="auto"/>
        </w:rPr>
      </w:pPr>
    </w:p>
    <w:p>
      <w:pPr>
        <w:ind w:firstLine="228"/>
        <w:spacing w:after="0" w:line="254" w:lineRule="auto"/>
        <w:rPr>
          <w:sz w:val="20"/>
          <w:szCs w:val="20"/>
          <w:color w:val="auto"/>
        </w:rPr>
      </w:pPr>
      <w:r>
        <w:rPr>
          <w:rFonts w:ascii="Arial" w:cs="Arial" w:eastAsia="Arial" w:hAnsi="Arial"/>
          <w:sz w:val="12"/>
          <w:szCs w:val="12"/>
          <w:color w:val="auto"/>
        </w:rPr>
        <w:t>Accordingly, the holders of debt securities would not have protection in the event of a highly leveraged transaction, reorganization, restructuring, merger or similar transaction involving us that may adversely affect the holders. The existing protective covenants applicable to the debt securities would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0"/>
          </w:cols>
          <w:pgMar w:left="300" w:top="982" w:right="299" w:bottom="1440" w:gutter="0" w:footer="0" w:header="0"/>
        </w:sectPr>
      </w:pPr>
    </w:p>
    <w:bookmarkStart w:id="133" w:name="page134"/>
    <w:bookmarkEnd w:id="133"/>
    <w:p>
      <w:pPr>
        <w:ind w:right="360"/>
        <w:spacing w:after="0" w:line="336" w:lineRule="auto"/>
        <w:rPr>
          <w:sz w:val="20"/>
          <w:szCs w:val="20"/>
          <w:color w:val="auto"/>
        </w:rPr>
      </w:pPr>
      <w:r>
        <w:rPr>
          <w:rFonts w:ascii="Arial" w:cs="Arial" w:eastAsia="Arial" w:hAnsi="Arial"/>
          <w:sz w:val="12"/>
          <w:szCs w:val="12"/>
          <w:color w:val="auto"/>
        </w:rPr>
        <w:t xml:space="preserve">continue to apply to us in the event of a leveraged buyout initiated or supported by us, our management, or any of our affiliates or their management, but may not prevent such a transaction from taking place. </w:t>
      </w:r>
      <w:r>
        <w:rPr>
          <w:rFonts w:ascii="Arial" w:cs="Arial" w:eastAsia="Arial" w:hAnsi="Arial"/>
          <w:sz w:val="12"/>
          <w:szCs w:val="12"/>
          <w:b w:val="1"/>
          <w:bCs w:val="1"/>
          <w:color w:val="auto"/>
        </w:rPr>
        <w:t>Events of Default, Notice and Waiver</w:t>
      </w:r>
    </w:p>
    <w:p>
      <w:pPr>
        <w:spacing w:after="0" w:line="1" w:lineRule="exact"/>
        <w:rPr>
          <w:sz w:val="20"/>
          <w:szCs w:val="20"/>
          <w:color w:val="auto"/>
        </w:rPr>
      </w:pPr>
    </w:p>
    <w:p>
      <w:pPr>
        <w:jc w:val="both"/>
        <w:ind w:firstLine="228"/>
        <w:spacing w:after="0" w:line="215" w:lineRule="auto"/>
        <w:rPr>
          <w:sz w:val="20"/>
          <w:szCs w:val="20"/>
          <w:color w:val="auto"/>
        </w:rPr>
      </w:pPr>
      <w:r>
        <w:rPr>
          <w:rFonts w:ascii="Arial" w:cs="Arial" w:eastAsia="Arial" w:hAnsi="Arial"/>
          <w:sz w:val="12"/>
          <w:szCs w:val="12"/>
          <w:color w:val="auto"/>
        </w:rPr>
        <w:t xml:space="preserve">The indenture provides that if an event of default shall have occurred and be continuing with respect to any series of debt securities, then either the trustee or the holders of not less than 25% in outstanding principal amount of the debt securities of that series may declare to be due and payable immediately the outstanding principal amount of the debt securities of the affected series, together with interest, if any, accrued thereon;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if the event of default is any of certain events of bankruptcy, insolvency or reorganization, all the debt securities, together with interest, if any, accrued thereon, will become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immediately due and payable without further action or notice on the part of the trustee or the holders.</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Under the indenture, an event of default with respect to the debt securities of any series is any one of the following events:</w:t>
      </w:r>
    </w:p>
    <w:p>
      <w:pPr>
        <w:spacing w:after="0" w:line="51" w:lineRule="exact"/>
        <w:rPr>
          <w:sz w:val="20"/>
          <w:szCs w:val="20"/>
          <w:color w:val="auto"/>
        </w:rPr>
      </w:pPr>
    </w:p>
    <w:p>
      <w:pPr>
        <w:ind w:left="640" w:hanging="216"/>
        <w:spacing w:after="0"/>
        <w:tabs>
          <w:tab w:leader="none" w:pos="640" w:val="left"/>
        </w:tabs>
        <w:numPr>
          <w:ilvl w:val="0"/>
          <w:numId w:val="192"/>
        </w:numPr>
        <w:rPr>
          <w:rFonts w:ascii="Arial" w:cs="Arial" w:eastAsia="Arial" w:hAnsi="Arial"/>
          <w:sz w:val="12"/>
          <w:szCs w:val="12"/>
          <w:color w:val="auto"/>
        </w:rPr>
      </w:pPr>
      <w:r>
        <w:rPr>
          <w:rFonts w:ascii="Arial" w:cs="Arial" w:eastAsia="Arial" w:hAnsi="Arial"/>
          <w:sz w:val="12"/>
          <w:szCs w:val="12"/>
          <w:color w:val="auto"/>
        </w:rPr>
        <w:t>default for 30 days in payment when due of any interest due with respect to the debt securities of such series;</w:t>
      </w:r>
    </w:p>
    <w:p>
      <w:pPr>
        <w:spacing w:after="0" w:line="60" w:lineRule="exact"/>
        <w:rPr>
          <w:rFonts w:ascii="Arial" w:cs="Arial" w:eastAsia="Arial" w:hAnsi="Arial"/>
          <w:sz w:val="12"/>
          <w:szCs w:val="12"/>
          <w:color w:val="auto"/>
        </w:rPr>
      </w:pPr>
    </w:p>
    <w:p>
      <w:pPr>
        <w:ind w:left="640" w:hanging="216"/>
        <w:spacing w:after="0"/>
        <w:tabs>
          <w:tab w:leader="none" w:pos="640" w:val="left"/>
        </w:tabs>
        <w:numPr>
          <w:ilvl w:val="0"/>
          <w:numId w:val="192"/>
        </w:numPr>
        <w:rPr>
          <w:rFonts w:ascii="Arial" w:cs="Arial" w:eastAsia="Arial" w:hAnsi="Arial"/>
          <w:sz w:val="12"/>
          <w:szCs w:val="12"/>
          <w:color w:val="auto"/>
        </w:rPr>
      </w:pPr>
      <w:r>
        <w:rPr>
          <w:rFonts w:ascii="Arial" w:cs="Arial" w:eastAsia="Arial" w:hAnsi="Arial"/>
          <w:sz w:val="12"/>
          <w:szCs w:val="12"/>
          <w:color w:val="auto"/>
        </w:rPr>
        <w:t>default in payment when due of principal of or of premium, if any, on the debt securities of such series;</w:t>
      </w:r>
    </w:p>
    <w:p>
      <w:pPr>
        <w:spacing w:after="0" w:line="51" w:lineRule="exact"/>
        <w:rPr>
          <w:rFonts w:ascii="Arial" w:cs="Arial" w:eastAsia="Arial" w:hAnsi="Arial"/>
          <w:sz w:val="12"/>
          <w:szCs w:val="12"/>
          <w:color w:val="auto"/>
        </w:rPr>
      </w:pPr>
    </w:p>
    <w:p>
      <w:pPr>
        <w:jc w:val="both"/>
        <w:ind w:left="640" w:hanging="216"/>
        <w:spacing w:after="0" w:line="216" w:lineRule="auto"/>
        <w:tabs>
          <w:tab w:leader="none" w:pos="634" w:val="left"/>
        </w:tabs>
        <w:numPr>
          <w:ilvl w:val="0"/>
          <w:numId w:val="192"/>
        </w:numPr>
        <w:rPr>
          <w:rFonts w:ascii="Arial" w:cs="Arial" w:eastAsia="Arial" w:hAnsi="Arial"/>
          <w:sz w:val="12"/>
          <w:szCs w:val="12"/>
          <w:color w:val="auto"/>
        </w:rPr>
      </w:pPr>
      <w:r>
        <w:rPr>
          <w:rFonts w:ascii="Arial" w:cs="Arial" w:eastAsia="Arial" w:hAnsi="Arial"/>
          <w:sz w:val="12"/>
          <w:szCs w:val="12"/>
          <w:color w:val="auto"/>
        </w:rPr>
        <w:t>default in the observance or performance of any other covenant or agreement contained in the indenture which default continues for a period of 90 days after we receive written notice specifying the default (and demanding that such default be remedied) from the trustee or the holders of at least 25% of the principal amount of securities of that series then outstanding (with a copy to the trustee if given by holders) (except in the case of a default with respect to certain consolidations, mergers, or sales of assets as set forth in Section 10.01 of the indenture, which will constitute an event of default with such notice requirement but without such passage of time requirement), provided, however, that the sole remedy of holders of the securities for an event of default relating to the failure to file any documents or reports that Honeywell is required to file with the SEC pursuant to Section 13 or 15(d) of the Securities Exchange Act of 1934, as amended, and for any failure to comply with the requirements of Section 314(a)(1) of the Trust Indenture Act of 1939, as amended (the “Trust Indenture Act”), to provide such documents or reports, within 30 days after filing with the SEC, to the trustee pursuant to Section 14.04 of the indenture, will, for the first 60 days after the occurrence of such an event of default, or such shorter period until such event of default has been cured or waived, consist exclusively of the right to receive additional interest on the securities at an annual rate equal to 0.25% of the outstanding principal amount of the securities, and that, on the 61st day after such event of default (if such event of default is not cured or waived prior to such 61st day), the securities will be subject to acceleration as provided in the indenture;</w:t>
      </w:r>
    </w:p>
    <w:p>
      <w:pPr>
        <w:spacing w:after="0" w:line="34" w:lineRule="exact"/>
        <w:rPr>
          <w:rFonts w:ascii="Arial" w:cs="Arial" w:eastAsia="Arial" w:hAnsi="Arial"/>
          <w:sz w:val="12"/>
          <w:szCs w:val="12"/>
          <w:color w:val="auto"/>
        </w:rPr>
      </w:pPr>
    </w:p>
    <w:p>
      <w:pPr>
        <w:ind w:left="640" w:hanging="216"/>
        <w:spacing w:after="0"/>
        <w:tabs>
          <w:tab w:leader="none" w:pos="640" w:val="left"/>
        </w:tabs>
        <w:numPr>
          <w:ilvl w:val="0"/>
          <w:numId w:val="192"/>
        </w:numPr>
        <w:rPr>
          <w:rFonts w:ascii="Arial" w:cs="Arial" w:eastAsia="Arial" w:hAnsi="Arial"/>
          <w:sz w:val="12"/>
          <w:szCs w:val="12"/>
          <w:color w:val="auto"/>
        </w:rPr>
      </w:pPr>
      <w:r>
        <w:rPr>
          <w:rFonts w:ascii="Arial" w:cs="Arial" w:eastAsia="Arial" w:hAnsi="Arial"/>
          <w:sz w:val="12"/>
          <w:szCs w:val="12"/>
          <w:color w:val="auto"/>
        </w:rPr>
        <w:t>certain events of bankruptcy, insolvency and reorganization; and</w:t>
      </w:r>
    </w:p>
    <w:p>
      <w:pPr>
        <w:spacing w:after="0" w:line="51" w:lineRule="exact"/>
        <w:rPr>
          <w:rFonts w:ascii="Arial" w:cs="Arial" w:eastAsia="Arial" w:hAnsi="Arial"/>
          <w:sz w:val="12"/>
          <w:szCs w:val="12"/>
          <w:color w:val="auto"/>
        </w:rPr>
      </w:pPr>
    </w:p>
    <w:p>
      <w:pPr>
        <w:ind w:left="640" w:hanging="216"/>
        <w:spacing w:after="0"/>
        <w:tabs>
          <w:tab w:leader="none" w:pos="640" w:val="left"/>
        </w:tabs>
        <w:numPr>
          <w:ilvl w:val="0"/>
          <w:numId w:val="192"/>
        </w:numPr>
        <w:rPr>
          <w:rFonts w:ascii="Arial" w:cs="Arial" w:eastAsia="Arial" w:hAnsi="Arial"/>
          <w:sz w:val="12"/>
          <w:szCs w:val="12"/>
          <w:color w:val="auto"/>
        </w:rPr>
      </w:pPr>
      <w:r>
        <w:rPr>
          <w:rFonts w:ascii="Arial" w:cs="Arial" w:eastAsia="Arial" w:hAnsi="Arial"/>
          <w:sz w:val="12"/>
          <w:szCs w:val="12"/>
          <w:color w:val="auto"/>
        </w:rPr>
        <w:t>any other event of default provided with respect to debt securities of that series.</w:t>
      </w:r>
    </w:p>
    <w:p>
      <w:pPr>
        <w:spacing w:after="0" w:line="60" w:lineRule="exact"/>
        <w:rPr>
          <w:sz w:val="20"/>
          <w:szCs w:val="20"/>
          <w:color w:val="auto"/>
        </w:rPr>
      </w:pPr>
    </w:p>
    <w:p>
      <w:pPr>
        <w:jc w:val="both"/>
        <w:ind w:firstLine="228"/>
        <w:spacing w:after="0" w:line="215" w:lineRule="auto"/>
        <w:rPr>
          <w:sz w:val="20"/>
          <w:szCs w:val="20"/>
          <w:color w:val="auto"/>
        </w:rPr>
      </w:pPr>
      <w:r>
        <w:rPr>
          <w:rFonts w:ascii="Arial" w:cs="Arial" w:eastAsia="Arial" w:hAnsi="Arial"/>
          <w:sz w:val="12"/>
          <w:szCs w:val="12"/>
          <w:color w:val="auto"/>
        </w:rPr>
        <w:t xml:space="preserve">The indenture provides that the trustee will, within 90 days after the occurrence of a default with respect to the debt securities of any series, give to the holders of debt securities of such series notice of such default known to it, unless cured or waived;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except in the case of default in the payment of principal, or interest or premium, if any, on any debt security of such series or in the payment of any sinking fund installment with respect to debt securities of such series, the trustee will be protected in withholding such notice if and so long as the board of directors, the executive committee or a trust committee of</w:t>
      </w:r>
    </w:p>
    <w:p>
      <w:pPr>
        <w:spacing w:after="0" w:line="1" w:lineRule="exact"/>
        <w:rPr>
          <w:sz w:val="20"/>
          <w:szCs w:val="20"/>
          <w:color w:val="auto"/>
        </w:rPr>
      </w:pPr>
    </w:p>
    <w:p>
      <w:pPr>
        <w:jc w:val="both"/>
        <w:ind w:right="20"/>
        <w:spacing w:after="0" w:line="229" w:lineRule="auto"/>
        <w:rPr>
          <w:sz w:val="20"/>
          <w:szCs w:val="20"/>
          <w:color w:val="auto"/>
        </w:rPr>
      </w:pPr>
      <w:r>
        <w:rPr>
          <w:rFonts w:ascii="Arial" w:cs="Arial" w:eastAsia="Arial" w:hAnsi="Arial"/>
          <w:sz w:val="12"/>
          <w:szCs w:val="12"/>
          <w:color w:val="auto"/>
        </w:rPr>
        <w:t>directors and/or specified officers of the trustee in good faith determine that the withholding of such notice is in the interests of the holders of debt securities of such series. The term “default” for the purpose of this provision means any event that is, or after notice or lapse of time, or both, would become, an event of default.</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indenture contains a provision entitling the trustee, subject to the duty of the trustee during the continuance of an event of default to act with the required standard of care, to be indemnified by the holders</w:t>
      </w:r>
    </w:p>
    <w:p>
      <w:pPr>
        <w:jc w:val="both"/>
        <w:spacing w:after="0" w:line="220" w:lineRule="auto"/>
        <w:rPr>
          <w:sz w:val="20"/>
          <w:szCs w:val="20"/>
          <w:color w:val="auto"/>
        </w:rPr>
      </w:pPr>
      <w:r>
        <w:rPr>
          <w:rFonts w:ascii="Arial" w:cs="Arial" w:eastAsia="Arial" w:hAnsi="Arial"/>
          <w:sz w:val="12"/>
          <w:szCs w:val="12"/>
          <w:color w:val="auto"/>
        </w:rPr>
        <w:t>before proceeding to exercise any right or power under the indenture at the request of such holders. The indenture provides that the holders of a majority in outstanding principal amount of the debt securities of any series may, subject to certain exceptions, on behalf of the holders of debt securities of such series, direct the time, method and place of conducting proceedings for remedies available to the trustee, or exercising any trust or power conferred on the trustee.</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indenture includes a covenant that we will file annually with the trustee a certificate of no default, or specifying any default that exists.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982" w:right="299" w:bottom="1440" w:gutter="0" w:footer="0" w:header="0"/>
        </w:sectPr>
      </w:pPr>
    </w:p>
    <w:bookmarkStart w:id="134" w:name="page135"/>
    <w:bookmarkEnd w:id="134"/>
    <w:p>
      <w:pPr>
        <w:ind w:firstLine="228"/>
        <w:spacing w:after="0" w:line="221" w:lineRule="auto"/>
        <w:rPr>
          <w:sz w:val="20"/>
          <w:szCs w:val="20"/>
          <w:color w:val="auto"/>
        </w:rPr>
      </w:pPr>
      <w:r>
        <w:rPr>
          <w:rFonts w:ascii="Arial" w:cs="Arial" w:eastAsia="Arial" w:hAnsi="Arial"/>
          <w:sz w:val="12"/>
          <w:szCs w:val="12"/>
          <w:color w:val="auto"/>
        </w:rPr>
        <w:t>In certain cases, the holders of a majority in outstanding principal amount of the debt securities of any series may, on behalf of the holders of debt securities of such series, rescind a declaration of acceleration or waive any past default or event of default with respect to the debt securities of that series, except a default not theretofore cured in payment of the principal of, or interest or premium, if any, on, any debt security</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of such series or in respect of a provision which under the indenture cannot be modified or amended without the consent of the holder of each such debt security.</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No holder of a debt security of any series has any right to institute any proceeding with respect to the indenture or the debt securities of any series or for any remedy thereunder unless:</w:t>
      </w:r>
    </w:p>
    <w:p>
      <w:pPr>
        <w:spacing w:after="0" w:line="51" w:lineRule="exact"/>
        <w:rPr>
          <w:sz w:val="20"/>
          <w:szCs w:val="20"/>
          <w:color w:val="auto"/>
        </w:rPr>
      </w:pPr>
    </w:p>
    <w:p>
      <w:pPr>
        <w:ind w:left="640" w:hanging="216"/>
        <w:spacing w:after="0"/>
        <w:tabs>
          <w:tab w:leader="none" w:pos="640" w:val="left"/>
        </w:tabs>
        <w:numPr>
          <w:ilvl w:val="0"/>
          <w:numId w:val="193"/>
        </w:numPr>
        <w:rPr>
          <w:rFonts w:ascii="Times New Roman" w:cs="Times New Roman" w:eastAsia="Times New Roman" w:hAnsi="Times New Roman"/>
          <w:sz w:val="12"/>
          <w:szCs w:val="12"/>
          <w:color w:val="auto"/>
        </w:rPr>
      </w:pPr>
      <w:r>
        <w:rPr>
          <w:rFonts w:ascii="Arial" w:cs="Arial" w:eastAsia="Arial" w:hAnsi="Arial"/>
          <w:sz w:val="12"/>
          <w:szCs w:val="12"/>
          <w:color w:val="auto"/>
        </w:rPr>
        <w:t>such holder shall have previously given to the trustee written notice of a continuing event of default;</w:t>
      </w:r>
    </w:p>
    <w:p>
      <w:pPr>
        <w:spacing w:after="0" w:line="59"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93"/>
        </w:numPr>
        <w:rPr>
          <w:rFonts w:ascii="Times New Roman" w:cs="Times New Roman" w:eastAsia="Times New Roman" w:hAnsi="Times New Roman"/>
          <w:sz w:val="12"/>
          <w:szCs w:val="12"/>
          <w:color w:val="auto"/>
        </w:rPr>
      </w:pPr>
      <w:r>
        <w:rPr>
          <w:rFonts w:ascii="Arial" w:cs="Arial" w:eastAsia="Arial" w:hAnsi="Arial"/>
          <w:sz w:val="12"/>
          <w:szCs w:val="12"/>
          <w:color w:val="auto"/>
        </w:rPr>
        <w:t>the holders of at least 25% in aggregate principal amount of the outstanding debt securities of such series have also made such a written request;</w:t>
      </w:r>
    </w:p>
    <w:p>
      <w:pPr>
        <w:spacing w:after="0" w:line="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93"/>
        </w:numPr>
        <w:rPr>
          <w:rFonts w:ascii="Times New Roman" w:cs="Times New Roman" w:eastAsia="Times New Roman" w:hAnsi="Times New Roman"/>
          <w:sz w:val="12"/>
          <w:szCs w:val="12"/>
          <w:color w:val="auto"/>
        </w:rPr>
      </w:pPr>
      <w:r>
        <w:rPr>
          <w:rFonts w:ascii="Arial" w:cs="Arial" w:eastAsia="Arial" w:hAnsi="Arial"/>
          <w:sz w:val="12"/>
          <w:szCs w:val="12"/>
          <w:color w:val="auto"/>
        </w:rPr>
        <w:t>such holder or holders have provided indemnity satisfactory to the trustee to institute such proceeding as trustee;</w:t>
      </w:r>
    </w:p>
    <w:p>
      <w:pPr>
        <w:spacing w:after="0" w:line="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93"/>
        </w:numPr>
        <w:rPr>
          <w:rFonts w:ascii="Times New Roman" w:cs="Times New Roman" w:eastAsia="Times New Roman" w:hAnsi="Times New Roman"/>
          <w:sz w:val="12"/>
          <w:szCs w:val="12"/>
          <w:color w:val="auto"/>
        </w:rPr>
      </w:pPr>
      <w:r>
        <w:rPr>
          <w:rFonts w:ascii="Arial" w:cs="Arial" w:eastAsia="Arial" w:hAnsi="Arial"/>
          <w:sz w:val="12"/>
          <w:szCs w:val="12"/>
          <w:color w:val="auto"/>
        </w:rPr>
        <w:t>the trustee has not received from the holders of a majority in outstanding principal amount of the debt securities of such series a direction inconsistent with such request; and</w:t>
      </w:r>
    </w:p>
    <w:p>
      <w:pPr>
        <w:spacing w:after="0" w:line="59"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93"/>
        </w:numPr>
        <w:rPr>
          <w:rFonts w:ascii="Times New Roman" w:cs="Times New Roman" w:eastAsia="Times New Roman" w:hAnsi="Times New Roman"/>
          <w:sz w:val="12"/>
          <w:szCs w:val="12"/>
          <w:color w:val="auto"/>
        </w:rPr>
      </w:pPr>
      <w:r>
        <w:rPr>
          <w:rFonts w:ascii="Arial" w:cs="Arial" w:eastAsia="Arial" w:hAnsi="Arial"/>
          <w:sz w:val="12"/>
          <w:szCs w:val="12"/>
          <w:color w:val="auto"/>
        </w:rPr>
        <w:t>the trustee has failed to institute such proceeding within 90 calendar days of such notice.</w:t>
      </w:r>
    </w:p>
    <w:p>
      <w:pPr>
        <w:spacing w:after="0" w:line="50" w:lineRule="exact"/>
        <w:rPr>
          <w:sz w:val="20"/>
          <w:szCs w:val="20"/>
          <w:color w:val="auto"/>
        </w:rPr>
      </w:pPr>
    </w:p>
    <w:p>
      <w:pPr>
        <w:ind w:firstLine="228"/>
        <w:spacing w:after="0" w:line="239" w:lineRule="auto"/>
        <w:rPr>
          <w:sz w:val="20"/>
          <w:szCs w:val="20"/>
          <w:color w:val="auto"/>
        </w:rPr>
      </w:pPr>
      <w:r>
        <w:rPr>
          <w:rFonts w:ascii="Arial" w:cs="Arial" w:eastAsia="Arial" w:hAnsi="Arial"/>
          <w:sz w:val="12"/>
          <w:szCs w:val="12"/>
          <w:color w:val="auto"/>
        </w:rPr>
        <w:t>However, such limitations do not apply to a suit instituted by a holder of debt securities for enforcement of payment of the principal of, or premium or interest, if any, on, such debt securities on or after the respective due dates expressed in such debt securities after any applicable grace periods have expired.</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Modification and Waiver</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trustee and we may amend or supplement the indenture or the debt securities of any series without the consent of any holder, in order to:</w:t>
      </w:r>
    </w:p>
    <w:p>
      <w:pPr>
        <w:spacing w:after="0" w:line="51" w:lineRule="exact"/>
        <w:rPr>
          <w:sz w:val="20"/>
          <w:szCs w:val="20"/>
          <w:color w:val="auto"/>
        </w:rPr>
      </w:pPr>
    </w:p>
    <w:p>
      <w:pPr>
        <w:ind w:left="640" w:hanging="216"/>
        <w:spacing w:after="0"/>
        <w:tabs>
          <w:tab w:leader="none" w:pos="640" w:val="left"/>
        </w:tabs>
        <w:numPr>
          <w:ilvl w:val="0"/>
          <w:numId w:val="194"/>
        </w:numPr>
        <w:rPr>
          <w:rFonts w:ascii="Times New Roman" w:cs="Times New Roman" w:eastAsia="Times New Roman" w:hAnsi="Times New Roman"/>
          <w:sz w:val="12"/>
          <w:szCs w:val="12"/>
          <w:color w:val="auto"/>
        </w:rPr>
      </w:pPr>
      <w:r>
        <w:rPr>
          <w:rFonts w:ascii="Arial" w:cs="Arial" w:eastAsia="Arial" w:hAnsi="Arial"/>
          <w:sz w:val="12"/>
          <w:szCs w:val="12"/>
          <w:color w:val="auto"/>
        </w:rPr>
        <w:t>cure any ambiguity, defect or inconsistency;</w:t>
      </w:r>
    </w:p>
    <w:p>
      <w:pPr>
        <w:spacing w:after="0" w:line="59"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94"/>
        </w:numPr>
        <w:rPr>
          <w:rFonts w:ascii="Times New Roman" w:cs="Times New Roman" w:eastAsia="Times New Roman" w:hAnsi="Times New Roman"/>
          <w:sz w:val="12"/>
          <w:szCs w:val="12"/>
          <w:color w:val="auto"/>
        </w:rPr>
      </w:pPr>
      <w:r>
        <w:rPr>
          <w:rFonts w:ascii="Arial" w:cs="Arial" w:eastAsia="Arial" w:hAnsi="Arial"/>
          <w:sz w:val="12"/>
          <w:szCs w:val="12"/>
          <w:color w:val="auto"/>
        </w:rPr>
        <w:t>provide for uncertificated debt securities in addition to or in place of certificated debt securities;</w:t>
      </w:r>
    </w:p>
    <w:p>
      <w:pPr>
        <w:spacing w:after="0" w:line="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94"/>
        </w:numPr>
        <w:rPr>
          <w:rFonts w:ascii="Times New Roman" w:cs="Times New Roman" w:eastAsia="Times New Roman" w:hAnsi="Times New Roman"/>
          <w:sz w:val="12"/>
          <w:szCs w:val="12"/>
          <w:color w:val="auto"/>
        </w:rPr>
      </w:pPr>
      <w:r>
        <w:rPr>
          <w:rFonts w:ascii="Arial" w:cs="Arial" w:eastAsia="Arial" w:hAnsi="Arial"/>
          <w:sz w:val="12"/>
          <w:szCs w:val="12"/>
          <w:color w:val="auto"/>
        </w:rPr>
        <w:t>provide for the assumption of our obligations to the holders in the case of a merger or consolidation of us as permitted by the indenture;</w:t>
      </w:r>
    </w:p>
    <w:p>
      <w:pPr>
        <w:spacing w:after="0" w:line="50" w:lineRule="exact"/>
        <w:rPr>
          <w:rFonts w:ascii="Times New Roman" w:cs="Times New Roman" w:eastAsia="Times New Roman" w:hAnsi="Times New Roman"/>
          <w:sz w:val="12"/>
          <w:szCs w:val="12"/>
          <w:color w:val="auto"/>
        </w:rPr>
      </w:pPr>
    </w:p>
    <w:p>
      <w:pPr>
        <w:ind w:left="640" w:hanging="216"/>
        <w:spacing w:after="0" w:line="254" w:lineRule="auto"/>
        <w:tabs>
          <w:tab w:leader="none" w:pos="637" w:val="left"/>
        </w:tabs>
        <w:numPr>
          <w:ilvl w:val="0"/>
          <w:numId w:val="194"/>
        </w:numPr>
        <w:rPr>
          <w:rFonts w:ascii="Times New Roman" w:cs="Times New Roman" w:eastAsia="Times New Roman" w:hAnsi="Times New Roman"/>
          <w:sz w:val="12"/>
          <w:szCs w:val="12"/>
          <w:color w:val="auto"/>
        </w:rPr>
      </w:pPr>
      <w:r>
        <w:rPr>
          <w:rFonts w:ascii="Arial" w:cs="Arial" w:eastAsia="Arial" w:hAnsi="Arial"/>
          <w:sz w:val="12"/>
          <w:szCs w:val="12"/>
          <w:color w:val="auto"/>
        </w:rPr>
        <w:t>evidence and provide for the acceptance of appointment by a successor trustee and to add to or change any of the provisions of the indenture as are necessary to provide for or facilitate the administration of the trusts by more than one trustee;</w:t>
      </w:r>
    </w:p>
    <w:p>
      <w:pPr>
        <w:spacing w:after="0" w:line="22"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94"/>
        </w:numPr>
        <w:rPr>
          <w:rFonts w:ascii="Times New Roman" w:cs="Times New Roman" w:eastAsia="Times New Roman" w:hAnsi="Times New Roman"/>
          <w:sz w:val="12"/>
          <w:szCs w:val="12"/>
          <w:color w:val="auto"/>
        </w:rPr>
      </w:pPr>
      <w:r>
        <w:rPr>
          <w:rFonts w:ascii="Arial" w:cs="Arial" w:eastAsia="Arial" w:hAnsi="Arial"/>
          <w:sz w:val="12"/>
          <w:szCs w:val="12"/>
          <w:color w:val="auto"/>
        </w:rPr>
        <w:t>make any change that would provide any additional rights or benefits to the holders of all or any series of debt securities and that does not adversely affect any such holder; or</w:t>
      </w:r>
    </w:p>
    <w:p>
      <w:pPr>
        <w:spacing w:after="0" w:line="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94"/>
        </w:numPr>
        <w:rPr>
          <w:rFonts w:ascii="Times New Roman" w:cs="Times New Roman" w:eastAsia="Times New Roman" w:hAnsi="Times New Roman"/>
          <w:sz w:val="12"/>
          <w:szCs w:val="12"/>
          <w:color w:val="auto"/>
        </w:rPr>
      </w:pPr>
      <w:r>
        <w:rPr>
          <w:rFonts w:ascii="Arial" w:cs="Arial" w:eastAsia="Arial" w:hAnsi="Arial"/>
          <w:sz w:val="12"/>
          <w:szCs w:val="12"/>
          <w:color w:val="auto"/>
        </w:rPr>
        <w:t>comply with SEC requirements in order to effect or maintain the qualification of the indenture under the Trust Indenture Act.</w:t>
      </w:r>
    </w:p>
    <w:p>
      <w:pPr>
        <w:spacing w:after="0" w:line="59" w:lineRule="exact"/>
        <w:rPr>
          <w:sz w:val="20"/>
          <w:szCs w:val="20"/>
          <w:color w:val="auto"/>
        </w:rPr>
      </w:pPr>
    </w:p>
    <w:p>
      <w:pPr>
        <w:ind w:firstLine="228"/>
        <w:spacing w:after="0" w:line="239" w:lineRule="auto"/>
        <w:rPr>
          <w:sz w:val="20"/>
          <w:szCs w:val="20"/>
          <w:color w:val="auto"/>
        </w:rPr>
      </w:pPr>
      <w:r>
        <w:rPr>
          <w:rFonts w:ascii="Arial" w:cs="Arial" w:eastAsia="Arial" w:hAnsi="Arial"/>
          <w:sz w:val="12"/>
          <w:szCs w:val="12"/>
          <w:color w:val="auto"/>
        </w:rPr>
        <w:t>In addition, except as described below, modifications and amendments of the indenture or the debt securities of any series may be made by the trustee and us with the consent of the holders of a majority in outstanding principal amount of the debt securities affected by such modification or amendment. However, no such modification or amendment may, without the consent of each holder affected thereby:</w:t>
      </w:r>
    </w:p>
    <w:p>
      <w:pPr>
        <w:spacing w:after="0" w:line="31" w:lineRule="exact"/>
        <w:rPr>
          <w:sz w:val="20"/>
          <w:szCs w:val="20"/>
          <w:color w:val="auto"/>
        </w:rPr>
      </w:pPr>
    </w:p>
    <w:p>
      <w:pPr>
        <w:ind w:left="640" w:hanging="216"/>
        <w:spacing w:after="0"/>
        <w:tabs>
          <w:tab w:leader="none" w:pos="640" w:val="left"/>
        </w:tabs>
        <w:numPr>
          <w:ilvl w:val="0"/>
          <w:numId w:val="195"/>
        </w:numPr>
        <w:rPr>
          <w:rFonts w:ascii="Times New Roman" w:cs="Times New Roman" w:eastAsia="Times New Roman" w:hAnsi="Times New Roman"/>
          <w:sz w:val="12"/>
          <w:szCs w:val="12"/>
          <w:color w:val="auto"/>
        </w:rPr>
      </w:pPr>
      <w:r>
        <w:rPr>
          <w:rFonts w:ascii="Arial" w:cs="Arial" w:eastAsia="Arial" w:hAnsi="Arial"/>
          <w:sz w:val="12"/>
          <w:szCs w:val="12"/>
          <w:color w:val="auto"/>
        </w:rPr>
        <w:t>change the stated maturity of, or time for payment of interest on, any debt security;</w:t>
      </w:r>
    </w:p>
    <w:p>
      <w:pPr>
        <w:spacing w:after="0" w:line="59"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95"/>
        </w:numPr>
        <w:rPr>
          <w:rFonts w:ascii="Times New Roman" w:cs="Times New Roman" w:eastAsia="Times New Roman" w:hAnsi="Times New Roman"/>
          <w:sz w:val="12"/>
          <w:szCs w:val="12"/>
          <w:color w:val="auto"/>
        </w:rPr>
      </w:pPr>
      <w:r>
        <w:rPr>
          <w:rFonts w:ascii="Arial" w:cs="Arial" w:eastAsia="Arial" w:hAnsi="Arial"/>
          <w:sz w:val="12"/>
          <w:szCs w:val="12"/>
          <w:color w:val="auto"/>
        </w:rPr>
        <w:t>reduce the principal amount of, or the rate of interest or the premium, if any, payable upon the redemption of any debt security;</w:t>
      </w:r>
    </w:p>
    <w:p>
      <w:pPr>
        <w:spacing w:after="0" w:line="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95"/>
        </w:numPr>
        <w:rPr>
          <w:rFonts w:ascii="Times New Roman" w:cs="Times New Roman" w:eastAsia="Times New Roman" w:hAnsi="Times New Roman"/>
          <w:sz w:val="12"/>
          <w:szCs w:val="12"/>
          <w:color w:val="auto"/>
        </w:rPr>
      </w:pPr>
      <w:r>
        <w:rPr>
          <w:rFonts w:ascii="Arial" w:cs="Arial" w:eastAsia="Arial" w:hAnsi="Arial"/>
          <w:sz w:val="12"/>
          <w:szCs w:val="12"/>
          <w:color w:val="auto"/>
        </w:rPr>
        <w:t>change the place or currency of payment of principal of, or interest or premium, if any, on, any debt security;</w:t>
      </w:r>
    </w:p>
    <w:p>
      <w:pPr>
        <w:spacing w:after="0" w:line="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95"/>
        </w:numPr>
        <w:rPr>
          <w:rFonts w:ascii="Times New Roman" w:cs="Times New Roman" w:eastAsia="Times New Roman" w:hAnsi="Times New Roman"/>
          <w:sz w:val="12"/>
          <w:szCs w:val="12"/>
          <w:color w:val="auto"/>
        </w:rPr>
      </w:pPr>
      <w:r>
        <w:rPr>
          <w:rFonts w:ascii="Arial" w:cs="Arial" w:eastAsia="Arial" w:hAnsi="Arial"/>
          <w:sz w:val="12"/>
          <w:szCs w:val="12"/>
          <w:color w:val="auto"/>
        </w:rPr>
        <w:t>impair the right to institute suit for the enforcement of any payment on or with respect to such debt securities on or after the stated maturity or prepayment date thereof; or</w:t>
      </w:r>
    </w:p>
    <w:p>
      <w:pPr>
        <w:spacing w:after="0" w:line="59"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95"/>
        </w:numPr>
        <w:rPr>
          <w:rFonts w:ascii="Times New Roman" w:cs="Times New Roman" w:eastAsia="Times New Roman" w:hAnsi="Times New Roman"/>
          <w:sz w:val="12"/>
          <w:szCs w:val="12"/>
          <w:color w:val="auto"/>
        </w:rPr>
      </w:pPr>
      <w:r>
        <w:rPr>
          <w:rFonts w:ascii="Arial" w:cs="Arial" w:eastAsia="Arial" w:hAnsi="Arial"/>
          <w:sz w:val="12"/>
          <w:szCs w:val="12"/>
          <w:color w:val="auto"/>
        </w:rPr>
        <w:t>reduce the percentage in principal amount of debt securities of any series where holders must consent to an amendment, supplement or waiver.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0"/>
          </w:cols>
          <w:pgMar w:left="300" w:top="982" w:right="299" w:bottom="1440" w:gutter="0" w:footer="0" w:header="0"/>
        </w:sectPr>
      </w:pPr>
    </w:p>
    <w:bookmarkStart w:id="135" w:name="page136"/>
    <w:bookmarkEnd w:id="135"/>
    <w:p>
      <w:pPr>
        <w:spacing w:after="0"/>
        <w:rPr>
          <w:sz w:val="20"/>
          <w:szCs w:val="20"/>
          <w:color w:val="auto"/>
        </w:rPr>
      </w:pPr>
      <w:r>
        <w:rPr>
          <w:rFonts w:ascii="Arial" w:cs="Arial" w:eastAsia="Arial" w:hAnsi="Arial"/>
          <w:sz w:val="12"/>
          <w:szCs w:val="12"/>
          <w:b w:val="1"/>
          <w:bCs w:val="1"/>
          <w:color w:val="auto"/>
        </w:rPr>
        <w:t>Defeasance</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indenture provides that we will be discharged from any and all obligations in respect of the debt securities of any series (except for certain obligations to register the transfer or exchange of the debt</w:t>
      </w:r>
    </w:p>
    <w:p>
      <w:pPr>
        <w:jc w:val="both"/>
        <w:spacing w:after="0" w:line="208" w:lineRule="auto"/>
        <w:rPr>
          <w:sz w:val="20"/>
          <w:szCs w:val="20"/>
          <w:color w:val="auto"/>
        </w:rPr>
      </w:pPr>
      <w:r>
        <w:rPr>
          <w:rFonts w:ascii="Arial" w:cs="Arial" w:eastAsia="Arial" w:hAnsi="Arial"/>
          <w:sz w:val="12"/>
          <w:szCs w:val="12"/>
          <w:color w:val="auto"/>
        </w:rPr>
        <w:t>securities, to replace stolen, lost or mutilated debt securities, to maintain paying agencies and hold monies for payment in trust and to pay the principal of and interest, if any, on such debt securities), upon the irrevocable deposit with the trustee, in trust, of money and/or U.S. government securities, which through the payment of interest and principal thereof in accordance with their terms provides money in an amount sufficient to pay the principal of (and premium, if any) and interest, if any, in respect of the debt securities of such series on the stated maturity date of such principal and any installment of principal, or interest or</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2"/>
          <w:szCs w:val="12"/>
          <w:color w:val="auto"/>
        </w:rPr>
        <w:t>premium, if any. Also, the establishment of such a trust will be conditioned on the delivery by us to the trustee of an opinion of counsel reasonably satisfactory to the trustee to the effect that, based upon applicable U.S. federal income tax law or a ruling published by the United States Internal Revenue Service, such a defeasance and discharge will not be deemed, or result in, a taxable event with respect to the holders. For the avoidance of doubt, such an opinion would require a change in current U.S. tax law.</w:t>
      </w:r>
    </w:p>
    <w:p>
      <w:pPr>
        <w:spacing w:after="0" w:line="41" w:lineRule="exact"/>
        <w:rPr>
          <w:sz w:val="20"/>
          <w:szCs w:val="20"/>
          <w:color w:val="auto"/>
        </w:rPr>
      </w:pPr>
    </w:p>
    <w:p>
      <w:pPr>
        <w:jc w:val="both"/>
        <w:ind w:firstLine="228"/>
        <w:spacing w:after="0" w:line="215" w:lineRule="auto"/>
        <w:rPr>
          <w:sz w:val="20"/>
          <w:szCs w:val="20"/>
          <w:color w:val="auto"/>
        </w:rPr>
      </w:pPr>
      <w:r>
        <w:rPr>
          <w:rFonts w:ascii="Arial" w:cs="Arial" w:eastAsia="Arial" w:hAnsi="Arial"/>
          <w:sz w:val="12"/>
          <w:szCs w:val="12"/>
          <w:color w:val="auto"/>
        </w:rPr>
        <w:t>We may also omit to comply with the restrictive covenants, if any, of any particular series of debt securities, other than our covenant to pay the amounts due and owing with respect to such series of debt securities. Thereafter, any such omission shall not be an event of default with respect to the debt securities of such series, upon the deposit with the trustee, in trust, of money and/or U.S. government securities which through the payment of interest and principal in respect thereof in accordance with their terms provides money in an amount sufficient to pay any installment of principal of (and premium, if any) and interest,</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2"/>
          <w:szCs w:val="12"/>
          <w:color w:val="auto"/>
        </w:rPr>
        <w:t>if any, in respect of debt securities of such series on the stated maturity date of such principal or installment of principal, or interest or premium, if any. Our obligations under the indenture and the debt securities of such series other than with respect to such covenants shall remain in full force and effect. Also, the establishment of such a trust will be conditioned on the delivery by us to the trustee of an opinion of counsel to the effect that such a defeasance and discharge will not be deemed, or result in, a taxable event with respect to the holders.</w:t>
      </w:r>
    </w:p>
    <w:p>
      <w:pPr>
        <w:spacing w:after="0" w:line="41" w:lineRule="exact"/>
        <w:rPr>
          <w:sz w:val="20"/>
          <w:szCs w:val="20"/>
          <w:color w:val="auto"/>
        </w:rPr>
      </w:pPr>
    </w:p>
    <w:p>
      <w:pPr>
        <w:jc w:val="both"/>
        <w:ind w:firstLine="228"/>
        <w:spacing w:after="0" w:line="227" w:lineRule="auto"/>
        <w:rPr>
          <w:sz w:val="20"/>
          <w:szCs w:val="20"/>
          <w:color w:val="auto"/>
        </w:rPr>
      </w:pPr>
      <w:r>
        <w:rPr>
          <w:rFonts w:ascii="Arial" w:cs="Arial" w:eastAsia="Arial" w:hAnsi="Arial"/>
          <w:sz w:val="12"/>
          <w:szCs w:val="12"/>
          <w:color w:val="auto"/>
        </w:rPr>
        <w:t>In the event we exercise our option to omit compliance with certain covenants as described in the preceding paragraph and the debt securities of such series are declared due and payable because of the occurrence of any event of default, then the amount of monies and U.S. government securities on deposit with the trustee will be sufficient to pay amounts due on the debt securities of such series at the time of the acceleration resulting from such event of default. We will in any event remain liable in any event for such payments as provided in the debt securities of such series.</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Satisfaction and Discharge</w:t>
      </w:r>
    </w:p>
    <w:p>
      <w:pPr>
        <w:spacing w:after="0" w:line="51"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2"/>
          <w:szCs w:val="12"/>
          <w:color w:val="auto"/>
        </w:rPr>
        <w:t>At our option, we may satisfy and discharge the indenture with respect to the debt securities of any series (except for specified obligations of the trustee and ours, including, among others, the obligations to apply money held in trust) when:</w:t>
      </w:r>
    </w:p>
    <w:p>
      <w:pPr>
        <w:spacing w:after="0" w:line="40" w:lineRule="exact"/>
        <w:rPr>
          <w:sz w:val="20"/>
          <w:szCs w:val="20"/>
          <w:color w:val="auto"/>
        </w:rPr>
      </w:pPr>
    </w:p>
    <w:p>
      <w:pPr>
        <w:jc w:val="both"/>
        <w:ind w:left="640" w:right="20" w:hanging="216"/>
        <w:spacing w:after="0" w:line="225" w:lineRule="auto"/>
        <w:tabs>
          <w:tab w:leader="none" w:pos="637" w:val="left"/>
        </w:tabs>
        <w:numPr>
          <w:ilvl w:val="0"/>
          <w:numId w:val="196"/>
        </w:numPr>
        <w:rPr>
          <w:rFonts w:ascii="Times New Roman" w:cs="Times New Roman" w:eastAsia="Times New Roman" w:hAnsi="Times New Roman"/>
          <w:sz w:val="12"/>
          <w:szCs w:val="12"/>
          <w:color w:val="auto"/>
        </w:rPr>
      </w:pPr>
      <w:r>
        <w:rPr>
          <w:rFonts w:ascii="Arial" w:cs="Arial" w:eastAsia="Arial" w:hAnsi="Arial"/>
          <w:sz w:val="12"/>
          <w:szCs w:val="12"/>
          <w:color w:val="auto"/>
        </w:rPr>
        <w:t>either (a) all debt securities of such series previously authenticated and delivered under the indenture have been delivered to the trustee for cancellation or (b) all debt securities of such series not theretofore delivered to the trustee for cancellation have become due and payable, will become due and payable at their stated maturity within one year, or are to be called for redemption within one year under arrangements satisfactory to the trustee for the giving of notice of redemption by the trustee, and we have deposited or caused to be deposited with the trustee as trust funds in trust for such purpose an amount sufficient to pay and discharge the entire indebtedness on debt securities of such series;</w:t>
      </w:r>
    </w:p>
    <w:p>
      <w:pPr>
        <w:spacing w:after="0" w:line="31"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96"/>
        </w:numPr>
        <w:rPr>
          <w:rFonts w:ascii="Times New Roman" w:cs="Times New Roman" w:eastAsia="Times New Roman" w:hAnsi="Times New Roman"/>
          <w:sz w:val="12"/>
          <w:szCs w:val="12"/>
          <w:color w:val="auto"/>
        </w:rPr>
      </w:pPr>
      <w:r>
        <w:rPr>
          <w:rFonts w:ascii="Arial" w:cs="Arial" w:eastAsia="Arial" w:hAnsi="Arial"/>
          <w:sz w:val="12"/>
          <w:szCs w:val="12"/>
          <w:color w:val="auto"/>
        </w:rPr>
        <w:t>we have paid or caused to be paid all other sums payable under the indenture with respect to the debt securities of such series by us; and</w:t>
      </w:r>
    </w:p>
    <w:p>
      <w:pPr>
        <w:spacing w:after="0" w:line="50" w:lineRule="exact"/>
        <w:rPr>
          <w:rFonts w:ascii="Times New Roman" w:cs="Times New Roman" w:eastAsia="Times New Roman" w:hAnsi="Times New Roman"/>
          <w:sz w:val="12"/>
          <w:szCs w:val="12"/>
          <w:color w:val="auto"/>
        </w:rPr>
      </w:pPr>
    </w:p>
    <w:p>
      <w:pPr>
        <w:ind w:left="640" w:hanging="216"/>
        <w:spacing w:after="0" w:line="254" w:lineRule="auto"/>
        <w:tabs>
          <w:tab w:leader="none" w:pos="637" w:val="left"/>
        </w:tabs>
        <w:numPr>
          <w:ilvl w:val="0"/>
          <w:numId w:val="196"/>
        </w:numPr>
        <w:rPr>
          <w:rFonts w:ascii="Times New Roman" w:cs="Times New Roman" w:eastAsia="Times New Roman" w:hAnsi="Times New Roman"/>
          <w:sz w:val="12"/>
          <w:szCs w:val="12"/>
          <w:color w:val="auto"/>
        </w:rPr>
      </w:pPr>
      <w:r>
        <w:rPr>
          <w:rFonts w:ascii="Arial" w:cs="Arial" w:eastAsia="Arial" w:hAnsi="Arial"/>
          <w:sz w:val="12"/>
          <w:szCs w:val="12"/>
          <w:color w:val="auto"/>
        </w:rPr>
        <w:t>we have delivered to the trustee an officers’ certificate and an opinion of counsel, each to the effect that all conditions precedent relating to the satisfaction and discharge of the indenture as to such series have been satisfied.</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Payment on the Debt Securities</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All payments on the debt securities are payable in euros; provided that if the euro is unavailable to us due to the imposition of exchange controls or other circumstances beyond our control or if the euro is no</w:t>
      </w:r>
    </w:p>
    <w:p>
      <w:pPr>
        <w:jc w:val="both"/>
        <w:spacing w:after="0" w:line="220" w:lineRule="auto"/>
        <w:rPr>
          <w:sz w:val="20"/>
          <w:szCs w:val="20"/>
          <w:color w:val="auto"/>
        </w:rPr>
      </w:pPr>
      <w:r>
        <w:rPr>
          <w:rFonts w:ascii="Arial" w:cs="Arial" w:eastAsia="Arial" w:hAnsi="Arial"/>
          <w:sz w:val="12"/>
          <w:szCs w:val="12"/>
          <w:color w:val="auto"/>
        </w:rPr>
        <w:t>longer being used by the then member states of the European Monetary Union that have adopted the euro as their currency or for the settlement of transactions by public institutions of or within the international banking community, then all payments in respect of the debt securities will be made in U.S. dollars until the euro is again available to us or so used. The amount payable on any date in euro will be converted into U.S. dollars at the rate mandated by the U.S. Federal Reserve Board as of the close of business on the second business day prior to the relevant payment date or, in the event the U.S. Federal</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00"/>
          </w:cols>
          <w:pgMar w:left="300" w:top="982" w:right="299" w:bottom="1440" w:gutter="0" w:footer="0" w:header="0"/>
        </w:sectPr>
      </w:pPr>
    </w:p>
    <w:bookmarkStart w:id="136" w:name="page137"/>
    <w:bookmarkEnd w:id="136"/>
    <w:p>
      <w:pPr>
        <w:jc w:val="both"/>
        <w:spacing w:after="0" w:line="221" w:lineRule="auto"/>
        <w:rPr>
          <w:sz w:val="20"/>
          <w:szCs w:val="20"/>
          <w:color w:val="auto"/>
        </w:rPr>
      </w:pPr>
      <w:r>
        <w:rPr>
          <w:rFonts w:ascii="Arial" w:cs="Arial" w:eastAsia="Arial" w:hAnsi="Arial"/>
          <w:sz w:val="12"/>
          <w:szCs w:val="12"/>
          <w:color w:val="auto"/>
        </w:rPr>
        <w:t xml:space="preserve">Reserve Board has not mandated a rate of conversion, on the basis of the most recent U.S. dollar/euro exchange rate published in </w:t>
      </w:r>
      <w:r>
        <w:rPr>
          <w:rFonts w:ascii="Arial" w:cs="Arial" w:eastAsia="Arial" w:hAnsi="Arial"/>
          <w:sz w:val="12"/>
          <w:szCs w:val="12"/>
          <w:i w:val="1"/>
          <w:iCs w:val="1"/>
          <w:color w:val="auto"/>
        </w:rPr>
        <w:t>The Wall Street Journal</w:t>
      </w:r>
      <w:r>
        <w:rPr>
          <w:rFonts w:ascii="Arial" w:cs="Arial" w:eastAsia="Arial" w:hAnsi="Arial"/>
          <w:sz w:val="12"/>
          <w:szCs w:val="12"/>
          <w:color w:val="auto"/>
        </w:rPr>
        <w:t xml:space="preserve"> on or prior to the second business day prior to the relevant payment date. Any payment in respect of the debt securities so made in U.S. dollars does not constitute an event of default under the debt securities or the indenture. Neither the trustee nor the paying</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agent will have any responsibility for any calculation or conversion in connection with the foregoing.</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Ranking</w:t>
      </w:r>
    </w:p>
    <w:p>
      <w:pPr>
        <w:spacing w:after="0" w:line="51" w:lineRule="exact"/>
        <w:rPr>
          <w:sz w:val="20"/>
          <w:szCs w:val="20"/>
          <w:color w:val="auto"/>
        </w:rPr>
      </w:pPr>
    </w:p>
    <w:p>
      <w:pPr>
        <w:jc w:val="both"/>
        <w:ind w:right="20" w:firstLine="228"/>
        <w:spacing w:after="0" w:line="254" w:lineRule="auto"/>
        <w:rPr>
          <w:sz w:val="20"/>
          <w:szCs w:val="20"/>
          <w:color w:val="auto"/>
        </w:rPr>
      </w:pPr>
      <w:r>
        <w:rPr>
          <w:rFonts w:ascii="Arial" w:cs="Arial" w:eastAsia="Arial" w:hAnsi="Arial"/>
          <w:sz w:val="12"/>
          <w:szCs w:val="12"/>
          <w:color w:val="auto"/>
        </w:rPr>
        <w:t>The debt securities are our senior unsecured and unsubordinated debt obligations and rank equally among themselves and with all of our other existing and future senior unsecured indebtedness and senior to all of our subordinated debt.</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w:t>
      </w:r>
    </w:p>
    <w:p>
      <w:pPr>
        <w:spacing w:after="0" w:line="5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The 2028 notes began bearing interest as of February 22, 2016; the 2024 notes and the 0.750% 2032 notes began bearing interest from March 10, 2020; the 2027 notes and the 3.750% 2032 notes began bearing interest from May 17, 2023; and the 2034 notes began bearing interest from November 2, 2022.</w:t>
      </w:r>
    </w:p>
    <w:p>
      <w:pPr>
        <w:spacing w:after="0" w:line="23" w:lineRule="exact"/>
        <w:rPr>
          <w:sz w:val="20"/>
          <w:szCs w:val="20"/>
          <w:color w:val="auto"/>
        </w:rPr>
      </w:pPr>
    </w:p>
    <w:p>
      <w:pPr>
        <w:jc w:val="both"/>
        <w:ind w:firstLine="228"/>
        <w:spacing w:after="0" w:line="221" w:lineRule="auto"/>
        <w:rPr>
          <w:sz w:val="20"/>
          <w:szCs w:val="20"/>
          <w:color w:val="auto"/>
        </w:rPr>
      </w:pPr>
      <w:r>
        <w:rPr>
          <w:rFonts w:ascii="Arial" w:cs="Arial" w:eastAsia="Arial" w:hAnsi="Arial"/>
          <w:sz w:val="12"/>
          <w:szCs w:val="12"/>
          <w:color w:val="auto"/>
        </w:rPr>
        <w:t>The debt securities bear interest at fixed rates. The 2024 notes bear interest at a fixed rate of 0.000% per annum, the 2027 notes bear interest at a fixed rate of 3.500% per annum, the 2028 notes bear interest at a fixed rate of 2.250% per annum, the 0.750% 2032 notes bear interest at a fixed rate of 0.750% per annum, the 3.750% 2032 notes bear interest at a fixed rate of 3.750% per annum, and the 2034 notes bear</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2"/>
          <w:szCs w:val="12"/>
          <w:color w:val="auto"/>
        </w:rPr>
        <w:t>interest at a fixed rate of 4.125% per annum. Interest on the 2028 notes accrues from February 22, 2016, or from the most recent date to which interest has been paid or provided for; interest on the 2024 notes and the 0.750% 2032 notes accrues from March 10, 2020, or from the most recent date to which interest has been paid or provided for; interest on the 2027 notes and the 3.750% 2032 notes accrues from May 17, 2023, or from the most recent date to which interest has been paid or provided for; and interest on the 2034 notes accrues from November 2, 2022, or from the most recent date to which interest has been paid or</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2"/>
          <w:szCs w:val="12"/>
          <w:color w:val="auto"/>
        </w:rPr>
        <w:t>provided for. In each case, interest is payable annually in arrears on February 22 of each year with respect to the 2028 notes, on March 10 of each year with respect to the 2024 notes and the 0.750% 2032 notes, on May 17 of each year with respect to the 2027 notes and the 3.750% 2032 notes, and on November 2 of each year with respect to the 2034 notes (each a “debt securities interest payment date”), commencing February 22, 2017 with respect to the 2028 notes, March 10, 2021 with respect to the 2024 notes and the 0.750% 2032 notes, May 17, 2024 with respect to the 2027 notes and the 3.750% 2032 notes, and</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2"/>
          <w:szCs w:val="12"/>
          <w:color w:val="auto"/>
        </w:rPr>
        <w:t>November 2, 2023 with respect to the 2034 notes, to holders of record at the close of business on the 15th calendar day (whether or not a business day) immediately preceding the respective debt securities interest payment date or, if the debt securities are represented by one or more global notes, the close of business on the business day (for this purpose a day on which Clearstream Banking S.A. (“Clearstream”) and Euroclear Bank SA/NV (“Euroclear”) are open for business) immediately preceding the respective debt securities interest payment date; provided, however, that interest payable on the maturity date of the debt</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securities or any redemption date of the debt securities shall be payable to the person to whom the principal of such debt securities shall be payable.</w:t>
      </w:r>
    </w:p>
    <w:p>
      <w:pPr>
        <w:spacing w:after="0" w:line="39" w:lineRule="exact"/>
        <w:rPr>
          <w:sz w:val="20"/>
          <w:szCs w:val="20"/>
          <w:color w:val="auto"/>
        </w:rPr>
      </w:pPr>
    </w:p>
    <w:p>
      <w:pPr>
        <w:jc w:val="both"/>
        <w:ind w:firstLine="228"/>
        <w:spacing w:after="0" w:line="221" w:lineRule="auto"/>
        <w:rPr>
          <w:sz w:val="20"/>
          <w:szCs w:val="20"/>
          <w:color w:val="auto"/>
        </w:rPr>
      </w:pPr>
      <w:r>
        <w:rPr>
          <w:rFonts w:ascii="Arial" w:cs="Arial" w:eastAsia="Arial" w:hAnsi="Arial"/>
          <w:sz w:val="12"/>
          <w:szCs w:val="12"/>
          <w:color w:val="auto"/>
        </w:rPr>
        <w:t>Interest payable on the debt securities on any debt securities interest payment date, redemption date or maturity date is the amount of interest accrued from, and including, the next preceding debt securities interest payment date in respect of which interest has been paid or duly provided for to, but excluding, such debt securities interest payment date, redemption date or maturity date, as the case may be. This</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2"/>
          <w:szCs w:val="12"/>
          <w:color w:val="auto"/>
        </w:rPr>
        <w:t>payment convention is referred to as ACTUAL/ACTUAL (ICMA) as defined in the rulebook of the International Capital Markets Association. If any debt securities interest payment date falls on a day that is not a business day, the interest payment will be made on the next succeeding day that is a business day, but no additional interest will accrue as a result of the delay in payment. If the maturity date or the redemption date of the debt securities falls on a day that is not a business day, the related payment of principal, premium, if any, and interest will be made on the next succeeding business day as if it were made on the date</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2"/>
          <w:szCs w:val="12"/>
          <w:color w:val="auto"/>
        </w:rPr>
        <w:t>such payment was due, and no interest will accrue on the amounts so payable for the period from and after such date to the next succeeding business day. The rights of holders of beneficial interests of debt securities to receive the payments of interest on such notes are subject to the applicable procedures of Euroclear and Clearstream.</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Optional Redemption of the Debt Securities</w:t>
      </w:r>
    </w:p>
    <w:p>
      <w:pPr>
        <w:spacing w:after="0" w:line="60" w:lineRule="exact"/>
        <w:rPr>
          <w:sz w:val="20"/>
          <w:szCs w:val="20"/>
          <w:color w:val="auto"/>
        </w:rPr>
      </w:pPr>
    </w:p>
    <w:p>
      <w:pPr>
        <w:jc w:val="both"/>
        <w:ind w:firstLine="228"/>
        <w:spacing w:after="0" w:line="215" w:lineRule="auto"/>
        <w:rPr>
          <w:sz w:val="20"/>
          <w:szCs w:val="20"/>
          <w:color w:val="auto"/>
        </w:rPr>
      </w:pPr>
      <w:r>
        <w:rPr>
          <w:rFonts w:ascii="Arial" w:cs="Arial" w:eastAsia="Arial" w:hAnsi="Arial"/>
          <w:sz w:val="12"/>
          <w:szCs w:val="12"/>
          <w:color w:val="auto"/>
        </w:rPr>
        <w:t>The 2028 notes are redeemable, in whole or in part, at any time and from time to time at our option; the 2024 notes are redeemable at our option, in whole or in part, at any time prior to February 10, 2024; the 2027 notes are redeemable at our option, in whole or in part, at any time prior to April 17, 2027; the 0.750% 2032 notes are redeemable at our option, in whole or in part, at any time prior to December 10, 2031; the 3.750% 2032 notes are redeemable at our option, in whole or in part, at any time prior to February 17, 2032; and the 2034 notes are redeemable at our option, in whole or in part, at any time prior to August 2,</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2034, in each case, at a redemption price equal to the greater of (i) 100% of the principal</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00"/>
          </w:cols>
          <w:pgMar w:left="300" w:top="982" w:right="299" w:bottom="1440" w:gutter="0" w:footer="0" w:header="0"/>
        </w:sectPr>
      </w:pPr>
    </w:p>
    <w:bookmarkStart w:id="137" w:name="page138"/>
    <w:bookmarkEnd w:id="137"/>
    <w:p>
      <w:pPr>
        <w:jc w:val="both"/>
        <w:spacing w:after="0" w:line="221" w:lineRule="auto"/>
        <w:rPr>
          <w:sz w:val="20"/>
          <w:szCs w:val="20"/>
          <w:color w:val="auto"/>
        </w:rPr>
      </w:pPr>
      <w:r>
        <w:rPr>
          <w:rFonts w:ascii="Arial" w:cs="Arial" w:eastAsia="Arial" w:hAnsi="Arial"/>
          <w:sz w:val="12"/>
          <w:szCs w:val="12"/>
          <w:color w:val="auto"/>
        </w:rPr>
        <w:t>amount of the debt securities to be redeemed and (ii) the sum of the present values of the remaining scheduled payments of principal and interest on the debt securities to be redeemed (exclusive of interest accrued to the date of redemption), discounted to the redemption date on an annual basis (ACTUAL/ACTUAL (ICMA)), at the applicable Comparable Government Bond Rate described below, plus 15 basis points</w:t>
      </w:r>
    </w:p>
    <w:p>
      <w:pPr>
        <w:spacing w:after="0" w:line="1" w:lineRule="exact"/>
        <w:rPr>
          <w:sz w:val="20"/>
          <w:szCs w:val="20"/>
          <w:color w:val="auto"/>
        </w:rPr>
      </w:pPr>
    </w:p>
    <w:p>
      <w:pPr>
        <w:jc w:val="both"/>
        <w:ind w:right="20"/>
        <w:spacing w:after="0" w:line="229" w:lineRule="auto"/>
        <w:rPr>
          <w:sz w:val="20"/>
          <w:szCs w:val="20"/>
          <w:color w:val="auto"/>
        </w:rPr>
      </w:pPr>
      <w:r>
        <w:rPr>
          <w:rFonts w:ascii="Arial" w:cs="Arial" w:eastAsia="Arial" w:hAnsi="Arial"/>
          <w:sz w:val="12"/>
          <w:szCs w:val="12"/>
          <w:color w:val="auto"/>
        </w:rPr>
        <w:t>for the 2024 notes, plus 20 basis points for the 2027 notes, plus 30 basis points for the 2028 notes, plus 25 basis points for each of the 0.750% 2032 notes and 3.750% 2032 notes, and plus 35 basis points for the 2034 notes, plus, in each case, accrued and unpaid interest on the principal amount of the debt securities to be redeemed to the date of redemption. We will calculate the redemption price.</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At any time on or after February 10, 2024 with respect to the 2024 notes, April 17, 2027 with respect to the 2027 notes, December 10, 2031 with respect to the 0.750% 2032 notes, February 17, 2032 with</w:t>
      </w:r>
    </w:p>
    <w:p>
      <w:pPr>
        <w:jc w:val="both"/>
        <w:spacing w:after="0" w:line="229" w:lineRule="auto"/>
        <w:rPr>
          <w:sz w:val="20"/>
          <w:szCs w:val="20"/>
          <w:color w:val="auto"/>
        </w:rPr>
      </w:pPr>
      <w:r>
        <w:rPr>
          <w:rFonts w:ascii="Arial" w:cs="Arial" w:eastAsia="Arial" w:hAnsi="Arial"/>
          <w:sz w:val="12"/>
          <w:szCs w:val="12"/>
          <w:color w:val="auto"/>
        </w:rPr>
        <w:t>respect to the 3.750% 2032 notes, and August 2, 2034 with respect to the 2034 notes, we may redeem the applicable debt securities, in whole or in part, at a redemption price equal to 100% of the principal amount of such debt securities of such series being redeemed, plus accrued and unpaid interest on the principal amount of such debt securities of such series to be redeemed to the date of redemption.</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“Comparable Government Bond Rate” means, with respect to any redemption date, the rate per annum equal to the yield to maturity, expressed as a percentage (rounded to three decimal places, with 0.0005</w:t>
      </w:r>
    </w:p>
    <w:p>
      <w:pPr>
        <w:jc w:val="both"/>
        <w:ind w:right="20"/>
        <w:spacing w:after="0" w:line="220" w:lineRule="auto"/>
        <w:rPr>
          <w:sz w:val="20"/>
          <w:szCs w:val="20"/>
          <w:color w:val="auto"/>
        </w:rPr>
      </w:pPr>
      <w:r>
        <w:rPr>
          <w:rFonts w:ascii="Arial" w:cs="Arial" w:eastAsia="Arial" w:hAnsi="Arial"/>
          <w:sz w:val="12"/>
          <w:szCs w:val="12"/>
          <w:color w:val="auto"/>
        </w:rPr>
        <w:t>being rounded upwards), on the third business day prior to the date fixed for redemption, calculated in accordance with customary financial practice in pricing new issues of comparable corporate debt securities paying interest on an annual basis (ACTUAL/ACTUAL (ICMA)) of the Comparable Government Bond (as defined below), assuming a price for the Comparable Government Bond (expressed as a percentage of its principal amount) equal to the Comparable Government Bond Price (as defined below) for such redemption date.</w:t>
      </w:r>
    </w:p>
    <w:p>
      <w:pPr>
        <w:spacing w:after="0" w:line="41" w:lineRule="exact"/>
        <w:rPr>
          <w:sz w:val="20"/>
          <w:szCs w:val="20"/>
          <w:color w:val="auto"/>
        </w:rPr>
      </w:pPr>
    </w:p>
    <w:p>
      <w:pPr>
        <w:jc w:val="both"/>
        <w:ind w:firstLine="228"/>
        <w:spacing w:after="0" w:line="227" w:lineRule="auto"/>
        <w:rPr>
          <w:sz w:val="20"/>
          <w:szCs w:val="20"/>
          <w:color w:val="auto"/>
        </w:rPr>
      </w:pPr>
      <w:r>
        <w:rPr>
          <w:rFonts w:ascii="Arial" w:cs="Arial" w:eastAsia="Arial" w:hAnsi="Arial"/>
          <w:sz w:val="12"/>
          <w:szCs w:val="12"/>
          <w:color w:val="auto"/>
        </w:rPr>
        <w:t>“Comparable Government Bond” means, in relation to any Comparable Government Bond Rate calculation, the German government bond (Bundesanleihe) selected by an Independent Investment Banker (as defined below) as having an actual or interpolated maturity comparable to the remaining term of the debt securities to be redeemed that would be utilized, at the time of selection and in accordance with customary financial practice, in pricing new issues of euro-denominated corporate debt securities of a comparable maturity to the remaining term of such debt securities.</w:t>
      </w:r>
    </w:p>
    <w:p>
      <w:pPr>
        <w:spacing w:after="0" w:line="4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“Independent Investment Banker” means one of the Reference Government Bond Dealers selected by us.</w:t>
      </w:r>
    </w:p>
    <w:p>
      <w:pPr>
        <w:spacing w:after="0" w:line="51" w:lineRule="exact"/>
        <w:rPr>
          <w:sz w:val="20"/>
          <w:szCs w:val="20"/>
          <w:color w:val="auto"/>
        </w:rPr>
      </w:pPr>
    </w:p>
    <w:p>
      <w:pPr>
        <w:jc w:val="both"/>
        <w:ind w:firstLine="228"/>
        <w:spacing w:after="0" w:line="221" w:lineRule="auto"/>
        <w:rPr>
          <w:sz w:val="20"/>
          <w:szCs w:val="20"/>
          <w:color w:val="auto"/>
        </w:rPr>
      </w:pPr>
      <w:r>
        <w:rPr>
          <w:rFonts w:ascii="Arial" w:cs="Arial" w:eastAsia="Arial" w:hAnsi="Arial"/>
          <w:sz w:val="12"/>
          <w:szCs w:val="12"/>
          <w:color w:val="auto"/>
        </w:rPr>
        <w:t>“Comparable Government Bond Price” means, with respect to any redemption date, (1) the arithmetic average of the Reference Government Bond Dealer Quotations (as defined below) for such redemption date, after excluding the highest and lowest such Reference Government Bond Dealer Quotations, or (2) if we obtain fewer than four such Reference Government Bond Dealer Quotations, the arithmetic average of</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all such quotations.</w:t>
      </w:r>
    </w:p>
    <w:p>
      <w:pPr>
        <w:spacing w:after="0" w:line="39" w:lineRule="exact"/>
        <w:rPr>
          <w:sz w:val="20"/>
          <w:szCs w:val="20"/>
          <w:color w:val="auto"/>
        </w:rPr>
      </w:pPr>
    </w:p>
    <w:p>
      <w:pPr>
        <w:jc w:val="both"/>
        <w:ind w:firstLine="228"/>
        <w:spacing w:after="0" w:line="221" w:lineRule="auto"/>
        <w:rPr>
          <w:sz w:val="20"/>
          <w:szCs w:val="20"/>
          <w:color w:val="auto"/>
        </w:rPr>
      </w:pPr>
      <w:r>
        <w:rPr>
          <w:rFonts w:ascii="Arial" w:cs="Arial" w:eastAsia="Arial" w:hAnsi="Arial"/>
          <w:sz w:val="12"/>
          <w:szCs w:val="12"/>
          <w:color w:val="auto"/>
        </w:rPr>
        <w:t>“Reference Government Bond Dealer” means each of (i) (A) with respect to the 2028 notes, Barclays Bank PLC, Citigroup Global Markets Limited, Goldman, Sachs &amp; Co. and Merrill Lynch International or any of their affiliates that are primary European government securities dealers, and their respective successors, (B) with respect to the 2024 notes and the 0.750% 2032 notes, Barclays Bank PLC, BNP Paribas,</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2"/>
          <w:szCs w:val="12"/>
          <w:color w:val="auto"/>
        </w:rPr>
        <w:t>Goldman Sachs &amp; Co. LLC and UniCredit Bank AG or any of their affiliates that are primary European government securities dealers, and their respective successors, (C) with respect to the 2027 notes and the 3.750% 2032 notes, Deutsche Bank AG, London Branch, J.P. Morgan Securities plc, Morgan Stanley &amp; Co. International plc and UniCredit Bank AG or any of their affiliates that are primary European government securities dealers, and their respective successors, and (D) with respect to the 2034 notes, BNP Paribas, Deutsche Bank AG, London Branch, Goldman Sachs &amp; Co. LLC and UniCredit Bank AG or any of their</w:t>
      </w:r>
    </w:p>
    <w:p>
      <w:pPr>
        <w:spacing w:after="0" w:line="1" w:lineRule="exact"/>
        <w:rPr>
          <w:sz w:val="20"/>
          <w:szCs w:val="20"/>
          <w:color w:val="auto"/>
        </w:rPr>
      </w:pPr>
    </w:p>
    <w:p>
      <w:pPr>
        <w:jc w:val="both"/>
        <w:ind w:right="20"/>
        <w:spacing w:after="0" w:line="229" w:lineRule="auto"/>
        <w:rPr>
          <w:sz w:val="20"/>
          <w:szCs w:val="20"/>
          <w:color w:val="auto"/>
        </w:rPr>
      </w:pPr>
      <w:r>
        <w:rPr>
          <w:rFonts w:ascii="Arial" w:cs="Arial" w:eastAsia="Arial" w:hAnsi="Arial"/>
          <w:sz w:val="12"/>
          <w:szCs w:val="12"/>
          <w:color w:val="auto"/>
        </w:rPr>
        <w:t>affiliates that are primary European government securities dealers, and their respective successors; provided that if any of the foregoing or any of their affiliates shall cease to be a primary European government securities dealer (“Primary Dealer”), we shall substitute therefor another Primary Dealer and (ii) three other Primary Dealers selected by us.</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“Reference Government Bond Dealer Quotations” means, with respect to each Reference Government Bond Dealer and any redemption date, the arithmetic average, as determined by us, of the bid and asked</w:t>
      </w:r>
    </w:p>
    <w:p>
      <w:pPr>
        <w:jc w:val="both"/>
        <w:spacing w:after="0" w:line="229" w:lineRule="auto"/>
        <w:rPr>
          <w:sz w:val="20"/>
          <w:szCs w:val="20"/>
          <w:color w:val="auto"/>
        </w:rPr>
      </w:pPr>
      <w:r>
        <w:rPr>
          <w:rFonts w:ascii="Arial" w:cs="Arial" w:eastAsia="Arial" w:hAnsi="Arial"/>
          <w:sz w:val="12"/>
          <w:szCs w:val="12"/>
          <w:color w:val="auto"/>
        </w:rPr>
        <w:t>prices for the Comparable Government Bond (expressed in each case as a percentage of its principal amount) quoted in writing to us by such Reference Government Bond Dealer at 11:00 a.m., Brussels time, on the third business day preceding such redemption date.</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With respect to the 2028 notes, notice of any redemption will be mailed at least 30 days but not more than 60 days before the redemption date to each holder of the 2028 notes of such series to be redeemed.</w:t>
      </w:r>
    </w:p>
    <w:p>
      <w:pPr>
        <w:jc w:val="both"/>
        <w:ind w:right="20"/>
        <w:spacing w:after="0" w:line="229" w:lineRule="auto"/>
        <w:rPr>
          <w:sz w:val="20"/>
          <w:szCs w:val="20"/>
          <w:color w:val="auto"/>
        </w:rPr>
      </w:pPr>
      <w:r>
        <w:rPr>
          <w:rFonts w:ascii="Arial" w:cs="Arial" w:eastAsia="Arial" w:hAnsi="Arial"/>
          <w:sz w:val="12"/>
          <w:szCs w:val="12"/>
          <w:color w:val="auto"/>
        </w:rPr>
        <w:t>With respect to the 2024 notes, the 2027 notes, the 0.750% 2032 notes, the 3.750% 2032 notes, and the 2034 notes, notice of any redemption will be mailed at least 10 days but not more than 60 days before the redemption date to each holder of debt securities of such series to be redeemed. If we elect to redeem fewer than all the debt securities of such series, the trustee will select the particular debt securities of</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00"/>
          </w:cols>
          <w:pgMar w:left="300" w:top="982" w:right="299" w:bottom="1440" w:gutter="0" w:footer="0" w:header="0"/>
        </w:sectPr>
      </w:pPr>
    </w:p>
    <w:bookmarkStart w:id="138" w:name="page139"/>
    <w:bookmarkEnd w:id="138"/>
    <w:p>
      <w:pPr>
        <w:jc w:val="both"/>
        <w:spacing w:after="0" w:line="221" w:lineRule="auto"/>
        <w:rPr>
          <w:sz w:val="20"/>
          <w:szCs w:val="20"/>
          <w:color w:val="auto"/>
        </w:rPr>
      </w:pPr>
      <w:r>
        <w:rPr>
          <w:rFonts w:ascii="Arial" w:cs="Arial" w:eastAsia="Arial" w:hAnsi="Arial"/>
          <w:sz w:val="12"/>
          <w:szCs w:val="12"/>
          <w:color w:val="auto"/>
        </w:rPr>
        <w:t>such series to be redeemed by such method that the trustee deems fair and appropriate; provided that if the debt securities of such series are represented by one or more global securities, beneficial interests therein will be selected for redemption by Clearstream and Euroclear in accordance with their respective applicable procedures therefor; and provided, further, that no debt securities of a principal amount of</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€100,000 or less will be redeemed in part.</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Unless we default in payment of the redemption price, on and after the redemption date interest will cease to accrue on the debt securities or portions thereof called for redemption.</w:t>
      </w:r>
    </w:p>
    <w:p>
      <w:pPr>
        <w:spacing w:after="0" w:line="51" w:lineRule="exact"/>
        <w:rPr>
          <w:sz w:val="20"/>
          <w:szCs w:val="20"/>
          <w:color w:val="auto"/>
        </w:rPr>
      </w:pPr>
    </w:p>
    <w:p>
      <w:pPr>
        <w:jc w:val="both"/>
        <w:ind w:right="20" w:firstLine="228"/>
        <w:spacing w:after="0" w:line="254" w:lineRule="auto"/>
        <w:rPr>
          <w:sz w:val="20"/>
          <w:szCs w:val="20"/>
          <w:color w:val="auto"/>
        </w:rPr>
      </w:pPr>
      <w:r>
        <w:rPr>
          <w:rFonts w:ascii="Arial" w:cs="Arial" w:eastAsia="Arial" w:hAnsi="Arial"/>
          <w:sz w:val="12"/>
          <w:szCs w:val="12"/>
          <w:color w:val="auto"/>
        </w:rPr>
        <w:t>The debt securities are also subject to redemption prior to maturity if certain changes in U.S. tax law occur. If such changes occur, the debt securities may be redeemed at a redemption price of 100% of their principal amount plus accrued and unpaid interest to the date of redemption. See “Redemption for Tax Reasons.”</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Payment of Additional Amounts</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will, subject to the exceptions and limitations set forth below, pay as additional interest on the debt securities such additional amounts as are necessary in order that the net payment by us or a paying agent</w:t>
      </w:r>
    </w:p>
    <w:p>
      <w:pPr>
        <w:jc w:val="both"/>
        <w:spacing w:after="0" w:line="220" w:lineRule="auto"/>
        <w:rPr>
          <w:sz w:val="20"/>
          <w:szCs w:val="20"/>
          <w:color w:val="auto"/>
        </w:rPr>
      </w:pPr>
      <w:r>
        <w:rPr>
          <w:rFonts w:ascii="Arial" w:cs="Arial" w:eastAsia="Arial" w:hAnsi="Arial"/>
          <w:sz w:val="12"/>
          <w:szCs w:val="12"/>
          <w:color w:val="auto"/>
        </w:rPr>
        <w:t>of the principal, premium and interest with respect to the debt securities to a holder that is not a United States person (as defined below), after withholding or deduction for any present or future tax, assessment or other governmental charge imposed by the United States or a taxing authority in the United States, will not be less than the amount provided in the debt securities to be then due and payable; provided, however, that the foregoing obligation to pay additional amounts will not apply:</w:t>
      </w:r>
    </w:p>
    <w:p>
      <w:pPr>
        <w:spacing w:after="0" w:line="41" w:lineRule="exact"/>
        <w:rPr>
          <w:sz w:val="20"/>
          <w:szCs w:val="20"/>
          <w:color w:val="auto"/>
        </w:rPr>
      </w:pPr>
    </w:p>
    <w:p>
      <w:pPr>
        <w:ind w:left="640" w:right="20" w:hanging="216"/>
        <w:spacing w:after="0" w:line="239" w:lineRule="auto"/>
        <w:tabs>
          <w:tab w:leader="none" w:pos="634" w:val="left"/>
        </w:tabs>
        <w:numPr>
          <w:ilvl w:val="0"/>
          <w:numId w:val="197"/>
        </w:numPr>
        <w:rPr>
          <w:rFonts w:ascii="Arial" w:cs="Arial" w:eastAsia="Arial" w:hAnsi="Arial"/>
          <w:sz w:val="12"/>
          <w:szCs w:val="12"/>
          <w:color w:val="auto"/>
        </w:rPr>
      </w:pPr>
      <w:r>
        <w:rPr>
          <w:rFonts w:ascii="Arial" w:cs="Arial" w:eastAsia="Arial" w:hAnsi="Arial"/>
          <w:sz w:val="12"/>
          <w:szCs w:val="12"/>
          <w:color w:val="auto"/>
        </w:rPr>
        <w:t>to any tax, assessment or other governmental charge that would not have been imposed but for the holder, a fiduciary, settlor, beneficiary, member or shareholder of the holder, or a person holding a power over an estate or trust administered by a fiduciary holder, being treated as:</w:t>
      </w:r>
    </w:p>
    <w:p>
      <w:pPr>
        <w:spacing w:after="0" w:line="31" w:lineRule="exact"/>
        <w:rPr>
          <w:rFonts w:ascii="Arial" w:cs="Arial" w:eastAsia="Arial" w:hAnsi="Arial"/>
          <w:sz w:val="12"/>
          <w:szCs w:val="12"/>
          <w:color w:val="auto"/>
        </w:rPr>
      </w:pPr>
    </w:p>
    <w:p>
      <w:pPr>
        <w:ind w:left="860" w:hanging="220"/>
        <w:spacing w:after="0" w:line="254" w:lineRule="auto"/>
        <w:tabs>
          <w:tab w:leader="none" w:pos="855" w:val="left"/>
        </w:tabs>
        <w:numPr>
          <w:ilvl w:val="1"/>
          <w:numId w:val="197"/>
        </w:numPr>
        <w:rPr>
          <w:rFonts w:ascii="Arial" w:cs="Arial" w:eastAsia="Arial" w:hAnsi="Arial"/>
          <w:sz w:val="12"/>
          <w:szCs w:val="12"/>
          <w:color w:val="auto"/>
        </w:rPr>
      </w:pPr>
      <w:r>
        <w:rPr>
          <w:rFonts w:ascii="Arial" w:cs="Arial" w:eastAsia="Arial" w:hAnsi="Arial"/>
          <w:sz w:val="12"/>
          <w:szCs w:val="12"/>
          <w:color w:val="auto"/>
        </w:rPr>
        <w:t>being or having been present in, or engaged in a trade or business in, the United States, being treated as having been present in, or engaged in a trade or business in, the United States, or having or having had a permanent establishment in the United States;</w:t>
      </w:r>
    </w:p>
    <w:p>
      <w:pPr>
        <w:spacing w:after="0" w:line="22" w:lineRule="exact"/>
        <w:rPr>
          <w:rFonts w:ascii="Arial" w:cs="Arial" w:eastAsia="Arial" w:hAnsi="Arial"/>
          <w:sz w:val="12"/>
          <w:szCs w:val="12"/>
          <w:color w:val="auto"/>
        </w:rPr>
      </w:pPr>
    </w:p>
    <w:p>
      <w:pPr>
        <w:ind w:left="860" w:hanging="220"/>
        <w:spacing w:after="0" w:line="239" w:lineRule="auto"/>
        <w:tabs>
          <w:tab w:leader="none" w:pos="855" w:val="left"/>
        </w:tabs>
        <w:numPr>
          <w:ilvl w:val="1"/>
          <w:numId w:val="197"/>
        </w:numPr>
        <w:rPr>
          <w:rFonts w:ascii="Arial" w:cs="Arial" w:eastAsia="Arial" w:hAnsi="Arial"/>
          <w:sz w:val="12"/>
          <w:szCs w:val="12"/>
          <w:color w:val="auto"/>
        </w:rPr>
      </w:pPr>
      <w:r>
        <w:rPr>
          <w:rFonts w:ascii="Arial" w:cs="Arial" w:eastAsia="Arial" w:hAnsi="Arial"/>
          <w:sz w:val="12"/>
          <w:szCs w:val="12"/>
          <w:color w:val="auto"/>
        </w:rPr>
        <w:t>having a current or former connection with the United States (other than a connection arising solely as a result of the ownership of the debt securities, the receipt of any payment in respect of the debt securities or the enforcement of any rights under the indenture), including being or having been a citizen or resident of the United States or treated as being or having been a resident thereof;</w:t>
      </w:r>
    </w:p>
    <w:p>
      <w:pPr>
        <w:spacing w:after="0" w:line="40" w:lineRule="exact"/>
        <w:rPr>
          <w:rFonts w:ascii="Arial" w:cs="Arial" w:eastAsia="Arial" w:hAnsi="Arial"/>
          <w:sz w:val="12"/>
          <w:szCs w:val="12"/>
          <w:color w:val="auto"/>
        </w:rPr>
      </w:pPr>
    </w:p>
    <w:p>
      <w:pPr>
        <w:ind w:left="860" w:hanging="220"/>
        <w:spacing w:after="0" w:line="239" w:lineRule="auto"/>
        <w:tabs>
          <w:tab w:leader="none" w:pos="855" w:val="left"/>
        </w:tabs>
        <w:numPr>
          <w:ilvl w:val="1"/>
          <w:numId w:val="197"/>
        </w:numPr>
        <w:rPr>
          <w:rFonts w:ascii="Arial" w:cs="Arial" w:eastAsia="Arial" w:hAnsi="Arial"/>
          <w:sz w:val="12"/>
          <w:szCs w:val="12"/>
          <w:color w:val="auto"/>
        </w:rPr>
      </w:pPr>
      <w:r>
        <w:rPr>
          <w:rFonts w:ascii="Arial" w:cs="Arial" w:eastAsia="Arial" w:hAnsi="Arial"/>
          <w:sz w:val="12"/>
          <w:szCs w:val="12"/>
          <w:color w:val="auto"/>
        </w:rPr>
        <w:t>being or having been a personal holding company, a passive foreign investment company or a controlled foreign corporation for U.S. federal income tax purposes, a foreign tax exempt organization, or a corporation that has accumulated earnings to avoid United States federal income tax;</w:t>
      </w:r>
    </w:p>
    <w:p>
      <w:pPr>
        <w:spacing w:after="0" w:line="31" w:lineRule="exact"/>
        <w:rPr>
          <w:rFonts w:ascii="Arial" w:cs="Arial" w:eastAsia="Arial" w:hAnsi="Arial"/>
          <w:sz w:val="12"/>
          <w:szCs w:val="12"/>
          <w:color w:val="auto"/>
        </w:rPr>
      </w:pPr>
    </w:p>
    <w:p>
      <w:pPr>
        <w:ind w:left="860" w:hanging="220"/>
        <w:spacing w:after="0" w:line="254" w:lineRule="auto"/>
        <w:tabs>
          <w:tab w:leader="none" w:pos="855" w:val="left"/>
        </w:tabs>
        <w:numPr>
          <w:ilvl w:val="1"/>
          <w:numId w:val="197"/>
        </w:numPr>
        <w:rPr>
          <w:rFonts w:ascii="Arial" w:cs="Arial" w:eastAsia="Arial" w:hAnsi="Arial"/>
          <w:sz w:val="12"/>
          <w:szCs w:val="12"/>
          <w:color w:val="auto"/>
        </w:rPr>
      </w:pPr>
      <w:r>
        <w:rPr>
          <w:rFonts w:ascii="Arial" w:cs="Arial" w:eastAsia="Arial" w:hAnsi="Arial"/>
          <w:sz w:val="12"/>
          <w:szCs w:val="12"/>
          <w:color w:val="auto"/>
        </w:rPr>
        <w:t>being or having been a “10-percent shareholder,” as defined in Section 871(h)(3) of the United States Internal Revenue Code of 1986, as amended (the “Code”), or any successor provision, of us; or</w:t>
      </w:r>
    </w:p>
    <w:p>
      <w:pPr>
        <w:spacing w:after="0" w:line="22" w:lineRule="exact"/>
        <w:rPr>
          <w:rFonts w:ascii="Arial" w:cs="Arial" w:eastAsia="Arial" w:hAnsi="Arial"/>
          <w:sz w:val="12"/>
          <w:szCs w:val="12"/>
          <w:color w:val="auto"/>
        </w:rPr>
      </w:pPr>
    </w:p>
    <w:p>
      <w:pPr>
        <w:ind w:left="860" w:hanging="220"/>
        <w:spacing w:after="0" w:line="239" w:lineRule="auto"/>
        <w:tabs>
          <w:tab w:leader="none" w:pos="855" w:val="left"/>
        </w:tabs>
        <w:numPr>
          <w:ilvl w:val="1"/>
          <w:numId w:val="197"/>
        </w:numPr>
        <w:rPr>
          <w:rFonts w:ascii="Arial" w:cs="Arial" w:eastAsia="Arial" w:hAnsi="Arial"/>
          <w:sz w:val="12"/>
          <w:szCs w:val="12"/>
          <w:color w:val="auto"/>
        </w:rPr>
      </w:pPr>
      <w:r>
        <w:rPr>
          <w:rFonts w:ascii="Arial" w:cs="Arial" w:eastAsia="Arial" w:hAnsi="Arial"/>
          <w:sz w:val="12"/>
          <w:szCs w:val="12"/>
          <w:color w:val="auto"/>
        </w:rPr>
        <w:t>being a bank receiving payments on an extension of credit made pursuant to a loan agreement entered into in the ordinary course of its trade or business, within the meaning of Section 881(c)(3) of the Code or any successor provision;</w:t>
      </w:r>
    </w:p>
    <w:p>
      <w:pPr>
        <w:spacing w:after="0" w:line="40" w:lineRule="exact"/>
        <w:rPr>
          <w:rFonts w:ascii="Arial" w:cs="Arial" w:eastAsia="Arial" w:hAnsi="Arial"/>
          <w:sz w:val="12"/>
          <w:szCs w:val="12"/>
          <w:color w:val="auto"/>
        </w:rPr>
      </w:pPr>
    </w:p>
    <w:p>
      <w:pPr>
        <w:jc w:val="both"/>
        <w:ind w:left="640" w:hanging="216"/>
        <w:spacing w:after="0" w:line="227" w:lineRule="auto"/>
        <w:tabs>
          <w:tab w:leader="none" w:pos="634" w:val="left"/>
        </w:tabs>
        <w:numPr>
          <w:ilvl w:val="0"/>
          <w:numId w:val="197"/>
        </w:numPr>
        <w:rPr>
          <w:rFonts w:ascii="Arial" w:cs="Arial" w:eastAsia="Arial" w:hAnsi="Arial"/>
          <w:sz w:val="12"/>
          <w:szCs w:val="12"/>
          <w:color w:val="auto"/>
        </w:rPr>
      </w:pPr>
      <w:r>
        <w:rPr>
          <w:rFonts w:ascii="Arial" w:cs="Arial" w:eastAsia="Arial" w:hAnsi="Arial"/>
          <w:sz w:val="12"/>
          <w:szCs w:val="12"/>
          <w:color w:val="auto"/>
        </w:rPr>
        <w:t>to any holder that is not the sole beneficial owner of the debt securities, or a portion of the debt securities, or that is a fiduciary, partnership or limited liability company, but only to the extent that a beneficiary or settlor with respect to the fiduciary,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40" w:lineRule="exact"/>
        <w:rPr>
          <w:rFonts w:ascii="Arial" w:cs="Arial" w:eastAsia="Arial" w:hAnsi="Arial"/>
          <w:sz w:val="12"/>
          <w:szCs w:val="12"/>
          <w:color w:val="auto"/>
        </w:rPr>
      </w:pPr>
    </w:p>
    <w:p>
      <w:pPr>
        <w:jc w:val="both"/>
        <w:ind w:left="640" w:hanging="216"/>
        <w:spacing w:after="0" w:line="225" w:lineRule="auto"/>
        <w:tabs>
          <w:tab w:leader="none" w:pos="634" w:val="left"/>
        </w:tabs>
        <w:numPr>
          <w:ilvl w:val="0"/>
          <w:numId w:val="197"/>
        </w:numPr>
        <w:rPr>
          <w:rFonts w:ascii="Arial" w:cs="Arial" w:eastAsia="Arial" w:hAnsi="Arial"/>
          <w:sz w:val="12"/>
          <w:szCs w:val="12"/>
          <w:color w:val="auto"/>
        </w:rPr>
      </w:pPr>
      <w:r>
        <w:rPr>
          <w:rFonts w:ascii="Arial" w:cs="Arial" w:eastAsia="Arial" w:hAnsi="Arial"/>
          <w:sz w:val="12"/>
          <w:szCs w:val="12"/>
          <w:color w:val="auto"/>
        </w:rPr>
        <w:t>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debt securities,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31" w:lineRule="exact"/>
        <w:rPr>
          <w:rFonts w:ascii="Arial" w:cs="Arial" w:eastAsia="Arial" w:hAnsi="Arial"/>
          <w:sz w:val="12"/>
          <w:szCs w:val="12"/>
          <w:color w:val="auto"/>
        </w:rPr>
      </w:pPr>
    </w:p>
    <w:p>
      <w:pPr>
        <w:ind w:left="640" w:hanging="216"/>
        <w:spacing w:after="0"/>
        <w:tabs>
          <w:tab w:leader="none" w:pos="640" w:val="left"/>
        </w:tabs>
        <w:numPr>
          <w:ilvl w:val="0"/>
          <w:numId w:val="197"/>
        </w:numPr>
        <w:rPr>
          <w:rFonts w:ascii="Arial" w:cs="Arial" w:eastAsia="Arial" w:hAnsi="Arial"/>
          <w:sz w:val="12"/>
          <w:szCs w:val="12"/>
          <w:color w:val="auto"/>
        </w:rPr>
      </w:pPr>
      <w:r>
        <w:rPr>
          <w:rFonts w:ascii="Arial" w:cs="Arial" w:eastAsia="Arial" w:hAnsi="Arial"/>
          <w:sz w:val="12"/>
          <w:szCs w:val="12"/>
          <w:color w:val="auto"/>
        </w:rPr>
        <w:t>to any tax, assessment or other governmental charge that is imposed otherwise than by withholding by us or a paying agent from the payment;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0"/>
          </w:cols>
          <w:pgMar w:left="300" w:top="982" w:right="299" w:bottom="1440" w:gutter="0" w:footer="0" w:header="0"/>
        </w:sectPr>
      </w:pPr>
    </w:p>
    <w:bookmarkStart w:id="139" w:name="page140"/>
    <w:bookmarkEnd w:id="139"/>
    <w:p>
      <w:pPr>
        <w:ind w:left="640" w:hanging="216"/>
        <w:spacing w:after="0"/>
        <w:tabs>
          <w:tab w:leader="none" w:pos="640" w:val="left"/>
        </w:tabs>
        <w:numPr>
          <w:ilvl w:val="0"/>
          <w:numId w:val="198"/>
        </w:numPr>
        <w:rPr>
          <w:rFonts w:ascii="Arial" w:cs="Arial" w:eastAsia="Arial" w:hAnsi="Arial"/>
          <w:sz w:val="12"/>
          <w:szCs w:val="12"/>
          <w:color w:val="auto"/>
        </w:rPr>
      </w:pPr>
      <w:r>
        <w:rPr>
          <w:rFonts w:ascii="Arial" w:cs="Arial" w:eastAsia="Arial" w:hAnsi="Arial"/>
          <w:sz w:val="12"/>
          <w:szCs w:val="12"/>
          <w:color w:val="auto"/>
        </w:rPr>
        <w:t>to any estate, inheritance, gift, sales, excise, transfer, wealth, capital gains or personal property tax or similar tax, assessment or other governmental charge;</w:t>
      </w:r>
    </w:p>
    <w:p>
      <w:pPr>
        <w:spacing w:after="0" w:line="51" w:lineRule="exact"/>
        <w:rPr>
          <w:rFonts w:ascii="Arial" w:cs="Arial" w:eastAsia="Arial" w:hAnsi="Arial"/>
          <w:sz w:val="12"/>
          <w:szCs w:val="12"/>
          <w:color w:val="auto"/>
        </w:rPr>
      </w:pPr>
    </w:p>
    <w:p>
      <w:pPr>
        <w:ind w:left="640" w:right="20" w:hanging="216"/>
        <w:spacing w:after="0" w:line="254" w:lineRule="auto"/>
        <w:tabs>
          <w:tab w:leader="none" w:pos="634" w:val="left"/>
        </w:tabs>
        <w:numPr>
          <w:ilvl w:val="0"/>
          <w:numId w:val="198"/>
        </w:numPr>
        <w:rPr>
          <w:rFonts w:ascii="Arial" w:cs="Arial" w:eastAsia="Arial" w:hAnsi="Arial"/>
          <w:sz w:val="12"/>
          <w:szCs w:val="12"/>
          <w:color w:val="auto"/>
        </w:rPr>
      </w:pPr>
      <w:r>
        <w:rPr>
          <w:rFonts w:ascii="Arial" w:cs="Arial" w:eastAsia="Arial" w:hAnsi="Arial"/>
          <w:sz w:val="12"/>
          <w:szCs w:val="12"/>
          <w:color w:val="auto"/>
        </w:rPr>
        <w:t>to any tax, assessment or other governmental charge that would not have been imposed but for the presentation by the holder of any debt securities, where presentation is required, for payment on a date more than 30 days after the date on which payment became due and payable or the date on which payment thereof is duly provided for, whichever occurs later;</w:t>
      </w:r>
    </w:p>
    <w:p>
      <w:pPr>
        <w:spacing w:after="0" w:line="22" w:lineRule="exact"/>
        <w:rPr>
          <w:rFonts w:ascii="Arial" w:cs="Arial" w:eastAsia="Arial" w:hAnsi="Arial"/>
          <w:sz w:val="12"/>
          <w:szCs w:val="12"/>
          <w:color w:val="auto"/>
        </w:rPr>
      </w:pPr>
    </w:p>
    <w:p>
      <w:pPr>
        <w:jc w:val="both"/>
        <w:ind w:left="640" w:hanging="216"/>
        <w:spacing w:after="0" w:line="225" w:lineRule="auto"/>
        <w:tabs>
          <w:tab w:leader="none" w:pos="634" w:val="left"/>
        </w:tabs>
        <w:numPr>
          <w:ilvl w:val="0"/>
          <w:numId w:val="198"/>
        </w:numPr>
        <w:rPr>
          <w:rFonts w:ascii="Arial" w:cs="Arial" w:eastAsia="Arial" w:hAnsi="Arial"/>
          <w:sz w:val="12"/>
          <w:szCs w:val="12"/>
          <w:color w:val="auto"/>
        </w:rPr>
      </w:pPr>
      <w:r>
        <w:rPr>
          <w:rFonts w:ascii="Arial" w:cs="Arial" w:eastAsia="Arial" w:hAnsi="Arial"/>
          <w:sz w:val="12"/>
          <w:szCs w:val="12"/>
          <w:color w:val="auto"/>
        </w:rPr>
        <w:t>to any tax, assessment or other governmental charge required to be withheld or deducted that is imposed on a payment pursuant to Sections 1471 through 1474 of the Code (or any amended or successor version of such sections that is substantively comparable and not materially more onerous to comply with), any Treasury regulations promulgated thereunder, or any other official interpretations thereof (collectively, “FATCA”), any agreement (including any intergovernmental agreement) entered into in connection therewith, or any law, regulation or other official guidance enacted in any jurisdiction implementing FATCA or an intergovernmental agreement in respect of FATCA;</w:t>
      </w:r>
    </w:p>
    <w:p>
      <w:pPr>
        <w:spacing w:after="0" w:line="31" w:lineRule="exact"/>
        <w:rPr>
          <w:rFonts w:ascii="Arial" w:cs="Arial" w:eastAsia="Arial" w:hAnsi="Arial"/>
          <w:sz w:val="12"/>
          <w:szCs w:val="12"/>
          <w:color w:val="auto"/>
        </w:rPr>
      </w:pPr>
    </w:p>
    <w:p>
      <w:pPr>
        <w:ind w:left="640" w:hanging="216"/>
        <w:spacing w:after="0" w:line="254" w:lineRule="auto"/>
        <w:tabs>
          <w:tab w:leader="none" w:pos="634" w:val="left"/>
        </w:tabs>
        <w:numPr>
          <w:ilvl w:val="0"/>
          <w:numId w:val="198"/>
        </w:numPr>
        <w:rPr>
          <w:rFonts w:ascii="Arial" w:cs="Arial" w:eastAsia="Arial" w:hAnsi="Arial"/>
          <w:sz w:val="12"/>
          <w:szCs w:val="12"/>
          <w:color w:val="auto"/>
        </w:rPr>
      </w:pPr>
      <w:r>
        <w:rPr>
          <w:rFonts w:ascii="Arial" w:cs="Arial" w:eastAsia="Arial" w:hAnsi="Arial"/>
          <w:sz w:val="12"/>
          <w:szCs w:val="12"/>
          <w:color w:val="auto"/>
        </w:rPr>
        <w:t>any tax, assessment or other governmental charge that is imposed or withheld solely by reason of a change in law, regulation, or administrative or judicial interpretation that becomes effective more than 15 days after the payment becomes due or is duly provided for, whichever occurs later;</w:t>
      </w:r>
    </w:p>
    <w:p>
      <w:pPr>
        <w:spacing w:after="0" w:line="22" w:lineRule="exact"/>
        <w:rPr>
          <w:rFonts w:ascii="Arial" w:cs="Arial" w:eastAsia="Arial" w:hAnsi="Arial"/>
          <w:sz w:val="12"/>
          <w:szCs w:val="12"/>
          <w:color w:val="auto"/>
        </w:rPr>
      </w:pPr>
    </w:p>
    <w:p>
      <w:pPr>
        <w:ind w:left="640" w:hanging="216"/>
        <w:spacing w:after="0"/>
        <w:tabs>
          <w:tab w:leader="none" w:pos="640" w:val="left"/>
        </w:tabs>
        <w:numPr>
          <w:ilvl w:val="0"/>
          <w:numId w:val="198"/>
        </w:numPr>
        <w:rPr>
          <w:rFonts w:ascii="Arial" w:cs="Arial" w:eastAsia="Arial" w:hAnsi="Arial"/>
          <w:sz w:val="12"/>
          <w:szCs w:val="12"/>
          <w:color w:val="auto"/>
        </w:rPr>
      </w:pPr>
      <w:r>
        <w:rPr>
          <w:rFonts w:ascii="Arial" w:cs="Arial" w:eastAsia="Arial" w:hAnsi="Arial"/>
          <w:sz w:val="12"/>
          <w:szCs w:val="12"/>
          <w:color w:val="auto"/>
        </w:rPr>
        <w:t>any tax, assessment or other governmental charge imposed by reason of the failure of the beneficial owner to fulfill the statement requirements of Section 871(h) or Section 881(c) of the Code;</w:t>
      </w:r>
    </w:p>
    <w:p>
      <w:pPr>
        <w:spacing w:after="0" w:line="5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(10)any tax imposed pursuant to Section 871(h)(6) or 881(c)(6) of the Code (or any amended or successor provisions); or</w:t>
      </w:r>
    </w:p>
    <w:p>
      <w:pPr>
        <w:spacing w:after="0" w:line="6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(11)in the case of any combination of items (1) through (10).</w:t>
      </w:r>
    </w:p>
    <w:p>
      <w:pPr>
        <w:spacing w:after="0" w:line="51" w:lineRule="exact"/>
        <w:rPr>
          <w:sz w:val="20"/>
          <w:szCs w:val="20"/>
          <w:color w:val="auto"/>
        </w:rPr>
      </w:pPr>
    </w:p>
    <w:p>
      <w:pPr>
        <w:jc w:val="both"/>
        <w:ind w:right="20" w:firstLine="228"/>
        <w:spacing w:after="0" w:line="239" w:lineRule="auto"/>
        <w:rPr>
          <w:sz w:val="20"/>
          <w:szCs w:val="20"/>
          <w:color w:val="auto"/>
        </w:rPr>
      </w:pPr>
      <w:r>
        <w:rPr>
          <w:rFonts w:ascii="Arial" w:cs="Arial" w:eastAsia="Arial" w:hAnsi="Arial"/>
          <w:sz w:val="12"/>
          <w:szCs w:val="12"/>
          <w:color w:val="auto"/>
        </w:rPr>
        <w:t>Except as specifically provided under this heading “Payment of Additional Amounts,” we are not required to pay additional amounts in respect of any tax, assessment or other governmental charge. References to any payment on the debt securities include the related payment of additional amounts, as applicable.</w:t>
      </w:r>
    </w:p>
    <w:p>
      <w:pPr>
        <w:spacing w:after="0" w:line="40" w:lineRule="exact"/>
        <w:rPr>
          <w:sz w:val="20"/>
          <w:szCs w:val="20"/>
          <w:color w:val="auto"/>
        </w:rPr>
      </w:pPr>
    </w:p>
    <w:p>
      <w:pPr>
        <w:jc w:val="both"/>
        <w:ind w:firstLine="228"/>
        <w:spacing w:after="0" w:line="215" w:lineRule="auto"/>
        <w:rPr>
          <w:sz w:val="20"/>
          <w:szCs w:val="20"/>
          <w:color w:val="auto"/>
        </w:rPr>
      </w:pPr>
      <w:r>
        <w:rPr>
          <w:rFonts w:ascii="Arial" w:cs="Arial" w:eastAsia="Arial" w:hAnsi="Arial"/>
          <w:sz w:val="12"/>
          <w:szCs w:val="12"/>
          <w:color w:val="auto"/>
        </w:rPr>
        <w:t>As used under this heading “Payment of Additional Amounts” and under the heading “Redemption for Tax Reasons,” the term “United States” means the United States of America, any state thereof, and the District of Columbia, and the term “United States person” means (i) any individual who is a citizen or resident of the United States for U.S. federal income tax purposes, (ii) a corporation, partnership or other entity created or organized in or under the laws of the United States, any state thereof or the District of Columbia (other than a partnership that is not treated as a United States person for U.S. federal income tax</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2"/>
          <w:szCs w:val="12"/>
          <w:color w:val="auto"/>
        </w:rPr>
        <w:t>purposes), (iii) any estate the income of which is subject to U.S. federal income taxation regardless of its source, or (iv) any trust if a U.S. court can exercise primary supervision over the administration of the trust and one or more United States persons can control all substantial trust decisions, or if a valid election is in place to treat the trust as a United States person.</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Redemption for Tax Reasons</w:t>
      </w:r>
    </w:p>
    <w:p>
      <w:pPr>
        <w:spacing w:after="0" w:line="60" w:lineRule="exact"/>
        <w:rPr>
          <w:sz w:val="20"/>
          <w:szCs w:val="20"/>
          <w:color w:val="auto"/>
        </w:rPr>
      </w:pPr>
    </w:p>
    <w:p>
      <w:pPr>
        <w:jc w:val="both"/>
        <w:ind w:firstLine="228"/>
        <w:spacing w:after="0" w:line="215" w:lineRule="auto"/>
        <w:rPr>
          <w:sz w:val="20"/>
          <w:szCs w:val="20"/>
          <w:color w:val="auto"/>
        </w:rPr>
      </w:pPr>
      <w:r>
        <w:rPr>
          <w:rFonts w:ascii="Arial" w:cs="Arial" w:eastAsia="Arial" w:hAnsi="Arial"/>
          <w:sz w:val="12"/>
          <w:szCs w:val="12"/>
          <w:color w:val="auto"/>
        </w:rPr>
        <w:t>If, as a result of any change in, or amendment to, the laws of the United States or the official interpretation thereof that is announced or becomes effective on or after February 15, 2016, with respect to the 2028 notes, on or after March 3, 2020, with respect to the 2024 notes and the 0.750% 2032 notes, on or after May 12, 2023, with respect to the 2027 notes and the 3.750% 2032 notes, or on or after October 28, 2022, with respect to the 2034 notes, we become or, based upon a written opinion of independent counsel selected by us, will become obligated to pay additional amounts as described herein under the heading</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2"/>
          <w:szCs w:val="12"/>
          <w:color w:val="auto"/>
        </w:rPr>
        <w:t>“Payment of Additional Amounts” with respect to the debt securities of any series, then we may at any time at our option redeem, in whole, but not in part, the debt securities of such series on not less than 30 nor more than 60 days’ prior notice with respect to the 2028 notes, or not less than 10 nor more than 60 days’ prior notice, with respect to the 2024 notes, the 2027 notes, the 0.750% 2032 notes, the 3.750% 2032 notes, and the 2034 notes, at a redemption price equal to 100% of their principal amount, plus accrued and unpaid interest on the debt securities of such series to be redeemed to the date of redemption.</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Further Issues</w:t>
      </w:r>
    </w:p>
    <w:p>
      <w:pPr>
        <w:spacing w:after="0" w:line="51"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2"/>
          <w:szCs w:val="12"/>
          <w:color w:val="auto"/>
        </w:rPr>
        <w:t>We may from time to time, without notice to or the consent of the registered holders of a series of debt securities, create and issue further debt securities of any such series ranking equally with the debt securities of the corresponding series and having the same terms in all respects (other than the issue date, the payment of interest accruing prior to the issue date of such further debt securities or except for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300"/>
          </w:cols>
          <w:pgMar w:left="300" w:top="982" w:right="299" w:bottom="1440" w:gutter="0" w:footer="0" w:header="0"/>
        </w:sectPr>
      </w:pPr>
    </w:p>
    <w:bookmarkStart w:id="140" w:name="page141"/>
    <w:bookmarkEnd w:id="140"/>
    <w:p>
      <w:pPr>
        <w:spacing w:after="0" w:line="221" w:lineRule="auto"/>
        <w:rPr>
          <w:sz w:val="20"/>
          <w:szCs w:val="20"/>
          <w:color w:val="auto"/>
        </w:rPr>
      </w:pPr>
      <w:r>
        <w:rPr>
          <w:rFonts w:ascii="Arial" w:cs="Arial" w:eastAsia="Arial" w:hAnsi="Arial"/>
          <w:sz w:val="12"/>
          <w:szCs w:val="12"/>
          <w:color w:val="auto"/>
        </w:rPr>
        <w:t>the first payment of interest following the issue date of such further debt securities); provided that such additional debt securities of any series shall not be issued with the same ISIN or Common Code number as the debt securities of its corresponding series unless such additional debt securities are issued in a “qualified reopening” of the original series, are otherwise treated as part of the same “issue” of debt instruments</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2"/>
          <w:szCs w:val="12"/>
          <w:color w:val="auto"/>
        </w:rPr>
        <w:t>as the original series or are issued with less than a de minimis amount of original issue discount, in each case for U.S. federal income tax purposes. Such further debt securities will be consolidated and form a single series with the debt securities of the corresponding series.</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Notices</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Notices to holders of the debt securities will be sent by mail or email to the registered holders, or otherwise in accordance with the procedures of the applicable depositary.</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Regarding the Trustee, Paying Agent, Transfer Agent and Registrar</w:t>
      </w:r>
    </w:p>
    <w:p>
      <w:pPr>
        <w:spacing w:after="0" w:line="51" w:lineRule="exact"/>
        <w:rPr>
          <w:sz w:val="20"/>
          <w:szCs w:val="20"/>
          <w:color w:val="auto"/>
        </w:rPr>
      </w:pPr>
    </w:p>
    <w:p>
      <w:pPr>
        <w:ind w:right="20" w:firstLine="228"/>
        <w:spacing w:after="0" w:line="254" w:lineRule="auto"/>
        <w:rPr>
          <w:sz w:val="20"/>
          <w:szCs w:val="20"/>
          <w:color w:val="auto"/>
        </w:rPr>
      </w:pPr>
      <w:r>
        <w:rPr>
          <w:rFonts w:ascii="Arial" w:cs="Arial" w:eastAsia="Arial" w:hAnsi="Arial"/>
          <w:sz w:val="12"/>
          <w:szCs w:val="12"/>
          <w:color w:val="auto"/>
        </w:rPr>
        <w:t>Deutsche Bank Trust Company Americas is the paying agent, trustee, transfer agent and registrar with respect to the debt securities. We and our affiliates maintain various commercial and service relationships with the trustee and its affiliates in the ordinary course of business.</w:t>
      </w:r>
    </w:p>
    <w:p>
      <w:pPr>
        <w:spacing w:after="0" w:line="23" w:lineRule="exact"/>
        <w:rPr>
          <w:sz w:val="20"/>
          <w:szCs w:val="20"/>
          <w:color w:val="auto"/>
        </w:rPr>
      </w:pPr>
    </w:p>
    <w:p>
      <w:pPr>
        <w:ind w:firstLine="228"/>
        <w:spacing w:after="0" w:line="221" w:lineRule="auto"/>
        <w:rPr>
          <w:sz w:val="20"/>
          <w:szCs w:val="20"/>
          <w:color w:val="auto"/>
        </w:rPr>
      </w:pPr>
      <w:r>
        <w:rPr>
          <w:rFonts w:ascii="Arial" w:cs="Arial" w:eastAsia="Arial" w:hAnsi="Arial"/>
          <w:sz w:val="12"/>
          <w:szCs w:val="12"/>
          <w:color w:val="auto"/>
        </w:rPr>
        <w:t>The indenture contains certain limitations on the right of the trustee, should it become a creditor of ours within three months of, or subsequent to, a default by us to make payment in full of principal of or interest on any series of debt securities issued pursuant to the indenture when and as the same becomes due and payable, to obtain payment of claims, or to realize for its own account on property received in respect of</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any such claim as security or otherwise, unless and until such default is cured. However, the trustee’s rights as a creditor of ours will not be limited if the creditor relationship arises from, among other things:</w:t>
      </w:r>
    </w:p>
    <w:p>
      <w:pPr>
        <w:spacing w:after="0" w:line="39" w:lineRule="exact"/>
        <w:rPr>
          <w:sz w:val="20"/>
          <w:szCs w:val="20"/>
          <w:color w:val="auto"/>
        </w:rPr>
      </w:pPr>
    </w:p>
    <w:p>
      <w:pPr>
        <w:ind w:left="640" w:hanging="216"/>
        <w:spacing w:after="0"/>
        <w:tabs>
          <w:tab w:leader="none" w:pos="640" w:val="left"/>
        </w:tabs>
        <w:numPr>
          <w:ilvl w:val="0"/>
          <w:numId w:val="199"/>
        </w:numPr>
        <w:rPr>
          <w:rFonts w:ascii="Times New Roman" w:cs="Times New Roman" w:eastAsia="Times New Roman" w:hAnsi="Times New Roman"/>
          <w:sz w:val="12"/>
          <w:szCs w:val="12"/>
          <w:color w:val="auto"/>
        </w:rPr>
      </w:pPr>
      <w:r>
        <w:rPr>
          <w:rFonts w:ascii="Arial" w:cs="Arial" w:eastAsia="Arial" w:hAnsi="Arial"/>
          <w:sz w:val="12"/>
          <w:szCs w:val="12"/>
          <w:color w:val="auto"/>
        </w:rPr>
        <w:t>the ownership or acquisition of securities issued under any indenture or having a maturity of one year or more at the time of acquisition by the trustee;</w:t>
      </w:r>
    </w:p>
    <w:p>
      <w:pPr>
        <w:spacing w:after="0" w:line="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99"/>
        </w:numPr>
        <w:rPr>
          <w:rFonts w:ascii="Times New Roman" w:cs="Times New Roman" w:eastAsia="Times New Roman" w:hAnsi="Times New Roman"/>
          <w:sz w:val="12"/>
          <w:szCs w:val="12"/>
          <w:color w:val="auto"/>
        </w:rPr>
      </w:pPr>
      <w:r>
        <w:rPr>
          <w:rFonts w:ascii="Arial" w:cs="Arial" w:eastAsia="Arial" w:hAnsi="Arial"/>
          <w:sz w:val="12"/>
          <w:szCs w:val="12"/>
          <w:color w:val="auto"/>
        </w:rPr>
        <w:t>certain advances authorized by a receivership or bankruptcy court of competent jurisdiction or by the indenture;</w:t>
      </w:r>
    </w:p>
    <w:p>
      <w:pPr>
        <w:spacing w:after="0" w:line="59"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99"/>
        </w:numPr>
        <w:rPr>
          <w:rFonts w:ascii="Times New Roman" w:cs="Times New Roman" w:eastAsia="Times New Roman" w:hAnsi="Times New Roman"/>
          <w:sz w:val="12"/>
          <w:szCs w:val="12"/>
          <w:color w:val="auto"/>
        </w:rPr>
      </w:pPr>
      <w:r>
        <w:rPr>
          <w:rFonts w:ascii="Arial" w:cs="Arial" w:eastAsia="Arial" w:hAnsi="Arial"/>
          <w:sz w:val="12"/>
          <w:szCs w:val="12"/>
          <w:color w:val="auto"/>
        </w:rPr>
        <w:t>disbursements made in the ordinary course of business in its capacity as indenture trustee, transfer agent, registrar, custodian or paying agent or in any other similar capacity;</w:t>
      </w:r>
    </w:p>
    <w:p>
      <w:pPr>
        <w:spacing w:after="0" w:line="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99"/>
        </w:numPr>
        <w:rPr>
          <w:rFonts w:ascii="Times New Roman" w:cs="Times New Roman" w:eastAsia="Times New Roman" w:hAnsi="Times New Roman"/>
          <w:sz w:val="12"/>
          <w:szCs w:val="12"/>
          <w:color w:val="auto"/>
        </w:rPr>
      </w:pPr>
      <w:r>
        <w:rPr>
          <w:rFonts w:ascii="Arial" w:cs="Arial" w:eastAsia="Arial" w:hAnsi="Arial"/>
          <w:sz w:val="12"/>
          <w:szCs w:val="12"/>
          <w:color w:val="auto"/>
        </w:rPr>
        <w:t>indebtedness created as a result of goods or securities sold in a cash transaction or services rendered or premises rented; or</w:t>
      </w:r>
    </w:p>
    <w:p>
      <w:pPr>
        <w:spacing w:after="0" w:line="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99"/>
        </w:numPr>
        <w:rPr>
          <w:rFonts w:ascii="Times New Roman" w:cs="Times New Roman" w:eastAsia="Times New Roman" w:hAnsi="Times New Roman"/>
          <w:sz w:val="12"/>
          <w:szCs w:val="12"/>
          <w:color w:val="auto"/>
        </w:rPr>
      </w:pPr>
      <w:r>
        <w:rPr>
          <w:rFonts w:ascii="Arial" w:cs="Arial" w:eastAsia="Arial" w:hAnsi="Arial"/>
          <w:sz w:val="12"/>
          <w:szCs w:val="12"/>
          <w:color w:val="auto"/>
        </w:rPr>
        <w:t>the acquisition, ownership, acceptance or negotiation of certain drafts, bills of exchange, acceptances or other obligations.</w:t>
      </w:r>
    </w:p>
    <w:p>
      <w:pPr>
        <w:spacing w:after="0" w:line="59" w:lineRule="exact"/>
        <w:rPr>
          <w:sz w:val="20"/>
          <w:szCs w:val="20"/>
          <w:color w:val="auto"/>
        </w:rPr>
      </w:pPr>
    </w:p>
    <w:p>
      <w:pPr>
        <w:ind w:right="20" w:firstLine="228"/>
        <w:spacing w:after="0" w:line="239" w:lineRule="auto"/>
        <w:rPr>
          <w:sz w:val="20"/>
          <w:szCs w:val="20"/>
          <w:color w:val="auto"/>
        </w:rPr>
      </w:pPr>
      <w:r>
        <w:rPr>
          <w:rFonts w:ascii="Arial" w:cs="Arial" w:eastAsia="Arial" w:hAnsi="Arial"/>
          <w:sz w:val="12"/>
          <w:szCs w:val="12"/>
          <w:color w:val="auto"/>
        </w:rPr>
        <w:t>The indenture does not prohibit the trustee from serving as trustee under any other indenture to which we may be a party from time to time or from engaging in other transactions with us. If the trustee acquires any conflicting interest within the meaning of the Trust Indenture Act and any debt securities issued pursuant to the indenture are in default, it must eliminate such conflict or resign.</w:t>
      </w:r>
    </w:p>
    <w:p>
      <w:pPr>
        <w:spacing w:after="0" w:line="31" w:lineRule="exact"/>
        <w:rPr>
          <w:sz w:val="20"/>
          <w:szCs w:val="20"/>
          <w:color w:val="auto"/>
        </w:rPr>
      </w:pPr>
    </w:p>
    <w:p>
      <w:pPr>
        <w:ind w:firstLine="228"/>
        <w:spacing w:after="0" w:line="254" w:lineRule="auto"/>
        <w:rPr>
          <w:sz w:val="20"/>
          <w:szCs w:val="20"/>
          <w:color w:val="auto"/>
        </w:rPr>
      </w:pPr>
      <w:r>
        <w:rPr>
          <w:rFonts w:ascii="Arial" w:cs="Arial" w:eastAsia="Arial" w:hAnsi="Arial"/>
          <w:sz w:val="12"/>
          <w:szCs w:val="12"/>
          <w:color w:val="auto"/>
        </w:rPr>
        <w:t>An affiliate of the trustee is a participant in our $4.0 billion Amended and Restated Five Year Credit Agreement, maturing in March 2028, and our $1.5 billion 364-Day Credit Agreement, maturing in March 2024 (unless converted to a term loan).</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Listing</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have listed each series of the debt securities on Nasdaq. We have no obligation to maintain such listing and we may delist any series of the debt securities at any time.</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Governing Law</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indenture and the debt securities for all purposes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300"/>
          </w:cols>
          <w:pgMar w:left="300" w:top="982" w:right="29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4"/>
          <w:szCs w:val="14"/>
          <w:b w:val="1"/>
          <w:bCs w:val="1"/>
          <w:color w:val="auto"/>
        </w:rPr>
        <w:t>EXHIBIT 10.5</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AMENDMENT</w:t>
      </w:r>
    </w:p>
    <w:p>
      <w:pPr>
        <w:jc w:val="center"/>
        <w:spacing w:after="0" w:line="216" w:lineRule="auto"/>
        <w:rPr>
          <w:sz w:val="20"/>
          <w:szCs w:val="20"/>
          <w:color w:val="auto"/>
        </w:rPr>
      </w:pPr>
      <w:r>
        <w:rPr>
          <w:rFonts w:ascii="Times New Roman" w:cs="Times New Roman" w:eastAsia="Times New Roman" w:hAnsi="Times New Roman"/>
          <w:sz w:val="14"/>
          <w:szCs w:val="14"/>
          <w:b w:val="1"/>
          <w:bCs w:val="1"/>
          <w:color w:val="auto"/>
        </w:rPr>
        <w:t>TO THE</w:t>
      </w:r>
    </w:p>
    <w:p>
      <w:pPr>
        <w:jc w:val="center"/>
        <w:spacing w:after="0" w:line="214" w:lineRule="auto"/>
        <w:rPr>
          <w:sz w:val="20"/>
          <w:szCs w:val="20"/>
          <w:color w:val="auto"/>
        </w:rPr>
      </w:pPr>
      <w:r>
        <w:rPr>
          <w:rFonts w:ascii="Times New Roman" w:cs="Times New Roman" w:eastAsia="Times New Roman" w:hAnsi="Times New Roman"/>
          <w:sz w:val="14"/>
          <w:szCs w:val="14"/>
          <w:b w:val="1"/>
          <w:bCs w:val="1"/>
          <w:color w:val="auto"/>
        </w:rPr>
        <w:t>2016 STOCK PLAN FOR NON-EMPLOYEE DIRECTORS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HONEYWELL INTERNATIONAL INC.</w:t>
      </w:r>
    </w:p>
    <w:p>
      <w:pPr>
        <w:spacing w:after="0" w:line="111" w:lineRule="exact"/>
        <w:rPr>
          <w:sz w:val="20"/>
          <w:szCs w:val="20"/>
          <w:color w:val="auto"/>
        </w:rPr>
      </w:pPr>
    </w:p>
    <w:p>
      <w:pPr>
        <w:ind w:right="520" w:firstLine="432"/>
        <w:spacing w:after="0" w:line="255" w:lineRule="auto"/>
        <w:rPr>
          <w:sz w:val="20"/>
          <w:szCs w:val="20"/>
          <w:color w:val="auto"/>
        </w:rPr>
      </w:pPr>
      <w:r>
        <w:rPr>
          <w:rFonts w:ascii="Times New Roman" w:cs="Times New Roman" w:eastAsia="Times New Roman" w:hAnsi="Times New Roman"/>
          <w:sz w:val="14"/>
          <w:szCs w:val="14"/>
          <w:color w:val="auto"/>
        </w:rPr>
        <w:t>Pursuant to the authority granted to proper officers of Honeywell International Inc. (the “Company”) by the Board of Directors on December 8, 2023, the 2016 Stock Plan for Non-Employee Directors of Honeywell International Inc. is hereby amended effective May 14, 2024 by replacing Schedule A in its entirety with the attached new Schedule A.</w:t>
      </w:r>
    </w:p>
    <w:p>
      <w:pPr>
        <w:spacing w:after="0" w:line="8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HONEYWELL INTERNATIONAL INC.</w:t>
      </w:r>
    </w:p>
    <w:p>
      <w:pPr>
        <w:spacing w:after="0" w:line="200" w:lineRule="exact"/>
        <w:rPr>
          <w:sz w:val="20"/>
          <w:szCs w:val="20"/>
          <w:color w:val="auto"/>
        </w:rPr>
      </w:pPr>
    </w:p>
    <w:p>
      <w:pPr>
        <w:spacing w:after="0" w:line="27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4"/>
          <w:szCs w:val="14"/>
          <w:color w:val="auto"/>
        </w:rPr>
        <w:t>/s/ Karen Mattimore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-4445</wp:posOffset>
            </wp:positionV>
            <wp:extent cx="92456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40">
                      <a:extLst>
                        <a:ext uri="{28A0092B-C50C-407E-A947-70E740481C1C}"/>
                      </a:extLst>
                    </a:blip>
                    <a:srcRect/>
                    <a:stretch>
                      <a:fillRect/>
                    </a:stretch>
                  </pic:blipFill>
                  <pic:spPr bwMode="auto">
                    <a:xfrm>
                      <a:off x="0" y="0"/>
                      <a:ext cx="924560" cy="5715"/>
                    </a:xfrm>
                    <a:prstGeom prst="rect">
                      <a:avLst/>
                    </a:prstGeom>
                    <a:noFill/>
                  </pic:spPr>
                </pic:pic>
              </a:graphicData>
            </a:graphic>
          </wp:anchor>
        </w:drawing>
      </w:r>
    </w:p>
    <w:p>
      <w:pPr>
        <w:spacing w:after="0" w:line="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4"/>
          <w:szCs w:val="14"/>
          <w:color w:val="auto"/>
        </w:rPr>
        <w:t>Karen Mattimore</w:t>
      </w:r>
    </w:p>
    <w:p>
      <w:pPr>
        <w:spacing w:after="0" w:line="1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4"/>
          <w:szCs w:val="14"/>
          <w:color w:val="auto"/>
        </w:rPr>
        <w:t>Senior Vice President &amp;</w:t>
      </w:r>
    </w:p>
    <w:p>
      <w:pPr>
        <w:ind w:left="3020"/>
        <w:spacing w:after="0"/>
        <w:rPr>
          <w:sz w:val="20"/>
          <w:szCs w:val="20"/>
          <w:color w:val="auto"/>
        </w:rPr>
      </w:pPr>
      <w:r>
        <w:rPr>
          <w:rFonts w:ascii="Times New Roman" w:cs="Times New Roman" w:eastAsia="Times New Roman" w:hAnsi="Times New Roman"/>
          <w:sz w:val="14"/>
          <w:szCs w:val="14"/>
          <w:color w:val="auto"/>
        </w:rPr>
        <w:t>Chief Human Resources Officer</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December 22, 2023</w:t>
      </w:r>
    </w:p>
    <w:p>
      <w:pPr>
        <w:sectPr>
          <w:pgSz w:w="11900" w:h="16838" w:orient="portrait"/>
          <w:cols w:equalWidth="0" w:num="1">
            <w:col w:w="11300"/>
          </w:cols>
          <w:pgMar w:left="300" w:top="992" w:right="29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3"/>
          <w:szCs w:val="13"/>
          <w:b w:val="1"/>
          <w:bCs w:val="1"/>
          <w:color w:val="auto"/>
        </w:rPr>
        <w:t>“SCHEDULE A</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BOARD POLICY FOR NON-EMPLOYEE DIRECTOR EQUITY AWARDS</w:t>
      </w:r>
    </w:p>
    <w:p>
      <w:pPr>
        <w:spacing w:after="0" w:line="11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3"/>
          <w:szCs w:val="13"/>
          <w:i w:val="1"/>
          <w:iCs w:val="1"/>
          <w:color w:val="auto"/>
        </w:rPr>
        <w:t xml:space="preserve">Initial Restricted Stock Unit Grant for New Directors on and after December 8, 2023. </w:t>
      </w:r>
      <w:r>
        <w:rPr>
          <w:rFonts w:ascii="Times New Roman" w:cs="Times New Roman" w:eastAsia="Times New Roman" w:hAnsi="Times New Roman"/>
          <w:sz w:val="13"/>
          <w:szCs w:val="13"/>
          <w:color w:val="auto"/>
        </w:rPr>
        <w:t>Each Eligible Director first elected or appointed to the Board on or after December 8, 2023 shall receive an initial prorated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equity grant based on their first date as an Eligible Director in the period beginning on the immediately preceding Annual Meeting of Shareowners (“Annual Meeting”) date and ending on the next following Annual Meeting date, and the prorated annual grant value for Stock Options and Restricted Stock Units for the immediately preceding Annual Meeting (</w:t>
      </w:r>
      <w:r>
        <w:rPr>
          <w:rFonts w:ascii="Times New Roman" w:cs="Times New Roman" w:eastAsia="Times New Roman" w:hAnsi="Times New Roman"/>
          <w:sz w:val="13"/>
          <w:szCs w:val="13"/>
          <w:u w:val="single" w:color="auto"/>
          <w:color w:val="auto"/>
        </w:rPr>
        <w:t>i.e.</w:t>
      </w:r>
      <w:r>
        <w:rPr>
          <w:rFonts w:ascii="Times New Roman" w:cs="Times New Roman" w:eastAsia="Times New Roman" w:hAnsi="Times New Roman"/>
          <w:sz w:val="13"/>
          <w:szCs w:val="13"/>
          <w:color w:val="auto"/>
        </w:rPr>
        <w:t>, based on $115,000 annual value of Stock Options and Restricted Stock Units between the 2023 and 2024 Annual Meetings, and $130,000 annual value of Restricted Stock Units after the 2024 Annual Meeting). The number of Shares subject to this grant shall be determined by dividing the value described in the preceding sentence by the Fair Market Value as of the grant date and rounding up to the nearest whole Share.</w:t>
      </w:r>
    </w:p>
    <w:p>
      <w:pPr>
        <w:spacing w:after="0" w:line="7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3"/>
          <w:szCs w:val="13"/>
          <w:color w:val="auto"/>
        </w:rPr>
        <w:t>The Restricted Stock Units shall vest on the earliest of (i) the April 15</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3"/>
          <w:szCs w:val="13"/>
          <w:color w:val="auto"/>
        </w:rPr>
        <w:t xml:space="preserve"> immediately preceding the Participant’s first anniversary of the grant date, (ii) the termination of service due to the Participant’s death or disability, or (iii) the occurrence of a Change in Control. Except as otherwise provided in an Award Agreement, no Award shall vest unless the Participant is a director of the Company on the vesting date.</w:t>
      </w:r>
    </w:p>
    <w:p>
      <w:pPr>
        <w:spacing w:after="0" w:line="8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i w:val="1"/>
          <w:iCs w:val="1"/>
          <w:color w:val="auto"/>
        </w:rPr>
        <w:t xml:space="preserve">Annual Grants of Stock Options and Restricted Stock Units. </w:t>
      </w:r>
      <w:r>
        <w:rPr>
          <w:rFonts w:ascii="Times New Roman" w:cs="Times New Roman" w:eastAsia="Times New Roman" w:hAnsi="Times New Roman"/>
          <w:sz w:val="13"/>
          <w:szCs w:val="13"/>
          <w:color w:val="auto"/>
        </w:rPr>
        <w:t>Effective beginning with the 2024 Annual Meeting and subject to any limitations set forth in the Plan, each Eligible Director who continues in office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following the Annual Meeting of Shareowners (“Annual Meeting”) shall receive an equity grant with a total target value of $130,000 in Restricted Stock Units, with the number of Shares subject to each grant determined by dividing the value by the Fair Market Value as of the date of the Annual Meeting of Shareowners and rounding up to the nearest whole Share.</w:t>
      </w:r>
    </w:p>
    <w:p>
      <w:pPr>
        <w:spacing w:after="0" w:line="6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A grant of Restricted Stock Units shall vest on the earliest of (i) the April 15</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3"/>
          <w:szCs w:val="13"/>
          <w:color w:val="auto"/>
        </w:rPr>
        <w:t xml:space="preserve"> immediately preceding the Participant’s first anniversary of the grant date, (ii) the termination of service due to the Participant’s death or disability, (iii) the occurrence of a Change in Control, or (iv) the voluntary termination of service on or after the Participant’s tenth anniversary as a Board member in good standing (as determined in the sole and absolute discretion of the Committee).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Except as otherwise provided in an Award Agreement, no Award shall vest unless the Participant is a director of the Company on the vesting date.</w:t>
      </w:r>
    </w:p>
    <w:p>
      <w:pPr>
        <w:spacing w:after="0" w:line="11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i w:val="1"/>
          <w:iCs w:val="1"/>
          <w:color w:val="auto"/>
        </w:rPr>
        <w:t xml:space="preserve">Future Changes to Schedule A. </w:t>
      </w:r>
      <w:r>
        <w:rPr>
          <w:rFonts w:ascii="Times New Roman" w:cs="Times New Roman" w:eastAsia="Times New Roman" w:hAnsi="Times New Roman"/>
          <w:sz w:val="13"/>
          <w:szCs w:val="13"/>
          <w:color w:val="auto"/>
        </w:rPr>
        <w:t>Notwithstanding any provision of the Plan to the contrary or the foregoing provisions of this Board Policy, in no event shall the Board amend this Board Policy to increase the total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target value of the annual grants to Eligible Directors above $300,000, without the approval of the Company’s shareowners.”</w:t>
      </w:r>
    </w:p>
    <w:p>
      <w:pPr>
        <w:sectPr>
          <w:pgSz w:w="11900" w:h="16838" w:orient="portrait"/>
          <w:cols w:equalWidth="0" w:num="1">
            <w:col w:w="11300"/>
          </w:cols>
          <w:pgMar w:left="300" w:top="996" w:right="299" w:bottom="1440" w:gutter="0" w:footer="0" w:header="0"/>
        </w:sectPr>
      </w:pPr>
    </w:p>
    <w:bookmarkStart w:id="143" w:name="page144"/>
    <w:bookmarkEnd w:id="143"/>
    <w:p>
      <w:pPr>
        <w:jc w:val="right"/>
        <w:spacing w:after="0"/>
        <w:rPr>
          <w:sz w:val="20"/>
          <w:szCs w:val="20"/>
          <w:color w:val="auto"/>
        </w:rPr>
      </w:pPr>
      <w:r>
        <w:rPr>
          <w:rFonts w:ascii="Arial" w:cs="Arial" w:eastAsia="Arial" w:hAnsi="Arial"/>
          <w:sz w:val="12"/>
          <w:szCs w:val="12"/>
          <w:b w:val="1"/>
          <w:bCs w:val="1"/>
          <w:color w:val="auto"/>
        </w:rPr>
        <w:t>EXHIBIT 10.65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977265" cy="3086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41">
                      <a:extLst>
                        <a:ext uri="{28A0092B-C50C-407E-A947-70E740481C1C}"/>
                      </a:extLst>
                    </a:blip>
                    <a:srcRect/>
                    <a:stretch>
                      <a:fillRect/>
                    </a:stretch>
                  </pic:blipFill>
                  <pic:spPr bwMode="auto">
                    <a:xfrm>
                      <a:off x="0" y="0"/>
                      <a:ext cx="97726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6, 2023</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Lucian Boldea</w:t>
      </w:r>
    </w:p>
    <w:p>
      <w:pPr>
        <w:spacing w:after="0" w:line="214" w:lineRule="auto"/>
        <w:rPr>
          <w:sz w:val="20"/>
          <w:szCs w:val="20"/>
          <w:color w:val="auto"/>
        </w:rPr>
      </w:pPr>
      <w:r>
        <w:rPr>
          <w:rFonts w:ascii="Times New Roman" w:cs="Times New Roman" w:eastAsia="Times New Roman" w:hAnsi="Times New Roman"/>
          <w:sz w:val="14"/>
          <w:szCs w:val="14"/>
          <w:color w:val="auto"/>
        </w:rPr>
        <w:t>2101 City West Boulevard</w:t>
      </w:r>
    </w:p>
    <w:p>
      <w:pPr>
        <w:spacing w:after="0"/>
        <w:rPr>
          <w:sz w:val="20"/>
          <w:szCs w:val="20"/>
          <w:color w:val="auto"/>
        </w:rPr>
      </w:pPr>
      <w:r>
        <w:rPr>
          <w:rFonts w:ascii="Times New Roman" w:cs="Times New Roman" w:eastAsia="Times New Roman" w:hAnsi="Times New Roman"/>
          <w:sz w:val="14"/>
          <w:szCs w:val="14"/>
          <w:color w:val="auto"/>
        </w:rPr>
        <w:t>Houston, Texas 77042</w:t>
      </w:r>
    </w:p>
    <w:p>
      <w:pPr>
        <w:spacing w:after="0" w:line="1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i w:val="1"/>
          <w:iCs w:val="1"/>
          <w:color w:val="auto"/>
        </w:rPr>
        <w:t>Re:</w:t>
        <w:tab/>
        <w:t>Offer Letter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Lucian:</w:t>
      </w:r>
    </w:p>
    <w:p>
      <w:pPr>
        <w:spacing w:after="0" w:line="14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I am pleased to confirm our offer to you to become President and Chief Executive Officer, Industrial Automation (Executive Band), based in Houston, Texas, reporting directly to me. The effective date of your new role will be January 1, 2024 (“Effective Date”), subject to the terms and conditions of this offer letter. In this position, you will remain an Executive Officer of Honeywell.</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connection with your new role, you will be entitled to the following compensation and benefits package: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color w:val="auto"/>
        </w:rPr>
        <w:t>Base Salary</w:t>
      </w:r>
      <w:r>
        <w:rPr>
          <w:rFonts w:ascii="Times New Roman" w:cs="Times New Roman" w:eastAsia="Times New Roman" w:hAnsi="Times New Roman"/>
          <w:sz w:val="14"/>
          <w:szCs w:val="14"/>
          <w:color w:val="auto"/>
        </w:rPr>
        <w:t>: Your annual base salary will remain $800,000. Base salary reviews occur annually and any adjustments are generally at the end of the first quarter of the calendar year. Adjustments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are based on your performance and other relevant factors. You will next be eligible for a base salary review in March of 2024.</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color w:val="auto"/>
        </w:rPr>
        <w:t>Annual Incentive Compensation</w:t>
      </w:r>
      <w:r>
        <w:rPr>
          <w:rFonts w:ascii="Times New Roman" w:cs="Times New Roman" w:eastAsia="Times New Roman" w:hAnsi="Times New Roman"/>
          <w:sz w:val="14"/>
          <w:szCs w:val="14"/>
          <w:color w:val="auto"/>
        </w:rPr>
        <w:t>: Your target incentive compensation opportunity will remain at 100% of your annual cash base salary earnings during the year. Incentive compensation awards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are paid in the first quarter of the following year.</w:t>
      </w:r>
    </w:p>
    <w:p>
      <w:pPr>
        <w:spacing w:after="0" w:line="10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b w:val="1"/>
          <w:bCs w:val="1"/>
          <w:color w:val="auto"/>
        </w:rPr>
        <w:t xml:space="preserve">Annual Long-Term Incentive Awards: </w:t>
      </w:r>
      <w:r>
        <w:rPr>
          <w:rFonts w:ascii="Times New Roman" w:cs="Times New Roman" w:eastAsia="Times New Roman" w:hAnsi="Times New Roman"/>
          <w:sz w:val="14"/>
          <w:szCs w:val="14"/>
          <w:color w:val="auto"/>
        </w:rPr>
        <w:t>You will be eligible for annual long-term incentive (“LTI”) awards with a target grant date value of $3,800,000. Your LTI awards shall consist of stock</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options, restricted stock units, performance stock units or cash-based awards, or some combination thereof, as determined by the Company in its discretion. The actual size and mix of your annual LTI awards will be determined by the Management Development and Compensation Committee (“MDCC”) of the Company’s Board of Directors based on your performance and future career potential with Honeywell. The terms of all LTI awards are governed by the terms of the applicable stock plan and the relevant award agreements, which include forfeiture provisions in the event you voluntarily resign your employment from Honeywell with less than 60 days’ notice. Moreover, Honeywell and the MDCC reserve the right to modify the design or mix of the LTI award program in the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EXECUTIVE BENEFITS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You will also be entitled to the following Executive Benefits:</w:t>
      </w:r>
    </w:p>
    <w:p>
      <w:pPr>
        <w:spacing w:after="0" w:line="152" w:lineRule="exact"/>
        <w:rPr>
          <w:sz w:val="20"/>
          <w:szCs w:val="20"/>
          <w:color w:val="auto"/>
        </w:rPr>
      </w:pPr>
    </w:p>
    <w:p>
      <w:pPr>
        <w:ind w:left="420" w:hanging="212"/>
        <w:spacing w:after="0" w:line="249" w:lineRule="auto"/>
        <w:tabs>
          <w:tab w:leader="none" w:pos="417" w:val="left"/>
        </w:tabs>
        <w:numPr>
          <w:ilvl w:val="0"/>
          <w:numId w:val="200"/>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i w:val="1"/>
          <w:iCs w:val="1"/>
          <w:color w:val="auto"/>
        </w:rPr>
        <w:t xml:space="preserve">Excess Liability Insurance: </w:t>
      </w:r>
      <w:r>
        <w:rPr>
          <w:rFonts w:ascii="Times New Roman" w:cs="Times New Roman" w:eastAsia="Times New Roman" w:hAnsi="Times New Roman"/>
          <w:sz w:val="14"/>
          <w:szCs w:val="14"/>
          <w:color w:val="auto"/>
        </w:rPr>
        <w:t>Honeywell will pay the annual premium for an Excess Liability Insurance policy that provides $20,000,000 of personal liability umbrella coverage per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occurrence.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b w:val="1"/>
          <w:bCs w:val="1"/>
          <w:color w:val="auto"/>
        </w:rPr>
        <w:t>4</w:t>
      </w:r>
    </w:p>
    <w:p>
      <w:pPr>
        <w:sectPr>
          <w:pgSz w:w="11900" w:h="16838" w:orient="portrait"/>
          <w:cols w:equalWidth="0" w:num="1">
            <w:col w:w="11300"/>
          </w:cols>
          <w:pgMar w:left="300" w:top="128" w:right="299" w:bottom="1440" w:gutter="0" w:footer="0" w:header="0"/>
        </w:sectPr>
      </w:pPr>
    </w:p>
    <w:bookmarkStart w:id="144" w:name="page145"/>
    <w:bookmarkEnd w:id="144"/>
    <w:p>
      <w:pPr>
        <w:jc w:val="both"/>
        <w:ind w:left="420" w:hanging="212"/>
        <w:spacing w:after="0" w:line="228" w:lineRule="auto"/>
        <w:tabs>
          <w:tab w:leader="none" w:pos="417" w:val="left"/>
        </w:tabs>
        <w:numPr>
          <w:ilvl w:val="0"/>
          <w:numId w:val="20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i w:val="1"/>
          <w:iCs w:val="1"/>
          <w:color w:val="auto"/>
        </w:rPr>
        <w:t>Executive Severance</w:t>
      </w:r>
      <w:r>
        <w:rPr>
          <w:rFonts w:ascii="Times New Roman" w:cs="Times New Roman" w:eastAsia="Times New Roman" w:hAnsi="Times New Roman"/>
          <w:sz w:val="14"/>
          <w:szCs w:val="14"/>
          <w:color w:val="auto"/>
        </w:rPr>
        <w:t>: The Officer Severance Plan currently provides for 12 months of base salary continuation and target bonus if your employment is involuntary terminated for a reason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 than Cause (as defined in the severance plan document in effect when you terminate employment). Notwithstanding the foregoing, your benefit, if any, under the Officer Severance Plan shall be 18 months of base salary continuation and target bonus. You will be required to execute a release of claims against Honeywell and its affiliates and related parties and you may be required to agree to certain non-solicitation, non-disclosure and non-competition covenants as a condition of receiving executive severance benefits. For additional information, please consult the actual plan document.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STOCK OWNERSHIP GUIDELINES FOR HONEYWELL OFFICERS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As an Executive Officer of the Corporation, you will be required to hold Honeywell shares in accordance with the Corporation’s Stock Ownership Guidelines, as amended from time to time. A copy of the Stock Ownership Guidelines will be separately provided to you.</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INTELLECTUAL PROPERTY AND NON-COMPETITION AGREEMENTS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As a condition of this employment offer, you are required to execute (i) Honeywell’s “Employee Agreement Relating to Trade Secrets, Proprietary and Confidential Information” (“IP Agreement”), and (ii) the “Honeywell International Inc. Noncompete Agreement for Select Management Employees” (“Noncompete Agreement”), both of which are attached hereto.</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ACCEPTANCE OF OFFER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indicate your acceptance of this offer by electronically signing this offer letter, as well as the IP Agreement and Noncompete Agreement via DocuSign.</w:t>
      </w:r>
    </w:p>
    <w:p>
      <w:pPr>
        <w:spacing w:after="0" w:line="16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Honeywell has a long and distinguished history. But, more importantly, we are a company with a terrific future and a great place to work. Our performance culture drives growth for us and competitive advantage for our customers. We hire the best people; give them every possible opportunity to learn, grow, and develop; and reward them for their contributions. We offer career paths that span product lines, job types, businesses, and countries.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Lucian, we are excited to be extending this offer to you and look forward to working with you in your new role. Your experience and background are an asset to our Company.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2</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b w:val="1"/>
          <w:bCs w:val="1"/>
          <w:color w:val="auto"/>
        </w:rPr>
        <w:t>4</w:t>
      </w:r>
    </w:p>
    <w:p>
      <w:pPr>
        <w:sectPr>
          <w:pgSz w:w="11900" w:h="16838" w:orient="portrait"/>
          <w:cols w:equalWidth="0" w:num="1">
            <w:col w:w="11300"/>
          </w:cols>
          <w:pgMar w:left="300" w:top="803" w:right="2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color w:val="auto"/>
        </w:rPr>
        <w:t>If you have any questions or need any further information about our offer, please contact me directly.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Congratulations,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Vimal Kapur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rPr>
          <w:sz w:val="20"/>
          <w:szCs w:val="20"/>
          <w:color w:val="auto"/>
        </w:rPr>
      </w:pPr>
      <w:r>
        <w:rPr>
          <w:rFonts w:ascii="Times New Roman" w:cs="Times New Roman" w:eastAsia="Times New Roman" w:hAnsi="Times New Roman"/>
          <w:sz w:val="14"/>
          <w:szCs w:val="14"/>
          <w:color w:val="auto"/>
        </w:rPr>
        <w:t>Honeywell International Inc.</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Read and Accepted:</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/s/Lucian Boldea</w:t>
            </w:r>
          </w:p>
        </w:tc>
        <w:tc>
          <w:tcPr>
            <w:tcW w:w="660" w:type="dxa"/>
            <w:vAlign w:val="bottom"/>
          </w:tcPr>
          <w:p>
            <w:pPr>
              <w:spacing w:after="0"/>
              <w:rPr>
                <w:sz w:val="13"/>
                <w:szCs w:val="13"/>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October 7, 2023</w:t>
            </w:r>
          </w:p>
        </w:tc>
        <w:tc>
          <w:tcPr>
            <w:tcW w:w="20" w:type="dxa"/>
            <w:vAlign w:val="bottom"/>
          </w:tcPr>
          <w:p>
            <w:pPr>
              <w:spacing w:after="0"/>
              <w:rPr>
                <w:sz w:val="13"/>
                <w:szCs w:val="13"/>
                <w:color w:val="auto"/>
              </w:rPr>
            </w:pPr>
          </w:p>
        </w:tc>
      </w:tr>
      <w:tr>
        <w:trPr>
          <w:trHeight w:val="179"/>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LUCIAN BOLDEA (H526743)</w:t>
            </w:r>
          </w:p>
        </w:tc>
        <w:tc>
          <w:tcPr>
            <w:tcW w:w="9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Date</w:t>
            </w:r>
          </w:p>
        </w:tc>
        <w:tc>
          <w:tcPr>
            <w:tcW w:w="20" w:type="dxa"/>
            <w:vAlign w:val="bottom"/>
          </w:tcPr>
          <w:p>
            <w:pPr>
              <w:spacing w:after="0"/>
              <w:rPr>
                <w:sz w:val="15"/>
                <w:szCs w:val="15"/>
                <w:color w:val="auto"/>
              </w:rPr>
            </w:pPr>
          </w:p>
        </w:tc>
      </w:tr>
    </w:tbl>
    <w:p>
      <w:pPr>
        <w:spacing w:after="0" w:line="2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All businesses experience changing conditions. Accordingly, we reserve the right to change work assignments, reporting relationships and staffing levels to meet business needs, and your employment with Honeywell will be on an "at will" basis. This means that there is no guarantee of employment for any specific period, and either you or Honeywell may terminate your employment at any time.</w:t>
      </w:r>
    </w:p>
    <w:p>
      <w:pPr>
        <w:spacing w:after="0" w:line="1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2"/>
          <w:szCs w:val="12"/>
          <w:b w:val="1"/>
          <w:bCs w:val="1"/>
          <w:i w:val="1"/>
          <w:iCs w:val="1"/>
          <w:color w:val="auto"/>
        </w:rPr>
        <w:t>The descriptions of benefits and perquisites described in this offer letter are for general information purposes only and are not intended to modify any plan document, summary plan description (“SPD”) or prospectus. For a complete description of any benefit or perquisite, you may request a copy of the applicable plan document, SPD or prospectus. The Company reserves the right to modify, amend or terminate any benefit plan or perquisite in its sole and absolute discretion.</w:t>
      </w:r>
    </w:p>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3</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b w:val="1"/>
          <w:bCs w:val="1"/>
          <w:color w:val="auto"/>
        </w:rPr>
        <w:t>4</w:t>
      </w:r>
    </w:p>
    <w:p>
      <w:pPr>
        <w:sectPr>
          <w:pgSz w:w="11900" w:h="16838" w:orient="portrait"/>
          <w:cols w:equalWidth="0" w:num="1">
            <w:col w:w="11300"/>
          </w:cols>
          <w:pgMar w:left="300" w:top="814" w:right="299" w:bottom="1440" w:gutter="0" w:footer="0" w:header="0"/>
        </w:sectPr>
      </w:pPr>
    </w:p>
    <w:bookmarkStart w:id="146" w:name="page147"/>
    <w:bookmarkEnd w:id="146"/>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Document Category: </w:t>
      </w:r>
      <w:r>
        <w:rPr>
          <w:rFonts w:ascii="Arial" w:cs="Arial" w:eastAsia="Arial" w:hAnsi="Arial"/>
          <w:sz w:val="14"/>
          <w:szCs w:val="14"/>
          <w:color w:val="auto"/>
        </w:rPr>
        <w:t>Hiring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Document Type: </w:t>
      </w:r>
      <w:r>
        <w:rPr>
          <w:rFonts w:ascii="Arial" w:cs="Arial" w:eastAsia="Arial" w:hAnsi="Arial"/>
          <w:sz w:val="14"/>
          <w:szCs w:val="14"/>
          <w:color w:val="auto"/>
        </w:rPr>
        <w:t>Offer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Employee File Management Purpose Only</w:t>
      </w: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4</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b w:val="1"/>
          <w:bCs w:val="1"/>
          <w:color w:val="auto"/>
        </w:rPr>
        <w:t>4</w:t>
      </w:r>
    </w:p>
    <w:p>
      <w:pPr>
        <w:sectPr>
          <w:pgSz w:w="11900" w:h="16838" w:orient="portrait"/>
          <w:cols w:equalWidth="0" w:num="1">
            <w:col w:w="11300"/>
          </w:cols>
          <w:pgMar w:left="300" w:top="1440" w:right="299" w:bottom="1440" w:gutter="0" w:footer="0" w:header="0"/>
        </w:sectPr>
      </w:pPr>
    </w:p>
    <w:bookmarkStart w:id="147" w:name="page148"/>
    <w:bookmarkEnd w:id="147"/>
    <w:p>
      <w:pPr>
        <w:jc w:val="center"/>
        <w:ind w:right="-7"/>
        <w:spacing w:after="0"/>
        <w:rPr>
          <w:sz w:val="20"/>
          <w:szCs w:val="20"/>
          <w:color w:val="auto"/>
        </w:rPr>
      </w:pPr>
      <w:r>
        <w:rPr>
          <w:rFonts w:ascii="Times New Roman" w:cs="Times New Roman" w:eastAsia="Times New Roman" w:hAnsi="Times New Roman"/>
          <w:sz w:val="19"/>
          <w:szCs w:val="19"/>
          <w:b w:val="1"/>
          <w:bCs w:val="1"/>
          <w:color w:val="auto"/>
        </w:rPr>
        <w:t>HONEYWELL INTERNATIONAL INC.</w:t>
      </w:r>
    </w:p>
    <w:p>
      <w:pPr>
        <w:jc w:val="center"/>
        <w:ind w:right="-7"/>
        <w:spacing w:after="0" w:line="207" w:lineRule="auto"/>
        <w:rPr>
          <w:sz w:val="20"/>
          <w:szCs w:val="20"/>
          <w:color w:val="auto"/>
        </w:rPr>
      </w:pPr>
      <w:r>
        <w:rPr>
          <w:rFonts w:ascii="Times New Roman" w:cs="Times New Roman" w:eastAsia="Times New Roman" w:hAnsi="Times New Roman"/>
          <w:sz w:val="19"/>
          <w:szCs w:val="19"/>
          <w:color w:val="auto"/>
        </w:rPr>
        <w:t>Employee Agreement Relating to Trade Secrets,</w:t>
      </w:r>
    </w:p>
    <w:p>
      <w:pPr>
        <w:spacing w:after="0" w:line="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9"/>
          <w:szCs w:val="19"/>
          <w:color w:val="auto"/>
        </w:rPr>
        <w:t>Proprietary and Confidential Information</w:t>
      </w:r>
    </w:p>
    <w:p>
      <w:pPr>
        <w:spacing w:after="0" w:line="134" w:lineRule="exact"/>
        <w:rPr>
          <w:sz w:val="20"/>
          <w:szCs w:val="20"/>
          <w:color w:val="auto"/>
        </w:rPr>
      </w:pPr>
    </w:p>
    <w:p>
      <w:pPr>
        <w:ind w:left="8" w:right="20"/>
        <w:spacing w:after="0"/>
        <w:rPr>
          <w:sz w:val="20"/>
          <w:szCs w:val="20"/>
          <w:color w:val="auto"/>
        </w:rPr>
      </w:pPr>
      <w:r>
        <w:rPr>
          <w:rFonts w:ascii="Times New Roman" w:cs="Times New Roman" w:eastAsia="Times New Roman" w:hAnsi="Times New Roman"/>
          <w:sz w:val="13"/>
          <w:szCs w:val="13"/>
          <w:b w:val="1"/>
          <w:bCs w:val="1"/>
          <w:color w:val="auto"/>
        </w:rPr>
        <w:t>In consideration of my employment, continued employment, compensation, eligibility for any future discretionary raises or merit increases, eligibility for any future bonuses, awards or payments under any Honeywell incentive compensation or equity programs or plans and the equipment, materials, facilities and Honeywell Confidential Information supplied to me, I understand and agree that:</w:t>
      </w:r>
    </w:p>
    <w:p>
      <w:pPr>
        <w:spacing w:after="0" w:line="124" w:lineRule="exact"/>
        <w:rPr>
          <w:sz w:val="20"/>
          <w:szCs w:val="20"/>
          <w:color w:val="auto"/>
        </w:rPr>
      </w:pPr>
    </w:p>
    <w:p>
      <w:pPr>
        <w:jc w:val="both"/>
        <w:ind w:left="348" w:hanging="348"/>
        <w:spacing w:after="0" w:line="232" w:lineRule="auto"/>
        <w:tabs>
          <w:tab w:leader="none" w:pos="353" w:val="left"/>
        </w:tabs>
        <w:numPr>
          <w:ilvl w:val="0"/>
          <w:numId w:val="20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Records of Inventions. </w:t>
      </w:r>
      <w:r>
        <w:rPr>
          <w:rFonts w:ascii="Times New Roman" w:cs="Times New Roman" w:eastAsia="Times New Roman" w:hAnsi="Times New Roman"/>
          <w:sz w:val="13"/>
          <w:szCs w:val="13"/>
          <w:color w:val="auto"/>
        </w:rPr>
        <w:t>I will keep complete and current written records of all Inventions I Make during the period of time I am employed by Honeywell and promptly disclose all such Inventions in writing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to Honeywell for the purpose of adequately determining Honeywell’s rights in each such Invention. I will supplement any such disclosures to the extent Honeywell may request that I do so. If I have any doubt as to whether or not to disclose an Invention to Honeywell, I will disclose it.</w:t>
      </w:r>
    </w:p>
    <w:p>
      <w:pPr>
        <w:spacing w:after="0" w:line="124" w:lineRule="exact"/>
        <w:rPr>
          <w:rFonts w:ascii="Times New Roman" w:cs="Times New Roman" w:eastAsia="Times New Roman" w:hAnsi="Times New Roman"/>
          <w:sz w:val="13"/>
          <w:szCs w:val="13"/>
          <w:b w:val="1"/>
          <w:bCs w:val="1"/>
          <w:color w:val="auto"/>
        </w:rPr>
      </w:pPr>
    </w:p>
    <w:p>
      <w:pPr>
        <w:jc w:val="both"/>
        <w:ind w:left="348" w:hanging="348"/>
        <w:spacing w:after="0" w:line="222" w:lineRule="auto"/>
        <w:tabs>
          <w:tab w:leader="none" w:pos="344" w:val="left"/>
        </w:tabs>
        <w:numPr>
          <w:ilvl w:val="0"/>
          <w:numId w:val="20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Disclosure of Inventions after Termination. </w:t>
      </w:r>
      <w:r>
        <w:rPr>
          <w:rFonts w:ascii="Times New Roman" w:cs="Times New Roman" w:eastAsia="Times New Roman" w:hAnsi="Times New Roman"/>
          <w:sz w:val="13"/>
          <w:szCs w:val="13"/>
          <w:color w:val="auto"/>
        </w:rPr>
        <w:t>Without further compensation, I will promptly and completely disclose in a confidential writing to Honeywell’s Law Department all Inventions that I Make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during the one year immediately following the end of my employment by Honeywell that are based upon Honeywell’s Confidential Information for the purpose of determining Honeywell’s rights in each such Invention before filing any application for patents on such Inventions. I will not file any patent application relating to any such Invention without the prior written consent of Honeywell’s Law Department. If I do not prove that I Made the Invention entirely after leaving Honeywell’s employment and without using or incorporating Honeywell’s Confidential Information, the Invention is presumed to have been Made during the period of time I was employed by Honeywell. I acknowledge that the conditions of this paragraph are no greater than is necessary for protecting Honeywell’s interests in Confidential Information and in Inventions to which it is rightfully entitled.</w:t>
      </w:r>
    </w:p>
    <w:p>
      <w:pPr>
        <w:spacing w:after="0" w:line="124" w:lineRule="exact"/>
        <w:rPr>
          <w:rFonts w:ascii="Times New Roman" w:cs="Times New Roman" w:eastAsia="Times New Roman" w:hAnsi="Times New Roman"/>
          <w:sz w:val="13"/>
          <w:szCs w:val="13"/>
          <w:b w:val="1"/>
          <w:bCs w:val="1"/>
          <w:color w:val="auto"/>
        </w:rPr>
      </w:pPr>
    </w:p>
    <w:p>
      <w:pPr>
        <w:jc w:val="both"/>
        <w:ind w:left="348" w:hanging="348"/>
        <w:spacing w:after="0" w:line="220" w:lineRule="auto"/>
        <w:tabs>
          <w:tab w:leader="none" w:pos="344" w:val="left"/>
        </w:tabs>
        <w:numPr>
          <w:ilvl w:val="0"/>
          <w:numId w:val="20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Ownership of Inventions. </w:t>
      </w:r>
      <w:r>
        <w:rPr>
          <w:rFonts w:ascii="Times New Roman" w:cs="Times New Roman" w:eastAsia="Times New Roman" w:hAnsi="Times New Roman"/>
          <w:sz w:val="13"/>
          <w:szCs w:val="13"/>
          <w:color w:val="auto"/>
        </w:rPr>
        <w:t>I agree that each and every Invention I Make during the period of time I am employed by Honeywell (a) that relates directly to the business of Honeywell or to Honeywell’s actual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or demonstrably anticipated research or development, or (b) that results from any work I perform for Honeywell is the sole and exclusive property of Honeywell, and will continue to be the sole and exclusive property of Honeywell pursuant to this Agreement without any further action required by either party. I hereby irrevocably assign my entire right, title and interest in each such Invention to Honeywell. If, at any time, a court or other tribunal rules that my assignment under this paragraph is ineffective or unenforceable for any reason, I agree to perform all actions necessary to assign these Inventions and/or pre-employment Inventions to Honeywell. Each Invention I Make during the period of time I am employed by Honeywell for which no equipment, supplies, facilities or Honeywell Confidential Information was used and that was developed entirely on my own time is my property, unless (a) the Invention relates directly to the business of Honeywell or to Honeywell’s actual or demonstrably anticipated research or development, or (b) the Invention results from any work performed by me for Honeywell. If I assert any property right in an Invention I Make during the period of time I am employed by Honeywell, I will promptly notify Honeywell’s Law Department in writing.</w:t>
      </w:r>
    </w:p>
    <w:p>
      <w:pPr>
        <w:spacing w:after="0" w:line="118" w:lineRule="exact"/>
        <w:rPr>
          <w:rFonts w:ascii="Times New Roman" w:cs="Times New Roman" w:eastAsia="Times New Roman" w:hAnsi="Times New Roman"/>
          <w:sz w:val="13"/>
          <w:szCs w:val="13"/>
          <w:b w:val="1"/>
          <w:bCs w:val="1"/>
          <w:color w:val="auto"/>
        </w:rPr>
      </w:pPr>
    </w:p>
    <w:p>
      <w:pPr>
        <w:jc w:val="both"/>
        <w:ind w:left="348" w:hanging="348"/>
        <w:spacing w:after="0" w:line="220" w:lineRule="auto"/>
        <w:tabs>
          <w:tab w:leader="none" w:pos="344" w:val="left"/>
        </w:tabs>
        <w:numPr>
          <w:ilvl w:val="0"/>
          <w:numId w:val="20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Cooperation with Honeywell and Assignment of Rights. </w:t>
      </w:r>
      <w:r>
        <w:rPr>
          <w:rFonts w:ascii="Times New Roman" w:cs="Times New Roman" w:eastAsia="Times New Roman" w:hAnsi="Times New Roman"/>
          <w:sz w:val="13"/>
          <w:szCs w:val="13"/>
          <w:color w:val="auto"/>
        </w:rPr>
        <w:t>In addition to the foregoing assignment of Inventions to Honeywell, I hereby irrevocably transfer and assign to Honeywell (and agree to sign 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further documents to irrevocably transfer and assign to Honeywell): (i) all worldwide patents, patent applications, copyrights, mask works, trade secrets and other intellectual property rights, including but not limited to rights in databases, in any Inventions owned by Honeywell pursuant to paragraph 3 of this Agreement, along with any registrations of or applications to register such rights; (ii) any and all Moral Rights that I may have in or with respect to any such Inventions; and (iii) all worldwide trademark applications or registrations, domain names or social or business networking/media account or identification names related to the scope of my employment. I also hereby forever waive and agree never to assert any and all Moral Rights I may have in or with respect to any assigned Inventions, even after termination of my work on behalf of Honeywell. I agree to assist and fully cooperate with Honeywell in obtaining, and enforcing Honeywell’s patents, copyrights, mask work rights, trade secret rights and other legal protections for such Inventions. I will also assist and fully cooperate with Honeywell in defending Honeywell against claims of violation of the intellectual property rights of others. I will be paid my reasonable expenses in assisting, and cooperating with, Honeywell. I will</w:t>
      </w:r>
    </w:p>
    <w:p>
      <w:pPr>
        <w:spacing w:after="0" w:line="200" w:lineRule="exact"/>
        <w:rPr>
          <w:sz w:val="20"/>
          <w:szCs w:val="20"/>
          <w:color w:val="auto"/>
        </w:rPr>
      </w:pPr>
    </w:p>
    <w:p>
      <w:pPr>
        <w:spacing w:after="0" w:line="353" w:lineRule="exact"/>
        <w:rPr>
          <w:sz w:val="20"/>
          <w:szCs w:val="20"/>
          <w:color w:val="auto"/>
        </w:rPr>
      </w:pPr>
    </w:p>
    <w:p>
      <w:pPr>
        <w:ind w:left="8"/>
        <w:spacing w:after="0"/>
        <w:tabs>
          <w:tab w:leader="none" w:pos="2588" w:val="left"/>
          <w:tab w:leader="none" w:pos="3328" w:val="left"/>
        </w:tabs>
        <w:rPr>
          <w:sz w:val="20"/>
          <w:szCs w:val="20"/>
          <w:color w:val="auto"/>
        </w:rPr>
      </w:pPr>
      <w:r>
        <w:rPr>
          <w:rFonts w:ascii="Times New Roman" w:cs="Times New Roman" w:eastAsia="Times New Roman" w:hAnsi="Times New Roman"/>
          <w:sz w:val="13"/>
          <w:szCs w:val="13"/>
          <w:color w:val="auto"/>
        </w:rPr>
        <w:t>IP Agreement – US NON-CALIFORNIA – R</w:t>
        <w:tab/>
        <w:t>Page 1 of 9</w:t>
        <w:tab/>
        <w:t>Revised 05-1-2019</w:t>
      </w:r>
    </w:p>
    <w:p>
      <w:pPr>
        <w:sectPr>
          <w:pgSz w:w="11900" w:h="16838" w:orient="portrait"/>
          <w:cols w:equalWidth="0" w:num="1">
            <w:col w:w="11308"/>
          </w:cols>
          <w:pgMar w:left="292" w:top="785" w:right="299" w:bottom="1440" w:gutter="0" w:footer="0" w:header="0"/>
        </w:sectPr>
      </w:pPr>
    </w:p>
    <w:bookmarkStart w:id="148" w:name="page149"/>
    <w:bookmarkEnd w:id="148"/>
    <w:p>
      <w:pPr>
        <w:ind w:left="348"/>
        <w:spacing w:after="0" w:line="220" w:lineRule="auto"/>
        <w:rPr>
          <w:sz w:val="20"/>
          <w:szCs w:val="20"/>
          <w:color w:val="auto"/>
        </w:rPr>
      </w:pPr>
      <w:r>
        <w:rPr>
          <w:rFonts w:ascii="Times New Roman" w:cs="Times New Roman" w:eastAsia="Times New Roman" w:hAnsi="Times New Roman"/>
          <w:sz w:val="13"/>
          <w:szCs w:val="13"/>
          <w:color w:val="auto"/>
        </w:rPr>
        <w:t>execute any lawful document Honeywell requests me to execute relating to obtaining, maintaining, asserting or enforcing legal protection for any said Invention or in defending against claims of the violation of the intellectual property rights of others (including, but not limited to, executing applications, assignments, oaths, declarations, and affidavits) and I will make myself available for interviews, depositions</w:t>
      </w:r>
    </w:p>
    <w:p>
      <w:pPr>
        <w:ind w:left="348"/>
        <w:spacing w:after="0" w:line="218" w:lineRule="auto"/>
        <w:rPr>
          <w:sz w:val="20"/>
          <w:szCs w:val="20"/>
          <w:color w:val="auto"/>
        </w:rPr>
      </w:pPr>
      <w:r>
        <w:rPr>
          <w:rFonts w:ascii="Times New Roman" w:cs="Times New Roman" w:eastAsia="Times New Roman" w:hAnsi="Times New Roman"/>
          <w:sz w:val="13"/>
          <w:szCs w:val="13"/>
          <w:color w:val="auto"/>
        </w:rPr>
        <w:t>and testimony. In the event that Honeywell is unable, after reasonable effort, to secure my signature on any document or documents needed to apply for or prosecute any patent, copyright, or other right or</w:t>
      </w:r>
    </w:p>
    <w:p>
      <w:pPr>
        <w:jc w:val="both"/>
        <w:ind w:left="348"/>
        <w:spacing w:after="0" w:line="209" w:lineRule="auto"/>
        <w:rPr>
          <w:sz w:val="20"/>
          <w:szCs w:val="20"/>
          <w:color w:val="auto"/>
        </w:rPr>
      </w:pPr>
      <w:r>
        <w:rPr>
          <w:rFonts w:ascii="Times New Roman" w:cs="Times New Roman" w:eastAsia="Times New Roman" w:hAnsi="Times New Roman"/>
          <w:sz w:val="13"/>
          <w:szCs w:val="13"/>
          <w:color w:val="auto"/>
        </w:rPr>
        <w:t>protection relating to an Invention or right mentioned above, for any other reason whatsoever, I hereby irrevocably designate and appoint Honeywell and its duly authorized officers and agents as my agent and attorney-in-fact, to act for and on my behalf to execute and file any such application or applications, and to do all other lawfully-permitted acts to further the prosecution and issuance of patents,</w:t>
      </w:r>
    </w:p>
    <w:p>
      <w:pPr>
        <w:spacing w:after="0" w:line="1"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3"/>
          <w:szCs w:val="13"/>
          <w:color w:val="auto"/>
        </w:rPr>
        <w:t>copyrights, or similar protections thereon with the same legal force and effect as if executed by me for this purpose.</w:t>
      </w:r>
    </w:p>
    <w:p>
      <w:pPr>
        <w:spacing w:after="0" w:line="132" w:lineRule="exact"/>
        <w:rPr>
          <w:sz w:val="20"/>
          <w:szCs w:val="20"/>
          <w:color w:val="auto"/>
        </w:rPr>
      </w:pPr>
    </w:p>
    <w:p>
      <w:pPr>
        <w:jc w:val="both"/>
        <w:ind w:left="348" w:hanging="348"/>
        <w:spacing w:after="0" w:line="221" w:lineRule="auto"/>
        <w:tabs>
          <w:tab w:leader="none" w:pos="344" w:val="left"/>
        </w:tabs>
        <w:numPr>
          <w:ilvl w:val="0"/>
          <w:numId w:val="20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Pre-employment Inventions. </w:t>
      </w:r>
      <w:r>
        <w:rPr>
          <w:rFonts w:ascii="Times New Roman" w:cs="Times New Roman" w:eastAsia="Times New Roman" w:hAnsi="Times New Roman"/>
          <w:sz w:val="13"/>
          <w:szCs w:val="13"/>
          <w:color w:val="auto"/>
        </w:rPr>
        <w:t>On Schedule A, which is an integral part of this Agreement, I have completely identified (without disclosing any trade secret or other confidential information) every Invention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 Made before my employment by Honeywell in which I have an ownership interest and that is not the subject matter of an issued patent or a printed publication at the time I sign this Agreement. If I become aware of any projected or actual use of any such Invention by Honeywell, I will promptly notify Honeywell in writing of said use. I acknowledge and agree that if I use any of my pre-employment Inventions in the scope of my employment, or include them in any product or service of Honeywell, I hereby grant to Honeywell a perpetual, irrevocable, nonexclusive, world-wide, royalty-free license without any further action required by either party to use, disclose, make, sell, copy, distribute, modify and create works based on, perform or display such pre-employment Inventions and to sublicense third parties with the same rights. Except as to the Inventions listed on Schedule A or those that are the subject matter of an issued patent or a printed publication at the time I sign this Agreement, I will not assert any rights against Honeywell with respect to any Invention Made before my employment by Honeywell.</w:t>
      </w:r>
    </w:p>
    <w:p>
      <w:pPr>
        <w:spacing w:after="0" w:line="116" w:lineRule="exact"/>
        <w:rPr>
          <w:rFonts w:ascii="Times New Roman" w:cs="Times New Roman" w:eastAsia="Times New Roman" w:hAnsi="Times New Roman"/>
          <w:sz w:val="13"/>
          <w:szCs w:val="13"/>
          <w:b w:val="1"/>
          <w:bCs w:val="1"/>
          <w:color w:val="auto"/>
        </w:rPr>
      </w:pPr>
    </w:p>
    <w:p>
      <w:pPr>
        <w:jc w:val="both"/>
        <w:ind w:left="348" w:hanging="348"/>
        <w:spacing w:after="0" w:line="218" w:lineRule="auto"/>
        <w:tabs>
          <w:tab w:leader="none" w:pos="344" w:val="left"/>
        </w:tabs>
        <w:numPr>
          <w:ilvl w:val="0"/>
          <w:numId w:val="20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Honeywell’s Confidential Information. </w:t>
      </w:r>
      <w:r>
        <w:rPr>
          <w:rFonts w:ascii="Times New Roman" w:cs="Times New Roman" w:eastAsia="Times New Roman" w:hAnsi="Times New Roman"/>
          <w:sz w:val="13"/>
          <w:szCs w:val="13"/>
          <w:color w:val="auto"/>
        </w:rPr>
        <w:t>I will never, directly or indirectly, during or after my employment with Honeywell misappropriate, use or disclose Honeywell’s Confidential Information except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furthering Honeywell’s business nor will I disclose or disseminate at any time Honeywell’s Confidential Information to anyone who is not an officer, director, employee, attorney or authorized agent of Honeywell without the prior written consent of Honeywell’s Law Department, unless the specific item of Honeywell’s Confidential Information: (a) is now, or hereafter (through no breach of this Agreement) becomes, general public knowledge, or (b) prior to my disclosure, dissemination or use, was lawfully acquired by me without any obligation to retain the information in confidence. In this connection, I will not publish any of Honeywell’s Confidential Information for dissemination outside Honeywell or file any patent application relating to any Invention I Make during the period of time I am employed by Honeywell without the prior written approval of Honeywell’s Law Department. I will execute any agreement relating to the protection of Honeywell’s Confidential Information or such information of any third party whose intellectual property Honeywell is under a legal obligation to protect if Honeywell requests that I do so. I will not engage without the prior written consent of Honeywell’s Law Department, either during the period of time I am employed by Honeywell or for a period of two (2) years following my Termination of Employment for any reason, in any activity or employment in the faithful performance of which it could be reasonably anticipated that I would use or disclose Honeywell’s Confidential Information. All documents and tangible things embodying or containing Honeywell’s Confidential Information are Honeywell’s exclusive property. I have access to them solely for performing the duties of my employment by Honeywell. I will protect the confidentiality of their content and comply with all security policies and procedures, which may, from time to time, be established by Honeywell. I will return all of them and all copies, facsimiles and specimens of them and any other tangible forms of Honeywell’s Confidential Information in my possession, custody or control to Honeywell before leaving the employment of Honeywell.</w:t>
      </w:r>
    </w:p>
    <w:p>
      <w:pPr>
        <w:spacing w:after="0" w:line="118" w:lineRule="exact"/>
        <w:rPr>
          <w:rFonts w:ascii="Times New Roman" w:cs="Times New Roman" w:eastAsia="Times New Roman" w:hAnsi="Times New Roman"/>
          <w:sz w:val="13"/>
          <w:szCs w:val="13"/>
          <w:b w:val="1"/>
          <w:bCs w:val="1"/>
          <w:color w:val="auto"/>
        </w:rPr>
      </w:pPr>
    </w:p>
    <w:p>
      <w:pPr>
        <w:ind w:left="348"/>
        <w:spacing w:after="0" w:line="252"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 understand that I have the right to use or practice any skill or expertise generally associated with my employment but not special or unique to Honeywell, but that I do not have the right to use, practice or disclose Honeywell’s Confidential Information for my own benefit or for the benefit of any third party.</w:t>
      </w:r>
    </w:p>
    <w:p>
      <w:pPr>
        <w:spacing w:after="0" w:line="118" w:lineRule="exact"/>
        <w:rPr>
          <w:rFonts w:ascii="Times New Roman" w:cs="Times New Roman" w:eastAsia="Times New Roman" w:hAnsi="Times New Roman"/>
          <w:sz w:val="13"/>
          <w:szCs w:val="13"/>
          <w:b w:val="1"/>
          <w:bCs w:val="1"/>
          <w:color w:val="auto"/>
        </w:rPr>
      </w:pPr>
    </w:p>
    <w:p>
      <w:pPr>
        <w:jc w:val="both"/>
        <w:ind w:left="348"/>
        <w:spacing w:after="0" w:line="231"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 understand that I may not be held criminally or civilly liable under any federal or state trade secret law for the disclosure of a trade secret that is made (a) in confidence to a federal, state or local government official, either directly or indirectly, or to an attorney if such disclosure is made solely for the purpose of reporting or investigating a suspected violation of law or for pursuing an anti-retaliation lawsuit; or (b) in a complaint or</w:t>
      </w:r>
    </w:p>
    <w:p>
      <w:pPr>
        <w:spacing w:after="0" w:line="200" w:lineRule="exact"/>
        <w:rPr>
          <w:sz w:val="20"/>
          <w:szCs w:val="20"/>
          <w:color w:val="auto"/>
        </w:rPr>
      </w:pPr>
    </w:p>
    <w:p>
      <w:pPr>
        <w:spacing w:after="0" w:line="349" w:lineRule="exact"/>
        <w:rPr>
          <w:sz w:val="20"/>
          <w:szCs w:val="20"/>
          <w:color w:val="auto"/>
        </w:rPr>
      </w:pPr>
    </w:p>
    <w:p>
      <w:pPr>
        <w:ind w:left="8"/>
        <w:spacing w:after="0"/>
        <w:tabs>
          <w:tab w:leader="none" w:pos="2588" w:val="left"/>
          <w:tab w:leader="none" w:pos="3328" w:val="left"/>
        </w:tabs>
        <w:rPr>
          <w:sz w:val="20"/>
          <w:szCs w:val="20"/>
          <w:color w:val="auto"/>
        </w:rPr>
      </w:pPr>
      <w:r>
        <w:rPr>
          <w:rFonts w:ascii="Times New Roman" w:cs="Times New Roman" w:eastAsia="Times New Roman" w:hAnsi="Times New Roman"/>
          <w:sz w:val="13"/>
          <w:szCs w:val="13"/>
          <w:color w:val="auto"/>
        </w:rPr>
        <w:t>IP Agreement – US NON-CALIFORNIA – R</w:t>
        <w:tab/>
        <w:t>Page 2 of 9</w:t>
        <w:tab/>
        <w:t>Revised 05-1-2019</w:t>
      </w:r>
    </w:p>
    <w:p>
      <w:pPr>
        <w:sectPr>
          <w:pgSz w:w="11900" w:h="16838" w:orient="portrait"/>
          <w:cols w:equalWidth="0" w:num="1">
            <w:col w:w="11308"/>
          </w:cols>
          <w:pgMar w:left="292" w:top="809" w:right="299" w:bottom="1440" w:gutter="0" w:footer="0" w:header="0"/>
        </w:sectPr>
      </w:pPr>
    </w:p>
    <w:bookmarkStart w:id="149" w:name="page150"/>
    <w:bookmarkEnd w:id="149"/>
    <w:p>
      <w:pPr>
        <w:ind w:left="348"/>
        <w:spacing w:after="0"/>
        <w:rPr>
          <w:sz w:val="20"/>
          <w:szCs w:val="20"/>
          <w:color w:val="auto"/>
        </w:rPr>
      </w:pPr>
      <w:r>
        <w:rPr>
          <w:rFonts w:ascii="Times New Roman" w:cs="Times New Roman" w:eastAsia="Times New Roman" w:hAnsi="Times New Roman"/>
          <w:sz w:val="13"/>
          <w:szCs w:val="13"/>
          <w:color w:val="auto"/>
        </w:rPr>
        <w:t>other document filed in a lawsuit or other proceeding, if such filing is made under seal and I do not disclose the trade secret except pursuant to a court order.</w:t>
      </w:r>
    </w:p>
    <w:p>
      <w:pPr>
        <w:spacing w:after="0" w:line="139" w:lineRule="exact"/>
        <w:rPr>
          <w:sz w:val="20"/>
          <w:szCs w:val="20"/>
          <w:color w:val="auto"/>
        </w:rPr>
      </w:pPr>
    </w:p>
    <w:p>
      <w:pPr>
        <w:ind w:left="348"/>
        <w:spacing w:after="0" w:line="227" w:lineRule="auto"/>
        <w:rPr>
          <w:sz w:val="20"/>
          <w:szCs w:val="20"/>
          <w:color w:val="auto"/>
        </w:rPr>
      </w:pPr>
      <w:r>
        <w:rPr>
          <w:rFonts w:ascii="Times New Roman" w:cs="Times New Roman" w:eastAsia="Times New Roman" w:hAnsi="Times New Roman"/>
          <w:sz w:val="13"/>
          <w:szCs w:val="13"/>
          <w:color w:val="auto"/>
        </w:rPr>
        <w:t>I acknowledge that I have been hereby provided notice that federal law provides that an individual shall not be held criminally or civilly liable under any federal or state trade secret law for the disclosure of a trade secret where: (a) the disclosure is made (i) in confidence to a Federal, State, or local government official, either directly or indirectly, or to an attorney; and (ii) solely for the purpose of reporting or</w:t>
      </w:r>
    </w:p>
    <w:p>
      <w:pPr>
        <w:spacing w:after="0" w:line="1" w:lineRule="exact"/>
        <w:rPr>
          <w:sz w:val="20"/>
          <w:szCs w:val="20"/>
          <w:color w:val="auto"/>
        </w:rPr>
      </w:pPr>
    </w:p>
    <w:p>
      <w:pPr>
        <w:ind w:left="348"/>
        <w:spacing w:after="0" w:line="209" w:lineRule="auto"/>
        <w:rPr>
          <w:sz w:val="20"/>
          <w:szCs w:val="20"/>
          <w:color w:val="auto"/>
        </w:rPr>
      </w:pPr>
      <w:r>
        <w:rPr>
          <w:rFonts w:ascii="Times New Roman" w:cs="Times New Roman" w:eastAsia="Times New Roman" w:hAnsi="Times New Roman"/>
          <w:sz w:val="13"/>
          <w:szCs w:val="13"/>
          <w:color w:val="auto"/>
        </w:rPr>
        <w:t>investigating a suspected violation of law; or (b) the disclosure is made in a complaint or other document filed in a lawsuit or other proceeding, if such filing is made under seal. Federal law also provides that an individual who files a lawsuit for retaliation by an employer for reporting a suspected violation of law may disclose the trade secret to the attorney of the individual and use the trade secret information in</w:t>
      </w:r>
    </w:p>
    <w:p>
      <w:pPr>
        <w:spacing w:after="0" w:line="1" w:lineRule="exact"/>
        <w:rPr>
          <w:sz w:val="20"/>
          <w:szCs w:val="20"/>
          <w:color w:val="auto"/>
        </w:rPr>
      </w:pPr>
    </w:p>
    <w:p>
      <w:pPr>
        <w:ind w:left="348" w:right="20"/>
        <w:spacing w:after="0" w:line="234" w:lineRule="auto"/>
        <w:rPr>
          <w:sz w:val="20"/>
          <w:szCs w:val="20"/>
          <w:color w:val="auto"/>
        </w:rPr>
      </w:pPr>
      <w:r>
        <w:rPr>
          <w:rFonts w:ascii="Times New Roman" w:cs="Times New Roman" w:eastAsia="Times New Roman" w:hAnsi="Times New Roman"/>
          <w:sz w:val="13"/>
          <w:szCs w:val="13"/>
          <w:color w:val="auto"/>
        </w:rPr>
        <w:t xml:space="preserve">the court proceeding, if the individual (x) files any document containing the trade secret under seal; and (y) does not disclose the trade secret, except pursuant to court order. </w:t>
      </w:r>
      <w:r>
        <w:rPr>
          <w:rFonts w:ascii="Times New Roman" w:cs="Times New Roman" w:eastAsia="Times New Roman" w:hAnsi="Times New Roman"/>
          <w:sz w:val="13"/>
          <w:szCs w:val="13"/>
          <w:b w:val="1"/>
          <w:bCs w:val="1"/>
          <w:color w:val="auto"/>
        </w:rPr>
        <w:t>I understand that in the event it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is determined that disclosure of trade secrets was not done in good faith for the reasons described above, I will be subject to substantial damages, including punitive damages and attorneys’ fees.</w:t>
      </w:r>
    </w:p>
    <w:p>
      <w:pPr>
        <w:spacing w:after="0" w:line="118" w:lineRule="exact"/>
        <w:rPr>
          <w:sz w:val="20"/>
          <w:szCs w:val="20"/>
          <w:color w:val="auto"/>
        </w:rPr>
      </w:pPr>
    </w:p>
    <w:p>
      <w:pPr>
        <w:ind w:left="348"/>
        <w:spacing w:after="0" w:line="227" w:lineRule="auto"/>
        <w:rPr>
          <w:sz w:val="20"/>
          <w:szCs w:val="20"/>
          <w:color w:val="auto"/>
        </w:rPr>
      </w:pPr>
      <w:r>
        <w:rPr>
          <w:rFonts w:ascii="Times New Roman" w:cs="Times New Roman" w:eastAsia="Times New Roman" w:hAnsi="Times New Roman"/>
          <w:sz w:val="13"/>
          <w:szCs w:val="13"/>
          <w:color w:val="auto"/>
        </w:rPr>
        <w:t>The provisions of this Agreement are consistent with and do not supersede, conflict with, or otherwise alter any employee’s obligations, rights, or liabilities created by existing statute or Executive Order relating to (i) classified information, (ii) communications to Congress, (iii) the reporting to an Inspector General of a violation of any law, rule, or regulation, or mismanagement, a gross waste of funds, an</w:t>
      </w:r>
    </w:p>
    <w:p>
      <w:pPr>
        <w:spacing w:after="0" w:line="1" w:lineRule="exact"/>
        <w:rPr>
          <w:sz w:val="20"/>
          <w:szCs w:val="20"/>
          <w:color w:val="auto"/>
        </w:rPr>
      </w:pPr>
    </w:p>
    <w:p>
      <w:pPr>
        <w:ind w:left="348" w:right="20"/>
        <w:spacing w:after="0" w:line="227" w:lineRule="auto"/>
        <w:rPr>
          <w:sz w:val="20"/>
          <w:szCs w:val="20"/>
          <w:color w:val="auto"/>
        </w:rPr>
      </w:pPr>
      <w:r>
        <w:rPr>
          <w:rFonts w:ascii="Times New Roman" w:cs="Times New Roman" w:eastAsia="Times New Roman" w:hAnsi="Times New Roman"/>
          <w:sz w:val="13"/>
          <w:szCs w:val="13"/>
          <w:color w:val="auto"/>
        </w:rPr>
        <w:t>abuse of authority, or a substantial and specific danger to public health or safety, or (iv) any other whistleblower protection. The definitions, requirements, obligations, rights, sanctions, and liabilities created by controlling Executive Orders and statutory provisions relating to these protections are incorporated into this Agreement and are controlling.</w:t>
      </w:r>
    </w:p>
    <w:p>
      <w:pPr>
        <w:spacing w:after="0" w:line="124" w:lineRule="exact"/>
        <w:rPr>
          <w:sz w:val="20"/>
          <w:szCs w:val="20"/>
          <w:color w:val="auto"/>
        </w:rPr>
      </w:pPr>
    </w:p>
    <w:p>
      <w:pPr>
        <w:jc w:val="both"/>
        <w:ind w:left="348" w:hanging="348"/>
        <w:spacing w:after="0" w:line="222" w:lineRule="auto"/>
        <w:tabs>
          <w:tab w:leader="none" w:pos="344" w:val="left"/>
        </w:tabs>
        <w:numPr>
          <w:ilvl w:val="0"/>
          <w:numId w:val="20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Confidential Information from Previous Employment. </w:t>
      </w:r>
      <w:r>
        <w:rPr>
          <w:rFonts w:ascii="Times New Roman" w:cs="Times New Roman" w:eastAsia="Times New Roman" w:hAnsi="Times New Roman"/>
          <w:sz w:val="13"/>
          <w:szCs w:val="13"/>
          <w:color w:val="auto"/>
        </w:rPr>
        <w:t>I certify that I have not, and will not, disclose or use during my employment by Honeywell, any confidential information or trade secrets that I</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acquired as a result of any previous employment or under a contractual obligation of confidentiality before my employment by Honeywell. I understand that Honeywell has no interest in, and will not accept disclosure by me of, any trade secrets or confidential information that belongs to a third party. If I am ever placed in a position where I will be required or am given an assignment that will require me to use, directly or indirectly, any trade secrets or confidential information of any person, previous employer or any third party, I will promptly inform Honeywell’s Law Department and my supervisor before I undertake any activity that would involve the use or disclosure of such information or present the appearance to any such third party that I may have used or disclosed such information. If I fail to do so, Honeywell may elect not to indemnify me in the event of litigation and may take such other actions, as it deems appropriate, up to and including termination of my employment.</w:t>
      </w:r>
    </w:p>
    <w:p>
      <w:pPr>
        <w:spacing w:after="0" w:line="124" w:lineRule="exact"/>
        <w:rPr>
          <w:rFonts w:ascii="Times New Roman" w:cs="Times New Roman" w:eastAsia="Times New Roman" w:hAnsi="Times New Roman"/>
          <w:sz w:val="13"/>
          <w:szCs w:val="13"/>
          <w:b w:val="1"/>
          <w:bCs w:val="1"/>
          <w:color w:val="auto"/>
        </w:rPr>
      </w:pPr>
    </w:p>
    <w:p>
      <w:pPr>
        <w:ind w:left="348" w:hanging="348"/>
        <w:spacing w:after="0" w:line="255" w:lineRule="auto"/>
        <w:tabs>
          <w:tab w:leader="none" w:pos="344" w:val="left"/>
        </w:tabs>
        <w:numPr>
          <w:ilvl w:val="0"/>
          <w:numId w:val="20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Prior Restrictive Obligation. </w:t>
      </w:r>
      <w:r>
        <w:rPr>
          <w:rFonts w:ascii="Times New Roman" w:cs="Times New Roman" w:eastAsia="Times New Roman" w:hAnsi="Times New Roman"/>
          <w:sz w:val="13"/>
          <w:szCs w:val="13"/>
          <w:color w:val="auto"/>
        </w:rPr>
        <w:t>On Schedule B, which is an integral part of this Agreement, I have completely identified all prior obligations (written and oral) that restrict my ability to perform the duties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my employment by Honeywell, including all confidentiality agreements and covenants restricting future employment.</w:t>
      </w:r>
    </w:p>
    <w:p>
      <w:pPr>
        <w:spacing w:after="0" w:line="105" w:lineRule="exact"/>
        <w:rPr>
          <w:rFonts w:ascii="Times New Roman" w:cs="Times New Roman" w:eastAsia="Times New Roman" w:hAnsi="Times New Roman"/>
          <w:sz w:val="13"/>
          <w:szCs w:val="13"/>
          <w:b w:val="1"/>
          <w:bCs w:val="1"/>
          <w:color w:val="auto"/>
        </w:rPr>
      </w:pPr>
    </w:p>
    <w:p>
      <w:pPr>
        <w:jc w:val="both"/>
        <w:ind w:left="348" w:hanging="348"/>
        <w:spacing w:after="0" w:line="224" w:lineRule="auto"/>
        <w:tabs>
          <w:tab w:leader="none" w:pos="344" w:val="left"/>
        </w:tabs>
        <w:numPr>
          <w:ilvl w:val="0"/>
          <w:numId w:val="20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Nonsolicitation of Honeywell Employees. </w:t>
      </w:r>
      <w:r>
        <w:rPr>
          <w:rFonts w:ascii="Times New Roman" w:cs="Times New Roman" w:eastAsia="Times New Roman" w:hAnsi="Times New Roman"/>
          <w:sz w:val="13"/>
          <w:szCs w:val="13"/>
          <w:color w:val="auto"/>
        </w:rPr>
        <w:t>I acknowledge that Honeywell has invested, and will continue to invest, significant time and money to recruit and retain its employees. Therefore, recognizing that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 owe Honeywell an undivided duty of loyalty and that in the course of my employment I have obtained valuable information about Honeywell employees, their respective talents and areas of expertise, I agree that, during my employment and for a period of two (2) years following my Termination of Employment from Honeywell for any reason, I will not directly or indirectly, for my own account or for others, (i) solicit (or assist another in soliciting) for employment or for the performance of services, (ii) offer or cause to be offered employment or other service engagement, or (iii) participate in any manner in the employment or hiring for services of any current or former Honeywell employee with whom I had contact or of whom I became aware in my last two (2) years of Honeywell employment, unless it has been more than 12 months since that individual left Honeywell. Nor will I, for my own account or for others, in any way induce or attempt to induce such individual to leave the employment of Honeywell.</w:t>
      </w:r>
    </w:p>
    <w:p>
      <w:pPr>
        <w:spacing w:after="0" w:line="116" w:lineRule="exact"/>
        <w:rPr>
          <w:rFonts w:ascii="Times New Roman" w:cs="Times New Roman" w:eastAsia="Times New Roman" w:hAnsi="Times New Roman"/>
          <w:sz w:val="13"/>
          <w:szCs w:val="13"/>
          <w:b w:val="1"/>
          <w:bCs w:val="1"/>
          <w:color w:val="auto"/>
        </w:rPr>
      </w:pPr>
    </w:p>
    <w:p>
      <w:pPr>
        <w:ind w:left="348" w:hanging="348"/>
        <w:spacing w:after="0" w:line="247" w:lineRule="auto"/>
        <w:tabs>
          <w:tab w:leader="none" w:pos="356" w:val="left"/>
        </w:tabs>
        <w:numPr>
          <w:ilvl w:val="0"/>
          <w:numId w:val="20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Nonsolicitation of Honeywell Customers, Suppliers, Business Partners and Vendors. </w:t>
      </w:r>
      <w:r>
        <w:rPr>
          <w:rFonts w:ascii="Times New Roman" w:cs="Times New Roman" w:eastAsia="Times New Roman" w:hAnsi="Times New Roman"/>
          <w:sz w:val="13"/>
          <w:szCs w:val="13"/>
          <w:color w:val="auto"/>
        </w:rPr>
        <w:t>I acknowledge that Honeywell has invested and will continue to invest significant time and money to develop</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valuable,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
        <w:spacing w:after="0"/>
        <w:tabs>
          <w:tab w:leader="none" w:pos="2588" w:val="left"/>
          <w:tab w:leader="none" w:pos="3328" w:val="left"/>
        </w:tabs>
        <w:rPr>
          <w:sz w:val="20"/>
          <w:szCs w:val="20"/>
          <w:color w:val="auto"/>
        </w:rPr>
      </w:pPr>
      <w:r>
        <w:rPr>
          <w:rFonts w:ascii="Times New Roman" w:cs="Times New Roman" w:eastAsia="Times New Roman" w:hAnsi="Times New Roman"/>
          <w:sz w:val="13"/>
          <w:szCs w:val="13"/>
          <w:color w:val="auto"/>
        </w:rPr>
        <w:t>IP Agreement – US NON-CALIFORNIA – R</w:t>
        <w:tab/>
        <w:t>Page 3 of 9</w:t>
        <w:tab/>
        <w:t>Revised 05-1-2019</w:t>
      </w:r>
    </w:p>
    <w:p>
      <w:pPr>
        <w:sectPr>
          <w:pgSz w:w="11900" w:h="16838" w:orient="portrait"/>
          <w:cols w:equalWidth="0" w:num="1">
            <w:col w:w="11308"/>
          </w:cols>
          <w:pgMar w:left="292" w:top="809" w:right="299" w:bottom="1440" w:gutter="0" w:footer="0" w:header="0"/>
        </w:sectPr>
      </w:pPr>
    </w:p>
    <w:bookmarkStart w:id="150" w:name="page151"/>
    <w:bookmarkEnd w:id="150"/>
    <w:p>
      <w:pPr>
        <w:ind w:left="348"/>
        <w:spacing w:after="0" w:line="220" w:lineRule="auto"/>
        <w:rPr>
          <w:sz w:val="20"/>
          <w:szCs w:val="20"/>
          <w:color w:val="auto"/>
        </w:rPr>
      </w:pPr>
      <w:r>
        <w:rPr>
          <w:rFonts w:ascii="Times New Roman" w:cs="Times New Roman" w:eastAsia="Times New Roman" w:hAnsi="Times New Roman"/>
          <w:sz w:val="13"/>
          <w:szCs w:val="13"/>
          <w:color w:val="auto"/>
        </w:rPr>
        <w:t>continuing relationships with existing and prospective clients and customers of Honeywell. Therefore, recognizing that in the course of my employment I have obtained valuable information about Honeywell customers, suppliers, business partners, and/or vendors, and their requirements, I agree that during my employment and for a period of two (2) years following my Termination of Employment from</w:t>
      </w:r>
    </w:p>
    <w:p>
      <w:pPr>
        <w:ind w:left="348"/>
        <w:spacing w:after="0" w:line="218" w:lineRule="auto"/>
        <w:rPr>
          <w:sz w:val="20"/>
          <w:szCs w:val="20"/>
          <w:color w:val="auto"/>
        </w:rPr>
      </w:pPr>
      <w:r>
        <w:rPr>
          <w:rFonts w:ascii="Times New Roman" w:cs="Times New Roman" w:eastAsia="Times New Roman" w:hAnsi="Times New Roman"/>
          <w:sz w:val="13"/>
          <w:szCs w:val="13"/>
          <w:color w:val="auto"/>
        </w:rPr>
        <w:t>Honeywell for any reason, I will not directly or indirectly, for my own account or for others, solicit or assist others in soliciting or attempt to solicit (or assist others in attempting to solicit), (i) any existing</w:t>
      </w:r>
    </w:p>
    <w:p>
      <w:pPr>
        <w:ind w:left="348"/>
        <w:spacing w:after="0" w:line="209" w:lineRule="auto"/>
        <w:rPr>
          <w:sz w:val="20"/>
          <w:szCs w:val="20"/>
          <w:color w:val="auto"/>
        </w:rPr>
      </w:pPr>
      <w:r>
        <w:rPr>
          <w:rFonts w:ascii="Times New Roman" w:cs="Times New Roman" w:eastAsia="Times New Roman" w:hAnsi="Times New Roman"/>
          <w:sz w:val="13"/>
          <w:szCs w:val="13"/>
          <w:color w:val="auto"/>
        </w:rPr>
        <w:t>clients, customers, suppliers, business partners, and/or vendors of Honeywell with whom I had contact, or of whom I became aware while employed by Honeywell during the two (2) year period prior to my Termination of Employment, or (ii) any prospective clients, customers, suppliers, business partners, and/or vendors of Honeywell with whom I had contact and with whom Honeywell took significant steps to</w:t>
      </w:r>
    </w:p>
    <w:p>
      <w:pPr>
        <w:ind w:left="348"/>
        <w:spacing w:after="0" w:line="217" w:lineRule="auto"/>
        <w:rPr>
          <w:sz w:val="20"/>
          <w:szCs w:val="20"/>
          <w:color w:val="auto"/>
        </w:rPr>
      </w:pPr>
      <w:r>
        <w:rPr>
          <w:rFonts w:ascii="Times New Roman" w:cs="Times New Roman" w:eastAsia="Times New Roman" w:hAnsi="Times New Roman"/>
          <w:sz w:val="13"/>
          <w:szCs w:val="13"/>
          <w:color w:val="auto"/>
        </w:rPr>
        <w:t>do business during the two (2) year period prior to my Termination of Employment, for the purpose of inducing such existing or prospective clients, customers, suppliers, business partners, and/or vendors to</w:t>
      </w:r>
    </w:p>
    <w:p>
      <w:pPr>
        <w:ind w:left="348"/>
        <w:spacing w:after="0" w:line="227" w:lineRule="auto"/>
        <w:rPr>
          <w:sz w:val="20"/>
          <w:szCs w:val="20"/>
          <w:color w:val="auto"/>
        </w:rPr>
      </w:pPr>
      <w:r>
        <w:rPr>
          <w:rFonts w:ascii="Times New Roman" w:cs="Times New Roman" w:eastAsia="Times New Roman" w:hAnsi="Times New Roman"/>
          <w:sz w:val="13"/>
          <w:szCs w:val="13"/>
          <w:color w:val="auto"/>
        </w:rPr>
        <w:t>cease doing business or reduce their business with Honeywell or to purchase, lease or utilize products or services that are competitive with, similar to, or that may be used as substitutes for any products or services offered by Honeywell.</w:t>
      </w:r>
    </w:p>
    <w:p>
      <w:pPr>
        <w:spacing w:after="0" w:line="124" w:lineRule="exact"/>
        <w:rPr>
          <w:sz w:val="20"/>
          <w:szCs w:val="20"/>
          <w:color w:val="auto"/>
        </w:rPr>
      </w:pPr>
    </w:p>
    <w:p>
      <w:pPr>
        <w:jc w:val="both"/>
        <w:ind w:left="348" w:hanging="348"/>
        <w:spacing w:after="0"/>
        <w:tabs>
          <w:tab w:leader="none" w:pos="358" w:val="left"/>
        </w:tabs>
        <w:numPr>
          <w:ilvl w:val="0"/>
          <w:numId w:val="20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Notice to Future Employers. </w:t>
      </w:r>
      <w:r>
        <w:rPr>
          <w:rFonts w:ascii="Times New Roman" w:cs="Times New Roman" w:eastAsia="Times New Roman" w:hAnsi="Times New Roman"/>
          <w:sz w:val="13"/>
          <w:szCs w:val="13"/>
          <w:color w:val="auto"/>
        </w:rPr>
        <w:t>For the period of two (2) years immediately following the end of my employment by Honeywell, I will inform each new employer, prior to accepting employment,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existence of this Agreement and provide that employer with a copy of it. Honeywell has the right to inform any future employer of the existence of this Agreement and to provide any future employers with a copy of it.</w:t>
      </w:r>
    </w:p>
    <w:p>
      <w:pPr>
        <w:spacing w:after="0" w:line="259" w:lineRule="exact"/>
        <w:rPr>
          <w:rFonts w:ascii="Times New Roman" w:cs="Times New Roman" w:eastAsia="Times New Roman" w:hAnsi="Times New Roman"/>
          <w:sz w:val="13"/>
          <w:szCs w:val="13"/>
          <w:b w:val="1"/>
          <w:bCs w:val="1"/>
          <w:color w:val="auto"/>
        </w:rPr>
      </w:pPr>
    </w:p>
    <w:p>
      <w:pPr>
        <w:ind w:left="348" w:hanging="348"/>
        <w:spacing w:after="0" w:line="255" w:lineRule="auto"/>
        <w:tabs>
          <w:tab w:leader="none" w:pos="356" w:val="left"/>
        </w:tabs>
        <w:numPr>
          <w:ilvl w:val="0"/>
          <w:numId w:val="20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Copyright. </w:t>
      </w:r>
      <w:r>
        <w:rPr>
          <w:rFonts w:ascii="Times New Roman" w:cs="Times New Roman" w:eastAsia="Times New Roman" w:hAnsi="Times New Roman"/>
          <w:sz w:val="13"/>
          <w:szCs w:val="13"/>
          <w:color w:val="auto"/>
        </w:rPr>
        <w:t>As to all works prepared by me that are: (i) within the scope of my employment, or (ii) based upon information I acquired from Honeywell that is not normally made available to the public,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(iii) commissioned by Honeywell, but not within my scope of employment, I hereby agree to:</w:t>
      </w:r>
    </w:p>
    <w:p>
      <w:pPr>
        <w:spacing w:after="0" w:line="107" w:lineRule="exact"/>
        <w:rPr>
          <w:sz w:val="20"/>
          <w:szCs w:val="20"/>
          <w:color w:val="auto"/>
        </w:rPr>
      </w:pPr>
    </w:p>
    <w:p>
      <w:pPr>
        <w:ind w:left="788" w:hanging="442"/>
        <w:spacing w:after="0"/>
        <w:tabs>
          <w:tab w:leader="none" w:pos="788" w:val="left"/>
        </w:tabs>
        <w:numPr>
          <w:ilvl w:val="0"/>
          <w:numId w:val="2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Submit to Honeywell’s Law Department and to my supervisor for approval for publication or oral dissemination;</w:t>
      </w:r>
    </w:p>
    <w:p>
      <w:pPr>
        <w:spacing w:after="0" w:line="147" w:lineRule="exact"/>
        <w:rPr>
          <w:rFonts w:ascii="Times New Roman" w:cs="Times New Roman" w:eastAsia="Times New Roman" w:hAnsi="Times New Roman"/>
          <w:sz w:val="13"/>
          <w:szCs w:val="13"/>
          <w:color w:val="auto"/>
        </w:rPr>
      </w:pPr>
    </w:p>
    <w:p>
      <w:pPr>
        <w:ind w:left="788" w:hanging="442"/>
        <w:spacing w:after="0"/>
        <w:tabs>
          <w:tab w:leader="none" w:pos="788" w:val="left"/>
        </w:tabs>
        <w:numPr>
          <w:ilvl w:val="0"/>
          <w:numId w:val="2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Assign all right, title and interest in and to the copyright in all such works to Honeywell; and</w:t>
      </w:r>
    </w:p>
    <w:p>
      <w:pPr>
        <w:spacing w:after="0" w:line="147" w:lineRule="exact"/>
        <w:rPr>
          <w:rFonts w:ascii="Times New Roman" w:cs="Times New Roman" w:eastAsia="Times New Roman" w:hAnsi="Times New Roman"/>
          <w:sz w:val="13"/>
          <w:szCs w:val="13"/>
          <w:color w:val="auto"/>
        </w:rPr>
      </w:pPr>
    </w:p>
    <w:p>
      <w:pPr>
        <w:ind w:left="788" w:hanging="442"/>
        <w:spacing w:after="0"/>
        <w:tabs>
          <w:tab w:leader="none" w:pos="788" w:val="left"/>
        </w:tabs>
        <w:numPr>
          <w:ilvl w:val="0"/>
          <w:numId w:val="2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Waive any claim of Moral Rights, author’s rights, droit moral, or any equivalent rights to the extent necessary or permitted by law.</w:t>
      </w:r>
    </w:p>
    <w:p>
      <w:pPr>
        <w:spacing w:after="0" w:line="139" w:lineRule="exact"/>
        <w:rPr>
          <w:sz w:val="20"/>
          <w:szCs w:val="20"/>
          <w:color w:val="auto"/>
        </w:rPr>
      </w:pPr>
    </w:p>
    <w:p>
      <w:pPr>
        <w:ind w:left="348"/>
        <w:spacing w:after="0" w:line="252" w:lineRule="auto"/>
        <w:rPr>
          <w:sz w:val="20"/>
          <w:szCs w:val="20"/>
          <w:color w:val="auto"/>
        </w:rPr>
      </w:pPr>
      <w:r>
        <w:rPr>
          <w:rFonts w:ascii="Times New Roman" w:cs="Times New Roman" w:eastAsia="Times New Roman" w:hAnsi="Times New Roman"/>
          <w:sz w:val="13"/>
          <w:szCs w:val="13"/>
          <w:color w:val="auto"/>
        </w:rPr>
        <w:t>I hereby release and allow Honeywell to use, for any lawful purpose, any voice reproduction, photograph, or other digital or video likeness of me made in the course of my employment, including my name, likeness and/or any other indicia of my persona in connection with the foregoing materials.</w:t>
      </w:r>
    </w:p>
    <w:p>
      <w:pPr>
        <w:spacing w:after="0" w:line="116" w:lineRule="exact"/>
        <w:rPr>
          <w:sz w:val="20"/>
          <w:szCs w:val="20"/>
          <w:color w:val="auto"/>
        </w:rPr>
      </w:pPr>
    </w:p>
    <w:p>
      <w:pPr>
        <w:ind w:left="348" w:hanging="348"/>
        <w:spacing w:after="0"/>
        <w:tabs>
          <w:tab w:leader="none" w:pos="356" w:val="left"/>
        </w:tabs>
        <w:numPr>
          <w:ilvl w:val="0"/>
          <w:numId w:val="20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Acknowledgement of Receipt. </w:t>
      </w:r>
      <w:r>
        <w:rPr>
          <w:rFonts w:ascii="Times New Roman" w:cs="Times New Roman" w:eastAsia="Times New Roman" w:hAnsi="Times New Roman"/>
          <w:sz w:val="13"/>
          <w:szCs w:val="13"/>
          <w:color w:val="auto"/>
        </w:rPr>
        <w:t>I acknowledge that I have received a copy of this Agreement prior to accepting employment, continued employment or other consideration as recited herein and that execution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this Agreement was an express condition of my employment, continued employment or receipt of other consideration recited herein.</w:t>
      </w:r>
    </w:p>
    <w:p>
      <w:pPr>
        <w:spacing w:after="0" w:line="124" w:lineRule="exact"/>
        <w:rPr>
          <w:rFonts w:ascii="Times New Roman" w:cs="Times New Roman" w:eastAsia="Times New Roman" w:hAnsi="Times New Roman"/>
          <w:sz w:val="13"/>
          <w:szCs w:val="13"/>
          <w:b w:val="1"/>
          <w:bCs w:val="1"/>
          <w:color w:val="auto"/>
        </w:rPr>
      </w:pPr>
    </w:p>
    <w:p>
      <w:pPr>
        <w:jc w:val="both"/>
        <w:ind w:left="348" w:hanging="348"/>
        <w:spacing w:after="0" w:line="221" w:lineRule="auto"/>
        <w:tabs>
          <w:tab w:leader="none" w:pos="356" w:val="left"/>
        </w:tabs>
        <w:numPr>
          <w:ilvl w:val="0"/>
          <w:numId w:val="20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Effectiveness of Agreement. </w:t>
      </w:r>
      <w:r>
        <w:rPr>
          <w:rFonts w:ascii="Times New Roman" w:cs="Times New Roman" w:eastAsia="Times New Roman" w:hAnsi="Times New Roman"/>
          <w:sz w:val="13"/>
          <w:szCs w:val="13"/>
          <w:color w:val="auto"/>
        </w:rPr>
        <w:t>I acknowledge that the provisions of this Agreement are in addition to, and in no way intended to limit, restrict or narrow any prior or existing agreement with Honeywell. This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Agreement does not replace or supersede any prior or existing employment or other agreement with Honeywell, but rather, shall be read in conjunction with such prior or existing agreements and shall be interpreted in a manner to provide Honeywell the maximum protection and the most effective and complete assignment of inventions provided by all agreements I have with Honeywell. The terms of this Agreement are to be read consistent with the terms of any other intellectual property, trade secret or confidentiality agreements that I have executed with Honeywell; provided, however, to the extent there is a conflict between/among such agreements, such agreements shall be read in concert and construed as providing the broadest possible protections to Honeywell, even if such construction would require provisions of more than one such agreement to be given effect. This Agreement shall be deemed effective as of the first day of my employment by Honeywell and shall continue throughout the entire period of time I am employed by Honeywell and my obligations will continue after, and survive, the end of my employment by Honeywell.</w:t>
      </w:r>
    </w:p>
    <w:p>
      <w:pPr>
        <w:spacing w:after="0" w:line="125" w:lineRule="exact"/>
        <w:rPr>
          <w:rFonts w:ascii="Times New Roman" w:cs="Times New Roman" w:eastAsia="Times New Roman" w:hAnsi="Times New Roman"/>
          <w:sz w:val="13"/>
          <w:szCs w:val="13"/>
          <w:b w:val="1"/>
          <w:bCs w:val="1"/>
          <w:color w:val="auto"/>
        </w:rPr>
      </w:pPr>
    </w:p>
    <w:p>
      <w:pPr>
        <w:ind w:left="348" w:hanging="348"/>
        <w:spacing w:after="0"/>
        <w:tabs>
          <w:tab w:leader="none" w:pos="348" w:val="left"/>
        </w:tabs>
        <w:numPr>
          <w:ilvl w:val="0"/>
          <w:numId w:val="20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Identity of Future Employer. </w:t>
      </w:r>
      <w:r>
        <w:rPr>
          <w:rFonts w:ascii="Times New Roman" w:cs="Times New Roman" w:eastAsia="Times New Roman" w:hAnsi="Times New Roman"/>
          <w:sz w:val="13"/>
          <w:szCs w:val="13"/>
          <w:color w:val="auto"/>
        </w:rPr>
        <w:t>Upon termination of my employment for any reason, if reasonably requested by Honeywell, I will advise Honeywell of the name and address of my intended future employer.</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
        <w:spacing w:after="0"/>
        <w:tabs>
          <w:tab w:leader="none" w:pos="2588" w:val="left"/>
          <w:tab w:leader="none" w:pos="3328" w:val="left"/>
        </w:tabs>
        <w:rPr>
          <w:sz w:val="20"/>
          <w:szCs w:val="20"/>
          <w:color w:val="auto"/>
        </w:rPr>
      </w:pPr>
      <w:r>
        <w:rPr>
          <w:rFonts w:ascii="Times New Roman" w:cs="Times New Roman" w:eastAsia="Times New Roman" w:hAnsi="Times New Roman"/>
          <w:sz w:val="13"/>
          <w:szCs w:val="13"/>
          <w:color w:val="auto"/>
        </w:rPr>
        <w:t>IP Agreement – US NON-CALIFORNIA – R</w:t>
        <w:tab/>
        <w:t>Page 4 of 9</w:t>
        <w:tab/>
        <w:t>Revised 05-1-2019</w:t>
      </w:r>
    </w:p>
    <w:p>
      <w:pPr>
        <w:sectPr>
          <w:pgSz w:w="11900" w:h="16838" w:orient="portrait"/>
          <w:cols w:equalWidth="0" w:num="1">
            <w:col w:w="11308"/>
          </w:cols>
          <w:pgMar w:left="292" w:top="809" w:right="299" w:bottom="1440" w:gutter="0" w:footer="0" w:header="0"/>
        </w:sectPr>
      </w:pPr>
    </w:p>
    <w:bookmarkStart w:id="151" w:name="page152"/>
    <w:bookmarkEnd w:id="151"/>
    <w:p>
      <w:pPr>
        <w:jc w:val="both"/>
        <w:ind w:left="348" w:hanging="348"/>
        <w:spacing w:after="0" w:line="228" w:lineRule="auto"/>
        <w:tabs>
          <w:tab w:leader="none" w:pos="356" w:val="left"/>
        </w:tabs>
        <w:numPr>
          <w:ilvl w:val="0"/>
          <w:numId w:val="20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Remedies. </w:t>
      </w:r>
      <w:r>
        <w:rPr>
          <w:rFonts w:ascii="Times New Roman" w:cs="Times New Roman" w:eastAsia="Times New Roman" w:hAnsi="Times New Roman"/>
          <w:sz w:val="13"/>
          <w:szCs w:val="13"/>
          <w:color w:val="auto"/>
        </w:rPr>
        <w:t>I acknowledge that a remedy at law for any breach or threatened breach of the provisions of this Agreement would be inadequate and therefore agree that Honeywell shall be entitled to injunctive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relief in case of any such breach or threatened breach. In the event that a court determines that I have breached or threatened to breach this Agreement, I agree to reimburse Honeywell for all attorneys’ fees and costs incurred in enforcing the terms of the Agreement. However, nothing contained herein shall be construed as prohibiting Honeywell from pursuing any other remedies available for any such breach or threatened breach against me or my then-current employer that may also include but not be limited to contract damages, lost profits and punitive damages.</w:t>
      </w:r>
    </w:p>
    <w:p>
      <w:pPr>
        <w:spacing w:after="0" w:line="115" w:lineRule="exact"/>
        <w:rPr>
          <w:rFonts w:ascii="Times New Roman" w:cs="Times New Roman" w:eastAsia="Times New Roman" w:hAnsi="Times New Roman"/>
          <w:sz w:val="13"/>
          <w:szCs w:val="13"/>
          <w:b w:val="1"/>
          <w:bCs w:val="1"/>
          <w:color w:val="auto"/>
        </w:rPr>
      </w:pPr>
    </w:p>
    <w:p>
      <w:pPr>
        <w:ind w:left="348" w:hanging="348"/>
        <w:spacing w:after="0" w:line="255" w:lineRule="auto"/>
        <w:tabs>
          <w:tab w:leader="none" w:pos="356" w:val="left"/>
        </w:tabs>
        <w:numPr>
          <w:ilvl w:val="0"/>
          <w:numId w:val="20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Successors; Binding Agreement. </w:t>
      </w:r>
      <w:r>
        <w:rPr>
          <w:rFonts w:ascii="Times New Roman" w:cs="Times New Roman" w:eastAsia="Times New Roman" w:hAnsi="Times New Roman"/>
          <w:sz w:val="13"/>
          <w:szCs w:val="13"/>
          <w:color w:val="auto"/>
        </w:rPr>
        <w:t>This Agreement binds my heirs, executors, administrators, legal representatives and assigns and inures to the benefit of Honeywell and its successors and assigns. Only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written amendment executed by both Honeywell and me can modify this Agreement.</w:t>
      </w:r>
    </w:p>
    <w:p>
      <w:pPr>
        <w:spacing w:after="0" w:line="114" w:lineRule="exact"/>
        <w:rPr>
          <w:rFonts w:ascii="Times New Roman" w:cs="Times New Roman" w:eastAsia="Times New Roman" w:hAnsi="Times New Roman"/>
          <w:sz w:val="13"/>
          <w:szCs w:val="13"/>
          <w:b w:val="1"/>
          <w:bCs w:val="1"/>
          <w:color w:val="auto"/>
        </w:rPr>
      </w:pPr>
    </w:p>
    <w:p>
      <w:pPr>
        <w:ind w:left="348" w:hanging="348"/>
        <w:spacing w:after="0"/>
        <w:tabs>
          <w:tab w:leader="none" w:pos="348" w:val="left"/>
        </w:tabs>
        <w:numPr>
          <w:ilvl w:val="0"/>
          <w:numId w:val="20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Governing Law. </w:t>
      </w:r>
      <w:r>
        <w:rPr>
          <w:rFonts w:ascii="Times New Roman" w:cs="Times New Roman" w:eastAsia="Times New Roman" w:hAnsi="Times New Roman"/>
          <w:sz w:val="13"/>
          <w:szCs w:val="13"/>
          <w:color w:val="auto"/>
        </w:rPr>
        <w:t>This Agreement shall be governed by and construed in accordance with the laws of the State of North Carolina without regard to its principles of conflicts of law.</w:t>
      </w:r>
    </w:p>
    <w:p>
      <w:pPr>
        <w:spacing w:after="0" w:line="138" w:lineRule="exact"/>
        <w:rPr>
          <w:rFonts w:ascii="Times New Roman" w:cs="Times New Roman" w:eastAsia="Times New Roman" w:hAnsi="Times New Roman"/>
          <w:sz w:val="13"/>
          <w:szCs w:val="13"/>
          <w:b w:val="1"/>
          <w:bCs w:val="1"/>
          <w:color w:val="auto"/>
        </w:rPr>
      </w:pPr>
    </w:p>
    <w:p>
      <w:pPr>
        <w:jc w:val="both"/>
        <w:ind w:left="348" w:hanging="348"/>
        <w:spacing w:after="0" w:line="226" w:lineRule="auto"/>
        <w:tabs>
          <w:tab w:leader="none" w:pos="356" w:val="left"/>
        </w:tabs>
        <w:numPr>
          <w:ilvl w:val="0"/>
          <w:numId w:val="20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Validity. </w:t>
      </w:r>
      <w:r>
        <w:rPr>
          <w:rFonts w:ascii="Times New Roman" w:cs="Times New Roman" w:eastAsia="Times New Roman" w:hAnsi="Times New Roman"/>
          <w:sz w:val="13"/>
          <w:szCs w:val="13"/>
          <w:color w:val="auto"/>
        </w:rPr>
        <w:t>It is the desire and intent of the parties hereto that the provisions of this Agreement shall be enforced to the fullest extent legally-permissible. Accordingly, if any particular provision(s) of this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Agreement shall be adjudicated to be invalid or unenforceable, the court may modify or sever such provision(s), such modification or deletion to apply only with respect to the operation of such provision(s) in the particular jurisdiction in which such adjudication is made. In addition, if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 The remaining provisions of this Agreement shall remain in full force and effect.</w:t>
      </w:r>
    </w:p>
    <w:p>
      <w:pPr>
        <w:spacing w:after="0" w:line="124" w:lineRule="exact"/>
        <w:rPr>
          <w:rFonts w:ascii="Times New Roman" w:cs="Times New Roman" w:eastAsia="Times New Roman" w:hAnsi="Times New Roman"/>
          <w:sz w:val="13"/>
          <w:szCs w:val="13"/>
          <w:b w:val="1"/>
          <w:bCs w:val="1"/>
          <w:color w:val="auto"/>
        </w:rPr>
      </w:pPr>
    </w:p>
    <w:p>
      <w:pPr>
        <w:ind w:left="348" w:hanging="348"/>
        <w:spacing w:after="0"/>
        <w:tabs>
          <w:tab w:leader="none" w:pos="348" w:val="left"/>
        </w:tabs>
        <w:numPr>
          <w:ilvl w:val="0"/>
          <w:numId w:val="20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Definitions</w:t>
      </w:r>
    </w:p>
    <w:p>
      <w:pPr>
        <w:spacing w:after="0" w:line="140" w:lineRule="exact"/>
        <w:rPr>
          <w:rFonts w:ascii="Times New Roman" w:cs="Times New Roman" w:eastAsia="Times New Roman" w:hAnsi="Times New Roman"/>
          <w:sz w:val="13"/>
          <w:szCs w:val="13"/>
          <w:b w:val="1"/>
          <w:bCs w:val="1"/>
          <w:color w:val="auto"/>
        </w:rPr>
      </w:pPr>
    </w:p>
    <w:p>
      <w:pPr>
        <w:jc w:val="both"/>
        <w:ind w:left="768" w:hanging="422"/>
        <w:spacing w:after="0" w:line="227" w:lineRule="auto"/>
        <w:tabs>
          <w:tab w:leader="none" w:pos="778" w:val="left"/>
        </w:tabs>
        <w:numPr>
          <w:ilvl w:val="1"/>
          <w:numId w:val="2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“Confidential Information” means any information of a confidential or secret nature that (a) relates to the business of Honeywell or to the business of any parent, subsidiary, affiliate, customer, or vendor of Honeywell, or any other party with whom Honeywell agrees to hold information of such party in confidence; (b) is not generally known to the public or to other persons in the industry; and</w:t>
      </w:r>
    </w:p>
    <w:p>
      <w:pPr>
        <w:spacing w:after="0" w:line="1" w:lineRule="exact"/>
        <w:rPr>
          <w:rFonts w:ascii="Times New Roman" w:cs="Times New Roman" w:eastAsia="Times New Roman" w:hAnsi="Times New Roman"/>
          <w:sz w:val="13"/>
          <w:szCs w:val="13"/>
          <w:color w:val="auto"/>
        </w:rPr>
      </w:pPr>
    </w:p>
    <w:p>
      <w:pPr>
        <w:jc w:val="both"/>
        <w:ind w:left="768"/>
        <w:spacing w:after="0" w:line="21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 Honeywell has taken reasonable measures under the circumstances to protect from unauthorized use or disclosure. Confidential Information covered by this Agreement means (i) trade secrets; (ii) proprietary information that does not rise to the level of a statutorily protectable trade secret that is made the property of Honeywell through positive operation of law in the form of this mutual agreement of the parties; or (iii) information that is otherwise legally protectable. Such Confidential Information includes, but is not limited to, assigned Inventions, knowledge, data, information, know-how, non-public intellectual property rights, including unpublished or pending patent applications and all related patent rights, techniques, formulae, processes, discoveries, improvements, ideas, conceptions, compilations of data, and developments, whether or not patentable and whether or not copyrightable. By way of example, Confidential Information includes: information that is not generally known in the industries in which Honeywell is engaged, which may be disclosed to me or that I may learn, observe, discover or otherwise acquire during, or as a result of, my employment by Honeywell and that includes, without limitation, any information, whether patentable, patented or not, relating to, without limitation, existing or contemplated products, inventions, services, technology, ideas, concepts, designs, patterns, processes, compounds, formulae, programs, devices, tools, compilations of information, methods, techniques, and including information relating to any research, research databases, development, manufacture, purchasing, engineering, know-how, business plans, marketing plans, sales or market methods, methods of doing business, customer lists, customer usages or requirements, the identities and competencies of Honeywell’s employees, financial information, operating and cost data, or supplier information, which is owned or licensed by Honeywell or held by Honeywell in confidence. The foregoing are only examples of Confidential Information.</w:t>
      </w:r>
    </w:p>
    <w:p>
      <w:pPr>
        <w:spacing w:after="0" w:line="130" w:lineRule="exact"/>
        <w:rPr>
          <w:rFonts w:ascii="Times New Roman" w:cs="Times New Roman" w:eastAsia="Times New Roman" w:hAnsi="Times New Roman"/>
          <w:sz w:val="13"/>
          <w:szCs w:val="13"/>
          <w:color w:val="auto"/>
        </w:rPr>
      </w:pPr>
    </w:p>
    <w:p>
      <w:pPr>
        <w:ind w:left="788" w:hanging="442"/>
        <w:spacing w:after="0"/>
        <w:tabs>
          <w:tab w:leader="none" w:pos="788" w:val="left"/>
        </w:tabs>
        <w:numPr>
          <w:ilvl w:val="1"/>
          <w:numId w:val="2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“Honeywell” collectively identifies Honeywell International Inc. (a Delaware corporation having a place of business Charlotte, Mecklenburg County, North Carolina), its predecessors, designees and</w:t>
      </w:r>
    </w:p>
    <w:p>
      <w:pPr>
        <w:spacing w:after="0" w:line="200" w:lineRule="exact"/>
        <w:rPr>
          <w:sz w:val="20"/>
          <w:szCs w:val="20"/>
          <w:color w:val="auto"/>
        </w:rPr>
      </w:pPr>
    </w:p>
    <w:p>
      <w:pPr>
        <w:spacing w:after="0" w:line="371" w:lineRule="exact"/>
        <w:rPr>
          <w:sz w:val="20"/>
          <w:szCs w:val="20"/>
          <w:color w:val="auto"/>
        </w:rPr>
      </w:pPr>
    </w:p>
    <w:p>
      <w:pPr>
        <w:ind w:left="8"/>
        <w:spacing w:after="0"/>
        <w:tabs>
          <w:tab w:leader="none" w:pos="2588" w:val="left"/>
          <w:tab w:leader="none" w:pos="3328" w:val="left"/>
        </w:tabs>
        <w:rPr>
          <w:sz w:val="20"/>
          <w:szCs w:val="20"/>
          <w:color w:val="auto"/>
        </w:rPr>
      </w:pPr>
      <w:r>
        <w:rPr>
          <w:rFonts w:ascii="Times New Roman" w:cs="Times New Roman" w:eastAsia="Times New Roman" w:hAnsi="Times New Roman"/>
          <w:sz w:val="13"/>
          <w:szCs w:val="13"/>
          <w:color w:val="auto"/>
        </w:rPr>
        <w:t>IP Agreement – US NON-CALIFORNIA – R</w:t>
        <w:tab/>
        <w:t>Page 5 of 9</w:t>
        <w:tab/>
        <w:t>Revised 05-1-2019</w:t>
      </w:r>
    </w:p>
    <w:p>
      <w:pPr>
        <w:sectPr>
          <w:pgSz w:w="11900" w:h="16838" w:orient="portrait"/>
          <w:cols w:equalWidth="0" w:num="1">
            <w:col w:w="11308"/>
          </w:cols>
          <w:pgMar w:left="292" w:top="807" w:right="299" w:bottom="1440" w:gutter="0" w:footer="0" w:header="0"/>
        </w:sectPr>
      </w:pPr>
    </w:p>
    <w:bookmarkStart w:id="152" w:name="page153"/>
    <w:bookmarkEnd w:id="152"/>
    <w:p>
      <w:pPr>
        <w:ind w:left="768"/>
        <w:spacing w:after="0"/>
        <w:rPr>
          <w:sz w:val="20"/>
          <w:szCs w:val="20"/>
          <w:color w:val="auto"/>
        </w:rPr>
      </w:pPr>
      <w:r>
        <w:rPr>
          <w:rFonts w:ascii="Times New Roman" w:cs="Times New Roman" w:eastAsia="Times New Roman" w:hAnsi="Times New Roman"/>
          <w:sz w:val="13"/>
          <w:szCs w:val="13"/>
          <w:color w:val="auto"/>
        </w:rPr>
        <w:t>successors and its past, present and future operating companies, divisions, subsidiaries, affiliates and other business units, including businesses acquired by purchase of stock, merger or otherwise.</w:t>
      </w:r>
    </w:p>
    <w:p>
      <w:pPr>
        <w:spacing w:after="0" w:line="139" w:lineRule="exact"/>
        <w:rPr>
          <w:sz w:val="20"/>
          <w:szCs w:val="20"/>
          <w:color w:val="auto"/>
        </w:rPr>
      </w:pPr>
    </w:p>
    <w:p>
      <w:pPr>
        <w:jc w:val="both"/>
        <w:ind w:left="768" w:hanging="422"/>
        <w:spacing w:after="0" w:line="236" w:lineRule="auto"/>
        <w:tabs>
          <w:tab w:leader="none" w:pos="778" w:val="left"/>
        </w:tabs>
        <w:numPr>
          <w:ilvl w:val="1"/>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“Invention” includes not only inventions (whether or not patentable), but also innovations, improvements, discoveries, ideas, original works of authorship, formulas, processes, compositions of matter, computer software programs, databases, mask works – and all other forms of intellectual property (including, but not limited to, copyright works and mask works) – whether or not any of the foregoing constitutes a trade secret or information protectable by patents or copyright.</w:t>
      </w:r>
    </w:p>
    <w:p>
      <w:pPr>
        <w:spacing w:after="0" w:line="117" w:lineRule="exact"/>
        <w:rPr>
          <w:rFonts w:ascii="Times New Roman" w:cs="Times New Roman" w:eastAsia="Times New Roman" w:hAnsi="Times New Roman"/>
          <w:sz w:val="13"/>
          <w:szCs w:val="13"/>
          <w:color w:val="auto"/>
        </w:rPr>
      </w:pPr>
    </w:p>
    <w:p>
      <w:pPr>
        <w:ind w:left="768" w:right="20" w:hanging="422"/>
        <w:spacing w:after="0" w:line="252" w:lineRule="auto"/>
        <w:tabs>
          <w:tab w:leader="none" w:pos="778" w:val="left"/>
        </w:tabs>
        <w:numPr>
          <w:ilvl w:val="1"/>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or “Made” when used in relation to Invention includes any one or any combination of (i) conception, (ii) reduction to practice, or (iii) development of an Invention and is without regard to whether I am a sole or joint inventor.</w:t>
      </w:r>
    </w:p>
    <w:p>
      <w:pPr>
        <w:spacing w:after="0" w:line="118" w:lineRule="exact"/>
        <w:rPr>
          <w:rFonts w:ascii="Times New Roman" w:cs="Times New Roman" w:eastAsia="Times New Roman" w:hAnsi="Times New Roman"/>
          <w:sz w:val="13"/>
          <w:szCs w:val="13"/>
          <w:color w:val="auto"/>
        </w:rPr>
      </w:pPr>
    </w:p>
    <w:p>
      <w:pPr>
        <w:jc w:val="both"/>
        <w:ind w:left="768" w:hanging="422"/>
        <w:spacing w:after="0" w:line="227" w:lineRule="auto"/>
        <w:tabs>
          <w:tab w:leader="none" w:pos="778" w:val="left"/>
        </w:tabs>
        <w:numPr>
          <w:ilvl w:val="1"/>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“Moral Rights” mean any rights to claim authorship of or credit on an assigned Invention, to object to or prevent the modification or destruction of any assigned Inventions or pre-employment Inventions licensed to Honeywell, or to withdraw from circulation or control the publication or distribution of any assigned Inventions or pre-employment Inventions licensed to Honeywell, and any similar right, existing under judicial or statutory law of any country or subdivision thereof in the world, or under any treaty, regardless of whether or not such right is denominated or generally referred to as a “moral right.”</w:t>
      </w:r>
    </w:p>
    <w:p>
      <w:pPr>
        <w:spacing w:after="0" w:line="118" w:lineRule="exact"/>
        <w:rPr>
          <w:rFonts w:ascii="Times New Roman" w:cs="Times New Roman" w:eastAsia="Times New Roman" w:hAnsi="Times New Roman"/>
          <w:sz w:val="13"/>
          <w:szCs w:val="13"/>
          <w:color w:val="auto"/>
        </w:rPr>
      </w:pPr>
    </w:p>
    <w:p>
      <w:pPr>
        <w:ind w:left="788" w:hanging="442"/>
        <w:spacing w:after="0"/>
        <w:tabs>
          <w:tab w:leader="none" w:pos="788" w:val="left"/>
        </w:tabs>
        <w:numPr>
          <w:ilvl w:val="1"/>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“Solicit” or “soliciting” includes contacting, communicating with, marketing to, engaging or otherwise interacting with (whether initiated by me or not).</w:t>
      </w:r>
    </w:p>
    <w:p>
      <w:pPr>
        <w:spacing w:after="0" w:line="147" w:lineRule="exact"/>
        <w:rPr>
          <w:rFonts w:ascii="Times New Roman" w:cs="Times New Roman" w:eastAsia="Times New Roman" w:hAnsi="Times New Roman"/>
          <w:sz w:val="13"/>
          <w:szCs w:val="13"/>
          <w:color w:val="auto"/>
        </w:rPr>
      </w:pPr>
    </w:p>
    <w:p>
      <w:pPr>
        <w:ind w:left="768" w:right="20" w:hanging="422"/>
        <w:spacing w:after="0" w:line="252" w:lineRule="auto"/>
        <w:tabs>
          <w:tab w:leader="none" w:pos="778" w:val="left"/>
        </w:tabs>
        <w:numPr>
          <w:ilvl w:val="1"/>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“Termination of Employment” shall be defined as any separation from employment with Honeywell regardless of the reason, including any and all voluntary and involuntary reasons for termination. The termination date for purposes of this Agreement shall be the last day I actively perform services for Honeywell.</w:t>
      </w:r>
    </w:p>
    <w:p>
      <w:pPr>
        <w:spacing w:after="0" w:line="107" w:lineRule="exact"/>
        <w:rPr>
          <w:rFonts w:ascii="Times New Roman" w:cs="Times New Roman" w:eastAsia="Times New Roman" w:hAnsi="Times New Roman"/>
          <w:sz w:val="13"/>
          <w:szCs w:val="13"/>
          <w:color w:val="auto"/>
        </w:rPr>
      </w:pPr>
    </w:p>
    <w:p>
      <w:pPr>
        <w:ind w:left="348" w:hanging="348"/>
        <w:spacing w:after="0"/>
        <w:tabs>
          <w:tab w:leader="none" w:pos="348" w:val="left"/>
        </w:tabs>
        <w:numPr>
          <w:ilvl w:val="0"/>
          <w:numId w:val="21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Headings Descriptive. </w:t>
      </w:r>
      <w:r>
        <w:rPr>
          <w:rFonts w:ascii="Times New Roman" w:cs="Times New Roman" w:eastAsia="Times New Roman" w:hAnsi="Times New Roman"/>
          <w:sz w:val="13"/>
          <w:szCs w:val="13"/>
          <w:color w:val="auto"/>
        </w:rPr>
        <w:t>The headings of the several paragraphs of this Agreement are inserted for convenience only and shall not in any way affect the meaning or construction of this Agreement.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1180" w:type="dxa"/>
            <w:vAlign w:val="bottom"/>
          </w:tcPr>
          <w:p>
            <w:pPr>
              <w:spacing w:after="0"/>
              <w:rPr>
                <w:sz w:val="20"/>
                <w:szCs w:val="20"/>
                <w:color w:val="auto"/>
              </w:rPr>
            </w:pPr>
            <w:r>
              <w:rPr>
                <w:rFonts w:ascii="Times New Roman" w:cs="Times New Roman" w:eastAsia="Times New Roman" w:hAnsi="Times New Roman"/>
                <w:sz w:val="13"/>
                <w:szCs w:val="13"/>
                <w:color w:val="auto"/>
              </w:rPr>
              <w:t>/s/ Lucian Boldea</w:t>
            </w:r>
          </w:p>
        </w:tc>
        <w:tc>
          <w:tcPr>
            <w:tcW w:w="740" w:type="dxa"/>
            <w:vAlign w:val="bottom"/>
          </w:tcPr>
          <w:p>
            <w:pPr>
              <w:spacing w:after="0"/>
              <w:rPr>
                <w:sz w:val="12"/>
                <w:szCs w:val="12"/>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October 7, 2023</w:t>
            </w: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(H526743)</w:t>
            </w:r>
          </w:p>
        </w:tc>
        <w:tc>
          <w:tcPr>
            <w:tcW w:w="6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LUCIAN BOLDEA</w:t>
            </w:r>
          </w:p>
        </w:tc>
        <w:tc>
          <w:tcPr>
            <w:tcW w:w="7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w w:val="98"/>
              </w:rPr>
              <w:t>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
        <w:spacing w:after="0"/>
        <w:tabs>
          <w:tab w:leader="none" w:pos="2588" w:val="left"/>
          <w:tab w:leader="none" w:pos="3328" w:val="left"/>
        </w:tabs>
        <w:rPr>
          <w:sz w:val="20"/>
          <w:szCs w:val="20"/>
          <w:color w:val="auto"/>
        </w:rPr>
      </w:pPr>
      <w:r>
        <w:rPr>
          <w:rFonts w:ascii="Times New Roman" w:cs="Times New Roman" w:eastAsia="Times New Roman" w:hAnsi="Times New Roman"/>
          <w:sz w:val="13"/>
          <w:szCs w:val="13"/>
          <w:color w:val="auto"/>
        </w:rPr>
        <w:t>IP Agreement – US NON-CALIFORNIA – R</w:t>
        <w:tab/>
        <w:t>Page 6 of 9</w:t>
        <w:tab/>
        <w:t>Revised 05-1-2019</w:t>
      </w:r>
    </w:p>
    <w:p>
      <w:pPr>
        <w:sectPr>
          <w:pgSz w:w="11900" w:h="16838" w:orient="portrait"/>
          <w:cols w:equalWidth="0" w:num="1">
            <w:col w:w="11308"/>
          </w:cols>
          <w:pgMar w:left="292" w:top="809" w:right="299" w:bottom="1440" w:gutter="0" w:footer="0" w:header="0"/>
        </w:sectPr>
      </w:pPr>
    </w:p>
    <w:bookmarkStart w:id="153" w:name="page154"/>
    <w:bookmarkEnd w:id="153"/>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SCHEDULE A</w:t>
      </w:r>
    </w:p>
    <w:p>
      <w:pPr>
        <w:spacing w:after="0" w:line="30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3"/>
          <w:szCs w:val="13"/>
          <w:color w:val="auto"/>
        </w:rPr>
        <w:t>HAVE YOU MADE ANY INVENTIONS BEFORE THE TERM OF YOUR EMPLOYMENT WITH HONEYWELL, IN WHICH YOU HAVE AN OWNERSHIP INTEREST AND THAT ARE NOT THE SUBJECT MATTER OF ISSUED PATENTS OR PRINTED PUBLICATIONS?</w:t>
      </w:r>
    </w:p>
    <w:p>
      <w:pPr>
        <w:spacing w:after="0" w:line="1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(If there are none, please enter the word “NONE”)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NOTE: Please describe each such Invention without disclosing trade secrets or confidential information.</w:t>
      </w:r>
    </w:p>
    <w:p>
      <w:pPr>
        <w:spacing w:after="0" w:line="202" w:lineRule="auto"/>
        <w:rPr>
          <w:sz w:val="20"/>
          <w:szCs w:val="20"/>
          <w:color w:val="auto"/>
        </w:rPr>
      </w:pPr>
      <w:r>
        <w:rPr>
          <w:rFonts w:ascii="Times New Roman" w:cs="Times New Roman" w:eastAsia="Times New Roman" w:hAnsi="Times New Roman"/>
          <w:sz w:val="13"/>
          <w:szCs w:val="13"/>
          <w:color w:val="auto"/>
        </w:rPr>
        <w:t>____________________________________________________________________________________________________________________________________________________________________________</w:t>
      </w:r>
    </w:p>
    <w:p>
      <w:pPr>
        <w:spacing w:after="0"/>
        <w:rPr>
          <w:sz w:val="20"/>
          <w:szCs w:val="20"/>
          <w:color w:val="auto"/>
        </w:rPr>
      </w:pPr>
      <w:r>
        <w:rPr>
          <w:rFonts w:ascii="Times New Roman" w:cs="Times New Roman" w:eastAsia="Times New Roman" w:hAnsi="Times New Roman"/>
          <w:sz w:val="13"/>
          <w:szCs w:val="13"/>
          <w:color w:val="auto"/>
        </w:rPr>
        <w:t>[Attach additional sheets if more space is needed.]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2580" w:val="left"/>
          <w:tab w:leader="none" w:pos="3320" w:val="left"/>
        </w:tabs>
        <w:rPr>
          <w:sz w:val="20"/>
          <w:szCs w:val="20"/>
          <w:color w:val="auto"/>
        </w:rPr>
      </w:pPr>
      <w:r>
        <w:rPr>
          <w:rFonts w:ascii="Times New Roman" w:cs="Times New Roman" w:eastAsia="Times New Roman" w:hAnsi="Times New Roman"/>
          <w:sz w:val="13"/>
          <w:szCs w:val="13"/>
          <w:color w:val="auto"/>
        </w:rPr>
        <w:t>IP Agreement – US NON-CALIFORNIA – R</w:t>
        <w:tab/>
        <w:t>Page 7 of 9</w:t>
        <w:tab/>
        <w:t>Revised 05-1-2019</w:t>
      </w:r>
    </w:p>
    <w:p>
      <w:pPr>
        <w:sectPr>
          <w:pgSz w:w="11900" w:h="16838" w:orient="portrait"/>
          <w:cols w:equalWidth="0" w:num="1">
            <w:col w:w="11340"/>
          </w:cols>
          <w:pgMar w:left="300" w:top="807" w:right="259" w:bottom="1440" w:gutter="0" w:footer="0" w:header="0"/>
        </w:sectPr>
      </w:pPr>
    </w:p>
    <w:bookmarkStart w:id="154" w:name="page155"/>
    <w:bookmarkEnd w:id="154"/>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SCHEDULE B</w:t>
      </w:r>
    </w:p>
    <w:p>
      <w:pPr>
        <w:spacing w:after="0" w:line="303" w:lineRule="exact"/>
        <w:rPr>
          <w:sz w:val="20"/>
          <w:szCs w:val="20"/>
          <w:color w:val="auto"/>
        </w:rPr>
      </w:pPr>
    </w:p>
    <w:p>
      <w:pPr>
        <w:ind w:left="420" w:right="480" w:hanging="431"/>
        <w:spacing w:after="0" w:line="476" w:lineRule="auto"/>
        <w:rPr>
          <w:sz w:val="20"/>
          <w:szCs w:val="20"/>
          <w:color w:val="auto"/>
        </w:rPr>
      </w:pPr>
      <w:r>
        <w:rPr>
          <w:rFonts w:ascii="Times New Roman" w:cs="Times New Roman" w:eastAsia="Times New Roman" w:hAnsi="Times New Roman"/>
          <w:sz w:val="13"/>
          <w:szCs w:val="13"/>
          <w:color w:val="auto"/>
        </w:rPr>
        <w:t>DO YOU HAVE ANY PRIOR OBLIGATIONS (WRITTEN OR ORAL) THAT WOULD RESTRICT YOUR ABILITY TO PERFORM THE DUTIES OF YOUR EMPLOYMENT WITH HONEYWELL? (If there are none, please enter the word “NONE”)</w:t>
      </w:r>
    </w:p>
    <w:p>
      <w:pPr>
        <w:spacing w:after="0" w:line="226" w:lineRule="auto"/>
        <w:rPr>
          <w:sz w:val="20"/>
          <w:szCs w:val="20"/>
          <w:color w:val="auto"/>
        </w:rPr>
      </w:pPr>
      <w:r>
        <w:rPr>
          <w:rFonts w:ascii="Times New Roman" w:cs="Times New Roman" w:eastAsia="Times New Roman" w:hAnsi="Times New Roman"/>
          <w:sz w:val="13"/>
          <w:szCs w:val="13"/>
          <w:color w:val="auto"/>
        </w:rPr>
        <w:t>NOTE: Please give date of, and parties to, obligations and the nature and substance of the restriction.</w:t>
      </w:r>
    </w:p>
    <w:p>
      <w:pPr>
        <w:spacing w:after="0" w:line="217" w:lineRule="auto"/>
        <w:rPr>
          <w:sz w:val="20"/>
          <w:szCs w:val="20"/>
          <w:color w:val="auto"/>
        </w:rPr>
      </w:pPr>
      <w:r>
        <w:rPr>
          <w:rFonts w:ascii="Times New Roman" w:cs="Times New Roman" w:eastAsia="Times New Roman" w:hAnsi="Times New Roman"/>
          <w:sz w:val="13"/>
          <w:szCs w:val="13"/>
          <w:color w:val="auto"/>
        </w:rPr>
        <w:t>____________________________________________________________________________________________________________________________________________________________________________</w:t>
      </w:r>
    </w:p>
    <w:p>
      <w:pPr>
        <w:spacing w:after="0"/>
        <w:rPr>
          <w:sz w:val="20"/>
          <w:szCs w:val="20"/>
          <w:color w:val="auto"/>
        </w:rPr>
      </w:pPr>
      <w:r>
        <w:rPr>
          <w:rFonts w:ascii="Times New Roman" w:cs="Times New Roman" w:eastAsia="Times New Roman" w:hAnsi="Times New Roman"/>
          <w:sz w:val="13"/>
          <w:szCs w:val="13"/>
          <w:color w:val="auto"/>
        </w:rPr>
        <w:t>[Attach additional sheets if more space is needed.]</w:t>
      </w:r>
    </w:p>
    <w:p>
      <w:pPr>
        <w:spacing w:after="0" w:line="200" w:lineRule="exact"/>
        <w:rPr>
          <w:sz w:val="20"/>
          <w:szCs w:val="20"/>
          <w:color w:val="auto"/>
        </w:rPr>
      </w:pPr>
    </w:p>
    <w:p>
      <w:pPr>
        <w:spacing w:after="0" w:line="357" w:lineRule="exact"/>
        <w:rPr>
          <w:sz w:val="20"/>
          <w:szCs w:val="20"/>
          <w:color w:val="auto"/>
        </w:rPr>
      </w:pPr>
    </w:p>
    <w:p>
      <w:pPr>
        <w:spacing w:after="0"/>
        <w:tabs>
          <w:tab w:leader="none" w:pos="2580" w:val="left"/>
          <w:tab w:leader="none" w:pos="3320" w:val="left"/>
        </w:tabs>
        <w:rPr>
          <w:sz w:val="20"/>
          <w:szCs w:val="20"/>
          <w:color w:val="auto"/>
        </w:rPr>
      </w:pPr>
      <w:r>
        <w:rPr>
          <w:rFonts w:ascii="Times New Roman" w:cs="Times New Roman" w:eastAsia="Times New Roman" w:hAnsi="Times New Roman"/>
          <w:sz w:val="13"/>
          <w:szCs w:val="13"/>
          <w:color w:val="auto"/>
        </w:rPr>
        <w:t>IP Agreement – US NON-CALIFORNIA – R</w:t>
        <w:tab/>
        <w:t>Page 8 of 9</w:t>
        <w:tab/>
        <w:t>Revised 05-1-2019</w:t>
      </w:r>
    </w:p>
    <w:p>
      <w:pPr>
        <w:sectPr>
          <w:pgSz w:w="11900" w:h="16838" w:orient="portrait"/>
          <w:cols w:equalWidth="0" w:num="1">
            <w:col w:w="11340"/>
          </w:cols>
          <w:pgMar w:left="300" w:top="807" w:right="259" w:bottom="1440" w:gutter="0" w:footer="0" w:header="0"/>
        </w:sectPr>
      </w:pPr>
    </w:p>
    <w:bookmarkStart w:id="155" w:name="page156"/>
    <w:bookmarkEnd w:id="1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Document Category: </w:t>
      </w:r>
      <w:r>
        <w:rPr>
          <w:rFonts w:ascii="Arial" w:cs="Arial" w:eastAsia="Arial" w:hAnsi="Arial"/>
          <w:sz w:val="14"/>
          <w:szCs w:val="14"/>
          <w:color w:val="auto"/>
        </w:rPr>
        <w:t>Hiring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Document Type: </w:t>
      </w:r>
      <w:r>
        <w:rPr>
          <w:rFonts w:ascii="Arial" w:cs="Arial" w:eastAsia="Arial" w:hAnsi="Arial"/>
          <w:sz w:val="14"/>
          <w:szCs w:val="14"/>
          <w:color w:val="auto"/>
        </w:rPr>
        <w:t>Intellectual Property (IP)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alibri" w:cs="Calibri" w:eastAsia="Calibri" w:hAnsi="Calibri"/>
          <w:sz w:val="13"/>
          <w:szCs w:val="13"/>
          <w:color w:val="auto"/>
        </w:rPr>
        <w:t>*For Employee File Management Purpose Only</w:t>
      </w:r>
    </w:p>
    <w:p>
      <w:pPr>
        <w:sectPr>
          <w:pgSz w:w="11900" w:h="16838" w:orient="portrait"/>
          <w:cols w:equalWidth="0" w:num="1">
            <w:col w:w="10159"/>
          </w:cols>
          <w:pgMar w:left="300" w:top="1440" w:right="1440" w:bottom="1440" w:gutter="0" w:footer="0" w:header="0"/>
        </w:sectPr>
      </w:pPr>
    </w:p>
    <w:bookmarkStart w:id="156" w:name="page157"/>
    <w:bookmarkEnd w:id="156"/>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HONEYWELL INTERNATIONAL INC.</w:t>
      </w:r>
    </w:p>
    <w:p>
      <w:pPr>
        <w:jc w:val="center"/>
        <w:ind w:right="-7"/>
        <w:spacing w:after="0" w:line="204" w:lineRule="auto"/>
        <w:rPr>
          <w:sz w:val="20"/>
          <w:szCs w:val="20"/>
          <w:color w:val="auto"/>
        </w:rPr>
      </w:pPr>
      <w:r>
        <w:rPr>
          <w:rFonts w:ascii="Times New Roman" w:cs="Times New Roman" w:eastAsia="Times New Roman" w:hAnsi="Times New Roman"/>
          <w:sz w:val="22"/>
          <w:szCs w:val="22"/>
          <w:b w:val="1"/>
          <w:bCs w:val="1"/>
          <w:color w:val="auto"/>
        </w:rPr>
        <w:t>NONCOMPETE AGREEMENT</w:t>
      </w:r>
    </w:p>
    <w:p>
      <w:pPr>
        <w:spacing w:after="0" w:line="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 SELECT MANAGEMENT EMPLOYEES</w:t>
      </w:r>
    </w:p>
    <w:p>
      <w:pPr>
        <w:spacing w:after="0" w:line="108" w:lineRule="exact"/>
        <w:rPr>
          <w:sz w:val="20"/>
          <w:szCs w:val="20"/>
          <w:color w:val="auto"/>
        </w:rPr>
      </w:pPr>
    </w:p>
    <w:p>
      <w:pPr>
        <w:jc w:val="both"/>
        <w:ind w:left="8"/>
        <w:spacing w:after="0" w:line="237" w:lineRule="auto"/>
        <w:rPr>
          <w:sz w:val="20"/>
          <w:szCs w:val="20"/>
          <w:color w:val="auto"/>
        </w:rPr>
      </w:pPr>
      <w:r>
        <w:rPr>
          <w:rFonts w:ascii="Times New Roman" w:cs="Times New Roman" w:eastAsia="Times New Roman" w:hAnsi="Times New Roman"/>
          <w:sz w:val="14"/>
          <w:szCs w:val="14"/>
          <w:b w:val="1"/>
          <w:bCs w:val="1"/>
          <w:color w:val="auto"/>
        </w:rPr>
        <w:t>In consideration of your role as a select management employee of Honeywell, your employment, continued employment, compensation, eligibility for any future discretionary raises or merit increases, eligibility for any future bonuses, awards or payments under any Honeywell incentive compensation or equity programs or plans, and the equipment, materials, facilities and Confidential Information supplied to you, you agree to the following:</w:t>
      </w:r>
    </w:p>
    <w:p>
      <w:pPr>
        <w:spacing w:after="0" w:line="117" w:lineRule="exact"/>
        <w:rPr>
          <w:sz w:val="20"/>
          <w:szCs w:val="20"/>
          <w:color w:val="auto"/>
        </w:rPr>
      </w:pPr>
    </w:p>
    <w:p>
      <w:pPr>
        <w:jc w:val="both"/>
        <w:ind w:left="8" w:hanging="8"/>
        <w:spacing w:after="0"/>
        <w:tabs>
          <w:tab w:leader="none" w:pos="310" w:val="left"/>
        </w:tabs>
        <w:numPr>
          <w:ilvl w:val="0"/>
          <w:numId w:val="2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Noncompetition. </w:t>
      </w:r>
      <w:r>
        <w:rPr>
          <w:rFonts w:ascii="Times New Roman" w:cs="Times New Roman" w:eastAsia="Times New Roman" w:hAnsi="Times New Roman"/>
          <w:sz w:val="14"/>
          <w:szCs w:val="14"/>
          <w:color w:val="auto"/>
        </w:rPr>
        <w:t>You acknowledge that in the course of your employment with or provision of services to Honeywell, you have and will become familiar with Confidential Information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concerning Honeywell, its businesses and employees, including, but not limited to, Honeywell’s business methods, business systems, strategic plans, plans for acquisition or disposition of products or businesses, expansion plans, financial status and plans, financial data, customer lists and data, and personnel information. You understand and agree that as part of your continued employment with Honeywell, you will continue to have access to and receive Confidential Information concerning Honeywell. You further acknowledge that Honeywell operates in a very competitive business environment and your services are, and will continue to be, of special, unique and extraordinary value to Honeywell. You further acknowledge that you have been given, and will continue to be given, access to and the ability to develop relationships with, customers of Honeywell at the time and expense of Honeywell, and have and will continue to receive training, experience and expertise from Honeywell that make your services of special, unique and extraordinary value to Honeywell. You further acknowledge and agree that you will not, directly or indirectly, at any time during or after your employment with Honeywell, except in the course of performing your duties for Honeywell, disclose, disseminate, make available or use Honeywell’s Confidential Information.</w:t>
      </w:r>
    </w:p>
    <w:p>
      <w:pPr>
        <w:spacing w:after="0" w:line="172" w:lineRule="exact"/>
        <w:rPr>
          <w:sz w:val="20"/>
          <w:szCs w:val="20"/>
          <w:color w:val="auto"/>
        </w:rPr>
      </w:pPr>
    </w:p>
    <w:p>
      <w:pPr>
        <w:jc w:val="both"/>
        <w:ind w:left="8" w:firstLine="195"/>
        <w:spacing w:after="0" w:line="236" w:lineRule="auto"/>
        <w:rPr>
          <w:sz w:val="20"/>
          <w:szCs w:val="20"/>
          <w:color w:val="auto"/>
        </w:rPr>
      </w:pPr>
      <w:r>
        <w:rPr>
          <w:rFonts w:ascii="Times New Roman" w:cs="Times New Roman" w:eastAsia="Times New Roman" w:hAnsi="Times New Roman"/>
          <w:sz w:val="14"/>
          <w:szCs w:val="14"/>
          <w:color w:val="auto"/>
        </w:rPr>
        <w:t>You agree that, during your employment and for a period of two (2) years following your Termination of Employment with Honeywell for any reason, you will not become employed by, perform services for, or otherwise become Associated with a Competing Business. This restriction shall apply to any Competing Business that conducts business in the same or substantially similar geographic area as Honeywell.</w:t>
      </w:r>
    </w:p>
    <w:p>
      <w:pPr>
        <w:spacing w:after="0" w:line="119" w:lineRule="exact"/>
        <w:rPr>
          <w:sz w:val="20"/>
          <w:szCs w:val="20"/>
          <w:color w:val="auto"/>
        </w:rPr>
      </w:pPr>
    </w:p>
    <w:p>
      <w:pPr>
        <w:jc w:val="both"/>
        <w:ind w:left="8" w:firstLine="432"/>
        <w:spacing w:after="0" w:line="215" w:lineRule="auto"/>
        <w:rPr>
          <w:sz w:val="20"/>
          <w:szCs w:val="20"/>
          <w:color w:val="auto"/>
        </w:rPr>
      </w:pPr>
      <w:r>
        <w:rPr>
          <w:rFonts w:ascii="Times New Roman" w:cs="Times New Roman" w:eastAsia="Times New Roman" w:hAnsi="Times New Roman"/>
          <w:sz w:val="14"/>
          <w:szCs w:val="14"/>
          <w:color w:val="auto"/>
        </w:rPr>
        <w:t>For purposes of this Agreement, “Competing Business” means any business, person, entity or group of business entities, regardless of whether organized as a corporation, partnership (general or limited), joint venture, association or other organization, that (i) conducts or is planning to conduct</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a business similar to and/or in competition with any business conducted or planned by Honeywell,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a Honeywell business. </w:t>
      </w:r>
      <w:r>
        <w:rPr>
          <w:rFonts w:ascii="Times New Roman" w:cs="Times New Roman" w:eastAsia="Times New Roman" w:hAnsi="Times New Roman"/>
          <w:sz w:val="14"/>
          <w:szCs w:val="14"/>
          <w:i w:val="1"/>
          <w:iCs w:val="1"/>
          <w:color w:val="auto"/>
        </w:rPr>
        <w:t>Notwithstanding the foregoing, an entity is not a Competing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Business with respect to you unless you were employed by, performed services for, had responsibility for, or had operational knowledge of, a Honeywell business(es) in a covered job (i.e., a job subject to a noncompetition agreement) during the Look Back Period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For purposes of this Agreement, you will be deemed to have operational knowledge of a Honeywell business(es) if you received, were in possession of, or otherwise had access to Confidential Information regarding such Honeywell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173355</wp:posOffset>
            </wp:positionV>
            <wp:extent cx="114300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42">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267" w:lineRule="exact"/>
        <w:rPr>
          <w:sz w:val="20"/>
          <w:szCs w:val="20"/>
          <w:color w:val="auto"/>
        </w:rPr>
      </w:pPr>
    </w:p>
    <w:p>
      <w:pPr>
        <w:ind w:left="68" w:hanging="68"/>
        <w:spacing w:after="0"/>
        <w:tabs>
          <w:tab w:leader="none" w:pos="68" w:val="left"/>
        </w:tabs>
        <w:numPr>
          <w:ilvl w:val="0"/>
          <w:numId w:val="2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For purposes of this Agreement, “planning to conduct” and “conducted or planned” means taking tangible and concrete steps (including active planning) to engage in a particular business or product line.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2"/>
        <w:spacing w:after="0"/>
        <w:tabs>
          <w:tab w:leader="none" w:pos="160" w:val="left"/>
        </w:tabs>
        <w:rPr>
          <w:sz w:val="20"/>
          <w:szCs w:val="20"/>
          <w:color w:val="auto"/>
        </w:rPr>
      </w:pPr>
      <w:r>
        <w:rPr>
          <w:rFonts w:ascii="Times New Roman" w:cs="Times New Roman" w:eastAsia="Times New Roman" w:hAnsi="Times New Roman"/>
          <w:sz w:val="14"/>
          <w:szCs w:val="14"/>
          <w:color w:val="auto"/>
        </w:rPr>
        <w:t>NCA – US – Select Management Employees Page 1 of 6</w:t>
        <w:tab/>
        <w:t>Revised 07-15-2023</w:t>
      </w:r>
    </w:p>
    <w:p>
      <w:pPr>
        <w:sectPr>
          <w:pgSz w:w="11900" w:h="16838" w:orient="portrait"/>
          <w:cols w:equalWidth="0" w:num="1">
            <w:col w:w="11308"/>
          </w:cols>
          <w:pgMar w:left="292" w:top="954" w:right="299" w:bottom="1440" w:gutter="0" w:footer="0" w:header="0"/>
        </w:sectPr>
      </w:pPr>
    </w:p>
    <w:bookmarkStart w:id="157" w:name="page158"/>
    <w:bookmarkEnd w:id="157"/>
    <w:p>
      <w:pPr>
        <w:jc w:val="both"/>
        <w:ind w:left="8" w:firstLine="432"/>
        <w:spacing w:after="0" w:line="236" w:lineRule="auto"/>
        <w:rPr>
          <w:sz w:val="20"/>
          <w:szCs w:val="20"/>
          <w:color w:val="auto"/>
        </w:rPr>
      </w:pPr>
      <w:r>
        <w:rPr>
          <w:rFonts w:ascii="Times New Roman" w:cs="Times New Roman" w:eastAsia="Times New Roman" w:hAnsi="Times New Roman"/>
          <w:sz w:val="14"/>
          <w:szCs w:val="14"/>
          <w:color w:val="auto"/>
        </w:rPr>
        <w:t>You acknowledge that (i) Honeywell’s business is conducted around the world; (ii) notwithstanding Honeywell’s state of incorporation or the location of its principal office, Honeywell maintains business activities and valuable business relationships within its industries around the world; and (iii) as part of your responsibilities, you may be conducting business around the world in furtherance of Honeywell’s business and its relationships.</w:t>
      </w:r>
    </w:p>
    <w:p>
      <w:pPr>
        <w:spacing w:after="0" w:line="119" w:lineRule="exact"/>
        <w:rPr>
          <w:sz w:val="20"/>
          <w:szCs w:val="20"/>
          <w:color w:val="auto"/>
        </w:rPr>
      </w:pPr>
    </w:p>
    <w:p>
      <w:pPr>
        <w:jc w:val="both"/>
        <w:ind w:left="8" w:firstLine="432"/>
        <w:spacing w:after="0" w:line="255" w:lineRule="auto"/>
        <w:rPr>
          <w:sz w:val="20"/>
          <w:szCs w:val="20"/>
          <w:color w:val="auto"/>
        </w:rPr>
      </w:pPr>
      <w:r>
        <w:rPr>
          <w:rFonts w:ascii="Times New Roman" w:cs="Times New Roman" w:eastAsia="Times New Roman" w:hAnsi="Times New Roman"/>
          <w:sz w:val="14"/>
          <w:szCs w:val="14"/>
          <w:color w:val="auto"/>
        </w:rPr>
        <w:t>Honeywell recognizes that some businesses, persons, entities, or groups of businesses that constitute Competing Businesses may also have lines of business that do not compete with Honeywell, and the restrictions contained herein are not intended to include such non-competing lines of business.</w:t>
      </w:r>
    </w:p>
    <w:p>
      <w:pPr>
        <w:spacing w:after="0" w:line="108" w:lineRule="exact"/>
        <w:rPr>
          <w:sz w:val="20"/>
          <w:szCs w:val="20"/>
          <w:color w:val="auto"/>
        </w:rPr>
      </w:pPr>
    </w:p>
    <w:p>
      <w:pPr>
        <w:jc w:val="both"/>
        <w:ind w:left="8" w:firstLine="432"/>
        <w:spacing w:after="0" w:line="231" w:lineRule="auto"/>
        <w:rPr>
          <w:sz w:val="20"/>
          <w:szCs w:val="20"/>
          <w:color w:val="auto"/>
        </w:rPr>
      </w:pPr>
      <w:r>
        <w:rPr>
          <w:rFonts w:ascii="Times New Roman" w:cs="Times New Roman" w:eastAsia="Times New Roman" w:hAnsi="Times New Roman"/>
          <w:sz w:val="14"/>
          <w:szCs w:val="14"/>
          <w:color w:val="auto"/>
        </w:rPr>
        <w:t>You understand and agree that if you intend to become employed by, perform services for, or otherwise become Associated with a Competing Business, it is rebuttably presumed that the restrictions contained herein apply. You further understand and agree that if you believe the restrictions contained herein do not, or should not, apply, you must (i) notify Honeywell, in writing, prior to accepting employment or otherwise becoming Associated with the ostensible Competing Business, and (ii) demonstrate to Honeywell’s satisfaction that you are not intending to be employed by, perform services for, or otherwise become Associated with, a Competing Business’ line of business that does compete with Honeywell.</w:t>
      </w:r>
    </w:p>
    <w:p>
      <w:pPr>
        <w:spacing w:after="0" w:line="118" w:lineRule="exact"/>
        <w:rPr>
          <w:sz w:val="20"/>
          <w:szCs w:val="20"/>
          <w:color w:val="auto"/>
        </w:rPr>
      </w:pPr>
    </w:p>
    <w:p>
      <w:pPr>
        <w:jc w:val="both"/>
        <w:ind w:left="8" w:firstLine="432"/>
        <w:spacing w:after="0" w:line="255" w:lineRule="auto"/>
        <w:rPr>
          <w:sz w:val="20"/>
          <w:szCs w:val="20"/>
          <w:color w:val="auto"/>
        </w:rPr>
      </w:pPr>
      <w:r>
        <w:rPr>
          <w:rFonts w:ascii="Times New Roman" w:cs="Times New Roman" w:eastAsia="Times New Roman" w:hAnsi="Times New Roman"/>
          <w:sz w:val="14"/>
          <w:szCs w:val="14"/>
          <w:color w:val="auto"/>
        </w:rPr>
        <w:t>If you have questions about whether a prospective employer constitutes a Competing Business with respect to any job you held during the Look Back Period, you should contact your Human Resource representative.</w:t>
      </w:r>
    </w:p>
    <w:p>
      <w:pPr>
        <w:spacing w:after="0" w:line="106" w:lineRule="exact"/>
        <w:rPr>
          <w:sz w:val="20"/>
          <w:szCs w:val="20"/>
          <w:color w:val="auto"/>
        </w:rPr>
      </w:pPr>
    </w:p>
    <w:p>
      <w:pPr>
        <w:jc w:val="both"/>
        <w:ind w:left="8" w:hanging="8"/>
        <w:spacing w:after="0" w:line="223" w:lineRule="auto"/>
        <w:tabs>
          <w:tab w:leader="none" w:pos="332" w:val="left"/>
        </w:tabs>
        <w:numPr>
          <w:ilvl w:val="0"/>
          <w:numId w:val="2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Reasonableness of Restrictions and Validity. </w:t>
      </w:r>
      <w:r>
        <w:rPr>
          <w:rFonts w:ascii="Times New Roman" w:cs="Times New Roman" w:eastAsia="Times New Roman" w:hAnsi="Times New Roman"/>
          <w:sz w:val="14"/>
          <w:szCs w:val="14"/>
          <w:color w:val="auto"/>
        </w:rPr>
        <w:t>You agree that the terms of this Agreement are reasonable and do not impose a greater restraint than necessary to protect Honeywell’s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legitimate protectable business interests, including the protection of its Confidential Information. It is the desire and intent of the parties hereto that the provisions of this Agreement shall be enforced to the fullest extent legally permissible. Accordingly, if any particular provision(s) of this Agreement shall be adjudicated to be overbroad, invalid or unenforceable, the court may modify or sever such provision(s), such modification or deletion to apply only with respect to the operation of such provision(s) in the particular jurisdiction in which such adjudication is made. In addition, if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 The remaining provisions of this Agreement shall remain in full force and effect. You also agree that the parties shall request that a court of competent jurisdiction not invalidate or ignore the terms of this Agreement, but instead honor this provision by reforming or modifying any overbroad or otherwise invalid terms to the extent necessary to render the terms valid and enforceable and then enforcing the Agreement as so reformed or modified.</w:t>
      </w:r>
    </w:p>
    <w:p>
      <w:pPr>
        <w:spacing w:after="0" w:line="99" w:lineRule="exact"/>
        <w:rPr>
          <w:rFonts w:ascii="Times New Roman" w:cs="Times New Roman" w:eastAsia="Times New Roman" w:hAnsi="Times New Roman"/>
          <w:sz w:val="14"/>
          <w:szCs w:val="14"/>
          <w:b w:val="1"/>
          <w:bCs w:val="1"/>
          <w:color w:val="auto"/>
        </w:rPr>
      </w:pPr>
    </w:p>
    <w:p>
      <w:pPr>
        <w:jc w:val="both"/>
        <w:ind w:left="8" w:hanging="8"/>
        <w:spacing w:after="0" w:line="226" w:lineRule="auto"/>
        <w:tabs>
          <w:tab w:leader="none" w:pos="278" w:val="left"/>
        </w:tabs>
        <w:numPr>
          <w:ilvl w:val="0"/>
          <w:numId w:val="2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Remedies. </w:t>
      </w:r>
      <w:r>
        <w:rPr>
          <w:rFonts w:ascii="Times New Roman" w:cs="Times New Roman" w:eastAsia="Times New Roman" w:hAnsi="Times New Roman"/>
          <w:sz w:val="14"/>
          <w:szCs w:val="14"/>
          <w:color w:val="auto"/>
        </w:rPr>
        <w:t>You acknowledge that a remedy at law for money damages for any breach or threatened breach of the provisions of this Agreement would be inadequate and therefore agree that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Honeywell shall be entitled to injunctive relief in case of any such breach or threatened breach. You acknowledge and agree Honeywell may apply to any court of law or equity of competent jurisdiction for specific performance and/or injunctive relief (without posting a bond or other security) in order to enforce or prevent any violation of the provisions of this Agreement, and that money damages would not be an adequate remedy for any breach of the provisions of this Agreement. You acknowledge and agree that a violation of this Agreement would cause irreparable harm to Honeywell, and you covenant that you will not assert in any proceeding that a violation or further violation of this Agreement: (i) will not result in irreparable harm to Honeywell; or (ii) could be remedied adequately at law. Honeywell’s right to injunctive relief shall be cumulative and in addition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2"/>
        <w:spacing w:after="0"/>
        <w:tabs>
          <w:tab w:leader="none" w:pos="160" w:val="left"/>
        </w:tabs>
        <w:rPr>
          <w:sz w:val="20"/>
          <w:szCs w:val="20"/>
          <w:color w:val="auto"/>
        </w:rPr>
      </w:pPr>
      <w:r>
        <w:rPr>
          <w:rFonts w:ascii="Times New Roman" w:cs="Times New Roman" w:eastAsia="Times New Roman" w:hAnsi="Times New Roman"/>
          <w:sz w:val="14"/>
          <w:szCs w:val="14"/>
          <w:color w:val="auto"/>
        </w:rPr>
        <w:t>NCA – US – Select Management Employees Page 2 of 6</w:t>
        <w:tab/>
        <w:t>Revised 07-15-2023</w:t>
      </w:r>
    </w:p>
    <w:p>
      <w:pPr>
        <w:sectPr>
          <w:pgSz w:w="11900" w:h="16838" w:orient="portrait"/>
          <w:cols w:equalWidth="0" w:num="1">
            <w:col w:w="11308"/>
          </w:cols>
          <w:pgMar w:left="292" w:top="976" w:right="299" w:bottom="1440" w:gutter="0" w:footer="0" w:header="0"/>
        </w:sectPr>
      </w:pPr>
    </w:p>
    <w:bookmarkStart w:id="158" w:name="page159"/>
    <w:bookmarkEnd w:id="158"/>
    <w:p>
      <w:pPr>
        <w:jc w:val="both"/>
        <w:ind w:left="8"/>
        <w:spacing w:after="0"/>
        <w:rPr>
          <w:sz w:val="20"/>
          <w:szCs w:val="20"/>
          <w:color w:val="auto"/>
        </w:rPr>
      </w:pPr>
      <w:r>
        <w:rPr>
          <w:rFonts w:ascii="Times New Roman" w:cs="Times New Roman" w:eastAsia="Times New Roman" w:hAnsi="Times New Roman"/>
          <w:sz w:val="14"/>
          <w:szCs w:val="14"/>
          <w:color w:val="auto"/>
        </w:rPr>
        <w:t>to any other remedies available at law or equity. In the event that a court determines that you have breached this Agreement or enters an order enforcing or upholding any provision of this Agreement, you agree that the post-employment restrictive covenant period shall be tolled during the time period that you were in violation of the covenant so that Honeywell gets the full benefit of the entire restrictive covenant period set forth in Paragraph 1. In the event that a court determines that you have breached or threatened to breach this Agreement, you agree to reimburse Honeywell for all attorneys’ fees and costs incurred in enforcing the terms of this Agreement. However, nothing contained herein shall be construed as prohibiting Honeywell from pursuing any other remedies available for any such breach or threatened breach against you or your new employer, which may also include, but not be limited to, contract damages, lost profits and punitive damages.</w:t>
      </w:r>
    </w:p>
    <w:p>
      <w:pPr>
        <w:spacing w:after="0" w:line="219" w:lineRule="exact"/>
        <w:rPr>
          <w:sz w:val="20"/>
          <w:szCs w:val="20"/>
          <w:color w:val="auto"/>
        </w:rPr>
      </w:pPr>
    </w:p>
    <w:p>
      <w:pPr>
        <w:jc w:val="both"/>
        <w:ind w:left="8" w:hanging="8"/>
        <w:spacing w:after="0"/>
        <w:tabs>
          <w:tab w:leader="none" w:pos="267" w:val="left"/>
        </w:tabs>
        <w:numPr>
          <w:ilvl w:val="0"/>
          <w:numId w:val="2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Harm and Injunctive Relief and Permitted Disclosures. </w:t>
      </w:r>
      <w:r>
        <w:rPr>
          <w:rFonts w:ascii="Times New Roman" w:cs="Times New Roman" w:eastAsia="Times New Roman" w:hAnsi="Times New Roman"/>
          <w:sz w:val="14"/>
          <w:szCs w:val="14"/>
          <w:color w:val="auto"/>
        </w:rPr>
        <w:t>You agree and acknowledge that the restrictions contained in this Agreement do not preclude you from earning a livelihood, nor do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they unreasonably impose limitations on your ability to earn a living. You further agree and acknowledge that the potential harm to Honeywell of the non-enforcement of this Agreement outweighs any potential harm to you from its enforcement by injunction or otherwise. You acknowledge that you have carefully read this Agreement and have given careful consideration to the restraints imposed upon you by this Agreement, and are in full accord as to their necessity for the reasonable and proper protection of Honeywell’s legitimate protectable business interests, including the protection of its Confidential Information. You agree and acknowledge that you have been provided adequate and reasonable consideration in exchange for the obligations under this Agreement, including employment or continued employment by Honeywell, goodwill, access or continued access to Honeywell’s Confidential Information, access or continued access to customers, and additional good and valuable consideration. You expressly acknowledge and agree that each and every restraint imposed by this Agreement is reasonable with respect to subject matter, duration and geographical scope.</w:t>
      </w:r>
    </w:p>
    <w:p>
      <w:pPr>
        <w:spacing w:after="0" w:line="189" w:lineRule="exact"/>
        <w:rPr>
          <w:sz w:val="20"/>
          <w:szCs w:val="20"/>
          <w:color w:val="auto"/>
        </w:rPr>
      </w:pPr>
    </w:p>
    <w:p>
      <w:pPr>
        <w:jc w:val="both"/>
        <w:ind w:left="8" w:firstLine="432"/>
        <w:spacing w:after="0" w:line="224" w:lineRule="auto"/>
        <w:rPr>
          <w:sz w:val="20"/>
          <w:szCs w:val="20"/>
          <w:color w:val="auto"/>
        </w:rPr>
      </w:pPr>
      <w:r>
        <w:rPr>
          <w:rFonts w:ascii="Times New Roman" w:cs="Times New Roman" w:eastAsia="Times New Roman" w:hAnsi="Times New Roman"/>
          <w:sz w:val="14"/>
          <w:szCs w:val="14"/>
          <w:color w:val="auto"/>
        </w:rPr>
        <w:t xml:space="preserve">You acknowledge that you have been hereby provided notice that federal law provides that an individual shall not be held criminally or civilly liable under any federal or state trade secret law for the disclosure of a trade secret where: (a) the disclosure is made (i) in confidence to a Federal, State, or local government official, either directly or indirectly, or to an attorney; and (ii) solely for the purpose of reporting or investigating a suspected violation of law; or (b) the disclosure is made in a complaint or other document filed in a lawsuit or other proceeding, if such filing is made under seal. Federal law also provides that an individual who files a lawsuit for retaliation by an employer for reporting a suspected violation of law may disclose the trade secret to the attorney of the individual and use the trade secret information in the court proceeding, if the individual (x) files any document containing the trade secret under seal; and (y) does not disclose the trade secret, except pursuant to court order. </w:t>
      </w:r>
      <w:r>
        <w:rPr>
          <w:rFonts w:ascii="Times New Roman" w:cs="Times New Roman" w:eastAsia="Times New Roman" w:hAnsi="Times New Roman"/>
          <w:sz w:val="14"/>
          <w:szCs w:val="14"/>
          <w:b w:val="1"/>
          <w:bCs w:val="1"/>
          <w:color w:val="auto"/>
        </w:rPr>
        <w:t>You understand that in the event it is determined that disclosure of trade secrets was not done in good faith for the reasons described above,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you will be subject to substantial damages, including punitive damages and attorneys’ fees.</w:t>
      </w:r>
    </w:p>
    <w:p>
      <w:pPr>
        <w:spacing w:after="0" w:line="118" w:lineRule="exact"/>
        <w:rPr>
          <w:sz w:val="20"/>
          <w:szCs w:val="20"/>
          <w:color w:val="auto"/>
        </w:rPr>
      </w:pPr>
    </w:p>
    <w:p>
      <w:pPr>
        <w:jc w:val="both"/>
        <w:ind w:left="8" w:firstLine="432"/>
        <w:spacing w:after="0" w:line="231" w:lineRule="auto"/>
        <w:rPr>
          <w:sz w:val="20"/>
          <w:szCs w:val="20"/>
          <w:color w:val="auto"/>
        </w:rPr>
      </w:pPr>
      <w:r>
        <w:rPr>
          <w:rFonts w:ascii="Times New Roman" w:cs="Times New Roman" w:eastAsia="Times New Roman" w:hAnsi="Times New Roman"/>
          <w:sz w:val="14"/>
          <w:szCs w:val="14"/>
          <w:color w:val="auto"/>
        </w:rPr>
        <w:t>The provisions of this Agreement are consistent with and do not supersede, conflict with, or otherwise alter any employee’s obligations, rights, or liabilities created by existing statute or Executive Order relating to (i) classified information, (ii) communications to Congress, (iii) the reporting to an Inspector General of a violation of any law, rule, or regulation, or mismanagement, a gross waste of funds, an abuse of authority, or a substantial and specific danger to public health or safety, or (iv) any other whistleblower protection. The definitions, requirements, obligations, rights, sanctions, and liabilities created by controlling Executive Orders and statutory provisions relating to these protections are incorporated into this Agreement and are controlling.</w:t>
      </w:r>
    </w:p>
    <w:p>
      <w:pPr>
        <w:spacing w:after="0" w:line="116" w:lineRule="exact"/>
        <w:rPr>
          <w:sz w:val="20"/>
          <w:szCs w:val="20"/>
          <w:color w:val="auto"/>
        </w:rPr>
      </w:pPr>
    </w:p>
    <w:p>
      <w:pPr>
        <w:ind w:left="248" w:hanging="248"/>
        <w:spacing w:after="0"/>
        <w:tabs>
          <w:tab w:leader="none" w:pos="248" w:val="left"/>
        </w:tabs>
        <w:numPr>
          <w:ilvl w:val="0"/>
          <w:numId w:val="2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Binding Agreement, Amendment, Successors. </w:t>
      </w:r>
      <w:r>
        <w:rPr>
          <w:rFonts w:ascii="Times New Roman" w:cs="Times New Roman" w:eastAsia="Times New Roman" w:hAnsi="Times New Roman"/>
          <w:sz w:val="14"/>
          <w:szCs w:val="14"/>
          <w:color w:val="auto"/>
        </w:rPr>
        <w:t>You acknowledge that the provisions of this Agreement are in addition to, and in no way intended to limit, restrict or narrow any prior or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2"/>
        <w:spacing w:after="0"/>
        <w:tabs>
          <w:tab w:leader="none" w:pos="160" w:val="left"/>
        </w:tabs>
        <w:rPr>
          <w:sz w:val="20"/>
          <w:szCs w:val="20"/>
          <w:color w:val="auto"/>
        </w:rPr>
      </w:pPr>
      <w:r>
        <w:rPr>
          <w:rFonts w:ascii="Times New Roman" w:cs="Times New Roman" w:eastAsia="Times New Roman" w:hAnsi="Times New Roman"/>
          <w:sz w:val="14"/>
          <w:szCs w:val="14"/>
          <w:color w:val="auto"/>
        </w:rPr>
        <w:t>NCA – US – Select Management Employees Page 3 of 6</w:t>
        <w:tab/>
        <w:t>Revised 07-15-2023</w:t>
      </w:r>
    </w:p>
    <w:p>
      <w:pPr>
        <w:sectPr>
          <w:pgSz w:w="11900" w:h="16838" w:orient="portrait"/>
          <w:cols w:equalWidth="0" w:num="1">
            <w:col w:w="11308"/>
          </w:cols>
          <w:pgMar w:left="292" w:top="976" w:right="299" w:bottom="1440" w:gutter="0" w:footer="0" w:header="0"/>
        </w:sectPr>
      </w:pPr>
    </w:p>
    <w:bookmarkStart w:id="159" w:name="page160"/>
    <w:bookmarkEnd w:id="159"/>
    <w:p>
      <w:pPr>
        <w:jc w:val="both"/>
        <w:ind w:left="8"/>
        <w:spacing w:after="0" w:line="222" w:lineRule="auto"/>
        <w:rPr>
          <w:sz w:val="20"/>
          <w:szCs w:val="20"/>
          <w:color w:val="auto"/>
        </w:rPr>
      </w:pPr>
      <w:r>
        <w:rPr>
          <w:rFonts w:ascii="Times New Roman" w:cs="Times New Roman" w:eastAsia="Times New Roman" w:hAnsi="Times New Roman"/>
          <w:sz w:val="14"/>
          <w:szCs w:val="14"/>
          <w:color w:val="auto"/>
        </w:rPr>
        <w:t>existing employment or other agreement with Honeywell. This Agreement does not replace or supersede any prior or existing employment or other agreement with Honeywell, but rather, shall be read in conjunction with such prior or existing agreements and shall be interpreted in a manner to provide Honeywell the maximum protection provided by all agreements you have with Honeywell. The terms of the restrictions in Paragraph 1 and the other terms in this Agreement are to be read consistent with the terms of any other noncompete or other agreements that you have executed with Honeywell; provided, however, to the extent there is a conflict between/among such agreements, such agreements shall be construed as providing the broadest possible protections to Honeywell, even if such construction would require provisions of more than one such agreement to be given effect. No waiver of this Agreement will be effective unless it is in writing and signed by Honeywell’s chief human resources officer or their designee. This Agreement may not be superseded or amended by any other agreement between yourself and Honeywell unless such agreement specifically and expressly states that it is intended to supersede this Agreement and is executed by Honeywell’s chief human resources officer or their designee. This Agreement binds your heirs, executors, administrators, legal representatives and assigns and inures to the benefit of Honeywell and its successors and assigns.</w:t>
      </w:r>
    </w:p>
    <w:p>
      <w:pPr>
        <w:spacing w:after="0" w:line="121" w:lineRule="exact"/>
        <w:rPr>
          <w:sz w:val="20"/>
          <w:szCs w:val="20"/>
          <w:color w:val="auto"/>
        </w:rPr>
      </w:pPr>
    </w:p>
    <w:p>
      <w:pPr>
        <w:jc w:val="both"/>
        <w:ind w:left="8" w:hanging="8"/>
        <w:spacing w:after="0" w:line="237" w:lineRule="auto"/>
        <w:tabs>
          <w:tab w:leader="none" w:pos="300" w:val="left"/>
        </w:tabs>
        <w:numPr>
          <w:ilvl w:val="0"/>
          <w:numId w:val="2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Acknowledgement of Receipt. </w:t>
      </w:r>
      <w:r>
        <w:rPr>
          <w:rFonts w:ascii="Times New Roman" w:cs="Times New Roman" w:eastAsia="Times New Roman" w:hAnsi="Times New Roman"/>
          <w:sz w:val="14"/>
          <w:szCs w:val="14"/>
          <w:color w:val="auto"/>
        </w:rPr>
        <w:t>You acknowledge that you either (i) received adequate consideration for the execution of this Agreement (including, where legally permissible, continued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employment in your current role), or (ii) received a copy of this Agreement prior to accepting your transfer, promotion, or hire into your new role and that execution of this Agreement was an express condition of such transfer, promotion, or hire.</w:t>
      </w:r>
    </w:p>
    <w:p>
      <w:pPr>
        <w:spacing w:after="0" w:line="117" w:lineRule="exact"/>
        <w:rPr>
          <w:rFonts w:ascii="Times New Roman" w:cs="Times New Roman" w:eastAsia="Times New Roman" w:hAnsi="Times New Roman"/>
          <w:sz w:val="14"/>
          <w:szCs w:val="14"/>
          <w:b w:val="1"/>
          <w:bCs w:val="1"/>
          <w:color w:val="auto"/>
        </w:rPr>
      </w:pPr>
    </w:p>
    <w:p>
      <w:pPr>
        <w:ind w:left="8" w:hanging="8"/>
        <w:spacing w:after="0" w:line="258" w:lineRule="auto"/>
        <w:tabs>
          <w:tab w:leader="none" w:pos="296" w:val="left"/>
        </w:tabs>
        <w:numPr>
          <w:ilvl w:val="0"/>
          <w:numId w:val="2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Effectiveness of Agreement. </w:t>
      </w:r>
      <w:r>
        <w:rPr>
          <w:rFonts w:ascii="Times New Roman" w:cs="Times New Roman" w:eastAsia="Times New Roman" w:hAnsi="Times New Roman"/>
          <w:sz w:val="14"/>
          <w:szCs w:val="14"/>
          <w:color w:val="auto"/>
        </w:rPr>
        <w:t>This Agreement becomes effective when you sign it. The obligations under it continue throughout the entire period of time you are employed by Honeywell,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without regard to the business within Honeywell with which you are associated and these obligations will continue after, and survive, the end of your employment with Honeywell.</w:t>
      </w:r>
    </w:p>
    <w:p>
      <w:pPr>
        <w:spacing w:after="0" w:line="103" w:lineRule="exact"/>
        <w:rPr>
          <w:rFonts w:ascii="Times New Roman" w:cs="Times New Roman" w:eastAsia="Times New Roman" w:hAnsi="Times New Roman"/>
          <w:sz w:val="14"/>
          <w:szCs w:val="14"/>
          <w:b w:val="1"/>
          <w:bCs w:val="1"/>
          <w:color w:val="auto"/>
        </w:rPr>
      </w:pPr>
    </w:p>
    <w:p>
      <w:pPr>
        <w:jc w:val="both"/>
        <w:ind w:left="8" w:hanging="8"/>
        <w:spacing w:after="0" w:line="237" w:lineRule="auto"/>
        <w:tabs>
          <w:tab w:leader="none" w:pos="337" w:val="left"/>
        </w:tabs>
        <w:numPr>
          <w:ilvl w:val="0"/>
          <w:numId w:val="2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Notice to Future Employers. </w:t>
      </w:r>
      <w:r>
        <w:rPr>
          <w:rFonts w:ascii="Times New Roman" w:cs="Times New Roman" w:eastAsia="Times New Roman" w:hAnsi="Times New Roman"/>
          <w:sz w:val="14"/>
          <w:szCs w:val="14"/>
          <w:color w:val="auto"/>
        </w:rPr>
        <w:t>For the period of two (2) years immediately following the end of your employment with Honeywell, you will inform (i) Honeywell, and (ii) each new</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prospective employer, of the existence of this Agreement prior to accepting such employment, and provide that prospective employer with a copy of it. Honeywell has the right to inform any future employer of the existence of this Agreement and to provide any future employers with a copy of it.</w:t>
      </w:r>
    </w:p>
    <w:p>
      <w:pPr>
        <w:spacing w:after="0" w:line="117" w:lineRule="exact"/>
        <w:rPr>
          <w:rFonts w:ascii="Times New Roman" w:cs="Times New Roman" w:eastAsia="Times New Roman" w:hAnsi="Times New Roman"/>
          <w:sz w:val="14"/>
          <w:szCs w:val="14"/>
          <w:b w:val="1"/>
          <w:bCs w:val="1"/>
          <w:color w:val="auto"/>
        </w:rPr>
      </w:pPr>
    </w:p>
    <w:p>
      <w:pPr>
        <w:jc w:val="both"/>
        <w:ind w:left="8" w:right="20" w:hanging="8"/>
        <w:spacing w:after="0" w:line="237" w:lineRule="auto"/>
        <w:tabs>
          <w:tab w:leader="none" w:pos="260" w:val="left"/>
        </w:tabs>
        <w:numPr>
          <w:ilvl w:val="0"/>
          <w:numId w:val="2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Governing Law and Venue. </w:t>
      </w:r>
      <w:r>
        <w:rPr>
          <w:rFonts w:ascii="Times New Roman" w:cs="Times New Roman" w:eastAsia="Times New Roman" w:hAnsi="Times New Roman"/>
          <w:sz w:val="14"/>
          <w:szCs w:val="14"/>
          <w:color w:val="auto"/>
        </w:rPr>
        <w:t>This Agreement shall be governed by and construed in accordance with the laws of the State of North Carolina without regard to its principles of conflicts of law.</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You hereby consent to the exclusive jurisdiction and venue in the federal and state courts of the State of North Carolina, Mecklenburg County, for the resolution of all disputes arising under, or relating to, this Agreement.</w:t>
      </w:r>
    </w:p>
    <w:p>
      <w:pPr>
        <w:spacing w:after="0" w:line="117" w:lineRule="exact"/>
        <w:rPr>
          <w:rFonts w:ascii="Times New Roman" w:cs="Times New Roman" w:eastAsia="Times New Roman" w:hAnsi="Times New Roman"/>
          <w:sz w:val="14"/>
          <w:szCs w:val="14"/>
          <w:b w:val="1"/>
          <w:bCs w:val="1"/>
          <w:color w:val="auto"/>
        </w:rPr>
      </w:pPr>
    </w:p>
    <w:p>
      <w:pPr>
        <w:ind w:left="328" w:hanging="328"/>
        <w:spacing w:after="0"/>
        <w:tabs>
          <w:tab w:leader="none" w:pos="328" w:val="left"/>
        </w:tabs>
        <w:numPr>
          <w:ilvl w:val="0"/>
          <w:numId w:val="2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Definitions.</w:t>
      </w:r>
    </w:p>
    <w:p>
      <w:pPr>
        <w:spacing w:after="0" w:line="147" w:lineRule="exact"/>
        <w:rPr>
          <w:sz w:val="20"/>
          <w:szCs w:val="20"/>
          <w:color w:val="auto"/>
        </w:rPr>
      </w:pPr>
    </w:p>
    <w:p>
      <w:pPr>
        <w:jc w:val="both"/>
        <w:ind w:left="8" w:firstLine="432"/>
        <w:spacing w:after="0" w:line="255" w:lineRule="auto"/>
        <w:rPr>
          <w:sz w:val="20"/>
          <w:szCs w:val="20"/>
          <w:color w:val="auto"/>
        </w:rPr>
      </w:pPr>
      <w:r>
        <w:rPr>
          <w:rFonts w:ascii="Times New Roman" w:cs="Times New Roman" w:eastAsia="Times New Roman" w:hAnsi="Times New Roman"/>
          <w:sz w:val="14"/>
          <w:szCs w:val="14"/>
          <w:color w:val="auto"/>
        </w:rPr>
        <w:t>“Associated” means an individual is acting in any representative capacity, including but not limited to as an employee, officer, director, principal, agent, manager, partner, co-partner or consultant.</w:t>
      </w:r>
    </w:p>
    <w:p>
      <w:pPr>
        <w:spacing w:after="0" w:line="108" w:lineRule="exact"/>
        <w:rPr>
          <w:sz w:val="20"/>
          <w:szCs w:val="20"/>
          <w:color w:val="auto"/>
        </w:rPr>
      </w:pPr>
    </w:p>
    <w:p>
      <w:pPr>
        <w:jc w:val="both"/>
        <w:ind w:left="8" w:firstLine="432"/>
        <w:spacing w:after="0"/>
        <w:rPr>
          <w:sz w:val="20"/>
          <w:szCs w:val="20"/>
          <w:color w:val="auto"/>
        </w:rPr>
      </w:pPr>
      <w:r>
        <w:rPr>
          <w:rFonts w:ascii="Times New Roman" w:cs="Times New Roman" w:eastAsia="Times New Roman" w:hAnsi="Times New Roman"/>
          <w:sz w:val="14"/>
          <w:szCs w:val="14"/>
          <w:color w:val="auto"/>
        </w:rPr>
        <w:t>“Confidential Information” means information that is not generally known in the industries in which Honeywell is engaged, which may be disclosed to you or which you may learn, observe, discover or otherwise acquire during, or as a result of, your employment by Honeywell and which includes, without limitation, any information, whether patentable, patented or not, relating to any existing or contemplated products, inventions, services, technology, ideas, concepts, designs, patterns, processes, compounds, formulae, programs, devices, tools, compilations of information,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2"/>
        <w:spacing w:after="0"/>
        <w:tabs>
          <w:tab w:leader="none" w:pos="160" w:val="left"/>
        </w:tabs>
        <w:rPr>
          <w:sz w:val="20"/>
          <w:szCs w:val="20"/>
          <w:color w:val="auto"/>
        </w:rPr>
      </w:pPr>
      <w:r>
        <w:rPr>
          <w:rFonts w:ascii="Times New Roman" w:cs="Times New Roman" w:eastAsia="Times New Roman" w:hAnsi="Times New Roman"/>
          <w:sz w:val="14"/>
          <w:szCs w:val="14"/>
          <w:color w:val="auto"/>
        </w:rPr>
        <w:t>NCA – US – Select Management Employees Page 4 of 6</w:t>
        <w:tab/>
        <w:t>Revised 07-15-2023</w:t>
      </w:r>
    </w:p>
    <w:p>
      <w:pPr>
        <w:sectPr>
          <w:pgSz w:w="11900" w:h="16838" w:orient="portrait"/>
          <w:cols w:equalWidth="0" w:num="1">
            <w:col w:w="11308"/>
          </w:cols>
          <w:pgMar w:left="292" w:top="976" w:right="299" w:bottom="1440" w:gutter="0" w:footer="0" w:header="0"/>
        </w:sectPr>
      </w:pPr>
    </w:p>
    <w:bookmarkStart w:id="160" w:name="page161"/>
    <w:bookmarkEnd w:id="160"/>
    <w:p>
      <w:pPr>
        <w:jc w:val="both"/>
        <w:ind w:left="8"/>
        <w:spacing w:after="0" w:line="236" w:lineRule="auto"/>
        <w:rPr>
          <w:sz w:val="20"/>
          <w:szCs w:val="20"/>
          <w:color w:val="auto"/>
        </w:rPr>
      </w:pPr>
      <w:r>
        <w:rPr>
          <w:rFonts w:ascii="Times New Roman" w:cs="Times New Roman" w:eastAsia="Times New Roman" w:hAnsi="Times New Roman"/>
          <w:sz w:val="14"/>
          <w:szCs w:val="14"/>
          <w:color w:val="auto"/>
        </w:rPr>
        <w:t>methods, techniques, and including information relating to any research, development, manufacture, purchasing, engineering, know-how, business plans, sales or market methods, methods of doing business, business systems, strategic plans, plans for acquisition or disposition of products, expansion plans, financial status and plans, financial data, personnel information, customer lists or data, customer usages or requirements, or supplier information, which is owned or licensed by Honeywell or held by Honeywell in confidence.</w:t>
      </w:r>
    </w:p>
    <w:p>
      <w:pPr>
        <w:spacing w:after="0" w:line="119" w:lineRule="exact"/>
        <w:rPr>
          <w:sz w:val="20"/>
          <w:szCs w:val="20"/>
          <w:color w:val="auto"/>
        </w:rPr>
      </w:pPr>
    </w:p>
    <w:p>
      <w:pPr>
        <w:jc w:val="both"/>
        <w:ind w:left="8" w:firstLine="145"/>
        <w:spacing w:after="0" w:line="236" w:lineRule="auto"/>
        <w:rPr>
          <w:sz w:val="20"/>
          <w:szCs w:val="20"/>
          <w:color w:val="auto"/>
        </w:rPr>
      </w:pPr>
      <w:r>
        <w:rPr>
          <w:rFonts w:ascii="Times New Roman" w:cs="Times New Roman" w:eastAsia="Times New Roman" w:hAnsi="Times New Roman"/>
          <w:sz w:val="14"/>
          <w:szCs w:val="14"/>
          <w:color w:val="auto"/>
        </w:rPr>
        <w:t>“Honeywell” collectively identifies Honeywell International Inc. (a Delaware corporation having its headquarters in Charlotte, Mecklenburg County, North Carolina), its predecessors, designees and successors and its past, present and future operating companies, divisions, subsidiaries, affiliates and other business units, including businesses acquired by purchase of assets, stock, merger or otherwise.</w:t>
      </w:r>
    </w:p>
    <w:p>
      <w:pPr>
        <w:spacing w:after="0" w:line="11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“Look Back Period” means the two (2) year period ending on the date of your Termination of Employment.</w:t>
      </w:r>
    </w:p>
    <w:p>
      <w:pPr>
        <w:spacing w:after="0" w:line="145" w:lineRule="exact"/>
        <w:rPr>
          <w:sz w:val="20"/>
          <w:szCs w:val="20"/>
          <w:color w:val="auto"/>
        </w:rPr>
      </w:pPr>
    </w:p>
    <w:p>
      <w:pPr>
        <w:jc w:val="both"/>
        <w:ind w:left="8" w:right="20" w:firstLine="172"/>
        <w:spacing w:after="0" w:line="255" w:lineRule="auto"/>
        <w:rPr>
          <w:sz w:val="20"/>
          <w:szCs w:val="20"/>
          <w:color w:val="auto"/>
        </w:rPr>
      </w:pPr>
      <w:r>
        <w:rPr>
          <w:rFonts w:ascii="Times New Roman" w:cs="Times New Roman" w:eastAsia="Times New Roman" w:hAnsi="Times New Roman"/>
          <w:sz w:val="14"/>
          <w:szCs w:val="14"/>
          <w:color w:val="auto"/>
        </w:rPr>
        <w:t>“Termination of Employment” means any separation from employment with Honeywell regardless of the reason, including any and all voluntary and involuntary reasons for termination. The termination date for purposes of this Agreement shall be the last day you actively perform services for Honeywell.</w:t>
      </w:r>
    </w:p>
    <w:p>
      <w:pPr>
        <w:spacing w:after="0" w:line="106" w:lineRule="exact"/>
        <w:rPr>
          <w:sz w:val="20"/>
          <w:szCs w:val="20"/>
          <w:color w:val="auto"/>
        </w:rPr>
      </w:pPr>
    </w:p>
    <w:p>
      <w:pPr>
        <w:ind w:left="308" w:hanging="308"/>
        <w:spacing w:after="0"/>
        <w:tabs>
          <w:tab w:leader="none" w:pos="308" w:val="left"/>
        </w:tabs>
        <w:numPr>
          <w:ilvl w:val="0"/>
          <w:numId w:val="2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Headings. </w:t>
      </w:r>
      <w:r>
        <w:rPr>
          <w:rFonts w:ascii="Times New Roman" w:cs="Times New Roman" w:eastAsia="Times New Roman" w:hAnsi="Times New Roman"/>
          <w:sz w:val="14"/>
          <w:szCs w:val="14"/>
          <w:color w:val="auto"/>
        </w:rPr>
        <w:t>The headings of the paragraphs of this Agreement are inserted for convenience only and shall not in any way affect the meaning or construction of this Agreement.</w:t>
      </w:r>
    </w:p>
    <w:p>
      <w:pPr>
        <w:spacing w:after="0" w:line="147" w:lineRule="exact"/>
        <w:rPr>
          <w:sz w:val="20"/>
          <w:szCs w:val="20"/>
          <w:color w:val="auto"/>
        </w:rPr>
      </w:pPr>
    </w:p>
    <w:p>
      <w:pPr>
        <w:ind w:left="8" w:right="20"/>
        <w:spacing w:after="0" w:line="255" w:lineRule="auto"/>
        <w:rPr>
          <w:sz w:val="20"/>
          <w:szCs w:val="20"/>
          <w:color w:val="auto"/>
        </w:rPr>
      </w:pPr>
      <w:r>
        <w:rPr>
          <w:rFonts w:ascii="Times New Roman" w:cs="Times New Roman" w:eastAsia="Times New Roman" w:hAnsi="Times New Roman"/>
          <w:sz w:val="14"/>
          <w:szCs w:val="14"/>
          <w:color w:val="auto"/>
        </w:rPr>
        <w:t>You have carefully read this Agreement. You understand and accept its terms. You understand and agree that you will continue to be bound by the provisions of this Agreement after your employment with Honeywell has ended.</w:t>
      </w:r>
    </w:p>
    <w:p>
      <w:pPr>
        <w:spacing w:after="0" w:line="100"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/s/ Lucian Boldea__</w:t>
            </w:r>
          </w:p>
        </w:tc>
        <w:tc>
          <w:tcPr>
            <w:tcW w:w="720" w:type="dxa"/>
            <w:vAlign w:val="bottom"/>
          </w:tcPr>
          <w:p>
            <w:pPr>
              <w:spacing w:after="0"/>
              <w:rPr>
                <w:sz w:val="13"/>
                <w:szCs w:val="13"/>
                <w:color w:val="auto"/>
              </w:rPr>
            </w:pP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October 7, 2023</w:t>
            </w:r>
          </w:p>
        </w:tc>
        <w:tc>
          <w:tcPr>
            <w:tcW w:w="20" w:type="dxa"/>
            <w:vAlign w:val="bottom"/>
          </w:tcPr>
          <w:p>
            <w:pPr>
              <w:spacing w:after="0"/>
              <w:rPr>
                <w:sz w:val="13"/>
                <w:szCs w:val="13"/>
                <w:color w:val="auto"/>
              </w:rPr>
            </w:pPr>
          </w:p>
        </w:tc>
      </w:tr>
      <w:tr>
        <w:trPr>
          <w:trHeight w:val="179"/>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LUCIAN BOLDEA (H526743)</w:t>
            </w:r>
          </w:p>
        </w:tc>
        <w:tc>
          <w:tcPr>
            <w:tcW w:w="9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Date</w:t>
            </w:r>
          </w:p>
        </w:tc>
        <w:tc>
          <w:tcPr>
            <w:tcW w:w="20" w:type="dxa"/>
            <w:vAlign w:val="bottom"/>
          </w:tcPr>
          <w:p>
            <w:pPr>
              <w:spacing w:after="0"/>
              <w:rPr>
                <w:sz w:val="15"/>
                <w:szCs w:val="15"/>
                <w:color w:val="auto"/>
              </w:rPr>
            </w:pPr>
          </w:p>
        </w:tc>
      </w:tr>
    </w:tbl>
    <w:p>
      <w:pPr>
        <w:spacing w:after="0" w:line="9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 xml:space="preserve">Job Title: </w:t>
      </w:r>
      <w:r>
        <w:rPr>
          <w:rFonts w:ascii="Times New Roman" w:cs="Times New Roman" w:eastAsia="Times New Roman" w:hAnsi="Times New Roman"/>
          <w:sz w:val="14"/>
          <w:szCs w:val="14"/>
          <w:color w:val="auto"/>
        </w:rPr>
        <w:t>President and Chief Executive Officer, Industrial Automation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2"/>
        <w:spacing w:after="0"/>
        <w:tabs>
          <w:tab w:leader="none" w:pos="160" w:val="left"/>
        </w:tabs>
        <w:rPr>
          <w:sz w:val="20"/>
          <w:szCs w:val="20"/>
          <w:color w:val="auto"/>
        </w:rPr>
      </w:pPr>
      <w:r>
        <w:rPr>
          <w:rFonts w:ascii="Times New Roman" w:cs="Times New Roman" w:eastAsia="Times New Roman" w:hAnsi="Times New Roman"/>
          <w:sz w:val="14"/>
          <w:szCs w:val="14"/>
          <w:color w:val="auto"/>
        </w:rPr>
        <w:t>NCA – US – Select Management Employees Page 5 of 6</w:t>
        <w:tab/>
        <w:t>Revised 07-15-2023</w:t>
      </w:r>
    </w:p>
    <w:p>
      <w:pPr>
        <w:sectPr>
          <w:pgSz w:w="11900" w:h="16838" w:orient="portrait"/>
          <w:cols w:equalWidth="0" w:num="1">
            <w:col w:w="11308"/>
          </w:cols>
          <w:pgMar w:left="292" w:top="976" w:right="299" w:bottom="1440" w:gutter="0" w:footer="0" w:header="0"/>
        </w:sectPr>
      </w:pPr>
    </w:p>
    <w:bookmarkStart w:id="161" w:name="page162"/>
    <w:bookmarkEnd w:id="1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Document Category: </w:t>
      </w:r>
      <w:r>
        <w:rPr>
          <w:rFonts w:ascii="Arial" w:cs="Arial" w:eastAsia="Arial" w:hAnsi="Arial"/>
          <w:sz w:val="14"/>
          <w:szCs w:val="14"/>
          <w:color w:val="auto"/>
        </w:rPr>
        <w:t>Hiring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Document Type: </w:t>
      </w:r>
      <w:r>
        <w:rPr>
          <w:rFonts w:ascii="Arial" w:cs="Arial" w:eastAsia="Arial" w:hAnsi="Arial"/>
          <w:sz w:val="14"/>
          <w:szCs w:val="14"/>
          <w:color w:val="auto"/>
        </w:rPr>
        <w:t>Noncompete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alibri" w:cs="Calibri" w:eastAsia="Calibri" w:hAnsi="Calibri"/>
          <w:sz w:val="13"/>
          <w:szCs w:val="13"/>
          <w:color w:val="auto"/>
        </w:rPr>
        <w:t>*For Employee File Management Purpose Only</w:t>
      </w:r>
    </w:p>
    <w:p>
      <w:pPr>
        <w:sectPr>
          <w:pgSz w:w="11900" w:h="16838" w:orient="portrait"/>
          <w:cols w:equalWidth="0" w:num="1">
            <w:col w:w="10159"/>
          </w:cols>
          <w:pgMar w:left="300" w:top="1440" w:right="1440" w:bottom="1440" w:gutter="0" w:footer="0" w:header="0"/>
        </w:sectPr>
      </w:pPr>
    </w:p>
    <w:bookmarkStart w:id="162" w:name="page163"/>
    <w:bookmarkEnd w:id="162"/>
    <w:p>
      <w:pPr>
        <w:jc w:val="right"/>
        <w:spacing w:after="0"/>
        <w:rPr>
          <w:sz w:val="20"/>
          <w:szCs w:val="20"/>
          <w:color w:val="auto"/>
        </w:rPr>
      </w:pPr>
      <w:r>
        <w:rPr>
          <w:rFonts w:ascii="Arial" w:cs="Arial" w:eastAsia="Arial" w:hAnsi="Arial"/>
          <w:sz w:val="12"/>
          <w:szCs w:val="12"/>
          <w:b w:val="1"/>
          <w:bCs w:val="1"/>
          <w:color w:val="auto"/>
        </w:rPr>
        <w:t>EXHIBIT 10.66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977265" cy="3086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43">
                      <a:extLst>
                        <a:ext uri="{28A0092B-C50C-407E-A947-70E740481C1C}"/>
                      </a:extLst>
                    </a:blip>
                    <a:srcRect/>
                    <a:stretch>
                      <a:fillRect/>
                    </a:stretch>
                  </pic:blipFill>
                  <pic:spPr bwMode="auto">
                    <a:xfrm>
                      <a:off x="0" y="0"/>
                      <a:ext cx="97726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June 12, 2023</w:t>
      </w:r>
    </w:p>
    <w:p>
      <w:pPr>
        <w:spacing w:after="0" w:line="32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James E. Currier</w:t>
      </w:r>
    </w:p>
    <w:p>
      <w:pPr>
        <w:ind w:left="8"/>
        <w:spacing w:after="0" w:line="214" w:lineRule="auto"/>
        <w:rPr>
          <w:sz w:val="20"/>
          <w:szCs w:val="20"/>
          <w:color w:val="auto"/>
        </w:rPr>
      </w:pPr>
      <w:r>
        <w:rPr>
          <w:rFonts w:ascii="Times New Roman" w:cs="Times New Roman" w:eastAsia="Times New Roman" w:hAnsi="Times New Roman"/>
          <w:sz w:val="14"/>
          <w:szCs w:val="14"/>
          <w:color w:val="auto"/>
        </w:rPr>
        <w:t>1944 E Sky Harbor Circle</w:t>
      </w:r>
    </w:p>
    <w:p>
      <w:pPr>
        <w:ind w:left="8"/>
        <w:spacing w:after="0"/>
        <w:rPr>
          <w:sz w:val="20"/>
          <w:szCs w:val="20"/>
          <w:color w:val="auto"/>
        </w:rPr>
      </w:pPr>
      <w:r>
        <w:rPr>
          <w:rFonts w:ascii="Times New Roman" w:cs="Times New Roman" w:eastAsia="Times New Roman" w:hAnsi="Times New Roman"/>
          <w:sz w:val="14"/>
          <w:szCs w:val="14"/>
          <w:color w:val="auto"/>
        </w:rPr>
        <w:t>Phoenix, Arizona 85034</w:t>
      </w:r>
    </w:p>
    <w:p>
      <w:pPr>
        <w:spacing w:after="0" w:line="127" w:lineRule="exact"/>
        <w:rPr>
          <w:sz w:val="20"/>
          <w:szCs w:val="20"/>
          <w:color w:val="auto"/>
        </w:rPr>
      </w:pPr>
    </w:p>
    <w:p>
      <w:pPr>
        <w:ind w:left="8"/>
        <w:spacing w:after="0"/>
        <w:tabs>
          <w:tab w:leader="none" w:pos="328" w:val="left"/>
        </w:tabs>
        <w:rPr>
          <w:sz w:val="20"/>
          <w:szCs w:val="20"/>
          <w:color w:val="auto"/>
        </w:rPr>
      </w:pPr>
      <w:r>
        <w:rPr>
          <w:rFonts w:ascii="Times New Roman" w:cs="Times New Roman" w:eastAsia="Times New Roman" w:hAnsi="Times New Roman"/>
          <w:sz w:val="14"/>
          <w:szCs w:val="14"/>
          <w:i w:val="1"/>
          <w:iCs w:val="1"/>
          <w:color w:val="auto"/>
        </w:rPr>
        <w:t>Re:</w:t>
        <w:tab/>
        <w:t>Offer Letter</w:t>
      </w:r>
    </w:p>
    <w:p>
      <w:pPr>
        <w:spacing w:after="0" w:line="1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Dear Jim:</w:t>
      </w:r>
    </w:p>
    <w:p>
      <w:pPr>
        <w:spacing w:after="0" w:line="145" w:lineRule="exact"/>
        <w:rPr>
          <w:sz w:val="20"/>
          <w:szCs w:val="20"/>
          <w:color w:val="auto"/>
        </w:rPr>
      </w:pPr>
    </w:p>
    <w:p>
      <w:pPr>
        <w:jc w:val="both"/>
        <w:ind w:left="8"/>
        <w:spacing w:after="0"/>
        <w:rPr>
          <w:sz w:val="20"/>
          <w:szCs w:val="20"/>
          <w:color w:val="auto"/>
        </w:rPr>
      </w:pPr>
      <w:r>
        <w:rPr>
          <w:rFonts w:ascii="Times New Roman" w:cs="Times New Roman" w:eastAsia="Times New Roman" w:hAnsi="Times New Roman"/>
          <w:sz w:val="14"/>
          <w:szCs w:val="14"/>
          <w:color w:val="auto"/>
        </w:rPr>
        <w:t>I am pleased to confirm our offer to you to become President and Chief Executive Officer, Honeywell Aerospace (Executive Band), based in Phoenix, Arizona, reporting directly to me. The effective date of your promotion will be August 1, 2023 (“Effective Date”), subject to the terms and conditions of this offer letter. In this position, you will become an Executive Officer of Honeywell.</w:t>
      </w:r>
    </w:p>
    <w:p>
      <w:pPr>
        <w:spacing w:after="0" w:line="26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In connection with your new role, you will be entitled to the following compensation</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and benefits package:</w:t>
      </w:r>
    </w:p>
    <w:p>
      <w:pPr>
        <w:spacing w:after="0" w:line="1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COMPENSATION</w:t>
      </w:r>
    </w:p>
    <w:p>
      <w:pPr>
        <w:spacing w:after="0" w:line="145" w:lineRule="exact"/>
        <w:rPr>
          <w:sz w:val="20"/>
          <w:szCs w:val="20"/>
          <w:color w:val="auto"/>
        </w:rPr>
      </w:pPr>
    </w:p>
    <w:p>
      <w:pPr>
        <w:jc w:val="both"/>
        <w:ind w:left="8"/>
        <w:spacing w:after="0" w:line="258" w:lineRule="auto"/>
        <w:rPr>
          <w:sz w:val="20"/>
          <w:szCs w:val="20"/>
          <w:color w:val="auto"/>
        </w:rPr>
      </w:pPr>
      <w:r>
        <w:rPr>
          <w:rFonts w:ascii="Times New Roman" w:cs="Times New Roman" w:eastAsia="Times New Roman" w:hAnsi="Times New Roman"/>
          <w:sz w:val="14"/>
          <w:szCs w:val="14"/>
          <w:b w:val="1"/>
          <w:bCs w:val="1"/>
          <w:color w:val="auto"/>
        </w:rPr>
        <w:t>Base Salary</w:t>
      </w:r>
      <w:r>
        <w:rPr>
          <w:rFonts w:ascii="Times New Roman" w:cs="Times New Roman" w:eastAsia="Times New Roman" w:hAnsi="Times New Roman"/>
          <w:sz w:val="14"/>
          <w:szCs w:val="14"/>
          <w:color w:val="auto"/>
        </w:rPr>
        <w:t>: If approved, your annual base salary will be increased to $720,000 as of the Effective Date. Base salary reviews occur annually and any adjustments are generally at the end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first quarter of the calendar year. Adjustments are based on your performance and other relevant factors. You will next be eligible for a base salary review in March of 2024.</w:t>
      </w:r>
    </w:p>
    <w:p>
      <w:pPr>
        <w:spacing w:after="0" w:line="104" w:lineRule="exact"/>
        <w:rPr>
          <w:sz w:val="20"/>
          <w:szCs w:val="20"/>
          <w:color w:val="auto"/>
        </w:rPr>
      </w:pPr>
    </w:p>
    <w:p>
      <w:pPr>
        <w:jc w:val="both"/>
        <w:ind w:left="8"/>
        <w:spacing w:after="0" w:line="237" w:lineRule="auto"/>
        <w:rPr>
          <w:sz w:val="20"/>
          <w:szCs w:val="20"/>
          <w:color w:val="auto"/>
        </w:rPr>
      </w:pPr>
      <w:r>
        <w:rPr>
          <w:rFonts w:ascii="Times New Roman" w:cs="Times New Roman" w:eastAsia="Times New Roman" w:hAnsi="Times New Roman"/>
          <w:sz w:val="14"/>
          <w:szCs w:val="14"/>
          <w:b w:val="1"/>
          <w:bCs w:val="1"/>
          <w:color w:val="auto"/>
        </w:rPr>
        <w:t>Annual Incentive Compensation</w:t>
      </w:r>
      <w:r>
        <w:rPr>
          <w:rFonts w:ascii="Times New Roman" w:cs="Times New Roman" w:eastAsia="Times New Roman" w:hAnsi="Times New Roman"/>
          <w:sz w:val="14"/>
          <w:szCs w:val="14"/>
          <w:color w:val="auto"/>
        </w:rPr>
        <w:t>: If approved, your target incentive compensation opportunity will be 100% of your annual cash base salary earnings during the year. For 2023, your incentive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compensation award will be prorated based on the number of days your target incentive was 45%, and the number of days your target incentive will be 100%. Incentive compensation awards are paid in the first quarter of the following year.</w:t>
      </w:r>
    </w:p>
    <w:p>
      <w:pPr>
        <w:spacing w:after="0" w:line="117" w:lineRule="exact"/>
        <w:rPr>
          <w:sz w:val="20"/>
          <w:szCs w:val="20"/>
          <w:color w:val="auto"/>
        </w:rPr>
      </w:pPr>
    </w:p>
    <w:p>
      <w:pPr>
        <w:jc w:val="both"/>
        <w:ind w:left="8"/>
        <w:spacing w:after="0" w:line="231" w:lineRule="auto"/>
        <w:rPr>
          <w:sz w:val="20"/>
          <w:szCs w:val="20"/>
          <w:color w:val="auto"/>
        </w:rPr>
      </w:pPr>
      <w:r>
        <w:rPr>
          <w:rFonts w:ascii="Times New Roman" w:cs="Times New Roman" w:eastAsia="Times New Roman" w:hAnsi="Times New Roman"/>
          <w:sz w:val="14"/>
          <w:szCs w:val="14"/>
          <w:b w:val="1"/>
          <w:bCs w:val="1"/>
          <w:color w:val="auto"/>
        </w:rPr>
        <w:t xml:space="preserve">Annual Long-Term Incentive Awards: </w:t>
      </w:r>
      <w:r>
        <w:rPr>
          <w:rFonts w:ascii="Times New Roman" w:cs="Times New Roman" w:eastAsia="Times New Roman" w:hAnsi="Times New Roman"/>
          <w:sz w:val="14"/>
          <w:szCs w:val="14"/>
          <w:color w:val="auto"/>
        </w:rPr>
        <w:t>If approved, beginning in 2023, you will be eligible for annual long-term incentive (“LTI”) awards with a target grant date value of $3,100,000. Your LTI</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awards shall consist of stock options, restricted stock units, performance stock units or cash-based awards, or some combination thereof, as determined by the Company in its discretion. The actual size and mix of your annual LTI awards will be determined by the MDCC based on your performance and future career potential with Honeywell. The terms of all LTI awards are governed by the terms of the applicable stock plan and the relevant award agreements. Moreover, Honeywell and the MDCC reserve the right to modify the design or mix of the LTI award program in the future.</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OTHER EXECUTIVE BENEFITS</w:t>
      </w:r>
    </w:p>
    <w:p>
      <w:pPr>
        <w:spacing w:after="0" w:line="15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You will also be entitled to the following Executive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194945</wp:posOffset>
            </wp:positionV>
            <wp:extent cx="114300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44">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339" w:lineRule="exact"/>
        <w:rPr>
          <w:sz w:val="20"/>
          <w:szCs w:val="20"/>
          <w:color w:val="auto"/>
        </w:rPr>
      </w:pPr>
    </w:p>
    <w:p>
      <w:pPr>
        <w:ind w:left="88" w:hanging="88"/>
        <w:spacing w:after="0" w:line="202" w:lineRule="auto"/>
        <w:tabs>
          <w:tab w:leader="none" w:pos="86" w:val="left"/>
        </w:tabs>
        <w:numPr>
          <w:ilvl w:val="0"/>
          <w:numId w:val="2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As a corporate officer of Honeywell, your compensation must be officially approved by the Management Development and Compensation Committee of the Company’s Board of Directors (“MDCC”). It is expected that your compensation package will be retroactively approved at the next regularly scheduled meeting of the MDCC, which is expected to be on or about July 27, 2023.</w:t>
      </w: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b w:val="1"/>
          <w:bCs w:val="1"/>
          <w:color w:val="auto"/>
        </w:rPr>
        <w:t>4</w:t>
      </w:r>
    </w:p>
    <w:p>
      <w:pPr>
        <w:sectPr>
          <w:pgSz w:w="11900" w:h="16838" w:orient="portrait"/>
          <w:cols w:equalWidth="0" w:num="1">
            <w:col w:w="11308"/>
          </w:cols>
          <w:pgMar w:left="292" w:top="128" w:right="299" w:bottom="1440" w:gutter="0" w:footer="0" w:header="0"/>
        </w:sectPr>
      </w:pPr>
    </w:p>
    <w:bookmarkStart w:id="163" w:name="page164"/>
    <w:bookmarkEnd w:id="163"/>
    <w:p>
      <w:pPr>
        <w:ind w:left="420" w:hanging="212"/>
        <w:spacing w:after="0" w:line="249" w:lineRule="auto"/>
        <w:tabs>
          <w:tab w:leader="none" w:pos="417" w:val="left"/>
        </w:tabs>
        <w:numPr>
          <w:ilvl w:val="0"/>
          <w:numId w:val="21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i w:val="1"/>
          <w:iCs w:val="1"/>
          <w:color w:val="auto"/>
        </w:rPr>
        <w:t xml:space="preserve">Excess Liability Insurance: </w:t>
      </w:r>
      <w:r>
        <w:rPr>
          <w:rFonts w:ascii="Times New Roman" w:cs="Times New Roman" w:eastAsia="Times New Roman" w:hAnsi="Times New Roman"/>
          <w:sz w:val="14"/>
          <w:szCs w:val="14"/>
          <w:color w:val="auto"/>
        </w:rPr>
        <w:t>Honeywell will pay the annual premium for an Excess Liability Insurance policy that provides $20,000,000 of personal liability umbrella coverage per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occurrence.</w:t>
      </w:r>
    </w:p>
    <w:p>
      <w:pPr>
        <w:spacing w:after="0" w:line="282" w:lineRule="exact"/>
        <w:rPr>
          <w:rFonts w:ascii="Times New Roman" w:cs="Times New Roman" w:eastAsia="Times New Roman" w:hAnsi="Times New Roman"/>
          <w:sz w:val="12"/>
          <w:szCs w:val="12"/>
          <w:color w:val="auto"/>
        </w:rPr>
      </w:pPr>
    </w:p>
    <w:p>
      <w:pPr>
        <w:jc w:val="both"/>
        <w:ind w:left="420" w:hanging="212"/>
        <w:spacing w:after="0" w:line="231" w:lineRule="auto"/>
        <w:tabs>
          <w:tab w:leader="none" w:pos="417" w:val="left"/>
        </w:tabs>
        <w:numPr>
          <w:ilvl w:val="0"/>
          <w:numId w:val="21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i w:val="1"/>
          <w:iCs w:val="1"/>
          <w:color w:val="auto"/>
        </w:rPr>
        <w:t>Executive Severance</w:t>
      </w:r>
      <w:r>
        <w:rPr>
          <w:rFonts w:ascii="Times New Roman" w:cs="Times New Roman" w:eastAsia="Times New Roman" w:hAnsi="Times New Roman"/>
          <w:sz w:val="14"/>
          <w:szCs w:val="14"/>
          <w:color w:val="auto"/>
        </w:rPr>
        <w:t>: The Officer Severance Plan currently provides for 12 months of base salary continuation and target bonus if your employment is involuntary terminated for a reason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 than Cause (as defined in the severance plan document in effect when you terminate employment). You will be required to execute a release of claims against Honeywell and its affiliates and related parties and you may be required to agree to certain non-solicitation, non-disclosure and non-competition covenants as a condition of receiving executive severance benefits. For additional information, please consult the actual plan document.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STOCK OWNERSHIP GUIDELINES FOR HONEYWELL OFFICERS</w:t>
      </w:r>
    </w:p>
    <w:p>
      <w:pPr>
        <w:spacing w:after="0" w:line="16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As an Executive Officer of the Corporation, you will be required to hold Honeywell shares in accordance with the Corporation’s Stock Ownership Guidelines, as amended from time to time. A copy of the Stock Ownership Guidelines will be separately provided to you.</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INTELLECTUAL PROPERTY AND NON-COMPETITION AGREEMENTS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As a condition of this employment offer, you are required to execute (i) Honeywell’s “Employee Agreement Relating to Trade Secrets, Proprietary and Confidential Information” (“IP Agreement”), and (ii) the “Honeywell International Inc. Noncompete Agreement for Select Management Employees” (“Noncompete Agreement”), both of which are attached hereto.</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ACCEPTANCE OF OFFER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indicate your acceptance of this offer by signing this offer letter, as well as the IP Agreement and Noncompete Agreement, and returning them via DocuSign.</w:t>
      </w:r>
    </w:p>
    <w:p>
      <w:pPr>
        <w:spacing w:after="0" w:line="16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Honeywell has a long and distinguished history. But, more importantly, we are a company with a terrific future and a great place to work. Our performance culture drives growth for us and competitive advantage for our customers. We hire the best people; give them every possible opportunity to learn, grow, and develop; and reward them for their contributions. We offer career paths that span product lines, job types, businesses, and countries.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Jim, we are excited to be extending this offer to you and look forward to working with you in your expanded role. Your experience and background are an asset to our Company.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2</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b w:val="1"/>
          <w:bCs w:val="1"/>
          <w:color w:val="auto"/>
        </w:rPr>
        <w:t>4</w:t>
      </w:r>
    </w:p>
    <w:p>
      <w:pPr>
        <w:sectPr>
          <w:pgSz w:w="11900" w:h="16838" w:orient="portrait"/>
          <w:cols w:equalWidth="0" w:num="1">
            <w:col w:w="11300"/>
          </w:cols>
          <w:pgMar w:left="300" w:top="803" w:right="2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color w:val="auto"/>
        </w:rPr>
        <w:t>If you have any questions or need any further information about our offer, please contact me directly.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Congratulations,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Vimal Kapur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rPr>
          <w:sz w:val="20"/>
          <w:szCs w:val="20"/>
          <w:color w:val="auto"/>
        </w:rPr>
      </w:pPr>
      <w:r>
        <w:rPr>
          <w:rFonts w:ascii="Times New Roman" w:cs="Times New Roman" w:eastAsia="Times New Roman" w:hAnsi="Times New Roman"/>
          <w:sz w:val="14"/>
          <w:szCs w:val="14"/>
          <w:color w:val="auto"/>
        </w:rPr>
        <w:t>Honeywell International Inc.</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Read and Accepted:</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James Currier</w:t>
            </w: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June 14, 2023</w:t>
            </w:r>
          </w:p>
        </w:tc>
      </w:tr>
      <w:tr>
        <w:trPr>
          <w:trHeight w:val="179"/>
        </w:trPr>
        <w:tc>
          <w:tcPr>
            <w:tcW w:w="1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JAMES E. CURRIER</w:t>
            </w:r>
          </w:p>
        </w:tc>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(E355611)</w:t>
            </w: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w w:val="75"/>
              </w:rPr>
              <w:t>Date</w:t>
            </w:r>
          </w:p>
        </w:tc>
      </w:tr>
    </w:tbl>
    <w:p>
      <w:pPr>
        <w:spacing w:after="0" w:line="2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All businesses experience changing conditions. Accordingly, we reserve the right to change work assignments, reporting relationships and staffing levels to meet business needs, and your employment with Honeywell will be on an "at will" basis. This means that there is no guarantee of employment for any specific period, and either you or Honeywell may terminate your employment at any time.</w:t>
      </w:r>
    </w:p>
    <w:p>
      <w:pPr>
        <w:spacing w:after="0" w:line="1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b w:val="1"/>
          <w:bCs w:val="1"/>
          <w:i w:val="1"/>
          <w:iCs w:val="1"/>
          <w:color w:val="auto"/>
        </w:rPr>
        <w:t>The descriptions of benefits and perquisites described in this offer letter are for general information purposes only and are not intended to modify any plan document, summary plan description (“SPD”) or prospectus. For a complete description of any benefit or perquisite, you may request a copy of the applicable plan document, SPD or prospectus. The Company reserves the right to modify, amend or terminate any benefit plan or perquisite in its sole and absolute discretion.</w:t>
      </w:r>
    </w:p>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3</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b w:val="1"/>
          <w:bCs w:val="1"/>
          <w:color w:val="auto"/>
        </w:rPr>
        <w:t>4</w:t>
      </w:r>
    </w:p>
    <w:p>
      <w:pPr>
        <w:sectPr>
          <w:pgSz w:w="11900" w:h="16838" w:orient="portrait"/>
          <w:cols w:equalWidth="0" w:num="1">
            <w:col w:w="11300"/>
          </w:cols>
          <w:pgMar w:left="300" w:top="814" w:right="299" w:bottom="1440" w:gutter="0" w:footer="0" w:header="0"/>
        </w:sectPr>
      </w:pPr>
    </w:p>
    <w:bookmarkStart w:id="165" w:name="page166"/>
    <w:bookmarkEnd w:id="165"/>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Document Category: </w:t>
      </w:r>
      <w:r>
        <w:rPr>
          <w:rFonts w:ascii="Arial" w:cs="Arial" w:eastAsia="Arial" w:hAnsi="Arial"/>
          <w:sz w:val="14"/>
          <w:szCs w:val="14"/>
          <w:color w:val="auto"/>
        </w:rPr>
        <w:t>Hiring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Document Type: </w:t>
      </w:r>
      <w:r>
        <w:rPr>
          <w:rFonts w:ascii="Arial" w:cs="Arial" w:eastAsia="Arial" w:hAnsi="Arial"/>
          <w:sz w:val="14"/>
          <w:szCs w:val="14"/>
          <w:color w:val="auto"/>
        </w:rPr>
        <w:t>Offer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Employee File Management Purpose Only</w:t>
      </w: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4</w:t>
      </w:r>
      <w:r>
        <w:rPr>
          <w:rFonts w:ascii="Times New Roman" w:cs="Times New Roman" w:eastAsia="Times New Roman" w:hAnsi="Times New Roman"/>
          <w:sz w:val="12"/>
          <w:szCs w:val="12"/>
          <w:color w:val="auto"/>
        </w:rPr>
        <w:t xml:space="preserve"> of </w:t>
      </w:r>
      <w:r>
        <w:rPr>
          <w:rFonts w:ascii="Times New Roman" w:cs="Times New Roman" w:eastAsia="Times New Roman" w:hAnsi="Times New Roman"/>
          <w:sz w:val="12"/>
          <w:szCs w:val="12"/>
          <w:b w:val="1"/>
          <w:bCs w:val="1"/>
          <w:color w:val="auto"/>
        </w:rPr>
        <w:t>4</w:t>
      </w:r>
    </w:p>
    <w:p>
      <w:pPr>
        <w:sectPr>
          <w:pgSz w:w="11900" w:h="16838" w:orient="portrait"/>
          <w:cols w:equalWidth="0" w:num="1">
            <w:col w:w="11300"/>
          </w:cols>
          <w:pgMar w:left="300" w:top="1440" w:right="299" w:bottom="1440" w:gutter="0" w:footer="0" w:header="0"/>
        </w:sectPr>
      </w:pPr>
    </w:p>
    <w:bookmarkStart w:id="166" w:name="page167"/>
    <w:bookmarkEnd w:id="166"/>
    <w:p>
      <w:pPr>
        <w:jc w:val="center"/>
        <w:ind w:right="-7"/>
        <w:spacing w:after="0"/>
        <w:rPr>
          <w:sz w:val="20"/>
          <w:szCs w:val="20"/>
          <w:color w:val="auto"/>
        </w:rPr>
      </w:pPr>
      <w:r>
        <w:rPr>
          <w:rFonts w:ascii="Times New Roman" w:cs="Times New Roman" w:eastAsia="Times New Roman" w:hAnsi="Times New Roman"/>
          <w:sz w:val="19"/>
          <w:szCs w:val="19"/>
          <w:b w:val="1"/>
          <w:bCs w:val="1"/>
          <w:color w:val="auto"/>
        </w:rPr>
        <w:t>HONEYWELL INTERNATIONAL INC.</w:t>
      </w:r>
    </w:p>
    <w:p>
      <w:pPr>
        <w:jc w:val="center"/>
        <w:ind w:right="-7"/>
        <w:spacing w:after="0" w:line="207" w:lineRule="auto"/>
        <w:rPr>
          <w:sz w:val="20"/>
          <w:szCs w:val="20"/>
          <w:color w:val="auto"/>
        </w:rPr>
      </w:pPr>
      <w:r>
        <w:rPr>
          <w:rFonts w:ascii="Times New Roman" w:cs="Times New Roman" w:eastAsia="Times New Roman" w:hAnsi="Times New Roman"/>
          <w:sz w:val="19"/>
          <w:szCs w:val="19"/>
          <w:color w:val="auto"/>
        </w:rPr>
        <w:t>Employee Agreement Relating to Trade Secrets,</w:t>
      </w:r>
    </w:p>
    <w:p>
      <w:pPr>
        <w:spacing w:after="0" w:line="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9"/>
          <w:szCs w:val="19"/>
          <w:color w:val="auto"/>
        </w:rPr>
        <w:t>Proprietary and Confidential Information</w:t>
      </w:r>
    </w:p>
    <w:p>
      <w:pPr>
        <w:spacing w:after="0" w:line="134" w:lineRule="exact"/>
        <w:rPr>
          <w:sz w:val="20"/>
          <w:szCs w:val="20"/>
          <w:color w:val="auto"/>
        </w:rPr>
      </w:pPr>
    </w:p>
    <w:p>
      <w:pPr>
        <w:ind w:left="8" w:right="20"/>
        <w:spacing w:after="0"/>
        <w:rPr>
          <w:sz w:val="20"/>
          <w:szCs w:val="20"/>
          <w:color w:val="auto"/>
        </w:rPr>
      </w:pPr>
      <w:r>
        <w:rPr>
          <w:rFonts w:ascii="Times New Roman" w:cs="Times New Roman" w:eastAsia="Times New Roman" w:hAnsi="Times New Roman"/>
          <w:sz w:val="13"/>
          <w:szCs w:val="13"/>
          <w:b w:val="1"/>
          <w:bCs w:val="1"/>
          <w:color w:val="auto"/>
        </w:rPr>
        <w:t>In consideration of my employment, continued employment, compensation, eligibility for any future discretionary raises or merit increases, eligibility for any future bonuses, awards or payments under any Honeywell incentive compensation or equity programs or plans and the equipment, materials, facilities and Honeywell Confidential Information supplied to me, I understand and agree that:</w:t>
      </w:r>
    </w:p>
    <w:p>
      <w:pPr>
        <w:spacing w:after="0" w:line="124" w:lineRule="exact"/>
        <w:rPr>
          <w:sz w:val="20"/>
          <w:szCs w:val="20"/>
          <w:color w:val="auto"/>
        </w:rPr>
      </w:pPr>
    </w:p>
    <w:p>
      <w:pPr>
        <w:jc w:val="both"/>
        <w:ind w:left="348" w:hanging="348"/>
        <w:spacing w:after="0" w:line="232" w:lineRule="auto"/>
        <w:tabs>
          <w:tab w:leader="none" w:pos="353" w:val="left"/>
        </w:tabs>
        <w:numPr>
          <w:ilvl w:val="0"/>
          <w:numId w:val="22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Records of Inventions. </w:t>
      </w:r>
      <w:r>
        <w:rPr>
          <w:rFonts w:ascii="Times New Roman" w:cs="Times New Roman" w:eastAsia="Times New Roman" w:hAnsi="Times New Roman"/>
          <w:sz w:val="13"/>
          <w:szCs w:val="13"/>
          <w:color w:val="auto"/>
        </w:rPr>
        <w:t>I will keep complete and current written records of all Inventions I Make during the period of time I am employed by Honeywell and promptly disclose all such Inventions in writing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to Honeywell for the purpose of adequately determining Honeywell’s rights in each such Invention. I will supplement any such disclosures to the extent Honeywell may request that I do so. If I have any doubt as to whether or not to disclose an Invention to Honeywell, I will disclose it.</w:t>
      </w:r>
    </w:p>
    <w:p>
      <w:pPr>
        <w:spacing w:after="0" w:line="124" w:lineRule="exact"/>
        <w:rPr>
          <w:rFonts w:ascii="Times New Roman" w:cs="Times New Roman" w:eastAsia="Times New Roman" w:hAnsi="Times New Roman"/>
          <w:sz w:val="13"/>
          <w:szCs w:val="13"/>
          <w:b w:val="1"/>
          <w:bCs w:val="1"/>
          <w:color w:val="auto"/>
        </w:rPr>
      </w:pPr>
    </w:p>
    <w:p>
      <w:pPr>
        <w:jc w:val="both"/>
        <w:ind w:left="348" w:hanging="348"/>
        <w:spacing w:after="0" w:line="222" w:lineRule="auto"/>
        <w:tabs>
          <w:tab w:leader="none" w:pos="344" w:val="left"/>
        </w:tabs>
        <w:numPr>
          <w:ilvl w:val="0"/>
          <w:numId w:val="22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Disclosure of Inventions after Termination. </w:t>
      </w:r>
      <w:r>
        <w:rPr>
          <w:rFonts w:ascii="Times New Roman" w:cs="Times New Roman" w:eastAsia="Times New Roman" w:hAnsi="Times New Roman"/>
          <w:sz w:val="13"/>
          <w:szCs w:val="13"/>
          <w:color w:val="auto"/>
        </w:rPr>
        <w:t>Without further compensation, I will promptly and completely disclose in a confidential writing to Honeywell’s Law Department all Inventions that I Make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during the one year immediately following the end of my employment by Honeywell that are based upon Honeywell’s Confidential Information for the purpose of determining Honeywell’s rights in each such Invention before filing any application for patents on such Inventions. I will not file any patent application relating to any such Invention without the prior written consent of Honeywell’s Law Department. If I do not prove that I Made the Invention entirely after leaving Honeywell’s employment and without using or incorporating Honeywell’s Confidential Information, the Invention is presumed to have been Made during the period of time I was employed by Honeywell. I acknowledge that the conditions of this paragraph are no greater than is necessary for protecting Honeywell’s interests in Confidential Information and in Inventions to which it is rightfully entitled.</w:t>
      </w:r>
    </w:p>
    <w:p>
      <w:pPr>
        <w:spacing w:after="0" w:line="124" w:lineRule="exact"/>
        <w:rPr>
          <w:rFonts w:ascii="Times New Roman" w:cs="Times New Roman" w:eastAsia="Times New Roman" w:hAnsi="Times New Roman"/>
          <w:sz w:val="13"/>
          <w:szCs w:val="13"/>
          <w:b w:val="1"/>
          <w:bCs w:val="1"/>
          <w:color w:val="auto"/>
        </w:rPr>
      </w:pPr>
    </w:p>
    <w:p>
      <w:pPr>
        <w:jc w:val="both"/>
        <w:ind w:left="348" w:hanging="348"/>
        <w:spacing w:after="0" w:line="220" w:lineRule="auto"/>
        <w:tabs>
          <w:tab w:leader="none" w:pos="344" w:val="left"/>
        </w:tabs>
        <w:numPr>
          <w:ilvl w:val="0"/>
          <w:numId w:val="22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Ownership of Inventions. </w:t>
      </w:r>
      <w:r>
        <w:rPr>
          <w:rFonts w:ascii="Times New Roman" w:cs="Times New Roman" w:eastAsia="Times New Roman" w:hAnsi="Times New Roman"/>
          <w:sz w:val="13"/>
          <w:szCs w:val="13"/>
          <w:color w:val="auto"/>
        </w:rPr>
        <w:t>I agree that each and every Invention I Make during the period of time I am employed by Honeywell (a) that relates directly to the business of Honeywell or to Honeywell’s actual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or demonstrably anticipated research or development, or (b) that results from any work I perform for Honeywell is the sole and exclusive property of Honeywell, and will continue to be the sole and exclusive property of Honeywell pursuant to this Agreement without any further action required by either party. I hereby irrevocably assign my entire right, title and interest in each such Invention to Honeywell. If, at any time, a court or other tribunal rules that my assignment under this paragraph is ineffective or unenforceable for any reason, I agree to perform all actions necessary to assign these Inventions and/or pre-employment Inventions to Honeywell. Each Invention I Make during the period of time I am employed by Honeywell for which no equipment, supplies, facilities or Honeywell Confidential Information was used and that was developed entirely on my own time is my property, unless (a) the Invention relates directly to the business of Honeywell or to Honeywell’s actual or demonstrably anticipated research or development, or (b) the Invention results from any work performed by me for Honeywell. If I assert any property right in an Invention I Make during the period of time I am employed by Honeywell, I will promptly notify Honeywell’s Law Department in writing.</w:t>
      </w:r>
    </w:p>
    <w:p>
      <w:pPr>
        <w:spacing w:after="0" w:line="118" w:lineRule="exact"/>
        <w:rPr>
          <w:rFonts w:ascii="Times New Roman" w:cs="Times New Roman" w:eastAsia="Times New Roman" w:hAnsi="Times New Roman"/>
          <w:sz w:val="13"/>
          <w:szCs w:val="13"/>
          <w:b w:val="1"/>
          <w:bCs w:val="1"/>
          <w:color w:val="auto"/>
        </w:rPr>
      </w:pPr>
    </w:p>
    <w:p>
      <w:pPr>
        <w:jc w:val="both"/>
        <w:ind w:left="348" w:hanging="348"/>
        <w:spacing w:after="0" w:line="220" w:lineRule="auto"/>
        <w:tabs>
          <w:tab w:leader="none" w:pos="344" w:val="left"/>
        </w:tabs>
        <w:numPr>
          <w:ilvl w:val="0"/>
          <w:numId w:val="22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Cooperation with Honeywell and Assignment of Rights. </w:t>
      </w:r>
      <w:r>
        <w:rPr>
          <w:rFonts w:ascii="Times New Roman" w:cs="Times New Roman" w:eastAsia="Times New Roman" w:hAnsi="Times New Roman"/>
          <w:sz w:val="13"/>
          <w:szCs w:val="13"/>
          <w:color w:val="auto"/>
        </w:rPr>
        <w:t>In addition to the foregoing assignment of Inventions to Honeywell, I hereby irrevocably transfer and assign to Honeywell (and agree to sign 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further documents to irrevocably transfer and assign to Honeywell): (i) all worldwide patents, patent applications, copyrights, mask works, trade secrets and other intellectual property rights, including but not limited to rights in databases, in any Inventions owned by Honeywell pursuant to paragraph 3 of this Agreement, along with any registrations of or applications to register such rights; (ii) any and all Moral Rights that I may have in or with respect to any such Inventions; and (iii) all worldwide trademark applications or registrations, domain names or social or business networking/media account or identification names related to the scope of my employment. I also hereby forever waive and agree never to assert any and all Moral Rights I may have in or with respect to any assigned Inventions, even after termination of my work on behalf of Honeywell. I agree to assist and fully cooperate with Honeywell in obtaining, and enforcing Honeywell’s patents, copyrights, mask work rights, trade secret rights and other legal protections for such Inventions. I will also assist and fully cooperate with Honeywell in defending Honeywell against claims of violation of the intellectual property rights of others. I will be paid my reasonable expenses in assisting, and cooperating with, Honeywell. I will</w:t>
      </w:r>
    </w:p>
    <w:p>
      <w:pPr>
        <w:spacing w:after="0" w:line="200" w:lineRule="exact"/>
        <w:rPr>
          <w:sz w:val="20"/>
          <w:szCs w:val="20"/>
          <w:color w:val="auto"/>
        </w:rPr>
      </w:pPr>
    </w:p>
    <w:p>
      <w:pPr>
        <w:spacing w:after="0" w:line="353" w:lineRule="exact"/>
        <w:rPr>
          <w:sz w:val="20"/>
          <w:szCs w:val="20"/>
          <w:color w:val="auto"/>
        </w:rPr>
      </w:pPr>
    </w:p>
    <w:p>
      <w:pPr>
        <w:ind w:left="8"/>
        <w:spacing w:after="0"/>
        <w:tabs>
          <w:tab w:leader="none" w:pos="2588" w:val="left"/>
          <w:tab w:leader="none" w:pos="3328" w:val="left"/>
        </w:tabs>
        <w:rPr>
          <w:sz w:val="20"/>
          <w:szCs w:val="20"/>
          <w:color w:val="auto"/>
        </w:rPr>
      </w:pPr>
      <w:r>
        <w:rPr>
          <w:rFonts w:ascii="Times New Roman" w:cs="Times New Roman" w:eastAsia="Times New Roman" w:hAnsi="Times New Roman"/>
          <w:sz w:val="13"/>
          <w:szCs w:val="13"/>
          <w:color w:val="auto"/>
        </w:rPr>
        <w:t>IP Agreement – US NON-CALIFORNIA – R</w:t>
        <w:tab/>
        <w:t>Page 1 of 9</w:t>
        <w:tab/>
        <w:t>Revised 05-1-2019</w:t>
      </w:r>
    </w:p>
    <w:p>
      <w:pPr>
        <w:sectPr>
          <w:pgSz w:w="11900" w:h="16838" w:orient="portrait"/>
          <w:cols w:equalWidth="0" w:num="1">
            <w:col w:w="11308"/>
          </w:cols>
          <w:pgMar w:left="292" w:top="785" w:right="299" w:bottom="1440" w:gutter="0" w:footer="0" w:header="0"/>
        </w:sectPr>
      </w:pPr>
    </w:p>
    <w:bookmarkStart w:id="167" w:name="page168"/>
    <w:bookmarkEnd w:id="167"/>
    <w:p>
      <w:pPr>
        <w:ind w:left="348"/>
        <w:spacing w:after="0" w:line="220" w:lineRule="auto"/>
        <w:rPr>
          <w:sz w:val="20"/>
          <w:szCs w:val="20"/>
          <w:color w:val="auto"/>
        </w:rPr>
      </w:pPr>
      <w:r>
        <w:rPr>
          <w:rFonts w:ascii="Times New Roman" w:cs="Times New Roman" w:eastAsia="Times New Roman" w:hAnsi="Times New Roman"/>
          <w:sz w:val="13"/>
          <w:szCs w:val="13"/>
          <w:color w:val="auto"/>
        </w:rPr>
        <w:t>execute any lawful document Honeywell requests me to execute relating to obtaining, maintaining, asserting or enforcing legal protection for any said Invention or in defending against claims of the violation of the intellectual property rights of others (including, but not limited to, executing applications, assignments, oaths, declarations, and affidavits) and I will make myself available for interviews, depositions</w:t>
      </w:r>
    </w:p>
    <w:p>
      <w:pPr>
        <w:ind w:left="348"/>
        <w:spacing w:after="0" w:line="218" w:lineRule="auto"/>
        <w:rPr>
          <w:sz w:val="20"/>
          <w:szCs w:val="20"/>
          <w:color w:val="auto"/>
        </w:rPr>
      </w:pPr>
      <w:r>
        <w:rPr>
          <w:rFonts w:ascii="Times New Roman" w:cs="Times New Roman" w:eastAsia="Times New Roman" w:hAnsi="Times New Roman"/>
          <w:sz w:val="13"/>
          <w:szCs w:val="13"/>
          <w:color w:val="auto"/>
        </w:rPr>
        <w:t>and testimony. In the event that Honeywell is unable, after reasonable effort, to secure my signature on any document or documents needed to apply for or prosecute any patent, copyright, or other right or</w:t>
      </w:r>
    </w:p>
    <w:p>
      <w:pPr>
        <w:jc w:val="both"/>
        <w:ind w:left="348"/>
        <w:spacing w:after="0" w:line="209" w:lineRule="auto"/>
        <w:rPr>
          <w:sz w:val="20"/>
          <w:szCs w:val="20"/>
          <w:color w:val="auto"/>
        </w:rPr>
      </w:pPr>
      <w:r>
        <w:rPr>
          <w:rFonts w:ascii="Times New Roman" w:cs="Times New Roman" w:eastAsia="Times New Roman" w:hAnsi="Times New Roman"/>
          <w:sz w:val="13"/>
          <w:szCs w:val="13"/>
          <w:color w:val="auto"/>
        </w:rPr>
        <w:t>protection relating to an Invention or right mentioned above, for any other reason whatsoever, I hereby irrevocably designate and appoint Honeywell and its duly authorized officers and agents as my agent and attorney-in-fact, to act for and on my behalf to execute and file any such application or applications, and to do all other lawfully-permitted acts to further the prosecution and issuance of patents,</w:t>
      </w:r>
    </w:p>
    <w:p>
      <w:pPr>
        <w:spacing w:after="0" w:line="1"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3"/>
          <w:szCs w:val="13"/>
          <w:color w:val="auto"/>
        </w:rPr>
        <w:t>copyrights, or similar protections thereon with the same legal force and effect as if executed by me for this purpose.</w:t>
      </w:r>
    </w:p>
    <w:p>
      <w:pPr>
        <w:spacing w:after="0" w:line="132" w:lineRule="exact"/>
        <w:rPr>
          <w:sz w:val="20"/>
          <w:szCs w:val="20"/>
          <w:color w:val="auto"/>
        </w:rPr>
      </w:pPr>
    </w:p>
    <w:p>
      <w:pPr>
        <w:jc w:val="both"/>
        <w:ind w:left="348" w:hanging="348"/>
        <w:spacing w:after="0" w:line="221" w:lineRule="auto"/>
        <w:tabs>
          <w:tab w:leader="none" w:pos="344" w:val="left"/>
        </w:tabs>
        <w:numPr>
          <w:ilvl w:val="0"/>
          <w:numId w:val="22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Pre-employment Inventions. </w:t>
      </w:r>
      <w:r>
        <w:rPr>
          <w:rFonts w:ascii="Times New Roman" w:cs="Times New Roman" w:eastAsia="Times New Roman" w:hAnsi="Times New Roman"/>
          <w:sz w:val="13"/>
          <w:szCs w:val="13"/>
          <w:color w:val="auto"/>
        </w:rPr>
        <w:t>On Schedule A, which is an integral part of this Agreement, I have completely identified (without disclosing any trade secret or other confidential information) every Invention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 Made before my employment by Honeywell in which I have an ownership interest and that is not the subject matter of an issued patent or a printed publication at the time I sign this Agreement. If I become aware of any projected or actual use of any such Invention by Honeywell, I will promptly notify Honeywell in writing of said use. I acknowledge and agree that if I use any of my pre-employment Inventions in the scope of my employment, or include them in any product or service of Honeywell, I hereby grant to Honeywell a perpetual, irrevocable, nonexclusive, world-wide, royalty-free license without any further action required by either party to use, disclose, make, sell, copy, distribute, modify and create works based on, perform or display such pre-employment Inventions and to sublicense third parties with the same rights. Except as to the Inventions listed on Schedule A or those that are the subject matter of an issued patent or a printed publication at the time I sign this Agreement, I will not assert any rights against Honeywell with respect to any Invention Made before my employment by Honeywell.</w:t>
      </w:r>
    </w:p>
    <w:p>
      <w:pPr>
        <w:spacing w:after="0" w:line="116" w:lineRule="exact"/>
        <w:rPr>
          <w:rFonts w:ascii="Times New Roman" w:cs="Times New Roman" w:eastAsia="Times New Roman" w:hAnsi="Times New Roman"/>
          <w:sz w:val="13"/>
          <w:szCs w:val="13"/>
          <w:b w:val="1"/>
          <w:bCs w:val="1"/>
          <w:color w:val="auto"/>
        </w:rPr>
      </w:pPr>
    </w:p>
    <w:p>
      <w:pPr>
        <w:jc w:val="both"/>
        <w:ind w:left="348" w:hanging="348"/>
        <w:spacing w:after="0" w:line="218" w:lineRule="auto"/>
        <w:tabs>
          <w:tab w:leader="none" w:pos="344" w:val="left"/>
        </w:tabs>
        <w:numPr>
          <w:ilvl w:val="0"/>
          <w:numId w:val="22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Honeywell’s Confidential Information. </w:t>
      </w:r>
      <w:r>
        <w:rPr>
          <w:rFonts w:ascii="Times New Roman" w:cs="Times New Roman" w:eastAsia="Times New Roman" w:hAnsi="Times New Roman"/>
          <w:sz w:val="13"/>
          <w:szCs w:val="13"/>
          <w:color w:val="auto"/>
        </w:rPr>
        <w:t>I will never, directly or indirectly, during or after my employment with Honeywell misappropriate, use or disclose Honeywell’s Confidential Information except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furthering Honeywell’s business nor will I disclose or disseminate at any time Honeywell’s Confidential Information to anyone who is not an officer, director, employee, attorney or authorized agent of Honeywell without the prior written consent of Honeywell’s Law Department, unless the specific item of Honeywell’s Confidential Information: (a) is now, or hereafter (through no breach of this Agreement) becomes, general public knowledge, or (b) prior to my disclosure, dissemination or use, was lawfully acquired by me without any obligation to retain the information in confidence. In this connection, I will not publish any of Honeywell’s Confidential Information for dissemination outside Honeywell or file any patent application relating to any Invention I Make during the period of time I am employed by Honeywell without the prior written approval of Honeywell’s Law Department. I will execute any agreement relating to the protection of Honeywell’s Confidential Information or such information of any third party whose intellectual property Honeywell is under a legal obligation to protect if Honeywell requests that I do so. I will not engage without the prior written consent of Honeywell’s Law Department, either during the period of time I am employed by Honeywell or for a period of two (2) years following my Termination of Employment for any reason, in any activity or employment in the faithful performance of which it could be reasonably anticipated that I would use or disclose Honeywell’s Confidential Information. All documents and tangible things embodying or containing Honeywell’s Confidential Information are Honeywell’s exclusive property. I have access to them solely for performing the duties of my employment by Honeywell. I will protect the confidentiality of their content and comply with all security policies and procedures, which may, from time to time, be established by Honeywell. I will return all of them and all copies, facsimiles and specimens of them and any other tangible forms of Honeywell’s Confidential Information in my possession, custody or control to Honeywell before leaving the employment of Honeywell.</w:t>
      </w:r>
    </w:p>
    <w:p>
      <w:pPr>
        <w:spacing w:after="0" w:line="118" w:lineRule="exact"/>
        <w:rPr>
          <w:rFonts w:ascii="Times New Roman" w:cs="Times New Roman" w:eastAsia="Times New Roman" w:hAnsi="Times New Roman"/>
          <w:sz w:val="13"/>
          <w:szCs w:val="13"/>
          <w:b w:val="1"/>
          <w:bCs w:val="1"/>
          <w:color w:val="auto"/>
        </w:rPr>
      </w:pPr>
    </w:p>
    <w:p>
      <w:pPr>
        <w:ind w:left="348"/>
        <w:spacing w:after="0" w:line="252"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 understand that I have the right to use or practice any skill or expertise generally associated with my employment but not special or unique to Honeywell, but that I do not have the right to use, practice or disclose Honeywell’s Confidential Information for my own benefit or for the benefit of any third party.</w:t>
      </w:r>
    </w:p>
    <w:p>
      <w:pPr>
        <w:spacing w:after="0" w:line="118" w:lineRule="exact"/>
        <w:rPr>
          <w:rFonts w:ascii="Times New Roman" w:cs="Times New Roman" w:eastAsia="Times New Roman" w:hAnsi="Times New Roman"/>
          <w:sz w:val="13"/>
          <w:szCs w:val="13"/>
          <w:b w:val="1"/>
          <w:bCs w:val="1"/>
          <w:color w:val="auto"/>
        </w:rPr>
      </w:pPr>
    </w:p>
    <w:p>
      <w:pPr>
        <w:jc w:val="both"/>
        <w:ind w:left="348"/>
        <w:spacing w:after="0" w:line="231"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 understand that I may not be held criminally or civilly liable under any federal or state trade secret law for the disclosure of a trade secret that is made (a) in confidence to a federal, state or local government official, either directly or indirectly, or to an attorney if such disclosure is made solely for the purpose of reporting or investigating a suspected violation of law or for pursuing an anti-retaliation lawsuit; or (b) in a complaint or</w:t>
      </w:r>
    </w:p>
    <w:p>
      <w:pPr>
        <w:spacing w:after="0" w:line="200" w:lineRule="exact"/>
        <w:rPr>
          <w:sz w:val="20"/>
          <w:szCs w:val="20"/>
          <w:color w:val="auto"/>
        </w:rPr>
      </w:pPr>
    </w:p>
    <w:p>
      <w:pPr>
        <w:spacing w:after="0" w:line="349" w:lineRule="exact"/>
        <w:rPr>
          <w:sz w:val="20"/>
          <w:szCs w:val="20"/>
          <w:color w:val="auto"/>
        </w:rPr>
      </w:pPr>
    </w:p>
    <w:p>
      <w:pPr>
        <w:ind w:left="8"/>
        <w:spacing w:after="0"/>
        <w:tabs>
          <w:tab w:leader="none" w:pos="2588" w:val="left"/>
          <w:tab w:leader="none" w:pos="3328" w:val="left"/>
        </w:tabs>
        <w:rPr>
          <w:sz w:val="20"/>
          <w:szCs w:val="20"/>
          <w:color w:val="auto"/>
        </w:rPr>
      </w:pPr>
      <w:r>
        <w:rPr>
          <w:rFonts w:ascii="Times New Roman" w:cs="Times New Roman" w:eastAsia="Times New Roman" w:hAnsi="Times New Roman"/>
          <w:sz w:val="13"/>
          <w:szCs w:val="13"/>
          <w:color w:val="auto"/>
        </w:rPr>
        <w:t>IP Agreement – US NON-CALIFORNIA – R</w:t>
        <w:tab/>
        <w:t>Page 2 of 9</w:t>
        <w:tab/>
        <w:t>Revised 05-1-2019</w:t>
      </w:r>
    </w:p>
    <w:p>
      <w:pPr>
        <w:sectPr>
          <w:pgSz w:w="11900" w:h="16838" w:orient="portrait"/>
          <w:cols w:equalWidth="0" w:num="1">
            <w:col w:w="11308"/>
          </w:cols>
          <w:pgMar w:left="292" w:top="809" w:right="299" w:bottom="1440" w:gutter="0" w:footer="0" w:header="0"/>
        </w:sectPr>
      </w:pPr>
    </w:p>
    <w:bookmarkStart w:id="168" w:name="page169"/>
    <w:bookmarkEnd w:id="168"/>
    <w:p>
      <w:pPr>
        <w:ind w:left="348"/>
        <w:spacing w:after="0"/>
        <w:rPr>
          <w:sz w:val="20"/>
          <w:szCs w:val="20"/>
          <w:color w:val="auto"/>
        </w:rPr>
      </w:pPr>
      <w:r>
        <w:rPr>
          <w:rFonts w:ascii="Times New Roman" w:cs="Times New Roman" w:eastAsia="Times New Roman" w:hAnsi="Times New Roman"/>
          <w:sz w:val="13"/>
          <w:szCs w:val="13"/>
          <w:color w:val="auto"/>
        </w:rPr>
        <w:t>other document filed in a lawsuit or other proceeding, if such filing is made under seal and I do not disclose the trade secret except pursuant to a court order.</w:t>
      </w:r>
    </w:p>
    <w:p>
      <w:pPr>
        <w:spacing w:after="0" w:line="139" w:lineRule="exact"/>
        <w:rPr>
          <w:sz w:val="20"/>
          <w:szCs w:val="20"/>
          <w:color w:val="auto"/>
        </w:rPr>
      </w:pPr>
    </w:p>
    <w:p>
      <w:pPr>
        <w:ind w:left="348"/>
        <w:spacing w:after="0" w:line="227" w:lineRule="auto"/>
        <w:rPr>
          <w:sz w:val="20"/>
          <w:szCs w:val="20"/>
          <w:color w:val="auto"/>
        </w:rPr>
      </w:pPr>
      <w:r>
        <w:rPr>
          <w:rFonts w:ascii="Times New Roman" w:cs="Times New Roman" w:eastAsia="Times New Roman" w:hAnsi="Times New Roman"/>
          <w:sz w:val="13"/>
          <w:szCs w:val="13"/>
          <w:color w:val="auto"/>
        </w:rPr>
        <w:t>I acknowledge that I have been hereby provided notice that federal law provides that an individual shall not be held criminally or civilly liable under any federal or state trade secret law for the disclosure of a trade secret where: (a) the disclosure is made (i) in confidence to a Federal, State, or local government official, either directly or indirectly, or to an attorney; and (ii) solely for the purpose of reporting or</w:t>
      </w:r>
    </w:p>
    <w:p>
      <w:pPr>
        <w:spacing w:after="0" w:line="1" w:lineRule="exact"/>
        <w:rPr>
          <w:sz w:val="20"/>
          <w:szCs w:val="20"/>
          <w:color w:val="auto"/>
        </w:rPr>
      </w:pPr>
    </w:p>
    <w:p>
      <w:pPr>
        <w:ind w:left="348"/>
        <w:spacing w:after="0" w:line="209" w:lineRule="auto"/>
        <w:rPr>
          <w:sz w:val="20"/>
          <w:szCs w:val="20"/>
          <w:color w:val="auto"/>
        </w:rPr>
      </w:pPr>
      <w:r>
        <w:rPr>
          <w:rFonts w:ascii="Times New Roman" w:cs="Times New Roman" w:eastAsia="Times New Roman" w:hAnsi="Times New Roman"/>
          <w:sz w:val="13"/>
          <w:szCs w:val="13"/>
          <w:color w:val="auto"/>
        </w:rPr>
        <w:t>investigating a suspected violation of law; or (b) the disclosure is made in a complaint or other document filed in a lawsuit or other proceeding, if such filing is made under seal. Federal law also provides that an individual who files a lawsuit for retaliation by an employer for reporting a suspected violation of law may disclose the trade secret to the attorney of the individual and use the trade secret information in</w:t>
      </w:r>
    </w:p>
    <w:p>
      <w:pPr>
        <w:spacing w:after="0" w:line="1" w:lineRule="exact"/>
        <w:rPr>
          <w:sz w:val="20"/>
          <w:szCs w:val="20"/>
          <w:color w:val="auto"/>
        </w:rPr>
      </w:pPr>
    </w:p>
    <w:p>
      <w:pPr>
        <w:ind w:left="348" w:right="20"/>
        <w:spacing w:after="0" w:line="234" w:lineRule="auto"/>
        <w:rPr>
          <w:sz w:val="20"/>
          <w:szCs w:val="20"/>
          <w:color w:val="auto"/>
        </w:rPr>
      </w:pPr>
      <w:r>
        <w:rPr>
          <w:rFonts w:ascii="Times New Roman" w:cs="Times New Roman" w:eastAsia="Times New Roman" w:hAnsi="Times New Roman"/>
          <w:sz w:val="13"/>
          <w:szCs w:val="13"/>
          <w:color w:val="auto"/>
        </w:rPr>
        <w:t xml:space="preserve">the court proceeding, if the individual (x) files any document containing the trade secret under seal; and (y) does not disclose the trade secret, except pursuant to court order. </w:t>
      </w:r>
      <w:r>
        <w:rPr>
          <w:rFonts w:ascii="Times New Roman" w:cs="Times New Roman" w:eastAsia="Times New Roman" w:hAnsi="Times New Roman"/>
          <w:sz w:val="13"/>
          <w:szCs w:val="13"/>
          <w:b w:val="1"/>
          <w:bCs w:val="1"/>
          <w:color w:val="auto"/>
        </w:rPr>
        <w:t>I understand that in the event it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is determined that disclosure of trade secrets was not done in good faith for the reasons described above, I will be subject to substantial damages, including punitive damages and attorneys’ fees.</w:t>
      </w:r>
    </w:p>
    <w:p>
      <w:pPr>
        <w:spacing w:after="0" w:line="118" w:lineRule="exact"/>
        <w:rPr>
          <w:sz w:val="20"/>
          <w:szCs w:val="20"/>
          <w:color w:val="auto"/>
        </w:rPr>
      </w:pPr>
    </w:p>
    <w:p>
      <w:pPr>
        <w:ind w:left="348"/>
        <w:spacing w:after="0" w:line="227" w:lineRule="auto"/>
        <w:rPr>
          <w:sz w:val="20"/>
          <w:szCs w:val="20"/>
          <w:color w:val="auto"/>
        </w:rPr>
      </w:pPr>
      <w:r>
        <w:rPr>
          <w:rFonts w:ascii="Times New Roman" w:cs="Times New Roman" w:eastAsia="Times New Roman" w:hAnsi="Times New Roman"/>
          <w:sz w:val="13"/>
          <w:szCs w:val="13"/>
          <w:color w:val="auto"/>
        </w:rPr>
        <w:t>The provisions of this Agreement are consistent with and do not supersede, conflict with, or otherwise alter any employee’s obligations, rights, or liabilities created by existing statute or Executive Order relating to (i) classified information, (ii) communications to Congress, (iii) the reporting to an Inspector General of a violation of any law, rule, or regulation, or mismanagement, a gross waste of funds, an</w:t>
      </w:r>
    </w:p>
    <w:p>
      <w:pPr>
        <w:spacing w:after="0" w:line="1" w:lineRule="exact"/>
        <w:rPr>
          <w:sz w:val="20"/>
          <w:szCs w:val="20"/>
          <w:color w:val="auto"/>
        </w:rPr>
      </w:pPr>
    </w:p>
    <w:p>
      <w:pPr>
        <w:ind w:left="348" w:right="20"/>
        <w:spacing w:after="0" w:line="227" w:lineRule="auto"/>
        <w:rPr>
          <w:sz w:val="20"/>
          <w:szCs w:val="20"/>
          <w:color w:val="auto"/>
        </w:rPr>
      </w:pPr>
      <w:r>
        <w:rPr>
          <w:rFonts w:ascii="Times New Roman" w:cs="Times New Roman" w:eastAsia="Times New Roman" w:hAnsi="Times New Roman"/>
          <w:sz w:val="13"/>
          <w:szCs w:val="13"/>
          <w:color w:val="auto"/>
        </w:rPr>
        <w:t>abuse of authority, or a substantial and specific danger to public health or safety, or (iv) any other whistleblower protection. The definitions, requirements, obligations, rights, sanctions, and liabilities created by controlling Executive Orders and statutory provisions relating to these protections are incorporated into this Agreement and are controlling.</w:t>
      </w:r>
    </w:p>
    <w:p>
      <w:pPr>
        <w:spacing w:after="0" w:line="124" w:lineRule="exact"/>
        <w:rPr>
          <w:sz w:val="20"/>
          <w:szCs w:val="20"/>
          <w:color w:val="auto"/>
        </w:rPr>
      </w:pPr>
    </w:p>
    <w:p>
      <w:pPr>
        <w:jc w:val="both"/>
        <w:ind w:left="348" w:hanging="348"/>
        <w:spacing w:after="0" w:line="222" w:lineRule="auto"/>
        <w:tabs>
          <w:tab w:leader="none" w:pos="344" w:val="left"/>
        </w:tabs>
        <w:numPr>
          <w:ilvl w:val="0"/>
          <w:numId w:val="22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Confidential Information from Previous Employment. </w:t>
      </w:r>
      <w:r>
        <w:rPr>
          <w:rFonts w:ascii="Times New Roman" w:cs="Times New Roman" w:eastAsia="Times New Roman" w:hAnsi="Times New Roman"/>
          <w:sz w:val="13"/>
          <w:szCs w:val="13"/>
          <w:color w:val="auto"/>
        </w:rPr>
        <w:t>I certify that I have not, and will not, disclose or use during my employment by Honeywell, any confidential information or trade secrets that I</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acquired as a result of any previous employment or under a contractual obligation of confidentiality before my employment by Honeywell. I understand that Honeywell has no interest in, and will not accept disclosure by me of, any trade secrets or confidential information that belongs to a third party. If I am ever placed in a position where I will be required or am given an assignment that will require me to use, directly or indirectly, any trade secrets or confidential information of any person, previous employer or any third party, I will promptly inform Honeywell’s Law Department and my supervisor before I undertake any activity that would involve the use or disclosure of such information or present the appearance to any such third party that I may have used or disclosed such information. If I fail to do so, Honeywell may elect not to indemnify me in the event of litigation and may take such other actions, as it deems appropriate, up to and including termination of my employment.</w:t>
      </w:r>
    </w:p>
    <w:p>
      <w:pPr>
        <w:spacing w:after="0" w:line="124" w:lineRule="exact"/>
        <w:rPr>
          <w:rFonts w:ascii="Times New Roman" w:cs="Times New Roman" w:eastAsia="Times New Roman" w:hAnsi="Times New Roman"/>
          <w:sz w:val="13"/>
          <w:szCs w:val="13"/>
          <w:b w:val="1"/>
          <w:bCs w:val="1"/>
          <w:color w:val="auto"/>
        </w:rPr>
      </w:pPr>
    </w:p>
    <w:p>
      <w:pPr>
        <w:ind w:left="348" w:hanging="348"/>
        <w:spacing w:after="0" w:line="255" w:lineRule="auto"/>
        <w:tabs>
          <w:tab w:leader="none" w:pos="344" w:val="left"/>
        </w:tabs>
        <w:numPr>
          <w:ilvl w:val="0"/>
          <w:numId w:val="22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Prior Restrictive Obligation. </w:t>
      </w:r>
      <w:r>
        <w:rPr>
          <w:rFonts w:ascii="Times New Roman" w:cs="Times New Roman" w:eastAsia="Times New Roman" w:hAnsi="Times New Roman"/>
          <w:sz w:val="13"/>
          <w:szCs w:val="13"/>
          <w:color w:val="auto"/>
        </w:rPr>
        <w:t>On Schedule B, which is an integral part of this Agreement, I have completely identified all prior obligations (written and oral) that restrict my ability to perform the duties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my employment by Honeywell, including all confidentiality agreements and covenants restricting future employment.</w:t>
      </w:r>
    </w:p>
    <w:p>
      <w:pPr>
        <w:spacing w:after="0" w:line="105" w:lineRule="exact"/>
        <w:rPr>
          <w:rFonts w:ascii="Times New Roman" w:cs="Times New Roman" w:eastAsia="Times New Roman" w:hAnsi="Times New Roman"/>
          <w:sz w:val="13"/>
          <w:szCs w:val="13"/>
          <w:b w:val="1"/>
          <w:bCs w:val="1"/>
          <w:color w:val="auto"/>
        </w:rPr>
      </w:pPr>
    </w:p>
    <w:p>
      <w:pPr>
        <w:jc w:val="both"/>
        <w:ind w:left="348" w:hanging="348"/>
        <w:spacing w:after="0" w:line="224" w:lineRule="auto"/>
        <w:tabs>
          <w:tab w:leader="none" w:pos="344" w:val="left"/>
        </w:tabs>
        <w:numPr>
          <w:ilvl w:val="0"/>
          <w:numId w:val="22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Nonsolicitation of Honeywell Employees. </w:t>
      </w:r>
      <w:r>
        <w:rPr>
          <w:rFonts w:ascii="Times New Roman" w:cs="Times New Roman" w:eastAsia="Times New Roman" w:hAnsi="Times New Roman"/>
          <w:sz w:val="13"/>
          <w:szCs w:val="13"/>
          <w:color w:val="auto"/>
        </w:rPr>
        <w:t>I acknowledge that Honeywell has invested, and will continue to invest, significant time and money to recruit and retain its employees. Therefore, recognizing that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 owe Honeywell an undivided duty of loyalty and that in the course of my employment I have obtained valuable information about Honeywell employees, their respective talents and areas of expertise, I agree that, during my employment and for a period of two (2) years following my Termination of Employment from Honeywell for any reason, I will not directly or indirectly, for my own account or for others, (i) solicit (or assist another in soliciting) for employment or for the performance of services, (ii) offer or cause to be offered employment or other service engagement, or (iii) participate in any manner in the employment or hiring for services of any current or former Honeywell employee with whom I had contact or of whom I became aware in my last two (2) years of Honeywell employment, unless it has been more than 12 months since that individual left Honeywell. Nor will I, for my own account or for others, in any way induce or attempt to induce such individual to leave the employment of Honeywell.</w:t>
      </w:r>
    </w:p>
    <w:p>
      <w:pPr>
        <w:spacing w:after="0" w:line="116" w:lineRule="exact"/>
        <w:rPr>
          <w:rFonts w:ascii="Times New Roman" w:cs="Times New Roman" w:eastAsia="Times New Roman" w:hAnsi="Times New Roman"/>
          <w:sz w:val="13"/>
          <w:szCs w:val="13"/>
          <w:b w:val="1"/>
          <w:bCs w:val="1"/>
          <w:color w:val="auto"/>
        </w:rPr>
      </w:pPr>
    </w:p>
    <w:p>
      <w:pPr>
        <w:ind w:left="348" w:hanging="348"/>
        <w:spacing w:after="0" w:line="247" w:lineRule="auto"/>
        <w:tabs>
          <w:tab w:leader="none" w:pos="356" w:val="left"/>
        </w:tabs>
        <w:numPr>
          <w:ilvl w:val="0"/>
          <w:numId w:val="22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Nonsolicitation of Honeywell Customers, Suppliers, Business Partners and Vendors. </w:t>
      </w:r>
      <w:r>
        <w:rPr>
          <w:rFonts w:ascii="Times New Roman" w:cs="Times New Roman" w:eastAsia="Times New Roman" w:hAnsi="Times New Roman"/>
          <w:sz w:val="13"/>
          <w:szCs w:val="13"/>
          <w:color w:val="auto"/>
        </w:rPr>
        <w:t>I acknowledge that Honeywell has invested and will continue to invest significant time and money to develop</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valuable,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
        <w:spacing w:after="0"/>
        <w:tabs>
          <w:tab w:leader="none" w:pos="2588" w:val="left"/>
          <w:tab w:leader="none" w:pos="3328" w:val="left"/>
        </w:tabs>
        <w:rPr>
          <w:sz w:val="20"/>
          <w:szCs w:val="20"/>
          <w:color w:val="auto"/>
        </w:rPr>
      </w:pPr>
      <w:r>
        <w:rPr>
          <w:rFonts w:ascii="Times New Roman" w:cs="Times New Roman" w:eastAsia="Times New Roman" w:hAnsi="Times New Roman"/>
          <w:sz w:val="13"/>
          <w:szCs w:val="13"/>
          <w:color w:val="auto"/>
        </w:rPr>
        <w:t>IP Agreement – US NON-CALIFORNIA – R</w:t>
        <w:tab/>
        <w:t>Page 3 of 9</w:t>
        <w:tab/>
        <w:t>Revised 05-1-2019</w:t>
      </w:r>
    </w:p>
    <w:p>
      <w:pPr>
        <w:sectPr>
          <w:pgSz w:w="11900" w:h="16838" w:orient="portrait"/>
          <w:cols w:equalWidth="0" w:num="1">
            <w:col w:w="11308"/>
          </w:cols>
          <w:pgMar w:left="292" w:top="809" w:right="299" w:bottom="1440" w:gutter="0" w:footer="0" w:header="0"/>
        </w:sectPr>
      </w:pPr>
    </w:p>
    <w:bookmarkStart w:id="169" w:name="page170"/>
    <w:bookmarkEnd w:id="169"/>
    <w:p>
      <w:pPr>
        <w:ind w:left="348"/>
        <w:spacing w:after="0" w:line="220" w:lineRule="auto"/>
        <w:rPr>
          <w:sz w:val="20"/>
          <w:szCs w:val="20"/>
          <w:color w:val="auto"/>
        </w:rPr>
      </w:pPr>
      <w:r>
        <w:rPr>
          <w:rFonts w:ascii="Times New Roman" w:cs="Times New Roman" w:eastAsia="Times New Roman" w:hAnsi="Times New Roman"/>
          <w:sz w:val="13"/>
          <w:szCs w:val="13"/>
          <w:color w:val="auto"/>
        </w:rPr>
        <w:t>continuing relationships with existing and prospective clients and customers of Honeywell. Therefore, recognizing that in the course of my employment I have obtained valuable information about Honeywell customers, suppliers, business partners, and/or vendors, and their requirements, I agree that during my employment and for a period of two (2) years following my Termination of Employment from</w:t>
      </w:r>
    </w:p>
    <w:p>
      <w:pPr>
        <w:ind w:left="348"/>
        <w:spacing w:after="0" w:line="218" w:lineRule="auto"/>
        <w:rPr>
          <w:sz w:val="20"/>
          <w:szCs w:val="20"/>
          <w:color w:val="auto"/>
        </w:rPr>
      </w:pPr>
      <w:r>
        <w:rPr>
          <w:rFonts w:ascii="Times New Roman" w:cs="Times New Roman" w:eastAsia="Times New Roman" w:hAnsi="Times New Roman"/>
          <w:sz w:val="13"/>
          <w:szCs w:val="13"/>
          <w:color w:val="auto"/>
        </w:rPr>
        <w:t>Honeywell for any reason, I will not directly or indirectly, for my own account or for others, solicit or assist others in soliciting or attempt to solicit (or assist others in attempting to solicit), (i) any existing</w:t>
      </w:r>
    </w:p>
    <w:p>
      <w:pPr>
        <w:ind w:left="348"/>
        <w:spacing w:after="0" w:line="209" w:lineRule="auto"/>
        <w:rPr>
          <w:sz w:val="20"/>
          <w:szCs w:val="20"/>
          <w:color w:val="auto"/>
        </w:rPr>
      </w:pPr>
      <w:r>
        <w:rPr>
          <w:rFonts w:ascii="Times New Roman" w:cs="Times New Roman" w:eastAsia="Times New Roman" w:hAnsi="Times New Roman"/>
          <w:sz w:val="13"/>
          <w:szCs w:val="13"/>
          <w:color w:val="auto"/>
        </w:rPr>
        <w:t>clients, customers, suppliers, business partners, and/or vendors of Honeywell with whom I had contact, or of whom I became aware while employed by Honeywell during the two (2) year period prior to my Termination of Employment, or (ii) any prospective clients, customers, suppliers, business partners, and/or vendors of Honeywell with whom I had contact and with whom Honeywell took significant steps to</w:t>
      </w:r>
    </w:p>
    <w:p>
      <w:pPr>
        <w:ind w:left="348"/>
        <w:spacing w:after="0" w:line="217" w:lineRule="auto"/>
        <w:rPr>
          <w:sz w:val="20"/>
          <w:szCs w:val="20"/>
          <w:color w:val="auto"/>
        </w:rPr>
      </w:pPr>
      <w:r>
        <w:rPr>
          <w:rFonts w:ascii="Times New Roman" w:cs="Times New Roman" w:eastAsia="Times New Roman" w:hAnsi="Times New Roman"/>
          <w:sz w:val="13"/>
          <w:szCs w:val="13"/>
          <w:color w:val="auto"/>
        </w:rPr>
        <w:t>do business during the two (2) year period prior to my Termination of Employment, for the purpose of inducing such existing or prospective clients, customers, suppliers, business partners, and/or vendors to</w:t>
      </w:r>
    </w:p>
    <w:p>
      <w:pPr>
        <w:ind w:left="348"/>
        <w:spacing w:after="0" w:line="227" w:lineRule="auto"/>
        <w:rPr>
          <w:sz w:val="20"/>
          <w:szCs w:val="20"/>
          <w:color w:val="auto"/>
        </w:rPr>
      </w:pPr>
      <w:r>
        <w:rPr>
          <w:rFonts w:ascii="Times New Roman" w:cs="Times New Roman" w:eastAsia="Times New Roman" w:hAnsi="Times New Roman"/>
          <w:sz w:val="13"/>
          <w:szCs w:val="13"/>
          <w:color w:val="auto"/>
        </w:rPr>
        <w:t>cease doing business or reduce their business with Honeywell or to purchase, lease or utilize products or services that are competitive with, similar to, or that may be used as substitutes for any products or services offered by Honeywell.</w:t>
      </w:r>
    </w:p>
    <w:p>
      <w:pPr>
        <w:spacing w:after="0" w:line="124" w:lineRule="exact"/>
        <w:rPr>
          <w:sz w:val="20"/>
          <w:szCs w:val="20"/>
          <w:color w:val="auto"/>
        </w:rPr>
      </w:pPr>
    </w:p>
    <w:p>
      <w:pPr>
        <w:jc w:val="both"/>
        <w:ind w:left="348" w:hanging="348"/>
        <w:spacing w:after="0"/>
        <w:tabs>
          <w:tab w:leader="none" w:pos="358" w:val="left"/>
        </w:tabs>
        <w:numPr>
          <w:ilvl w:val="0"/>
          <w:numId w:val="22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Notice to Future Employers. </w:t>
      </w:r>
      <w:r>
        <w:rPr>
          <w:rFonts w:ascii="Times New Roman" w:cs="Times New Roman" w:eastAsia="Times New Roman" w:hAnsi="Times New Roman"/>
          <w:sz w:val="13"/>
          <w:szCs w:val="13"/>
          <w:color w:val="auto"/>
        </w:rPr>
        <w:t>For the period of two (2) years immediately following the end of my employment by Honeywell, I will inform each new employer, prior to accepting employment,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existence of this Agreement and provide that employer with a copy of it. Honeywell has the right to inform any future employer of the existence of this Agreement and to provide any future employers with a copy of it.</w:t>
      </w:r>
    </w:p>
    <w:p>
      <w:pPr>
        <w:spacing w:after="0" w:line="259" w:lineRule="exact"/>
        <w:rPr>
          <w:rFonts w:ascii="Times New Roman" w:cs="Times New Roman" w:eastAsia="Times New Roman" w:hAnsi="Times New Roman"/>
          <w:sz w:val="13"/>
          <w:szCs w:val="13"/>
          <w:b w:val="1"/>
          <w:bCs w:val="1"/>
          <w:color w:val="auto"/>
        </w:rPr>
      </w:pPr>
    </w:p>
    <w:p>
      <w:pPr>
        <w:ind w:left="348" w:hanging="348"/>
        <w:spacing w:after="0" w:line="255" w:lineRule="auto"/>
        <w:tabs>
          <w:tab w:leader="none" w:pos="356" w:val="left"/>
        </w:tabs>
        <w:numPr>
          <w:ilvl w:val="0"/>
          <w:numId w:val="22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Copyright. </w:t>
      </w:r>
      <w:r>
        <w:rPr>
          <w:rFonts w:ascii="Times New Roman" w:cs="Times New Roman" w:eastAsia="Times New Roman" w:hAnsi="Times New Roman"/>
          <w:sz w:val="13"/>
          <w:szCs w:val="13"/>
          <w:color w:val="auto"/>
        </w:rPr>
        <w:t>As to all works prepared by me that are: (i) within the scope of my employment, or (ii) based upon information I acquired from Honeywell that is not normally made available to the public,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(iii) commissioned by Honeywell, but not within my scope of employment, I hereby agree to:</w:t>
      </w:r>
    </w:p>
    <w:p>
      <w:pPr>
        <w:spacing w:after="0" w:line="107" w:lineRule="exact"/>
        <w:rPr>
          <w:sz w:val="20"/>
          <w:szCs w:val="20"/>
          <w:color w:val="auto"/>
        </w:rPr>
      </w:pPr>
    </w:p>
    <w:p>
      <w:pPr>
        <w:ind w:left="788" w:hanging="442"/>
        <w:spacing w:after="0"/>
        <w:tabs>
          <w:tab w:leader="none" w:pos="788"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Submit to Honeywell’s Law Department and to my supervisor for approval for publication or oral dissemination;</w:t>
      </w:r>
    </w:p>
    <w:p>
      <w:pPr>
        <w:spacing w:after="0" w:line="147" w:lineRule="exact"/>
        <w:rPr>
          <w:rFonts w:ascii="Times New Roman" w:cs="Times New Roman" w:eastAsia="Times New Roman" w:hAnsi="Times New Roman"/>
          <w:sz w:val="13"/>
          <w:szCs w:val="13"/>
          <w:color w:val="auto"/>
        </w:rPr>
      </w:pPr>
    </w:p>
    <w:p>
      <w:pPr>
        <w:ind w:left="788" w:hanging="442"/>
        <w:spacing w:after="0"/>
        <w:tabs>
          <w:tab w:leader="none" w:pos="788"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Assign all right, title and interest in and to the copyright in all such works to Honeywell; and</w:t>
      </w:r>
    </w:p>
    <w:p>
      <w:pPr>
        <w:spacing w:after="0" w:line="147" w:lineRule="exact"/>
        <w:rPr>
          <w:rFonts w:ascii="Times New Roman" w:cs="Times New Roman" w:eastAsia="Times New Roman" w:hAnsi="Times New Roman"/>
          <w:sz w:val="13"/>
          <w:szCs w:val="13"/>
          <w:color w:val="auto"/>
        </w:rPr>
      </w:pPr>
    </w:p>
    <w:p>
      <w:pPr>
        <w:ind w:left="788" w:hanging="442"/>
        <w:spacing w:after="0"/>
        <w:tabs>
          <w:tab w:leader="none" w:pos="788"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Waive any claim of Moral Rights, author’s rights, droit moral, or any equivalent rights to the extent necessary or permitted by law.</w:t>
      </w:r>
    </w:p>
    <w:p>
      <w:pPr>
        <w:spacing w:after="0" w:line="139" w:lineRule="exact"/>
        <w:rPr>
          <w:sz w:val="20"/>
          <w:szCs w:val="20"/>
          <w:color w:val="auto"/>
        </w:rPr>
      </w:pPr>
    </w:p>
    <w:p>
      <w:pPr>
        <w:ind w:left="348"/>
        <w:spacing w:after="0" w:line="252" w:lineRule="auto"/>
        <w:rPr>
          <w:sz w:val="20"/>
          <w:szCs w:val="20"/>
          <w:color w:val="auto"/>
        </w:rPr>
      </w:pPr>
      <w:r>
        <w:rPr>
          <w:rFonts w:ascii="Times New Roman" w:cs="Times New Roman" w:eastAsia="Times New Roman" w:hAnsi="Times New Roman"/>
          <w:sz w:val="13"/>
          <w:szCs w:val="13"/>
          <w:color w:val="auto"/>
        </w:rPr>
        <w:t>I hereby release and allow Honeywell to use, for any lawful purpose, any voice reproduction, photograph, or other digital or video likeness of me made in the course of my employment, including my name, likeness and/or any other indicia of my persona in connection with the foregoing materials.</w:t>
      </w:r>
    </w:p>
    <w:p>
      <w:pPr>
        <w:spacing w:after="0" w:line="116" w:lineRule="exact"/>
        <w:rPr>
          <w:sz w:val="20"/>
          <w:szCs w:val="20"/>
          <w:color w:val="auto"/>
        </w:rPr>
      </w:pPr>
    </w:p>
    <w:p>
      <w:pPr>
        <w:ind w:left="348" w:hanging="348"/>
        <w:spacing w:after="0"/>
        <w:tabs>
          <w:tab w:leader="none" w:pos="356" w:val="left"/>
        </w:tabs>
        <w:numPr>
          <w:ilvl w:val="0"/>
          <w:numId w:val="22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Acknowledgement of Receipt. </w:t>
      </w:r>
      <w:r>
        <w:rPr>
          <w:rFonts w:ascii="Times New Roman" w:cs="Times New Roman" w:eastAsia="Times New Roman" w:hAnsi="Times New Roman"/>
          <w:sz w:val="13"/>
          <w:szCs w:val="13"/>
          <w:color w:val="auto"/>
        </w:rPr>
        <w:t>I acknowledge that I have received a copy of this Agreement prior to accepting employment, continued employment or other consideration as recited herein and that execution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this Agreement was an express condition of my employment, continued employment or receipt of other consideration recited herein.</w:t>
      </w:r>
    </w:p>
    <w:p>
      <w:pPr>
        <w:spacing w:after="0" w:line="124" w:lineRule="exact"/>
        <w:rPr>
          <w:rFonts w:ascii="Times New Roman" w:cs="Times New Roman" w:eastAsia="Times New Roman" w:hAnsi="Times New Roman"/>
          <w:sz w:val="13"/>
          <w:szCs w:val="13"/>
          <w:b w:val="1"/>
          <w:bCs w:val="1"/>
          <w:color w:val="auto"/>
        </w:rPr>
      </w:pPr>
    </w:p>
    <w:p>
      <w:pPr>
        <w:jc w:val="both"/>
        <w:ind w:left="348" w:hanging="348"/>
        <w:spacing w:after="0" w:line="221" w:lineRule="auto"/>
        <w:tabs>
          <w:tab w:leader="none" w:pos="356" w:val="left"/>
        </w:tabs>
        <w:numPr>
          <w:ilvl w:val="0"/>
          <w:numId w:val="22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Effectiveness of Agreement. </w:t>
      </w:r>
      <w:r>
        <w:rPr>
          <w:rFonts w:ascii="Times New Roman" w:cs="Times New Roman" w:eastAsia="Times New Roman" w:hAnsi="Times New Roman"/>
          <w:sz w:val="13"/>
          <w:szCs w:val="13"/>
          <w:color w:val="auto"/>
        </w:rPr>
        <w:t>I acknowledge that the provisions of this Agreement are in addition to, and in no way intended to limit, restrict or narrow any prior or existing agreement with Honeywell. This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Agreement does not replace or supersede any prior or existing employment or other agreement with Honeywell, but rather, shall be read in conjunction with such prior or existing agreements and shall be interpreted in a manner to provide Honeywell the maximum protection and the most effective and complete assignment of inventions provided by all agreements I have with Honeywell. The terms of this Agreement are to be read consistent with the terms of any other intellectual property, trade secret or confidentiality agreements that I have executed with Honeywell; provided, however, to the extent there is a conflict between/among such agreements, such agreements shall be read in concert and construed as providing the broadest possible protections to Honeywell, even if such construction would require provisions of more than one such agreement to be given effect. This Agreement shall be deemed effective as of the first day of my employment by Honeywell and shall continue throughout the entire period of time I am employed by Honeywell and my obligations will continue after, and survive, the end of my employment by Honeywell.</w:t>
      </w:r>
    </w:p>
    <w:p>
      <w:pPr>
        <w:spacing w:after="0" w:line="125" w:lineRule="exact"/>
        <w:rPr>
          <w:rFonts w:ascii="Times New Roman" w:cs="Times New Roman" w:eastAsia="Times New Roman" w:hAnsi="Times New Roman"/>
          <w:sz w:val="13"/>
          <w:szCs w:val="13"/>
          <w:b w:val="1"/>
          <w:bCs w:val="1"/>
          <w:color w:val="auto"/>
        </w:rPr>
      </w:pPr>
    </w:p>
    <w:p>
      <w:pPr>
        <w:ind w:left="348" w:hanging="348"/>
        <w:spacing w:after="0"/>
        <w:tabs>
          <w:tab w:leader="none" w:pos="348" w:val="left"/>
        </w:tabs>
        <w:numPr>
          <w:ilvl w:val="0"/>
          <w:numId w:val="22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Identity of Future Employer. </w:t>
      </w:r>
      <w:r>
        <w:rPr>
          <w:rFonts w:ascii="Times New Roman" w:cs="Times New Roman" w:eastAsia="Times New Roman" w:hAnsi="Times New Roman"/>
          <w:sz w:val="13"/>
          <w:szCs w:val="13"/>
          <w:color w:val="auto"/>
        </w:rPr>
        <w:t>Upon termination of my employment for any reason, if reasonably requested by Honeywell, I will advise Honeywell of the name and address of my intended future employer.</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
        <w:spacing w:after="0"/>
        <w:tabs>
          <w:tab w:leader="none" w:pos="2588" w:val="left"/>
          <w:tab w:leader="none" w:pos="3328" w:val="left"/>
        </w:tabs>
        <w:rPr>
          <w:sz w:val="20"/>
          <w:szCs w:val="20"/>
          <w:color w:val="auto"/>
        </w:rPr>
      </w:pPr>
      <w:r>
        <w:rPr>
          <w:rFonts w:ascii="Times New Roman" w:cs="Times New Roman" w:eastAsia="Times New Roman" w:hAnsi="Times New Roman"/>
          <w:sz w:val="13"/>
          <w:szCs w:val="13"/>
          <w:color w:val="auto"/>
        </w:rPr>
        <w:t>IP Agreement – US NON-CALIFORNIA – R</w:t>
        <w:tab/>
        <w:t>Page 4 of 9</w:t>
        <w:tab/>
        <w:t>Revised 05-1-2019</w:t>
      </w:r>
    </w:p>
    <w:p>
      <w:pPr>
        <w:sectPr>
          <w:pgSz w:w="11900" w:h="16838" w:orient="portrait"/>
          <w:cols w:equalWidth="0" w:num="1">
            <w:col w:w="11308"/>
          </w:cols>
          <w:pgMar w:left="292" w:top="809" w:right="299" w:bottom="1440" w:gutter="0" w:footer="0" w:header="0"/>
        </w:sectPr>
      </w:pPr>
    </w:p>
    <w:bookmarkStart w:id="170" w:name="page171"/>
    <w:bookmarkEnd w:id="170"/>
    <w:p>
      <w:pPr>
        <w:jc w:val="both"/>
        <w:ind w:left="348" w:hanging="348"/>
        <w:spacing w:after="0" w:line="228" w:lineRule="auto"/>
        <w:tabs>
          <w:tab w:leader="none" w:pos="356" w:val="left"/>
        </w:tabs>
        <w:numPr>
          <w:ilvl w:val="0"/>
          <w:numId w:val="22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Remedies. </w:t>
      </w:r>
      <w:r>
        <w:rPr>
          <w:rFonts w:ascii="Times New Roman" w:cs="Times New Roman" w:eastAsia="Times New Roman" w:hAnsi="Times New Roman"/>
          <w:sz w:val="13"/>
          <w:szCs w:val="13"/>
          <w:color w:val="auto"/>
        </w:rPr>
        <w:t>I acknowledge that a remedy at law for any breach or threatened breach of the provisions of this Agreement would be inadequate and therefore agree that Honeywell shall be entitled to injunctive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relief in case of any such breach or threatened breach. In the event that a court determines that I have breached or threatened to breach this Agreement, I agree to reimburse Honeywell for all attorneys’ fees and costs incurred in enforcing the terms of the Agreement. However, nothing contained herein shall be construed as prohibiting Honeywell from pursuing any other remedies available for any such breach or threatened breach against me or my then-current employer that may also include but not be limited to contract damages, lost profits and punitive damages.</w:t>
      </w:r>
    </w:p>
    <w:p>
      <w:pPr>
        <w:spacing w:after="0" w:line="115" w:lineRule="exact"/>
        <w:rPr>
          <w:rFonts w:ascii="Times New Roman" w:cs="Times New Roman" w:eastAsia="Times New Roman" w:hAnsi="Times New Roman"/>
          <w:sz w:val="13"/>
          <w:szCs w:val="13"/>
          <w:b w:val="1"/>
          <w:bCs w:val="1"/>
          <w:color w:val="auto"/>
        </w:rPr>
      </w:pPr>
    </w:p>
    <w:p>
      <w:pPr>
        <w:ind w:left="348" w:hanging="348"/>
        <w:spacing w:after="0" w:line="255" w:lineRule="auto"/>
        <w:tabs>
          <w:tab w:leader="none" w:pos="356" w:val="left"/>
        </w:tabs>
        <w:numPr>
          <w:ilvl w:val="0"/>
          <w:numId w:val="22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Successors; Binding Agreement. </w:t>
      </w:r>
      <w:r>
        <w:rPr>
          <w:rFonts w:ascii="Times New Roman" w:cs="Times New Roman" w:eastAsia="Times New Roman" w:hAnsi="Times New Roman"/>
          <w:sz w:val="13"/>
          <w:szCs w:val="13"/>
          <w:color w:val="auto"/>
        </w:rPr>
        <w:t>This Agreement binds my heirs, executors, administrators, legal representatives and assigns and inures to the benefit of Honeywell and its successors and assigns. Only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written amendment executed by both Honeywell and me can modify this Agreement.</w:t>
      </w:r>
    </w:p>
    <w:p>
      <w:pPr>
        <w:spacing w:after="0" w:line="114" w:lineRule="exact"/>
        <w:rPr>
          <w:rFonts w:ascii="Times New Roman" w:cs="Times New Roman" w:eastAsia="Times New Roman" w:hAnsi="Times New Roman"/>
          <w:sz w:val="13"/>
          <w:szCs w:val="13"/>
          <w:b w:val="1"/>
          <w:bCs w:val="1"/>
          <w:color w:val="auto"/>
        </w:rPr>
      </w:pPr>
    </w:p>
    <w:p>
      <w:pPr>
        <w:ind w:left="348" w:hanging="348"/>
        <w:spacing w:after="0"/>
        <w:tabs>
          <w:tab w:leader="none" w:pos="348" w:val="left"/>
        </w:tabs>
        <w:numPr>
          <w:ilvl w:val="0"/>
          <w:numId w:val="22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Governing Law. </w:t>
      </w:r>
      <w:r>
        <w:rPr>
          <w:rFonts w:ascii="Times New Roman" w:cs="Times New Roman" w:eastAsia="Times New Roman" w:hAnsi="Times New Roman"/>
          <w:sz w:val="13"/>
          <w:szCs w:val="13"/>
          <w:color w:val="auto"/>
        </w:rPr>
        <w:t>This Agreement shall be governed by and construed in accordance with the laws of the State of North Carolina without regard to its principles of conflicts of law.</w:t>
      </w:r>
    </w:p>
    <w:p>
      <w:pPr>
        <w:spacing w:after="0" w:line="138" w:lineRule="exact"/>
        <w:rPr>
          <w:rFonts w:ascii="Times New Roman" w:cs="Times New Roman" w:eastAsia="Times New Roman" w:hAnsi="Times New Roman"/>
          <w:sz w:val="13"/>
          <w:szCs w:val="13"/>
          <w:b w:val="1"/>
          <w:bCs w:val="1"/>
          <w:color w:val="auto"/>
        </w:rPr>
      </w:pPr>
    </w:p>
    <w:p>
      <w:pPr>
        <w:jc w:val="both"/>
        <w:ind w:left="348" w:hanging="348"/>
        <w:spacing w:after="0" w:line="226" w:lineRule="auto"/>
        <w:tabs>
          <w:tab w:leader="none" w:pos="356" w:val="left"/>
        </w:tabs>
        <w:numPr>
          <w:ilvl w:val="0"/>
          <w:numId w:val="22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Validity. </w:t>
      </w:r>
      <w:r>
        <w:rPr>
          <w:rFonts w:ascii="Times New Roman" w:cs="Times New Roman" w:eastAsia="Times New Roman" w:hAnsi="Times New Roman"/>
          <w:sz w:val="13"/>
          <w:szCs w:val="13"/>
          <w:color w:val="auto"/>
        </w:rPr>
        <w:t>It is the desire and intent of the parties hereto that the provisions of this Agreement shall be enforced to the fullest extent legally-permissible. Accordingly, if any particular provision(s) of this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Agreement shall be adjudicated to be invalid or unenforceable, the court may modify or sever such provision(s), such modification or deletion to apply only with respect to the operation of such provision(s) in the particular jurisdiction in which such adjudication is made. In addition, if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 The remaining provisions of this Agreement shall remain in full force and effect.</w:t>
      </w:r>
    </w:p>
    <w:p>
      <w:pPr>
        <w:spacing w:after="0" w:line="124" w:lineRule="exact"/>
        <w:rPr>
          <w:rFonts w:ascii="Times New Roman" w:cs="Times New Roman" w:eastAsia="Times New Roman" w:hAnsi="Times New Roman"/>
          <w:sz w:val="13"/>
          <w:szCs w:val="13"/>
          <w:b w:val="1"/>
          <w:bCs w:val="1"/>
          <w:color w:val="auto"/>
        </w:rPr>
      </w:pPr>
    </w:p>
    <w:p>
      <w:pPr>
        <w:ind w:left="348" w:hanging="348"/>
        <w:spacing w:after="0"/>
        <w:tabs>
          <w:tab w:leader="none" w:pos="348" w:val="left"/>
        </w:tabs>
        <w:numPr>
          <w:ilvl w:val="0"/>
          <w:numId w:val="22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Definitions</w:t>
      </w:r>
    </w:p>
    <w:p>
      <w:pPr>
        <w:spacing w:after="0" w:line="140" w:lineRule="exact"/>
        <w:rPr>
          <w:rFonts w:ascii="Times New Roman" w:cs="Times New Roman" w:eastAsia="Times New Roman" w:hAnsi="Times New Roman"/>
          <w:sz w:val="13"/>
          <w:szCs w:val="13"/>
          <w:b w:val="1"/>
          <w:bCs w:val="1"/>
          <w:color w:val="auto"/>
        </w:rPr>
      </w:pPr>
    </w:p>
    <w:p>
      <w:pPr>
        <w:jc w:val="both"/>
        <w:ind w:left="768" w:hanging="422"/>
        <w:spacing w:after="0" w:line="227" w:lineRule="auto"/>
        <w:tabs>
          <w:tab w:leader="none" w:pos="778" w:val="left"/>
        </w:tabs>
        <w:numPr>
          <w:ilvl w:val="1"/>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“Confidential Information” means any information of a confidential or secret nature that (a) relates to the business of Honeywell or to the business of any parent, subsidiary, affiliate, customer, or vendor of Honeywell, or any other party with whom Honeywell agrees to hold information of such party in confidence; (b) is not generally known to the public or to other persons in the industry; and</w:t>
      </w:r>
    </w:p>
    <w:p>
      <w:pPr>
        <w:spacing w:after="0" w:line="1" w:lineRule="exact"/>
        <w:rPr>
          <w:rFonts w:ascii="Times New Roman" w:cs="Times New Roman" w:eastAsia="Times New Roman" w:hAnsi="Times New Roman"/>
          <w:sz w:val="13"/>
          <w:szCs w:val="13"/>
          <w:color w:val="auto"/>
        </w:rPr>
      </w:pPr>
    </w:p>
    <w:p>
      <w:pPr>
        <w:jc w:val="both"/>
        <w:ind w:left="768"/>
        <w:spacing w:after="0" w:line="21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 Honeywell has taken reasonable measures under the circumstances to protect from unauthorized use or disclosure. Confidential Information covered by this Agreement means (i) trade secrets; (ii) proprietary information that does not rise to the level of a statutorily protectable trade secret that is made the property of Honeywell through positive operation of law in the form of this mutual agreement of the parties; or (iii) information that is otherwise legally protectable. Such Confidential Information includes, but is not limited to, assigned Inventions, knowledge, data, information, know-how, non-public intellectual property rights, including unpublished or pending patent applications and all related patent rights, techniques, formulae, processes, discoveries, improvements, ideas, conceptions, compilations of data, and developments, whether or not patentable and whether or not copyrightable. By way of example, Confidential Information includes: information that is not generally known in the industries in which Honeywell is engaged, which may be disclosed to me or that I may learn, observe, discover or otherwise acquire during, or as a result of, my employment by Honeywell and that includes, without limitation, any information, whether patentable, patented or not, relating to, without limitation, existing or contemplated products, inventions, services, technology, ideas, concepts, designs, patterns, processes, compounds, formulae, programs, devices, tools, compilations of information, methods, techniques, and including information relating to any research, research databases, development, manufacture, purchasing, engineering, know-how, business plans, marketing plans, sales or market methods, methods of doing business, customer lists, customer usages or requirements, the identities and competencies of Honeywell’s employees, financial information, operating and cost data, or supplier information, which is owned or licensed by Honeywell or held by Honeywell in confidence. The foregoing are only examples of Confidential Information.</w:t>
      </w:r>
    </w:p>
    <w:p>
      <w:pPr>
        <w:spacing w:after="0" w:line="130" w:lineRule="exact"/>
        <w:rPr>
          <w:rFonts w:ascii="Times New Roman" w:cs="Times New Roman" w:eastAsia="Times New Roman" w:hAnsi="Times New Roman"/>
          <w:sz w:val="13"/>
          <w:szCs w:val="13"/>
          <w:color w:val="auto"/>
        </w:rPr>
      </w:pPr>
    </w:p>
    <w:p>
      <w:pPr>
        <w:ind w:left="788" w:hanging="442"/>
        <w:spacing w:after="0"/>
        <w:tabs>
          <w:tab w:leader="none" w:pos="788" w:val="left"/>
        </w:tabs>
        <w:numPr>
          <w:ilvl w:val="1"/>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“Honeywell” collectively identifies Honeywell International Inc. (a Delaware corporation having a place of business Charlotte, Mecklenburg County, North Carolina), its predecessors, designees and</w:t>
      </w:r>
    </w:p>
    <w:p>
      <w:pPr>
        <w:spacing w:after="0" w:line="200" w:lineRule="exact"/>
        <w:rPr>
          <w:sz w:val="20"/>
          <w:szCs w:val="20"/>
          <w:color w:val="auto"/>
        </w:rPr>
      </w:pPr>
    </w:p>
    <w:p>
      <w:pPr>
        <w:spacing w:after="0" w:line="371" w:lineRule="exact"/>
        <w:rPr>
          <w:sz w:val="20"/>
          <w:szCs w:val="20"/>
          <w:color w:val="auto"/>
        </w:rPr>
      </w:pPr>
    </w:p>
    <w:p>
      <w:pPr>
        <w:ind w:left="8"/>
        <w:spacing w:after="0"/>
        <w:tabs>
          <w:tab w:leader="none" w:pos="2588" w:val="left"/>
          <w:tab w:leader="none" w:pos="3328" w:val="left"/>
        </w:tabs>
        <w:rPr>
          <w:sz w:val="20"/>
          <w:szCs w:val="20"/>
          <w:color w:val="auto"/>
        </w:rPr>
      </w:pPr>
      <w:r>
        <w:rPr>
          <w:rFonts w:ascii="Times New Roman" w:cs="Times New Roman" w:eastAsia="Times New Roman" w:hAnsi="Times New Roman"/>
          <w:sz w:val="13"/>
          <w:szCs w:val="13"/>
          <w:color w:val="auto"/>
        </w:rPr>
        <w:t>IP Agreement – US NON-CALIFORNIA – R</w:t>
        <w:tab/>
        <w:t>Page 5 of 9</w:t>
        <w:tab/>
        <w:t>Revised 05-1-2019</w:t>
      </w:r>
    </w:p>
    <w:p>
      <w:pPr>
        <w:sectPr>
          <w:pgSz w:w="11900" w:h="16838" w:orient="portrait"/>
          <w:cols w:equalWidth="0" w:num="1">
            <w:col w:w="11308"/>
          </w:cols>
          <w:pgMar w:left="292" w:top="807" w:right="299" w:bottom="1440" w:gutter="0" w:footer="0" w:header="0"/>
        </w:sectPr>
      </w:pPr>
    </w:p>
    <w:bookmarkStart w:id="171" w:name="page172"/>
    <w:bookmarkEnd w:id="171"/>
    <w:p>
      <w:pPr>
        <w:ind w:left="768"/>
        <w:spacing w:after="0"/>
        <w:rPr>
          <w:sz w:val="20"/>
          <w:szCs w:val="20"/>
          <w:color w:val="auto"/>
        </w:rPr>
      </w:pPr>
      <w:r>
        <w:rPr>
          <w:rFonts w:ascii="Times New Roman" w:cs="Times New Roman" w:eastAsia="Times New Roman" w:hAnsi="Times New Roman"/>
          <w:sz w:val="13"/>
          <w:szCs w:val="13"/>
          <w:color w:val="auto"/>
        </w:rPr>
        <w:t>successors and its past, present and future operating companies, divisions, subsidiaries, affiliates and other business units, including businesses acquired by purchase of stock, merger or otherwise.</w:t>
      </w:r>
    </w:p>
    <w:p>
      <w:pPr>
        <w:spacing w:after="0" w:line="139" w:lineRule="exact"/>
        <w:rPr>
          <w:sz w:val="20"/>
          <w:szCs w:val="20"/>
          <w:color w:val="auto"/>
        </w:rPr>
      </w:pPr>
    </w:p>
    <w:p>
      <w:pPr>
        <w:jc w:val="both"/>
        <w:ind w:left="768" w:hanging="422"/>
        <w:spacing w:after="0" w:line="236" w:lineRule="auto"/>
        <w:tabs>
          <w:tab w:leader="none" w:pos="778" w:val="left"/>
        </w:tabs>
        <w:numPr>
          <w:ilvl w:val="1"/>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“Invention” includes not only inventions (whether or not patentable), but also innovations, improvements, discoveries, ideas, original works of authorship, formulas, processes, compositions of matter, computer software programs, databases, mask works – and all other forms of intellectual property (including, but not limited to, copyright works and mask works) – whether or not any of the foregoing constitutes a trade secret or information protectable by patents or copyright.</w:t>
      </w:r>
    </w:p>
    <w:p>
      <w:pPr>
        <w:spacing w:after="0" w:line="117" w:lineRule="exact"/>
        <w:rPr>
          <w:rFonts w:ascii="Times New Roman" w:cs="Times New Roman" w:eastAsia="Times New Roman" w:hAnsi="Times New Roman"/>
          <w:sz w:val="13"/>
          <w:szCs w:val="13"/>
          <w:color w:val="auto"/>
        </w:rPr>
      </w:pPr>
    </w:p>
    <w:p>
      <w:pPr>
        <w:ind w:left="768" w:right="20" w:hanging="422"/>
        <w:spacing w:after="0" w:line="252" w:lineRule="auto"/>
        <w:tabs>
          <w:tab w:leader="none" w:pos="778" w:val="left"/>
        </w:tabs>
        <w:numPr>
          <w:ilvl w:val="1"/>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or “Made” when used in relation to Invention includes any one or any combination of (i) conception, (ii) reduction to practice, or (iii) development of an Invention and is without regard to whether I am a sole or joint inventor.</w:t>
      </w:r>
    </w:p>
    <w:p>
      <w:pPr>
        <w:spacing w:after="0" w:line="118" w:lineRule="exact"/>
        <w:rPr>
          <w:rFonts w:ascii="Times New Roman" w:cs="Times New Roman" w:eastAsia="Times New Roman" w:hAnsi="Times New Roman"/>
          <w:sz w:val="13"/>
          <w:szCs w:val="13"/>
          <w:color w:val="auto"/>
        </w:rPr>
      </w:pPr>
    </w:p>
    <w:p>
      <w:pPr>
        <w:jc w:val="both"/>
        <w:ind w:left="768" w:hanging="422"/>
        <w:spacing w:after="0" w:line="227" w:lineRule="auto"/>
        <w:tabs>
          <w:tab w:leader="none" w:pos="778" w:val="left"/>
        </w:tabs>
        <w:numPr>
          <w:ilvl w:val="1"/>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“Moral Rights” mean any rights to claim authorship of or credit on an assigned Invention, to object to or prevent the modification or destruction of any assigned Inventions or pre-employment Inventions licensed to Honeywell, or to withdraw from circulation or control the publication or distribution of any assigned Inventions or pre-employment Inventions licensed to Honeywell, and any similar right, existing under judicial or statutory law of any country or subdivision thereof in the world, or under any treaty, regardless of whether or not such right is denominated or generally referred to as a “moral right.”</w:t>
      </w:r>
    </w:p>
    <w:p>
      <w:pPr>
        <w:spacing w:after="0" w:line="118" w:lineRule="exact"/>
        <w:rPr>
          <w:rFonts w:ascii="Times New Roman" w:cs="Times New Roman" w:eastAsia="Times New Roman" w:hAnsi="Times New Roman"/>
          <w:sz w:val="13"/>
          <w:szCs w:val="13"/>
          <w:color w:val="auto"/>
        </w:rPr>
      </w:pPr>
    </w:p>
    <w:p>
      <w:pPr>
        <w:ind w:left="788" w:hanging="442"/>
        <w:spacing w:after="0"/>
        <w:tabs>
          <w:tab w:leader="none" w:pos="788" w:val="left"/>
        </w:tabs>
        <w:numPr>
          <w:ilvl w:val="1"/>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“Solicit” or “soliciting” includes contacting, communicating with, marketing to, engaging or otherwise interacting with (whether initiated by me or not).</w:t>
      </w:r>
    </w:p>
    <w:p>
      <w:pPr>
        <w:spacing w:after="0" w:line="147" w:lineRule="exact"/>
        <w:rPr>
          <w:rFonts w:ascii="Times New Roman" w:cs="Times New Roman" w:eastAsia="Times New Roman" w:hAnsi="Times New Roman"/>
          <w:sz w:val="13"/>
          <w:szCs w:val="13"/>
          <w:color w:val="auto"/>
        </w:rPr>
      </w:pPr>
    </w:p>
    <w:p>
      <w:pPr>
        <w:ind w:left="768" w:right="20" w:hanging="422"/>
        <w:spacing w:after="0" w:line="252" w:lineRule="auto"/>
        <w:tabs>
          <w:tab w:leader="none" w:pos="778" w:val="left"/>
        </w:tabs>
        <w:numPr>
          <w:ilvl w:val="1"/>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“Termination of Employment” shall be defined as any separation from employment with Honeywell regardless of the reason, including any and all voluntary and involuntary reasons for termination. The termination date for purposes of this Agreement shall be the last day I actively perform services for Honeywell.</w:t>
      </w:r>
    </w:p>
    <w:p>
      <w:pPr>
        <w:spacing w:after="0" w:line="107" w:lineRule="exact"/>
        <w:rPr>
          <w:rFonts w:ascii="Times New Roman" w:cs="Times New Roman" w:eastAsia="Times New Roman" w:hAnsi="Times New Roman"/>
          <w:sz w:val="13"/>
          <w:szCs w:val="13"/>
          <w:color w:val="auto"/>
        </w:rPr>
      </w:pPr>
    </w:p>
    <w:p>
      <w:pPr>
        <w:ind w:left="348" w:hanging="348"/>
        <w:spacing w:after="0"/>
        <w:tabs>
          <w:tab w:leader="none" w:pos="348" w:val="left"/>
        </w:tabs>
        <w:numPr>
          <w:ilvl w:val="0"/>
          <w:numId w:val="22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Headings Descriptive. </w:t>
      </w:r>
      <w:r>
        <w:rPr>
          <w:rFonts w:ascii="Times New Roman" w:cs="Times New Roman" w:eastAsia="Times New Roman" w:hAnsi="Times New Roman"/>
          <w:sz w:val="13"/>
          <w:szCs w:val="13"/>
          <w:color w:val="auto"/>
        </w:rPr>
        <w:t>The headings of the several paragraphs of this Agreement are inserted for convenience only and shall not in any way affect the meaning or construction of this Agreement.</w:t>
      </w:r>
    </w:p>
    <w:p>
      <w:pPr>
        <w:spacing w:after="0" w:line="200" w:lineRule="exact"/>
        <w:rPr>
          <w:sz w:val="20"/>
          <w:szCs w:val="20"/>
          <w:color w:val="auto"/>
        </w:rPr>
      </w:pPr>
    </w:p>
    <w:p>
      <w:pPr>
        <w:spacing w:after="0" w:line="265"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/s/ James Currier</w:t>
            </w:r>
          </w:p>
        </w:tc>
        <w:tc>
          <w:tcPr>
            <w:tcW w:w="1500" w:type="dxa"/>
            <w:vAlign w:val="bottom"/>
            <w:gridSpan w:val="3"/>
          </w:tcPr>
          <w:p>
            <w:pPr>
              <w:ind w:left="660"/>
              <w:spacing w:after="0"/>
              <w:rPr>
                <w:sz w:val="20"/>
                <w:szCs w:val="20"/>
                <w:color w:val="auto"/>
              </w:rPr>
            </w:pPr>
            <w:r>
              <w:rPr>
                <w:rFonts w:ascii="Times New Roman" w:cs="Times New Roman" w:eastAsia="Times New Roman" w:hAnsi="Times New Roman"/>
                <w:sz w:val="13"/>
                <w:szCs w:val="13"/>
                <w:color w:val="auto"/>
              </w:rPr>
              <w:t>June 14, 2023</w:t>
            </w:r>
          </w:p>
        </w:tc>
        <w:tc>
          <w:tcPr>
            <w:tcW w:w="360" w:type="dxa"/>
            <w:vAlign w:val="bottom"/>
          </w:tcPr>
          <w:p>
            <w:pPr>
              <w:spacing w:after="0"/>
              <w:rPr>
                <w:sz w:val="12"/>
                <w:szCs w:val="12"/>
                <w:color w:val="auto"/>
              </w:rPr>
            </w:pPr>
          </w:p>
        </w:tc>
      </w:tr>
      <w:tr>
        <w:trPr>
          <w:trHeight w:val="179"/>
        </w:trPr>
        <w:tc>
          <w:tcPr>
            <w:tcW w:w="1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JAMES E. CURRIER</w:t>
            </w: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w w:val="85"/>
              </w:rPr>
              <w:t>(E355611)</w:t>
            </w: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0"/>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
        <w:spacing w:after="0"/>
        <w:tabs>
          <w:tab w:leader="none" w:pos="2588" w:val="left"/>
          <w:tab w:leader="none" w:pos="3328" w:val="left"/>
        </w:tabs>
        <w:rPr>
          <w:sz w:val="20"/>
          <w:szCs w:val="20"/>
          <w:color w:val="auto"/>
        </w:rPr>
      </w:pPr>
      <w:r>
        <w:rPr>
          <w:rFonts w:ascii="Times New Roman" w:cs="Times New Roman" w:eastAsia="Times New Roman" w:hAnsi="Times New Roman"/>
          <w:sz w:val="13"/>
          <w:szCs w:val="13"/>
          <w:color w:val="auto"/>
        </w:rPr>
        <w:t>IP Agreement – US NON-CALIFORNIA – R</w:t>
        <w:tab/>
        <w:t>Page 6 of 9</w:t>
        <w:tab/>
        <w:t>Revised 05-1-2019</w:t>
      </w:r>
    </w:p>
    <w:p>
      <w:pPr>
        <w:sectPr>
          <w:pgSz w:w="11900" w:h="16838" w:orient="portrait"/>
          <w:cols w:equalWidth="0" w:num="1">
            <w:col w:w="11308"/>
          </w:cols>
          <w:pgMar w:left="292" w:top="809" w:right="299" w:bottom="1440" w:gutter="0" w:footer="0" w:header="0"/>
        </w:sectPr>
      </w:pPr>
    </w:p>
    <w:bookmarkStart w:id="172" w:name="page173"/>
    <w:bookmarkEnd w:id="172"/>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SCHEDULE A</w:t>
      </w:r>
    </w:p>
    <w:p>
      <w:pPr>
        <w:spacing w:after="0" w:line="30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3"/>
          <w:szCs w:val="13"/>
          <w:color w:val="auto"/>
        </w:rPr>
        <w:t>HAVE YOU MADE ANY INVENTIONS BEFORE THE TERM OF YOUR EMPLOYMENT WITH HONEYWELL, IN WHICH YOU HAVE AN OWNERSHIP INTEREST AND THAT ARE NOT THE SUBJECT MATTER OF ISSUED PATENTS OR PRINTED PUBLICATIONS?</w:t>
      </w:r>
    </w:p>
    <w:p>
      <w:pPr>
        <w:spacing w:after="0" w:line="1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(If there are none, please enter the word “NONE”)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NOTE: Please describe each such Invention without disclosing trade secrets or confidential information.</w:t>
      </w:r>
    </w:p>
    <w:p>
      <w:pPr>
        <w:spacing w:after="0" w:line="202" w:lineRule="auto"/>
        <w:rPr>
          <w:sz w:val="20"/>
          <w:szCs w:val="20"/>
          <w:color w:val="auto"/>
        </w:rPr>
      </w:pPr>
      <w:r>
        <w:rPr>
          <w:rFonts w:ascii="Times New Roman" w:cs="Times New Roman" w:eastAsia="Times New Roman" w:hAnsi="Times New Roman"/>
          <w:sz w:val="13"/>
          <w:szCs w:val="13"/>
          <w:color w:val="auto"/>
        </w:rPr>
        <w:t>____________________________________________________________________________________________________________________________________________________________________________</w:t>
      </w:r>
    </w:p>
    <w:p>
      <w:pPr>
        <w:spacing w:after="0"/>
        <w:rPr>
          <w:sz w:val="20"/>
          <w:szCs w:val="20"/>
          <w:color w:val="auto"/>
        </w:rPr>
      </w:pPr>
      <w:r>
        <w:rPr>
          <w:rFonts w:ascii="Times New Roman" w:cs="Times New Roman" w:eastAsia="Times New Roman" w:hAnsi="Times New Roman"/>
          <w:sz w:val="13"/>
          <w:szCs w:val="13"/>
          <w:color w:val="auto"/>
        </w:rPr>
        <w:t>[Attach additional sheets if more space is needed.]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2580" w:val="left"/>
          <w:tab w:leader="none" w:pos="3320" w:val="left"/>
        </w:tabs>
        <w:rPr>
          <w:sz w:val="20"/>
          <w:szCs w:val="20"/>
          <w:color w:val="auto"/>
        </w:rPr>
      </w:pPr>
      <w:r>
        <w:rPr>
          <w:rFonts w:ascii="Times New Roman" w:cs="Times New Roman" w:eastAsia="Times New Roman" w:hAnsi="Times New Roman"/>
          <w:sz w:val="13"/>
          <w:szCs w:val="13"/>
          <w:color w:val="auto"/>
        </w:rPr>
        <w:t>IP Agreement – US NON-CALIFORNIA – R</w:t>
        <w:tab/>
        <w:t>Page 7 of 9</w:t>
        <w:tab/>
        <w:t>Revised 05-1-2019</w:t>
      </w:r>
    </w:p>
    <w:p>
      <w:pPr>
        <w:sectPr>
          <w:pgSz w:w="11900" w:h="16838" w:orient="portrait"/>
          <w:cols w:equalWidth="0" w:num="1">
            <w:col w:w="11340"/>
          </w:cols>
          <w:pgMar w:left="300" w:top="807" w:right="259" w:bottom="1440" w:gutter="0" w:footer="0" w:header="0"/>
        </w:sectPr>
      </w:pPr>
    </w:p>
    <w:bookmarkStart w:id="173" w:name="page174"/>
    <w:bookmarkEnd w:id="173"/>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SCHEDULE B</w:t>
      </w:r>
    </w:p>
    <w:p>
      <w:pPr>
        <w:spacing w:after="0" w:line="303" w:lineRule="exact"/>
        <w:rPr>
          <w:sz w:val="20"/>
          <w:szCs w:val="20"/>
          <w:color w:val="auto"/>
        </w:rPr>
      </w:pPr>
    </w:p>
    <w:p>
      <w:pPr>
        <w:ind w:left="420" w:right="480" w:hanging="431"/>
        <w:spacing w:after="0" w:line="476" w:lineRule="auto"/>
        <w:rPr>
          <w:sz w:val="20"/>
          <w:szCs w:val="20"/>
          <w:color w:val="auto"/>
        </w:rPr>
      </w:pPr>
      <w:r>
        <w:rPr>
          <w:rFonts w:ascii="Times New Roman" w:cs="Times New Roman" w:eastAsia="Times New Roman" w:hAnsi="Times New Roman"/>
          <w:sz w:val="13"/>
          <w:szCs w:val="13"/>
          <w:color w:val="auto"/>
        </w:rPr>
        <w:t>DO YOU HAVE ANY PRIOR OBLIGATIONS (WRITTEN OR ORAL) THAT WOULD RESTRICT YOUR ABILITY TO PERFORM THE DUTIES OF YOUR EMPLOYMENT WITH HONEYWELL? (If there are none, please enter the word “NONE”)</w:t>
      </w:r>
    </w:p>
    <w:p>
      <w:pPr>
        <w:spacing w:after="0" w:line="226" w:lineRule="auto"/>
        <w:rPr>
          <w:sz w:val="20"/>
          <w:szCs w:val="20"/>
          <w:color w:val="auto"/>
        </w:rPr>
      </w:pPr>
      <w:r>
        <w:rPr>
          <w:rFonts w:ascii="Times New Roman" w:cs="Times New Roman" w:eastAsia="Times New Roman" w:hAnsi="Times New Roman"/>
          <w:sz w:val="13"/>
          <w:szCs w:val="13"/>
          <w:color w:val="auto"/>
        </w:rPr>
        <w:t>NOTE: Please give date of, and parties to, obligations and the nature and substance of the restriction.</w:t>
      </w:r>
    </w:p>
    <w:p>
      <w:pPr>
        <w:spacing w:after="0" w:line="217" w:lineRule="auto"/>
        <w:rPr>
          <w:sz w:val="20"/>
          <w:szCs w:val="20"/>
          <w:color w:val="auto"/>
        </w:rPr>
      </w:pPr>
      <w:r>
        <w:rPr>
          <w:rFonts w:ascii="Times New Roman" w:cs="Times New Roman" w:eastAsia="Times New Roman" w:hAnsi="Times New Roman"/>
          <w:sz w:val="13"/>
          <w:szCs w:val="13"/>
          <w:color w:val="auto"/>
        </w:rPr>
        <w:t>____________________________________________________________________________________________________________________________________________________________________________</w:t>
      </w:r>
    </w:p>
    <w:p>
      <w:pPr>
        <w:spacing w:after="0"/>
        <w:rPr>
          <w:sz w:val="20"/>
          <w:szCs w:val="20"/>
          <w:color w:val="auto"/>
        </w:rPr>
      </w:pPr>
      <w:r>
        <w:rPr>
          <w:rFonts w:ascii="Times New Roman" w:cs="Times New Roman" w:eastAsia="Times New Roman" w:hAnsi="Times New Roman"/>
          <w:sz w:val="13"/>
          <w:szCs w:val="13"/>
          <w:color w:val="auto"/>
        </w:rPr>
        <w:t>[Attach additional sheets if more space is needed.]</w:t>
      </w:r>
    </w:p>
    <w:p>
      <w:pPr>
        <w:spacing w:after="0" w:line="200" w:lineRule="exact"/>
        <w:rPr>
          <w:sz w:val="20"/>
          <w:szCs w:val="20"/>
          <w:color w:val="auto"/>
        </w:rPr>
      </w:pPr>
    </w:p>
    <w:p>
      <w:pPr>
        <w:spacing w:after="0" w:line="357" w:lineRule="exact"/>
        <w:rPr>
          <w:sz w:val="20"/>
          <w:szCs w:val="20"/>
          <w:color w:val="auto"/>
        </w:rPr>
      </w:pPr>
    </w:p>
    <w:p>
      <w:pPr>
        <w:spacing w:after="0"/>
        <w:tabs>
          <w:tab w:leader="none" w:pos="2580" w:val="left"/>
          <w:tab w:leader="none" w:pos="3320" w:val="left"/>
        </w:tabs>
        <w:rPr>
          <w:sz w:val="20"/>
          <w:szCs w:val="20"/>
          <w:color w:val="auto"/>
        </w:rPr>
      </w:pPr>
      <w:r>
        <w:rPr>
          <w:rFonts w:ascii="Times New Roman" w:cs="Times New Roman" w:eastAsia="Times New Roman" w:hAnsi="Times New Roman"/>
          <w:sz w:val="13"/>
          <w:szCs w:val="13"/>
          <w:color w:val="auto"/>
        </w:rPr>
        <w:t>IP Agreement – US NON-CALIFORNIA – R</w:t>
        <w:tab/>
        <w:t>Page 8 of 9</w:t>
        <w:tab/>
        <w:t>Revised 05-1-2019</w:t>
      </w:r>
    </w:p>
    <w:p>
      <w:pPr>
        <w:sectPr>
          <w:pgSz w:w="11900" w:h="16838" w:orient="portrait"/>
          <w:cols w:equalWidth="0" w:num="1">
            <w:col w:w="11340"/>
          </w:cols>
          <w:pgMar w:left="300" w:top="807" w:right="259" w:bottom="1440" w:gutter="0" w:footer="0" w:header="0"/>
        </w:sectPr>
      </w:pPr>
    </w:p>
    <w:bookmarkStart w:id="174" w:name="page175"/>
    <w:bookmarkEnd w:id="1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Document Category: </w:t>
      </w:r>
      <w:r>
        <w:rPr>
          <w:rFonts w:ascii="Arial" w:cs="Arial" w:eastAsia="Arial" w:hAnsi="Arial"/>
          <w:sz w:val="14"/>
          <w:szCs w:val="14"/>
          <w:color w:val="auto"/>
        </w:rPr>
        <w:t>Hiring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Document Type: </w:t>
      </w:r>
      <w:r>
        <w:rPr>
          <w:rFonts w:ascii="Arial" w:cs="Arial" w:eastAsia="Arial" w:hAnsi="Arial"/>
          <w:sz w:val="14"/>
          <w:szCs w:val="14"/>
          <w:color w:val="auto"/>
        </w:rPr>
        <w:t>Intellectual Property (IP)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alibri" w:cs="Calibri" w:eastAsia="Calibri" w:hAnsi="Calibri"/>
          <w:sz w:val="13"/>
          <w:szCs w:val="13"/>
          <w:color w:val="auto"/>
        </w:rPr>
        <w:t>*For Employee File Management Purpose Only</w:t>
      </w:r>
    </w:p>
    <w:p>
      <w:pPr>
        <w:sectPr>
          <w:pgSz w:w="11900" w:h="16838" w:orient="portrait"/>
          <w:cols w:equalWidth="0" w:num="1">
            <w:col w:w="10159"/>
          </w:cols>
          <w:pgMar w:left="300" w:top="1440" w:right="1440" w:bottom="1440" w:gutter="0" w:footer="0" w:header="0"/>
        </w:sectPr>
      </w:pPr>
    </w:p>
    <w:bookmarkStart w:id="175" w:name="page176"/>
    <w:bookmarkEnd w:id="175"/>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HONEYWELL INTERNATIONAL INC.</w:t>
      </w:r>
    </w:p>
    <w:p>
      <w:pPr>
        <w:jc w:val="center"/>
        <w:ind w:right="-7"/>
        <w:spacing w:after="0" w:line="204" w:lineRule="auto"/>
        <w:rPr>
          <w:sz w:val="20"/>
          <w:szCs w:val="20"/>
          <w:color w:val="auto"/>
        </w:rPr>
      </w:pPr>
      <w:r>
        <w:rPr>
          <w:rFonts w:ascii="Times New Roman" w:cs="Times New Roman" w:eastAsia="Times New Roman" w:hAnsi="Times New Roman"/>
          <w:sz w:val="22"/>
          <w:szCs w:val="22"/>
          <w:b w:val="1"/>
          <w:bCs w:val="1"/>
          <w:color w:val="auto"/>
        </w:rPr>
        <w:t>NONCOMPETE AGREEMENT</w:t>
      </w:r>
    </w:p>
    <w:p>
      <w:pPr>
        <w:spacing w:after="0" w:line="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 SELECT MANAGEMENT EMPLOYEES</w:t>
      </w:r>
    </w:p>
    <w:p>
      <w:pPr>
        <w:spacing w:after="0" w:line="108" w:lineRule="exact"/>
        <w:rPr>
          <w:sz w:val="20"/>
          <w:szCs w:val="20"/>
          <w:color w:val="auto"/>
        </w:rPr>
      </w:pPr>
    </w:p>
    <w:p>
      <w:pPr>
        <w:jc w:val="both"/>
        <w:ind w:left="8"/>
        <w:spacing w:after="0" w:line="237" w:lineRule="auto"/>
        <w:rPr>
          <w:sz w:val="20"/>
          <w:szCs w:val="20"/>
          <w:color w:val="auto"/>
        </w:rPr>
      </w:pPr>
      <w:r>
        <w:rPr>
          <w:rFonts w:ascii="Times New Roman" w:cs="Times New Roman" w:eastAsia="Times New Roman" w:hAnsi="Times New Roman"/>
          <w:sz w:val="14"/>
          <w:szCs w:val="14"/>
          <w:b w:val="1"/>
          <w:bCs w:val="1"/>
          <w:color w:val="auto"/>
        </w:rPr>
        <w:t>In consideration of my role as a select management employee of Honeywell, my employment, continued employment, compensation, eligibility for any future discretionary raises or merit increases, eligibility for any future bonuses, awards or payments under any Honeywell incentive compensation or equity programs or plans, and the equipment, materials, facilities and Confidential Information supplied to me, I agree to the following:</w:t>
      </w:r>
    </w:p>
    <w:p>
      <w:pPr>
        <w:spacing w:after="0" w:line="117" w:lineRule="exact"/>
        <w:rPr>
          <w:sz w:val="20"/>
          <w:szCs w:val="20"/>
          <w:color w:val="auto"/>
        </w:rPr>
      </w:pPr>
    </w:p>
    <w:p>
      <w:pPr>
        <w:jc w:val="both"/>
        <w:ind w:left="8" w:hanging="8"/>
        <w:spacing w:after="0" w:line="223" w:lineRule="auto"/>
        <w:tabs>
          <w:tab w:leader="none" w:pos="274" w:val="left"/>
        </w:tabs>
        <w:numPr>
          <w:ilvl w:val="0"/>
          <w:numId w:val="2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Noncompetition. </w:t>
      </w:r>
      <w:r>
        <w:rPr>
          <w:rFonts w:ascii="Times New Roman" w:cs="Times New Roman" w:eastAsia="Times New Roman" w:hAnsi="Times New Roman"/>
          <w:sz w:val="14"/>
          <w:szCs w:val="14"/>
          <w:color w:val="auto"/>
        </w:rPr>
        <w:t>I acknowledge that in the course of my employment with or provision of services to Honeywell, I have and will become familiar with Confidential Information concerning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Honeywell, its businesses and employees, including, but not limited to, Honeywell’s business methods, business systems, strategic plans, plans for acquisition or disposition of products, expansion plans, financial status and plans, financial data, customer lists and data, and personnel information. I understand and agree that as part of my continued employment with Honeywell, I will continue to have access to and receive Confidential Information concerning Honeywell. I further acknowledge that Honeywell operates in a very competitive business environment and my services are, and will continue to be, of special, unique and extraordinary value to Honeywell. I further acknowledge that I have been given, and will continue to be given, access to and the ability to develop relationships with, customers of Honeywell at the time and expense of Honeywell, and have and will continue to receive training, experience and expertise from Honeywell that make my services of special, unique and extraordinary value to Honeywell. I further acknowledge and agree that I will not, directly or indirectly, at any time during or after my employment with Honeywell, except in the course of performing my duties for Honeywell, disclose, disseminate, make available or use Honeywell’s Confidential Information.</w:t>
      </w:r>
    </w:p>
    <w:p>
      <w:pPr>
        <w:spacing w:after="0" w:line="119" w:lineRule="exact"/>
        <w:rPr>
          <w:sz w:val="20"/>
          <w:szCs w:val="20"/>
          <w:color w:val="auto"/>
        </w:rPr>
      </w:pPr>
    </w:p>
    <w:p>
      <w:pPr>
        <w:jc w:val="both"/>
        <w:ind w:left="8" w:firstLine="200"/>
        <w:spacing w:after="0" w:line="225" w:lineRule="auto"/>
        <w:rPr>
          <w:sz w:val="20"/>
          <w:szCs w:val="20"/>
          <w:color w:val="auto"/>
        </w:rPr>
      </w:pPr>
      <w:r>
        <w:rPr>
          <w:rFonts w:ascii="Times New Roman" w:cs="Times New Roman" w:eastAsia="Times New Roman" w:hAnsi="Times New Roman"/>
          <w:sz w:val="14"/>
          <w:szCs w:val="14"/>
          <w:color w:val="auto"/>
        </w:rPr>
        <w:t>I agree that, during my employment and for a period of two (2) years following my Termination of Employment with Honeywell for any reason, I will not become employed by, perform services for, or otherwise become associated with (as an employee, officer, director, principal, agent, manager, partner, co-partner or consultant or any other individual or representative role) a Competing Business (as defined below). This restriction shall apply to any Competing Business that conducts business in the same or substantially similar geographic area as a Protected Honeywell Business (as defined below). I acknowledge that (i) Honeywell’s business is conducted around the world; (ii) notwithstanding Honeywell’s state of incorporation or the location of its principal office, Honeywell maintains business activities and valuable business relationships within its industries around the world; and (iii) as part of my responsibilities, I may be conducting business around the world in furtherance of Honeywell’s business and its relationships.</w:t>
      </w:r>
    </w:p>
    <w:p>
      <w:pPr>
        <w:spacing w:after="0" w:line="120" w:lineRule="exact"/>
        <w:rPr>
          <w:sz w:val="20"/>
          <w:szCs w:val="20"/>
          <w:color w:val="auto"/>
        </w:rPr>
      </w:pPr>
    </w:p>
    <w:p>
      <w:pPr>
        <w:jc w:val="both"/>
        <w:ind w:left="8" w:firstLine="161"/>
        <w:spacing w:after="0" w:line="225" w:lineRule="auto"/>
        <w:rPr>
          <w:sz w:val="20"/>
          <w:szCs w:val="20"/>
          <w:color w:val="auto"/>
        </w:rPr>
      </w:pPr>
      <w:r>
        <w:rPr>
          <w:rFonts w:ascii="Times New Roman" w:cs="Times New Roman" w:eastAsia="Times New Roman" w:hAnsi="Times New Roman"/>
          <w:sz w:val="14"/>
          <w:szCs w:val="14"/>
          <w:color w:val="auto"/>
        </w:rPr>
        <w:t xml:space="preserve">A “Competing Business” shall mean any business, person, entity or group of business entities, regardless of whether organized as a corporation, partnership (general or limited), joint venture, association or other organization, that (i) conducts or is planning to conduct a business similar to and/or in competition with any business conducted or planned by Honeywell,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a Honeywell business (the Honeywell businesses described in (i) and (ii) are hereinafter collectively referred to as “Protected Honeywell Business(es)”). </w:t>
      </w:r>
      <w:r>
        <w:rPr>
          <w:rFonts w:ascii="Times New Roman" w:cs="Times New Roman" w:eastAsia="Times New Roman" w:hAnsi="Times New Roman"/>
          <w:sz w:val="14"/>
          <w:szCs w:val="14"/>
          <w:i w:val="1"/>
          <w:iCs w:val="1"/>
          <w:color w:val="auto"/>
        </w:rPr>
        <w:t>Notwithstanding the foregoing, an entity is not a Competing Business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with respect to me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unless I was employed by, performed services for, or had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operational knowledge of, a Protected Honeywell Business in a covered job (i.e., a job subject to a noncompetition agreement) during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2"/>
        <w:spacing w:after="0"/>
        <w:tabs>
          <w:tab w:leader="none" w:pos="160" w:val="left"/>
        </w:tabs>
        <w:rPr>
          <w:sz w:val="20"/>
          <w:szCs w:val="20"/>
          <w:color w:val="auto"/>
        </w:rPr>
      </w:pPr>
      <w:r>
        <w:rPr>
          <w:rFonts w:ascii="Times New Roman" w:cs="Times New Roman" w:eastAsia="Times New Roman" w:hAnsi="Times New Roman"/>
          <w:sz w:val="14"/>
          <w:szCs w:val="14"/>
          <w:color w:val="auto"/>
        </w:rPr>
        <w:t>NCA – US – Select Management Employees Page 1 of 6</w:t>
        <w:tab/>
        <w:t>Revised 07-27-2021</w:t>
      </w:r>
    </w:p>
    <w:p>
      <w:pPr>
        <w:sectPr>
          <w:pgSz w:w="11900" w:h="16838" w:orient="portrait"/>
          <w:cols w:equalWidth="0" w:num="1">
            <w:col w:w="11308"/>
          </w:cols>
          <w:pgMar w:left="292" w:top="954" w:right="299" w:bottom="1440" w:gutter="0" w:footer="0" w:header="0"/>
        </w:sectPr>
      </w:pPr>
    </w:p>
    <w:bookmarkStart w:id="176" w:name="page177"/>
    <w:bookmarkEnd w:id="176"/>
    <w:p>
      <w:pPr>
        <w:jc w:val="both"/>
        <w:ind w:left="8"/>
        <w:spacing w:after="0" w:line="258" w:lineRule="auto"/>
        <w:rPr>
          <w:sz w:val="20"/>
          <w:szCs w:val="20"/>
          <w:color w:val="auto"/>
        </w:rPr>
      </w:pPr>
      <w:r>
        <w:rPr>
          <w:rFonts w:ascii="Times New Roman" w:cs="Times New Roman" w:eastAsia="Times New Roman" w:hAnsi="Times New Roman"/>
          <w:sz w:val="14"/>
          <w:szCs w:val="14"/>
          <w:i w:val="1"/>
          <w:iCs w:val="1"/>
          <w:color w:val="auto"/>
        </w:rPr>
        <w:t>the Look Back Period</w:t>
      </w:r>
      <w:r>
        <w:rPr>
          <w:rFonts w:ascii="Times New Roman" w:cs="Times New Roman" w:eastAsia="Times New Roman" w:hAnsi="Times New Roman"/>
          <w:sz w:val="14"/>
          <w:szCs w:val="14"/>
          <w:color w:val="auto"/>
        </w:rPr>
        <w:t>. For purposes of the foregoing, I acknowledge that I will be deemed to have knowledge of a Protected Honeywell Business if I received, was in possession of, or otherwise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had access to Confidential Information regarding such Protected Honeywell Business.</w:t>
      </w:r>
    </w:p>
    <w:p>
      <w:pPr>
        <w:spacing w:after="0" w:line="106" w:lineRule="exact"/>
        <w:rPr>
          <w:sz w:val="20"/>
          <w:szCs w:val="20"/>
          <w:color w:val="auto"/>
        </w:rPr>
      </w:pPr>
    </w:p>
    <w:p>
      <w:pPr>
        <w:jc w:val="both"/>
        <w:ind w:left="8" w:firstLine="432"/>
        <w:spacing w:after="0" w:line="231" w:lineRule="auto"/>
        <w:rPr>
          <w:sz w:val="20"/>
          <w:szCs w:val="20"/>
          <w:color w:val="auto"/>
        </w:rPr>
      </w:pPr>
      <w:r>
        <w:rPr>
          <w:rFonts w:ascii="Times New Roman" w:cs="Times New Roman" w:eastAsia="Times New Roman" w:hAnsi="Times New Roman"/>
          <w:sz w:val="14"/>
          <w:szCs w:val="14"/>
          <w:color w:val="auto"/>
        </w:rPr>
        <w:t>For purposes of illustration only, I acknowledge and understand that each of the corporations or entities (and any related entities, subsidiaries, affiliates or successors) set forth on the Addendum attached hereto is a Competing Business as of the date hereof. I further acknowledge and agree that the Addendum attached hereto is not an exhaustive list and is not intended to include all of Honeywell’s current or future competitors, which I acknowledge may include other persons or entities in the future. I further acknowledge and understand that if I have any questions about whether any prior Honeywell position that I have held over the last two (2) years may be used to identify Competing Businesses, I should contact my Human Resource representative.</w:t>
      </w:r>
    </w:p>
    <w:p>
      <w:pPr>
        <w:spacing w:after="0" w:line="118" w:lineRule="exact"/>
        <w:rPr>
          <w:sz w:val="20"/>
          <w:szCs w:val="20"/>
          <w:color w:val="auto"/>
        </w:rPr>
      </w:pPr>
    </w:p>
    <w:p>
      <w:pPr>
        <w:jc w:val="both"/>
        <w:ind w:left="8" w:firstLine="432"/>
        <w:spacing w:after="0" w:line="224" w:lineRule="auto"/>
        <w:rPr>
          <w:sz w:val="20"/>
          <w:szCs w:val="20"/>
          <w:color w:val="auto"/>
        </w:rPr>
      </w:pPr>
      <w:r>
        <w:rPr>
          <w:rFonts w:ascii="Times New Roman" w:cs="Times New Roman" w:eastAsia="Times New Roman" w:hAnsi="Times New Roman"/>
          <w:sz w:val="14"/>
          <w:szCs w:val="14"/>
          <w:color w:val="auto"/>
        </w:rPr>
        <w:t xml:space="preserve">Honeywell recognizes that some businesses, persons, entities, or group of businesses that constitute Competing Businesses may also have lines of business that do not compete with Honeywell, and the restrictions contained herein are not intended to include such lines of business. I understand and agree that if I intend to become employed by, perform services for, or otherwise become associated with (as an employee, officer, director, principal, agent, manager, partner, co-partner or consultant or any other individual or representative role) a Competing Business, it is presumed that the restrictions contained herein apply. I further understand and agree that if I do not believe the restrictions contained herein </w:t>
      </w:r>
      <w:r>
        <w:rPr>
          <w:rFonts w:ascii="Times New Roman" w:cs="Times New Roman" w:eastAsia="Times New Roman" w:hAnsi="Times New Roman"/>
          <w:sz w:val="14"/>
          <w:szCs w:val="14"/>
          <w:i w:val="1"/>
          <w:iCs w:val="1"/>
          <w:color w:val="auto"/>
        </w:rPr>
        <w:t>should</w:t>
      </w:r>
      <w:r>
        <w:rPr>
          <w:rFonts w:ascii="Times New Roman" w:cs="Times New Roman" w:eastAsia="Times New Roman" w:hAnsi="Times New Roman"/>
          <w:sz w:val="14"/>
          <w:szCs w:val="14"/>
          <w:color w:val="auto"/>
        </w:rPr>
        <w:t xml:space="preserve"> apply, I must notify Honeywell, in writing, prior to accepting employment or otherwise becoming associated with the ostensible Competing Business, and demonstrate to Honeywell that I will only be employed by, perform services for, or otherwise become associated with (as an employee, officer, director, principal, agent, manager, partner, co-partner or consultant or any other individual or representative role) a Competing Business’ line of business that does not compete with Honeywell.</w:t>
      </w:r>
    </w:p>
    <w:p>
      <w:pPr>
        <w:spacing w:after="0" w:line="116" w:lineRule="exact"/>
        <w:rPr>
          <w:sz w:val="20"/>
          <w:szCs w:val="20"/>
          <w:color w:val="auto"/>
        </w:rPr>
      </w:pPr>
    </w:p>
    <w:p>
      <w:pPr>
        <w:jc w:val="both"/>
        <w:ind w:left="8" w:hanging="8"/>
        <w:spacing w:after="0" w:line="223" w:lineRule="auto"/>
        <w:tabs>
          <w:tab w:leader="none" w:pos="278" w:val="left"/>
        </w:tabs>
        <w:numPr>
          <w:ilvl w:val="0"/>
          <w:numId w:val="2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Reasonableness of Restrictions and Validity. </w:t>
      </w:r>
      <w:r>
        <w:rPr>
          <w:rFonts w:ascii="Times New Roman" w:cs="Times New Roman" w:eastAsia="Times New Roman" w:hAnsi="Times New Roman"/>
          <w:sz w:val="14"/>
          <w:szCs w:val="14"/>
          <w:color w:val="auto"/>
        </w:rPr>
        <w:t>I agree that the terms of this Agreement are reasonable and do not impose a greater restraint than necessary to protect Honeywell’s legitimate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protectable business interests, including the protection of its Confidential Information. It is the desire and intent of the parties hereto that the provisions of this Agreement shall be enforced to the fullest extent legally-permissible. Accordingly, if any particular provision(s) of this Agreement shall be adjudicated to be overbroad, invalid or unenforceable, the court may modify or sever such provision(s), such modification or deletion to apply only with respect to the operation of such provision(s) in the particular jurisdiction in which such adjudication is made. In addition, if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 The remaining provisions of this Agreement shall remain in full force and effect. I also agree that the parties shall request that a court of competent jurisdiction not invalidate or ignore the terms of this Agreement, but instead honor this provision by reforming or modifying any overbroad or otherwise invalid terms to the extent necessary to render the terms valid and enforceable and then enforcing the Agreement as so reformed or modified.</w:t>
      </w:r>
    </w:p>
    <w:p>
      <w:pPr>
        <w:spacing w:after="0" w:line="99" w:lineRule="exact"/>
        <w:rPr>
          <w:rFonts w:ascii="Times New Roman" w:cs="Times New Roman" w:eastAsia="Times New Roman" w:hAnsi="Times New Roman"/>
          <w:sz w:val="14"/>
          <w:szCs w:val="14"/>
          <w:b w:val="1"/>
          <w:bCs w:val="1"/>
          <w:color w:val="auto"/>
        </w:rPr>
      </w:pPr>
    </w:p>
    <w:p>
      <w:pPr>
        <w:jc w:val="both"/>
        <w:ind w:left="8" w:hanging="8"/>
        <w:spacing w:after="0"/>
        <w:tabs>
          <w:tab w:leader="none" w:pos="305" w:val="left"/>
        </w:tabs>
        <w:numPr>
          <w:ilvl w:val="0"/>
          <w:numId w:val="2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Remedies. </w:t>
      </w:r>
      <w:r>
        <w:rPr>
          <w:rFonts w:ascii="Times New Roman" w:cs="Times New Roman" w:eastAsia="Times New Roman" w:hAnsi="Times New Roman"/>
          <w:sz w:val="14"/>
          <w:szCs w:val="14"/>
          <w:color w:val="auto"/>
        </w:rPr>
        <w:t>I acknowledge that a remedy at law for any breach or threatened breach of the provisions of this Agreement would be inadequate and therefore agree that Honeywell shall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entitled to injunctive relief in case of any such breach or threatened breach. I acknowledge and agree Honeywell may apply to any court of law or equity of competent jurisdiction for specific performance and/or injunctive relief (without posting a bond or other security) in order to enforce or prevent any violation of the provisions of this Agreement, and that money damages would not be an adequate remedy for any breach of the provisions of this Agreement. I acknowledge and agree that a violation of this Agreement would cause irreparable harm to Honeywell, and I covenant that I</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2"/>
        <w:spacing w:after="0"/>
        <w:tabs>
          <w:tab w:leader="none" w:pos="160" w:val="left"/>
        </w:tabs>
        <w:rPr>
          <w:sz w:val="20"/>
          <w:szCs w:val="20"/>
          <w:color w:val="auto"/>
        </w:rPr>
      </w:pPr>
      <w:r>
        <w:rPr>
          <w:rFonts w:ascii="Times New Roman" w:cs="Times New Roman" w:eastAsia="Times New Roman" w:hAnsi="Times New Roman"/>
          <w:sz w:val="14"/>
          <w:szCs w:val="14"/>
          <w:color w:val="auto"/>
        </w:rPr>
        <w:t>NCA – US – Select Management Employees Page 2 of 6</w:t>
        <w:tab/>
        <w:t>Revised 07-27-2021</w:t>
      </w:r>
    </w:p>
    <w:p>
      <w:pPr>
        <w:sectPr>
          <w:pgSz w:w="11900" w:h="16838" w:orient="portrait"/>
          <w:cols w:equalWidth="0" w:num="1">
            <w:col w:w="11308"/>
          </w:cols>
          <w:pgMar w:left="292" w:top="974" w:right="299" w:bottom="1440" w:gutter="0" w:footer="0" w:header="0"/>
        </w:sectPr>
      </w:pPr>
    </w:p>
    <w:bookmarkStart w:id="177" w:name="page178"/>
    <w:bookmarkEnd w:id="177"/>
    <w:p>
      <w:pPr>
        <w:jc w:val="both"/>
        <w:ind w:left="8"/>
        <w:spacing w:after="0" w:line="224" w:lineRule="auto"/>
        <w:rPr>
          <w:sz w:val="20"/>
          <w:szCs w:val="20"/>
          <w:color w:val="auto"/>
        </w:rPr>
      </w:pPr>
      <w:r>
        <w:rPr>
          <w:rFonts w:ascii="Times New Roman" w:cs="Times New Roman" w:eastAsia="Times New Roman" w:hAnsi="Times New Roman"/>
          <w:sz w:val="14"/>
          <w:szCs w:val="14"/>
          <w:color w:val="auto"/>
        </w:rPr>
        <w:t>will not assert in any proceeding that a violation or further violation of this Agreement: (i) will not result in irreparable harm to Honeywell; or (ii) could be remedied adequately at law. Honeywell’s right to injunctive relief shall be cumulative and in addition to any other remedies available at law or equity. In the event that a court determines that I have breached this Agreement or enters an order enforcing or upholding any provision of this Agreement, I agree that the post-employment restrictive covenant period shall be tolled during the time period that I was in violation of the covenant so that Honeywell gets the full benefit of the entire restrictive covenant period set forth in Paragraph 1. In the event that a court determines that I have breached or threatened to breach this Agreement, I agree to reimburse Honeywell for all attorneys’ fees and costs incurred in enforcing the terms of this Agreement. However, nothing contained herein shall be construed as prohibiting Honeywell from pursuing any other remedies available for any such breach or threatened breach against me or my new employer, which may also include, but not be limited to, contract damages, lost profits and punitive damages.</w:t>
      </w:r>
    </w:p>
    <w:p>
      <w:pPr>
        <w:spacing w:after="0" w:line="116" w:lineRule="exact"/>
        <w:rPr>
          <w:sz w:val="20"/>
          <w:szCs w:val="20"/>
          <w:color w:val="auto"/>
        </w:rPr>
      </w:pPr>
    </w:p>
    <w:p>
      <w:pPr>
        <w:jc w:val="both"/>
        <w:ind w:left="8" w:hanging="8"/>
        <w:spacing w:after="0" w:line="224" w:lineRule="auto"/>
        <w:tabs>
          <w:tab w:leader="none" w:pos="260" w:val="left"/>
        </w:tabs>
        <w:numPr>
          <w:ilvl w:val="0"/>
          <w:numId w:val="2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Harm and Injunctive Relief and Permitted Disclosures. </w:t>
      </w:r>
      <w:r>
        <w:rPr>
          <w:rFonts w:ascii="Times New Roman" w:cs="Times New Roman" w:eastAsia="Times New Roman" w:hAnsi="Times New Roman"/>
          <w:sz w:val="14"/>
          <w:szCs w:val="14"/>
          <w:color w:val="auto"/>
        </w:rPr>
        <w:t>I agree and acknowledge that the restrictions contained in this Agreement do not preclude me from earning a livelihood, nor do they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unreasonably impose limitations on my ability to earn a living. I further agree and acknowledge that the potential harm to Honeywell of the non-enforcement of this Agreement outweighs any potential harm to me from its enforcement by injunction or otherwise. I acknowledge that I have carefully read this Agreement and have given careful consideration to the restraints imposed upon me by this Agreement, and am in full accord as to their necessity for the reasonable and proper protection of Honeywell’s legitimate protectable business interests, including the protection of its Confidential Information. I agree and acknowledge that I have been provided adequate and reasonable consideration in exchange for the obligations under this Agreement, including employment or continued employment by Honeywell, goodwill, access or continued access to Honeywell’s Confidential Information, access or continued access to customers, and additional good and valuable consideration. I expressly acknowledge and agree that each and every restraint imposed by this Agreement is reasonable with respect to subject matter, duration and geographical scope.</w:t>
      </w:r>
    </w:p>
    <w:p>
      <w:pPr>
        <w:spacing w:after="0" w:line="120" w:lineRule="exact"/>
        <w:rPr>
          <w:sz w:val="20"/>
          <w:szCs w:val="20"/>
          <w:color w:val="auto"/>
        </w:rPr>
      </w:pPr>
    </w:p>
    <w:p>
      <w:pPr>
        <w:jc w:val="both"/>
        <w:ind w:left="8" w:firstLine="432"/>
        <w:spacing w:after="0" w:line="224" w:lineRule="auto"/>
        <w:rPr>
          <w:sz w:val="20"/>
          <w:szCs w:val="20"/>
          <w:color w:val="auto"/>
        </w:rPr>
      </w:pPr>
      <w:r>
        <w:rPr>
          <w:rFonts w:ascii="Times New Roman" w:cs="Times New Roman" w:eastAsia="Times New Roman" w:hAnsi="Times New Roman"/>
          <w:sz w:val="14"/>
          <w:szCs w:val="14"/>
          <w:color w:val="auto"/>
        </w:rPr>
        <w:t xml:space="preserve">I acknowledge that I have been hereby provided notice that federal law provides that an individual shall not be held criminally or civilly liable under any federal or state trade secret law for the disclosure of a trade secret where: (a) the disclosure is made (i) in confidence to a Federal, State, or local government official, either directly or indirectly, or to an attorney; and (ii) solely for the purpose of reporting or investigating a suspected violation of law; or (b) the disclosure is made in a complaint or other document filed in a lawsuit or other proceeding, if such filing is made under seal. Federal law also provides that an individual who files a lawsuit for retaliation by an employer for reporting a suspected violation of law may disclose the trade secret to the attorney of the individual and use the trade secret information in the court proceeding, if the individual (x) files any document containing the trade secret under seal; and (y) does not disclose the trade secret, except pursuant to court order. </w:t>
      </w:r>
      <w:r>
        <w:rPr>
          <w:rFonts w:ascii="Times New Roman" w:cs="Times New Roman" w:eastAsia="Times New Roman" w:hAnsi="Times New Roman"/>
          <w:sz w:val="14"/>
          <w:szCs w:val="14"/>
          <w:b w:val="1"/>
          <w:bCs w:val="1"/>
          <w:color w:val="auto"/>
        </w:rPr>
        <w:t>I understand that in the event it is determined that disclosure of trade secrets was not done in good faith for the reasons described above, I will be subject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to substantial damages, including punitive damages and attorneys’ fees.</w:t>
      </w:r>
    </w:p>
    <w:p>
      <w:pPr>
        <w:spacing w:after="0" w:line="118" w:lineRule="exact"/>
        <w:rPr>
          <w:sz w:val="20"/>
          <w:szCs w:val="20"/>
          <w:color w:val="auto"/>
        </w:rPr>
      </w:pPr>
    </w:p>
    <w:p>
      <w:pPr>
        <w:jc w:val="both"/>
        <w:ind w:left="8" w:firstLine="432"/>
        <w:spacing w:after="0" w:line="231" w:lineRule="auto"/>
        <w:rPr>
          <w:sz w:val="20"/>
          <w:szCs w:val="20"/>
          <w:color w:val="auto"/>
        </w:rPr>
      </w:pPr>
      <w:r>
        <w:rPr>
          <w:rFonts w:ascii="Times New Roman" w:cs="Times New Roman" w:eastAsia="Times New Roman" w:hAnsi="Times New Roman"/>
          <w:sz w:val="14"/>
          <w:szCs w:val="14"/>
          <w:color w:val="auto"/>
        </w:rPr>
        <w:t>The provisions of this Agreement are consistent with and do not supersede, conflict with, or otherwise alter any employee’s obligations, rights, or liabilities created by existing statute or Executive Order relating to (i) classified information, (ii) communications to Congress, (iii) the reporting to an Inspector General of a violation of any law, rule, or regulation, or mismanagement, a gross waste of funds, an abuse of authority, or a substantial and specific danger to public health or safety, or (iv) any other whistleblower protection. The definitions, requirements, obligations, rights, sanctions, and liabilities created by controlling Executive Orders and statutory provisions relating to these protections are incorporated into this Agreement and are controlling.</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2"/>
        <w:spacing w:after="0"/>
        <w:tabs>
          <w:tab w:leader="none" w:pos="160" w:val="left"/>
        </w:tabs>
        <w:rPr>
          <w:sz w:val="20"/>
          <w:szCs w:val="20"/>
          <w:color w:val="auto"/>
        </w:rPr>
      </w:pPr>
      <w:r>
        <w:rPr>
          <w:rFonts w:ascii="Times New Roman" w:cs="Times New Roman" w:eastAsia="Times New Roman" w:hAnsi="Times New Roman"/>
          <w:sz w:val="14"/>
          <w:szCs w:val="14"/>
          <w:color w:val="auto"/>
        </w:rPr>
        <w:t>NCA – US – Select Management Employees Page 3 of 6</w:t>
        <w:tab/>
        <w:t>Revised 07-27-2021</w:t>
      </w:r>
    </w:p>
    <w:p>
      <w:pPr>
        <w:sectPr>
          <w:pgSz w:w="11900" w:h="16838" w:orient="portrait"/>
          <w:cols w:equalWidth="0" w:num="1">
            <w:col w:w="11308"/>
          </w:cols>
          <w:pgMar w:left="292" w:top="976" w:right="299" w:bottom="1440" w:gutter="0" w:footer="0" w:header="0"/>
        </w:sectPr>
      </w:pPr>
    </w:p>
    <w:bookmarkStart w:id="178" w:name="page179"/>
    <w:bookmarkEnd w:id="178"/>
    <w:p>
      <w:pPr>
        <w:jc w:val="both"/>
        <w:ind w:left="8" w:hanging="8"/>
        <w:spacing w:after="0" w:line="222" w:lineRule="auto"/>
        <w:tabs>
          <w:tab w:leader="none" w:pos="260" w:val="left"/>
        </w:tabs>
        <w:numPr>
          <w:ilvl w:val="0"/>
          <w:numId w:val="2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Binding Agreement, Amendment, Successors. </w:t>
      </w:r>
      <w:r>
        <w:rPr>
          <w:rFonts w:ascii="Times New Roman" w:cs="Times New Roman" w:eastAsia="Times New Roman" w:hAnsi="Times New Roman"/>
          <w:sz w:val="14"/>
          <w:szCs w:val="14"/>
          <w:color w:val="auto"/>
        </w:rPr>
        <w:t>I acknowledge that the provisions of this Agreement are in addition to, and in no way intended to limit, restrict or narrow any prior or existing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employment or other agreement with Honeywell. This Agreement does not replace or supersede any prior or existing employment or other agreement with Honeywell, but rather, shall be read in conjunction with such prior or existing agreements and shall be interpreted in a manner to provide Honeywell the maximum protection provided by all agreements I have with Honeywell. The terms of the restrictions in Paragraph 1 and the other terms in this Agreement are to be read consistent with the terms of any other noncompete or other agreements that I have executed with Honeywell; provided, however, to the extent there is a conflict between/among such agreements, such agreements shall be construed as providing the broadest possible protections to Honeywell, even if such construction would require provisions of more than one such agreement to be given effect. No waiver of this Agreement will be effective unless it is in writing and signed by Honeywell’s chief human resources officer or his/her designee. This Agreement may not be superseded or amended by any other agreement between myself and Honeywell unless such agreement specifically and expressly states that it is intended to supersede this Agreement and is executed by Honeywell’s chief human resources officer or his/her designee. This Agreement binds my heirs, executors, administrators, legal representatives and assigns and inures to the benefit of Honeywell and its successors and assigns.</w:t>
      </w:r>
    </w:p>
    <w:p>
      <w:pPr>
        <w:spacing w:after="0" w:line="117" w:lineRule="exact"/>
        <w:rPr>
          <w:rFonts w:ascii="Times New Roman" w:cs="Times New Roman" w:eastAsia="Times New Roman" w:hAnsi="Times New Roman"/>
          <w:sz w:val="14"/>
          <w:szCs w:val="14"/>
          <w:b w:val="1"/>
          <w:bCs w:val="1"/>
          <w:color w:val="auto"/>
        </w:rPr>
      </w:pPr>
    </w:p>
    <w:p>
      <w:pPr>
        <w:ind w:left="8" w:right="20" w:hanging="8"/>
        <w:spacing w:after="0" w:line="258" w:lineRule="auto"/>
        <w:tabs>
          <w:tab w:leader="none" w:pos="324" w:val="left"/>
        </w:tabs>
        <w:numPr>
          <w:ilvl w:val="0"/>
          <w:numId w:val="2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Acknowledgement of Receipt. </w:t>
      </w:r>
      <w:r>
        <w:rPr>
          <w:rFonts w:ascii="Times New Roman" w:cs="Times New Roman" w:eastAsia="Times New Roman" w:hAnsi="Times New Roman"/>
          <w:sz w:val="14"/>
          <w:szCs w:val="14"/>
          <w:color w:val="auto"/>
        </w:rPr>
        <w:t>I acknowledge that I received a copy of this Agreement prior to accepting my transfer, promotion, or hire into my new role and that execution of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was an express condition of such transfer, promotion, or hire.</w:t>
      </w:r>
    </w:p>
    <w:p>
      <w:pPr>
        <w:spacing w:after="0" w:line="103" w:lineRule="exact"/>
        <w:rPr>
          <w:rFonts w:ascii="Times New Roman" w:cs="Times New Roman" w:eastAsia="Times New Roman" w:hAnsi="Times New Roman"/>
          <w:sz w:val="14"/>
          <w:szCs w:val="14"/>
          <w:b w:val="1"/>
          <w:bCs w:val="1"/>
          <w:color w:val="auto"/>
        </w:rPr>
      </w:pPr>
    </w:p>
    <w:p>
      <w:pPr>
        <w:ind w:left="8" w:hanging="8"/>
        <w:spacing w:after="0" w:line="258" w:lineRule="auto"/>
        <w:tabs>
          <w:tab w:leader="none" w:pos="278" w:val="left"/>
        </w:tabs>
        <w:numPr>
          <w:ilvl w:val="0"/>
          <w:numId w:val="2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Effectiveness of Agreement. </w:t>
      </w:r>
      <w:r>
        <w:rPr>
          <w:rFonts w:ascii="Times New Roman" w:cs="Times New Roman" w:eastAsia="Times New Roman" w:hAnsi="Times New Roman"/>
          <w:sz w:val="14"/>
          <w:szCs w:val="14"/>
          <w:color w:val="auto"/>
        </w:rPr>
        <w:t>This Agreement becomes effective when I sign it. The obligations under it continue throughout the entire period of time I am employed by Honeywell, without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regard to the business within Honeywell with which I am associated and these obligations will continue after, and survive, the end of my employment with Honeywell.</w:t>
      </w:r>
    </w:p>
    <w:p>
      <w:pPr>
        <w:spacing w:after="0" w:line="103" w:lineRule="exact"/>
        <w:rPr>
          <w:rFonts w:ascii="Times New Roman" w:cs="Times New Roman" w:eastAsia="Times New Roman" w:hAnsi="Times New Roman"/>
          <w:sz w:val="14"/>
          <w:szCs w:val="14"/>
          <w:b w:val="1"/>
          <w:bCs w:val="1"/>
          <w:color w:val="auto"/>
        </w:rPr>
      </w:pPr>
    </w:p>
    <w:p>
      <w:pPr>
        <w:jc w:val="both"/>
        <w:ind w:left="8" w:hanging="8"/>
        <w:spacing w:after="0" w:line="237" w:lineRule="auto"/>
        <w:tabs>
          <w:tab w:leader="none" w:pos="311" w:val="left"/>
        </w:tabs>
        <w:numPr>
          <w:ilvl w:val="0"/>
          <w:numId w:val="2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Notice to Future Employers. </w:t>
      </w:r>
      <w:r>
        <w:rPr>
          <w:rFonts w:ascii="Times New Roman" w:cs="Times New Roman" w:eastAsia="Times New Roman" w:hAnsi="Times New Roman"/>
          <w:sz w:val="14"/>
          <w:szCs w:val="14"/>
          <w:color w:val="auto"/>
        </w:rPr>
        <w:t>For the period of two (2) years immediately following the end of my employment with Honeywell, I will inform each new prospective employer, prior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accepting employment, of the existence of this Agreement and provide that prospective employer with a copy of it. Honeywell has the right to inform any future employer of the existence of this Agreement and to provide any future employers with a copy of it.</w:t>
      </w:r>
    </w:p>
    <w:p>
      <w:pPr>
        <w:spacing w:after="0" w:line="117" w:lineRule="exact"/>
        <w:rPr>
          <w:rFonts w:ascii="Times New Roman" w:cs="Times New Roman" w:eastAsia="Times New Roman" w:hAnsi="Times New Roman"/>
          <w:sz w:val="14"/>
          <w:szCs w:val="14"/>
          <w:b w:val="1"/>
          <w:bCs w:val="1"/>
          <w:color w:val="auto"/>
        </w:rPr>
      </w:pPr>
    </w:p>
    <w:p>
      <w:pPr>
        <w:jc w:val="both"/>
        <w:ind w:left="8" w:hanging="8"/>
        <w:spacing w:after="0" w:line="237" w:lineRule="auto"/>
        <w:tabs>
          <w:tab w:leader="none" w:pos="260" w:val="left"/>
        </w:tabs>
        <w:numPr>
          <w:ilvl w:val="0"/>
          <w:numId w:val="2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Governing Law and Venue. </w:t>
      </w:r>
      <w:r>
        <w:rPr>
          <w:rFonts w:ascii="Times New Roman" w:cs="Times New Roman" w:eastAsia="Times New Roman" w:hAnsi="Times New Roman"/>
          <w:sz w:val="14"/>
          <w:szCs w:val="14"/>
          <w:color w:val="auto"/>
        </w:rPr>
        <w:t>This Agreement shall be governed by and construed in accordance with the laws of the State of North Carolina without regard to its principles of conflicts of law.</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 hereby consent to the exclusive jurisdiction and venue in the federal and state courts of the State of North Carolina, Mecklenburg County, for the resolution of all disputes arising under, or relating to, this Agreement.</w:t>
      </w:r>
    </w:p>
    <w:p>
      <w:pPr>
        <w:spacing w:after="0" w:line="117" w:lineRule="exact"/>
        <w:rPr>
          <w:rFonts w:ascii="Times New Roman" w:cs="Times New Roman" w:eastAsia="Times New Roman" w:hAnsi="Times New Roman"/>
          <w:sz w:val="14"/>
          <w:szCs w:val="14"/>
          <w:b w:val="1"/>
          <w:bCs w:val="1"/>
          <w:color w:val="auto"/>
        </w:rPr>
      </w:pPr>
    </w:p>
    <w:p>
      <w:pPr>
        <w:ind w:left="308" w:hanging="308"/>
        <w:spacing w:after="0"/>
        <w:tabs>
          <w:tab w:leader="none" w:pos="308" w:val="left"/>
        </w:tabs>
        <w:numPr>
          <w:ilvl w:val="0"/>
          <w:numId w:val="2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Additional Definitions.</w:t>
      </w:r>
    </w:p>
    <w:p>
      <w:pPr>
        <w:spacing w:after="0" w:line="147" w:lineRule="exact"/>
        <w:rPr>
          <w:sz w:val="20"/>
          <w:szCs w:val="20"/>
          <w:color w:val="auto"/>
        </w:rPr>
      </w:pPr>
    </w:p>
    <w:p>
      <w:pPr>
        <w:jc w:val="both"/>
        <w:ind w:left="8" w:firstLine="432"/>
        <w:spacing w:after="0"/>
        <w:rPr>
          <w:sz w:val="20"/>
          <w:szCs w:val="20"/>
          <w:color w:val="auto"/>
        </w:rPr>
      </w:pPr>
      <w:r>
        <w:rPr>
          <w:rFonts w:ascii="Times New Roman" w:cs="Times New Roman" w:eastAsia="Times New Roman" w:hAnsi="Times New Roman"/>
          <w:sz w:val="14"/>
          <w:szCs w:val="14"/>
          <w:color w:val="auto"/>
        </w:rPr>
        <w:t>“Confidential Information” means information that is not generally known in the industry in which Honeywell is engaged, which may be disclosed to me or which I may learn, observe, discover or otherwise acquire during, or as a result of, my employment by Honeywell and which includes, without limitation, any information, whether patentable, patented or not, relating to any existing or contemplated products, inventions, services, technology, ideas, concepts, designs, patterns, processes, compounds, formulae, programs, devices, tools, compilations of information, methods, techniques, and including information relating to any research, development, manufacture, purchasing, engineering, know-how, business plans, sales or market methods, methods of doing business, business systems, strategic plans, plans for acquisition or disposition of products, expansion plans, financial status and plans, financial data, personnel information, customer lists or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2"/>
        <w:spacing w:after="0"/>
        <w:tabs>
          <w:tab w:leader="none" w:pos="160" w:val="left"/>
        </w:tabs>
        <w:rPr>
          <w:sz w:val="20"/>
          <w:szCs w:val="20"/>
          <w:color w:val="auto"/>
        </w:rPr>
      </w:pPr>
      <w:r>
        <w:rPr>
          <w:rFonts w:ascii="Times New Roman" w:cs="Times New Roman" w:eastAsia="Times New Roman" w:hAnsi="Times New Roman"/>
          <w:sz w:val="14"/>
          <w:szCs w:val="14"/>
          <w:color w:val="auto"/>
        </w:rPr>
        <w:t>NCA – US – Select Management Employees Page 4 of 6</w:t>
        <w:tab/>
        <w:t>Revised 07-27-2021</w:t>
      </w:r>
    </w:p>
    <w:p>
      <w:pPr>
        <w:sectPr>
          <w:pgSz w:w="11900" w:h="16838" w:orient="portrait"/>
          <w:cols w:equalWidth="0" w:num="1">
            <w:col w:w="11308"/>
          </w:cols>
          <w:pgMar w:left="292" w:top="974" w:right="299" w:bottom="1440" w:gutter="0" w:footer="0" w:header="0"/>
        </w:sectPr>
      </w:pPr>
    </w:p>
    <w:bookmarkStart w:id="179" w:name="page180"/>
    <w:bookmarkEnd w:id="179"/>
    <w:p>
      <w:pPr>
        <w:ind w:left="8"/>
        <w:spacing w:after="0"/>
        <w:rPr>
          <w:sz w:val="20"/>
          <w:szCs w:val="20"/>
          <w:color w:val="auto"/>
        </w:rPr>
      </w:pPr>
      <w:r>
        <w:rPr>
          <w:rFonts w:ascii="Times New Roman" w:cs="Times New Roman" w:eastAsia="Times New Roman" w:hAnsi="Times New Roman"/>
          <w:sz w:val="14"/>
          <w:szCs w:val="14"/>
          <w:color w:val="auto"/>
        </w:rPr>
        <w:t>data, customer usages or requirements, or supplier information, which is owned or licensed by Honeywell or held by Honeywell in confidence.</w:t>
      </w:r>
    </w:p>
    <w:p>
      <w:pPr>
        <w:spacing w:after="0" w:line="145" w:lineRule="exact"/>
        <w:rPr>
          <w:sz w:val="20"/>
          <w:szCs w:val="20"/>
          <w:color w:val="auto"/>
        </w:rPr>
      </w:pPr>
    </w:p>
    <w:p>
      <w:pPr>
        <w:jc w:val="both"/>
        <w:ind w:left="8" w:firstLine="145"/>
        <w:spacing w:after="0" w:line="236" w:lineRule="auto"/>
        <w:rPr>
          <w:sz w:val="20"/>
          <w:szCs w:val="20"/>
          <w:color w:val="auto"/>
        </w:rPr>
      </w:pPr>
      <w:r>
        <w:rPr>
          <w:rFonts w:ascii="Times New Roman" w:cs="Times New Roman" w:eastAsia="Times New Roman" w:hAnsi="Times New Roman"/>
          <w:sz w:val="14"/>
          <w:szCs w:val="14"/>
          <w:color w:val="auto"/>
        </w:rPr>
        <w:t>“Honeywell” collectively identifies Honeywell International Inc. (a Delaware corporation having its headquarters in Charlotte, Mecklenburg County, North Carolina), its predecessors, designees and successors and its past, present and future operating companies, divisions, subsidiaries, affiliates and other business units, including businesses acquired by purchase of assets, stock, merger or otherwise.</w:t>
      </w:r>
    </w:p>
    <w:p>
      <w:pPr>
        <w:spacing w:after="0" w:line="11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“Look Back Period” means the two (2) year period ending on the date of my Termination of Employment.</w:t>
      </w:r>
    </w:p>
    <w:p>
      <w:pPr>
        <w:spacing w:after="0" w:line="145" w:lineRule="exact"/>
        <w:rPr>
          <w:sz w:val="20"/>
          <w:szCs w:val="20"/>
          <w:color w:val="auto"/>
        </w:rPr>
      </w:pPr>
    </w:p>
    <w:p>
      <w:pPr>
        <w:jc w:val="both"/>
        <w:ind w:left="8" w:right="20" w:firstLine="172"/>
        <w:spacing w:after="0" w:line="255" w:lineRule="auto"/>
        <w:rPr>
          <w:sz w:val="20"/>
          <w:szCs w:val="20"/>
          <w:color w:val="auto"/>
        </w:rPr>
      </w:pPr>
      <w:r>
        <w:rPr>
          <w:rFonts w:ascii="Times New Roman" w:cs="Times New Roman" w:eastAsia="Times New Roman" w:hAnsi="Times New Roman"/>
          <w:sz w:val="14"/>
          <w:szCs w:val="14"/>
          <w:color w:val="auto"/>
        </w:rPr>
        <w:t>“Termination of Employment” means any separation from employment with Honeywell regardless of the reason, including any and all voluntary and involuntary reasons for termination. The termination date for purposes of this Agreement shall be the last day I actively perform services for Honeywell.</w:t>
      </w:r>
    </w:p>
    <w:p>
      <w:pPr>
        <w:spacing w:after="0" w:line="106" w:lineRule="exact"/>
        <w:rPr>
          <w:sz w:val="20"/>
          <w:szCs w:val="20"/>
          <w:color w:val="auto"/>
        </w:rPr>
      </w:pPr>
    </w:p>
    <w:p>
      <w:pPr>
        <w:ind w:left="308" w:hanging="308"/>
        <w:spacing w:after="0"/>
        <w:tabs>
          <w:tab w:leader="none" w:pos="308" w:val="left"/>
        </w:tabs>
        <w:numPr>
          <w:ilvl w:val="0"/>
          <w:numId w:val="2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Headings. </w:t>
      </w:r>
      <w:r>
        <w:rPr>
          <w:rFonts w:ascii="Times New Roman" w:cs="Times New Roman" w:eastAsia="Times New Roman" w:hAnsi="Times New Roman"/>
          <w:sz w:val="14"/>
          <w:szCs w:val="14"/>
          <w:color w:val="auto"/>
        </w:rPr>
        <w:t>The headings of the paragraphs of this Agreement are inserted for convenience only and shall not in any way affect the meaning or construction of this Agreement.</w:t>
      </w:r>
    </w:p>
    <w:p>
      <w:pPr>
        <w:spacing w:after="0" w:line="147" w:lineRule="exact"/>
        <w:rPr>
          <w:sz w:val="20"/>
          <w:szCs w:val="20"/>
          <w:color w:val="auto"/>
        </w:rPr>
      </w:pPr>
    </w:p>
    <w:p>
      <w:pPr>
        <w:ind w:left="8" w:right="20"/>
        <w:spacing w:after="0" w:line="255" w:lineRule="auto"/>
        <w:rPr>
          <w:sz w:val="20"/>
          <w:szCs w:val="20"/>
          <w:color w:val="auto"/>
        </w:rPr>
      </w:pPr>
      <w:r>
        <w:rPr>
          <w:rFonts w:ascii="Times New Roman" w:cs="Times New Roman" w:eastAsia="Times New Roman" w:hAnsi="Times New Roman"/>
          <w:sz w:val="14"/>
          <w:szCs w:val="14"/>
          <w:color w:val="auto"/>
        </w:rPr>
        <w:t>I have carefully read this Agreement. I understand and accept its terms. I understand and agree that I will continue to be bound by the provisions of this Agreement after my employment with Honeywell has ended.</w:t>
      </w:r>
    </w:p>
    <w:p>
      <w:pPr>
        <w:spacing w:after="0" w:line="100"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/s/ James Currier</w:t>
            </w:r>
          </w:p>
        </w:tc>
        <w:tc>
          <w:tcPr>
            <w:tcW w:w="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2"/>
              </w:rPr>
              <w:t>(E355611)</w:t>
            </w: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June 14, 2023</w:t>
            </w:r>
          </w:p>
        </w:tc>
        <w:tc>
          <w:tcPr>
            <w:tcW w:w="0" w:type="dxa"/>
            <w:vAlign w:val="bottom"/>
          </w:tcPr>
          <w:p>
            <w:pPr>
              <w:spacing w:after="0"/>
              <w:rPr>
                <w:sz w:val="1"/>
                <w:szCs w:val="1"/>
                <w:color w:val="auto"/>
              </w:rPr>
            </w:pPr>
          </w:p>
        </w:tc>
      </w:tr>
      <w:tr>
        <w:trPr>
          <w:trHeight w:val="179"/>
        </w:trPr>
        <w:tc>
          <w:tcPr>
            <w:tcW w:w="1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JAMES E. CURRIER</w:t>
            </w:r>
          </w:p>
        </w:tc>
        <w:tc>
          <w:tcPr>
            <w:tcW w:w="580" w:type="dxa"/>
            <w:vAlign w:val="bottom"/>
            <w:vMerge w:val="continue"/>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w w:val="75"/>
              </w:rPr>
              <w:t>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2"/>
        <w:spacing w:after="0"/>
        <w:tabs>
          <w:tab w:leader="none" w:pos="160" w:val="left"/>
        </w:tabs>
        <w:rPr>
          <w:sz w:val="20"/>
          <w:szCs w:val="20"/>
          <w:color w:val="auto"/>
        </w:rPr>
      </w:pPr>
      <w:r>
        <w:rPr>
          <w:rFonts w:ascii="Times New Roman" w:cs="Times New Roman" w:eastAsia="Times New Roman" w:hAnsi="Times New Roman"/>
          <w:sz w:val="14"/>
          <w:szCs w:val="14"/>
          <w:color w:val="auto"/>
        </w:rPr>
        <w:t>NCA – US – Select Management Employees Page 5 of 6</w:t>
        <w:tab/>
        <w:t>Revised 07-27-2021</w:t>
      </w:r>
    </w:p>
    <w:p>
      <w:pPr>
        <w:sectPr>
          <w:pgSz w:w="11900" w:h="16838" w:orient="portrait"/>
          <w:cols w:equalWidth="0" w:num="1">
            <w:col w:w="11308"/>
          </w:cols>
          <w:pgMar w:left="292" w:top="976" w:right="29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4"/>
          <w:szCs w:val="14"/>
          <w:b w:val="1"/>
          <w:bCs w:val="1"/>
          <w:color w:val="auto"/>
        </w:rPr>
        <w:t>ADDENDUM TO</w:t>
      </w:r>
    </w:p>
    <w:p>
      <w:pPr>
        <w:jc w:val="center"/>
        <w:spacing w:after="0" w:line="216" w:lineRule="auto"/>
        <w:rPr>
          <w:sz w:val="20"/>
          <w:szCs w:val="20"/>
          <w:color w:val="auto"/>
        </w:rPr>
      </w:pPr>
      <w:r>
        <w:rPr>
          <w:rFonts w:ascii="Times New Roman" w:cs="Times New Roman" w:eastAsia="Times New Roman" w:hAnsi="Times New Roman"/>
          <w:sz w:val="14"/>
          <w:szCs w:val="14"/>
          <w:b w:val="1"/>
          <w:bCs w:val="1"/>
          <w:color w:val="auto"/>
        </w:rPr>
        <w:t>HONEYWELL INTERNATIONAL INC.</w:t>
      </w:r>
    </w:p>
    <w:p>
      <w:pPr>
        <w:jc w:val="center"/>
        <w:spacing w:after="0"/>
        <w:rPr>
          <w:sz w:val="20"/>
          <w:szCs w:val="20"/>
          <w:color w:val="auto"/>
        </w:rPr>
      </w:pPr>
      <w:r>
        <w:rPr>
          <w:rFonts w:ascii="Times New Roman" w:cs="Times New Roman" w:eastAsia="Times New Roman" w:hAnsi="Times New Roman"/>
          <w:sz w:val="14"/>
          <w:szCs w:val="14"/>
          <w:b w:val="1"/>
          <w:bCs w:val="1"/>
          <w:color w:val="auto"/>
        </w:rPr>
        <w:t>NONCOMPETE AGREEMENT FOR SELECT MANAGEMENT EMPLOYEES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JAMES E. CURRIER</w:t>
      </w:r>
    </w:p>
    <w:p>
      <w:pPr>
        <w:jc w:val="center"/>
        <w:spacing w:after="0" w:line="216" w:lineRule="auto"/>
        <w:rPr>
          <w:sz w:val="20"/>
          <w:szCs w:val="20"/>
          <w:color w:val="auto"/>
        </w:rPr>
      </w:pPr>
      <w:r>
        <w:rPr>
          <w:rFonts w:ascii="Times New Roman" w:cs="Times New Roman" w:eastAsia="Times New Roman" w:hAnsi="Times New Roman"/>
          <w:sz w:val="14"/>
          <w:szCs w:val="14"/>
          <w:b w:val="1"/>
          <w:bCs w:val="1"/>
          <w:color w:val="auto"/>
        </w:rPr>
        <w:t>EMPLOYED AS</w:t>
      </w:r>
    </w:p>
    <w:p>
      <w:pPr>
        <w:jc w:val="center"/>
        <w:spacing w:after="0" w:line="214" w:lineRule="auto"/>
        <w:rPr>
          <w:sz w:val="20"/>
          <w:szCs w:val="20"/>
          <w:color w:val="auto"/>
        </w:rPr>
      </w:pPr>
      <w:r>
        <w:rPr>
          <w:rFonts w:ascii="Times New Roman" w:cs="Times New Roman" w:eastAsia="Times New Roman" w:hAnsi="Times New Roman"/>
          <w:sz w:val="14"/>
          <w:szCs w:val="14"/>
          <w:b w:val="1"/>
          <w:bCs w:val="1"/>
          <w:color w:val="auto"/>
        </w:rPr>
        <w:t>PRESIDENT &amp; CHIEF EXECUTIVE OFFICER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HONEYWELL AEROSPACE</w:t>
      </w:r>
    </w:p>
    <w:p>
      <w:pPr>
        <w:spacing w:after="0" w:line="29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Pursuant to Paragraph 1 of your Honeywell International Noncompete Agreement for Select Management Employees (“Noncompete Agreement”), this Addendum contains a list, for illustration purposes only, of specific competitors that are considered a “Competing Business,” as that term is used in your Noncompete Agreement, and are therefore covered by the restrictions contained in Paragraph 1 of your Noncompete Agreement. This list is not an exhaustive list and is not intended to include all of Honeywell’s, or your specific business’ or unit’s, current or future competitors, which you acknowledge in Paragraph 1 of your Noncompete Agreement may include other persons or entities now or in the future.</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Based on your current role and responsibilities with Honeywell Aerospace as its President &amp; Chief Executive Officer, the following companies are considered key competitors and therefore fall within the definition of a Competing Business, as that term is used in your Noncompete Agreement:</w:t>
      </w:r>
    </w:p>
    <w:p>
      <w:pPr>
        <w:spacing w:after="0" w:line="106" w:lineRule="exact"/>
        <w:rPr>
          <w:sz w:val="20"/>
          <w:szCs w:val="20"/>
          <w:color w:val="auto"/>
        </w:rPr>
      </w:pPr>
    </w:p>
    <w:p>
      <w:pPr>
        <w:ind w:left="420" w:right="440"/>
        <w:spacing w:after="0" w:line="258" w:lineRule="auto"/>
        <w:rPr>
          <w:sz w:val="20"/>
          <w:szCs w:val="20"/>
          <w:color w:val="auto"/>
        </w:rPr>
      </w:pPr>
      <w:r>
        <w:rPr>
          <w:rFonts w:ascii="Times New Roman" w:cs="Times New Roman" w:eastAsia="Times New Roman" w:hAnsi="Times New Roman"/>
          <w:sz w:val="14"/>
          <w:szCs w:val="14"/>
          <w:b w:val="1"/>
          <w:bCs w:val="1"/>
          <w:color w:val="auto"/>
        </w:rPr>
        <w:t>General Electric, Raytheon Technologies, Lockheed Martin Corporation, Northrup Grumman Corporation, Garmin Ltd., Thales SA, Williams International Co., LLC, Boeing, Airbus</w:t>
      </w:r>
    </w:p>
    <w:p>
      <w:pPr>
        <w:spacing w:after="0" w:line="10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4"/>
          <w:szCs w:val="14"/>
          <w:color w:val="auto"/>
        </w:rPr>
        <w:t>As previously noted, this is not an exhaustive list and there may be other current and future persons or entities that would meet the definition of a Competing Business, as set forth in your Noncompete Agreement. In addition, pursuant to Paragraph 1 of your Noncompete Agreement, please note that the term Competing Business, as defined in your Noncompete Agreement, will include competitors of any Honeywell business in which you have worked in a job subject to a noncompete agreement during the Look Back Period (as defined in your Noncompete Agreement). Accordingly, if you worked in multiple Honeywell businesses in covered positions during your tenure, it is very likely that the list of Competing Businesses subject to restriction under the terms of your Noncompete Agreement will be broader than the above illustrative list. If you have questions about whether any prior Honeywell position which you have held during the Look Back Period subjects you to similar restrictions, and will be used to identify Competing Business(es), you should contact your Human Resource representative.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tabs>
          <w:tab w:leader="none" w:pos="160" w:val="left"/>
        </w:tabs>
        <w:rPr>
          <w:sz w:val="20"/>
          <w:szCs w:val="20"/>
          <w:color w:val="auto"/>
        </w:rPr>
      </w:pPr>
      <w:r>
        <w:rPr>
          <w:rFonts w:ascii="Times New Roman" w:cs="Times New Roman" w:eastAsia="Times New Roman" w:hAnsi="Times New Roman"/>
          <w:sz w:val="14"/>
          <w:szCs w:val="14"/>
          <w:color w:val="auto"/>
        </w:rPr>
        <w:t>NCA – US – Select Management Employees Page 6 of 6</w:t>
        <w:tab/>
        <w:t>Revised 07-27-2021</w:t>
      </w:r>
    </w:p>
    <w:p>
      <w:pPr>
        <w:sectPr>
          <w:pgSz w:w="11900" w:h="16838" w:orient="portrait"/>
          <w:cols w:equalWidth="0" w:num="1">
            <w:col w:w="11300"/>
          </w:cols>
          <w:pgMar w:left="300" w:top="974" w:right="299" w:bottom="1440" w:gutter="0" w:footer="0" w:header="0"/>
        </w:sectPr>
      </w:pPr>
    </w:p>
    <w:bookmarkStart w:id="181" w:name="page182"/>
    <w:bookmarkEnd w:id="1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Document Category: </w:t>
      </w:r>
      <w:r>
        <w:rPr>
          <w:rFonts w:ascii="Arial" w:cs="Arial" w:eastAsia="Arial" w:hAnsi="Arial"/>
          <w:sz w:val="14"/>
          <w:szCs w:val="14"/>
          <w:color w:val="auto"/>
        </w:rPr>
        <w:t>Hiring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Document Type: </w:t>
      </w:r>
      <w:r>
        <w:rPr>
          <w:rFonts w:ascii="Arial" w:cs="Arial" w:eastAsia="Arial" w:hAnsi="Arial"/>
          <w:sz w:val="14"/>
          <w:szCs w:val="14"/>
          <w:color w:val="auto"/>
        </w:rPr>
        <w:t>Noncompete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alibri" w:cs="Calibri" w:eastAsia="Calibri" w:hAnsi="Calibri"/>
          <w:sz w:val="13"/>
          <w:szCs w:val="13"/>
          <w:color w:val="auto"/>
        </w:rPr>
        <w:t>*For Employee File Management Purpose Only</w:t>
      </w:r>
    </w:p>
    <w:p>
      <w:pPr>
        <w:sectPr>
          <w:pgSz w:w="11900" w:h="16838" w:orient="portrait"/>
          <w:cols w:equalWidth="0" w:num="1">
            <w:col w:w="10159"/>
          </w:cols>
          <w:pgMar w:left="300" w:top="1440" w:right="1440"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179"/>
        </w:trPr>
        <w:tc>
          <w:tcPr>
            <w:tcW w:w="3960" w:type="dxa"/>
            <w:vAlign w:val="bottom"/>
          </w:tcPr>
          <w:p>
            <w:pPr>
              <w:spacing w:after="0"/>
              <w:rPr>
                <w:sz w:val="15"/>
                <w:szCs w:val="15"/>
                <w:color w:val="auto"/>
              </w:rPr>
            </w:pPr>
          </w:p>
        </w:tc>
        <w:tc>
          <w:tcPr>
            <w:tcW w:w="5660" w:type="dxa"/>
            <w:vAlign w:val="bottom"/>
            <w:vMerge w:val="restart"/>
          </w:tcPr>
          <w:p>
            <w:pPr>
              <w:jc w:val="center"/>
              <w:ind w:right="2220"/>
              <w:spacing w:after="0"/>
              <w:rPr>
                <w:sz w:val="20"/>
                <w:szCs w:val="20"/>
                <w:color w:val="auto"/>
              </w:rPr>
            </w:pPr>
            <w:r>
              <w:rPr>
                <w:rFonts w:ascii="Arial" w:cs="Arial" w:eastAsia="Arial" w:hAnsi="Arial"/>
                <w:sz w:val="16"/>
                <w:szCs w:val="16"/>
                <w:b w:val="1"/>
                <w:bCs w:val="1"/>
                <w:color w:val="auto"/>
                <w:w w:val="97"/>
              </w:rPr>
              <w:t>HONEYWELL INTERNATIONAL INC.</w:t>
            </w:r>
          </w:p>
        </w:tc>
        <w:tc>
          <w:tcPr>
            <w:tcW w:w="1680" w:type="dxa"/>
            <w:vAlign w:val="bottom"/>
            <w:gridSpan w:val="2"/>
          </w:tcPr>
          <w:p>
            <w:pPr>
              <w:ind w:left="980"/>
              <w:spacing w:after="0"/>
              <w:rPr>
                <w:sz w:val="20"/>
                <w:szCs w:val="20"/>
                <w:color w:val="auto"/>
              </w:rPr>
            </w:pPr>
            <w:r>
              <w:rPr>
                <w:rFonts w:ascii="Arial" w:cs="Arial" w:eastAsia="Arial" w:hAnsi="Arial"/>
                <w:sz w:val="13"/>
                <w:szCs w:val="13"/>
                <w:b w:val="1"/>
                <w:bCs w:val="1"/>
                <w:color w:val="auto"/>
                <w:w w:val="97"/>
              </w:rPr>
              <w:t>EXHIBIT 21</w:t>
            </w:r>
          </w:p>
        </w:tc>
        <w:tc>
          <w:tcPr>
            <w:tcW w:w="0" w:type="dxa"/>
            <w:vAlign w:val="bottom"/>
          </w:tcPr>
          <w:p>
            <w:pPr>
              <w:spacing w:after="0"/>
              <w:rPr>
                <w:sz w:val="1"/>
                <w:szCs w:val="1"/>
                <w:color w:val="auto"/>
              </w:rPr>
            </w:pPr>
          </w:p>
        </w:tc>
      </w:tr>
      <w:tr>
        <w:trPr>
          <w:trHeight w:val="163"/>
        </w:trPr>
        <w:tc>
          <w:tcPr>
            <w:tcW w:w="3960" w:type="dxa"/>
            <w:vAlign w:val="bottom"/>
          </w:tcPr>
          <w:p>
            <w:pPr>
              <w:spacing w:after="0"/>
              <w:rPr>
                <w:sz w:val="14"/>
                <w:szCs w:val="14"/>
                <w:color w:val="auto"/>
              </w:rPr>
            </w:pPr>
          </w:p>
        </w:tc>
        <w:tc>
          <w:tcPr>
            <w:tcW w:w="5660" w:type="dxa"/>
            <w:vAlign w:val="bottom"/>
            <w:vMerge w:val="continue"/>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960" w:type="dxa"/>
            <w:vAlign w:val="bottom"/>
          </w:tcPr>
          <w:p>
            <w:pPr>
              <w:spacing w:after="0"/>
              <w:rPr>
                <w:sz w:val="15"/>
                <w:szCs w:val="15"/>
                <w:color w:val="auto"/>
              </w:rPr>
            </w:pPr>
          </w:p>
        </w:tc>
        <w:tc>
          <w:tcPr>
            <w:tcW w:w="5660" w:type="dxa"/>
            <w:vAlign w:val="bottom"/>
          </w:tcPr>
          <w:p>
            <w:pPr>
              <w:jc w:val="center"/>
              <w:ind w:right="2240"/>
              <w:spacing w:after="0"/>
              <w:rPr>
                <w:sz w:val="20"/>
                <w:szCs w:val="20"/>
                <w:color w:val="auto"/>
              </w:rPr>
            </w:pPr>
            <w:r>
              <w:rPr>
                <w:rFonts w:ascii="Arial" w:cs="Arial" w:eastAsia="Arial" w:hAnsi="Arial"/>
                <w:sz w:val="13"/>
                <w:szCs w:val="13"/>
                <w:b w:val="1"/>
                <w:bCs w:val="1"/>
                <w:color w:val="auto"/>
              </w:rPr>
              <w:t>SUBSIDIARIES OF THE REGISTRANT</w:t>
            </w: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96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Name</w:t>
            </w:r>
          </w:p>
        </w:tc>
        <w:tc>
          <w:tcPr>
            <w:tcW w:w="5660" w:type="dxa"/>
            <w:vAlign w:val="bottom"/>
          </w:tcPr>
          <w:p>
            <w:pPr>
              <w:jc w:val="center"/>
              <w:ind w:left="2820"/>
              <w:spacing w:after="0"/>
              <w:rPr>
                <w:sz w:val="20"/>
                <w:szCs w:val="20"/>
                <w:color w:val="auto"/>
              </w:rPr>
            </w:pPr>
            <w:r>
              <w:rPr>
                <w:rFonts w:ascii="Arial" w:cs="Arial" w:eastAsia="Arial" w:hAnsi="Arial"/>
                <w:sz w:val="10"/>
                <w:szCs w:val="10"/>
                <w:b w:val="1"/>
                <w:bCs w:val="1"/>
                <w:color w:val="auto"/>
                <w:w w:val="94"/>
              </w:rPr>
              <w:t>Country or State</w:t>
            </w:r>
          </w:p>
        </w:tc>
        <w:tc>
          <w:tcPr>
            <w:tcW w:w="168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Percent</w:t>
            </w:r>
          </w:p>
        </w:tc>
        <w:tc>
          <w:tcPr>
            <w:tcW w:w="0" w:type="dxa"/>
            <w:vAlign w:val="bottom"/>
          </w:tcPr>
          <w:p>
            <w:pPr>
              <w:spacing w:after="0"/>
              <w:rPr>
                <w:sz w:val="1"/>
                <w:szCs w:val="1"/>
                <w:color w:val="auto"/>
              </w:rPr>
            </w:pPr>
          </w:p>
        </w:tc>
      </w:tr>
      <w:tr>
        <w:trPr>
          <w:trHeight w:val="124"/>
        </w:trPr>
        <w:tc>
          <w:tcPr>
            <w:tcW w:w="3960" w:type="dxa"/>
            <w:vAlign w:val="bottom"/>
            <w:vMerge w:val="continue"/>
          </w:tcPr>
          <w:p>
            <w:pPr>
              <w:spacing w:after="0"/>
              <w:rPr>
                <w:sz w:val="10"/>
                <w:szCs w:val="10"/>
                <w:color w:val="auto"/>
              </w:rPr>
            </w:pPr>
          </w:p>
        </w:tc>
        <w:tc>
          <w:tcPr>
            <w:tcW w:w="5660" w:type="dxa"/>
            <w:vAlign w:val="bottom"/>
          </w:tcPr>
          <w:p>
            <w:pPr>
              <w:jc w:val="center"/>
              <w:ind w:left="2820"/>
              <w:spacing w:after="0"/>
              <w:rPr>
                <w:sz w:val="20"/>
                <w:szCs w:val="20"/>
                <w:color w:val="auto"/>
              </w:rPr>
            </w:pPr>
            <w:r>
              <w:rPr>
                <w:rFonts w:ascii="Arial" w:cs="Arial" w:eastAsia="Arial" w:hAnsi="Arial"/>
                <w:sz w:val="10"/>
                <w:szCs w:val="10"/>
                <w:b w:val="1"/>
                <w:bCs w:val="1"/>
                <w:color w:val="auto"/>
                <w:w w:val="96"/>
              </w:rPr>
              <w:t>of Incorporation</w:t>
            </w:r>
          </w:p>
        </w:tc>
        <w:tc>
          <w:tcPr>
            <w:tcW w:w="168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142"/>
        </w:trPr>
        <w:tc>
          <w:tcPr>
            <w:tcW w:w="3960" w:type="dxa"/>
            <w:vAlign w:val="bottom"/>
            <w:tcBorders>
              <w:top w:val="single" w:sz="8" w:color="DC202E"/>
              <w:bottom w:val="single" w:sz="8" w:color="888B8D"/>
            </w:tcBorders>
          </w:tcPr>
          <w:p>
            <w:pPr>
              <w:ind w:left="20"/>
              <w:spacing w:after="0"/>
              <w:rPr>
                <w:sz w:val="20"/>
                <w:szCs w:val="20"/>
                <w:color w:val="auto"/>
              </w:rPr>
            </w:pPr>
            <w:r>
              <w:rPr>
                <w:rFonts w:ascii="Arial" w:cs="Arial" w:eastAsia="Arial" w:hAnsi="Arial"/>
                <w:sz w:val="12"/>
                <w:szCs w:val="12"/>
                <w:color w:val="auto"/>
              </w:rPr>
              <w:t>AlliedSignal Aerospace Service LLC</w:t>
            </w:r>
          </w:p>
        </w:tc>
        <w:tc>
          <w:tcPr>
            <w:tcW w:w="5660" w:type="dxa"/>
            <w:vAlign w:val="bottom"/>
            <w:tcBorders>
              <w:top w:val="single" w:sz="8" w:color="DC202E"/>
              <w:bottom w:val="single" w:sz="8" w:color="888B8D"/>
            </w:tcBorders>
          </w:tcPr>
          <w:p>
            <w:pPr>
              <w:jc w:val="center"/>
              <w:ind w:left="2820"/>
              <w:spacing w:after="0"/>
              <w:rPr>
                <w:sz w:val="20"/>
                <w:szCs w:val="20"/>
                <w:color w:val="auto"/>
              </w:rPr>
            </w:pPr>
            <w:r>
              <w:rPr>
                <w:rFonts w:ascii="Arial" w:cs="Arial" w:eastAsia="Arial" w:hAnsi="Arial"/>
                <w:sz w:val="12"/>
                <w:szCs w:val="12"/>
                <w:color w:val="auto"/>
                <w:w w:val="98"/>
              </w:rPr>
              <w:t>Delaware</w:t>
            </w:r>
          </w:p>
        </w:tc>
        <w:tc>
          <w:tcPr>
            <w:tcW w:w="1660" w:type="dxa"/>
            <w:vAlign w:val="bottom"/>
            <w:tcBorders>
              <w:top w:val="single" w:sz="8" w:color="DC202E"/>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BW Technologies Partnership</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w w:val="99"/>
              </w:rPr>
              <w:t>Canada</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BWXT Pantex, LLC</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w w:val="98"/>
              </w:rPr>
              <w:t>Delaware</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41 %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Cedar Court Indemnity Company</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rPr>
              <w:t>Vermont</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COM DEV Europe Limited</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rPr>
              <w:t>United Kingdom</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ConverDyn</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w w:val="98"/>
              </w:rPr>
              <w:t>Delaware</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50 %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Eclipse, Inc.</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rPr>
              <w:t>Illinois</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Elster American Meter Company, LLC</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w w:val="98"/>
              </w:rPr>
              <w:t>Delaware</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Elster GmbH</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rPr>
              <w:t>Germany</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Elster Group GmbH</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rPr>
              <w:t>Germany</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Elster Metering Limited</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rPr>
              <w:t>United Kingdom</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Elster Metering Pty Ltd</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w w:val="98"/>
              </w:rPr>
              <w:t>Australia</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Elster s.r.o.</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rPr>
              <w:t>Slovakia</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Elster SAS</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rPr>
              <w:t>France</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Elster Solutions, LLC</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w w:val="98"/>
              </w:rPr>
              <w:t>Delaware</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EMS Defense Technologies, Inc.</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w w:val="98"/>
              </w:rPr>
              <w:t>Georgia</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EMS Technologies Canada, Ltd.</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w w:val="99"/>
              </w:rPr>
              <w:t>Canada</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Friedland Doggart Group Limited</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rPr>
              <w:t>United Kingdom</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Garrett Thermal Systems Limited</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rPr>
              <w:t>United Kingdom</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Grimes Aerospace Company</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w w:val="98"/>
              </w:rPr>
              <w:t>Delaware</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Hand Held Products, Inc.</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w w:val="98"/>
              </w:rPr>
              <w:t>Delaware</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(China) Co., Ltd.</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w w:val="95"/>
              </w:rPr>
              <w:t>China</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(Tianjin) Limited</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w w:val="95"/>
              </w:rPr>
              <w:t>China</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Advanced Limited</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rPr>
              <w:t>Ireland</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Advanced Materials (China) Co. Ltd.</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w w:val="95"/>
              </w:rPr>
              <w:t>China</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Aerospace Avionics Malaysia Sdn Bhd</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w w:val="97"/>
              </w:rPr>
              <w:t>Malaysia</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Aerospace de México, S. de R.L. de C.V.</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w w:val="99"/>
              </w:rPr>
              <w:t>Mexico</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Aerospace De Puerto Rico, Inc.</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w w:val="98"/>
              </w:rPr>
              <w:t>Puerto Rico</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Aerospace GmbH</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rPr>
              <w:t>Germany</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Aerospace Olomouc s.r.o.</w:t>
            </w:r>
          </w:p>
        </w:tc>
        <w:tc>
          <w:tcPr>
            <w:tcW w:w="5660" w:type="dxa"/>
            <w:vAlign w:val="bottom"/>
            <w:tcBorders>
              <w:bottom w:val="single" w:sz="8" w:color="888B8D"/>
            </w:tcBorders>
          </w:tcPr>
          <w:p>
            <w:pPr>
              <w:jc w:val="center"/>
              <w:ind w:left="2800"/>
              <w:spacing w:after="0"/>
              <w:rPr>
                <w:sz w:val="20"/>
                <w:szCs w:val="20"/>
                <w:color w:val="auto"/>
              </w:rPr>
            </w:pPr>
            <w:r>
              <w:rPr>
                <w:rFonts w:ascii="Arial" w:cs="Arial" w:eastAsia="Arial" w:hAnsi="Arial"/>
                <w:sz w:val="12"/>
                <w:szCs w:val="12"/>
                <w:color w:val="auto"/>
                <w:w w:val="99"/>
              </w:rPr>
              <w:t>Czech Republic</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Aerospace Singapore Pte. Ltd.</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w w:val="98"/>
              </w:rPr>
              <w:t>Singapore</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Aerospace UK</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rPr>
              <w:t>United Kingdom</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Aircraft Leasing LLC</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w w:val="98"/>
              </w:rPr>
              <w:t>Delaware</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Analytics Inc.</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w w:val="91"/>
              </w:rPr>
              <w:t>Texas</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Automation and Control Products Limited</w:t>
            </w:r>
          </w:p>
        </w:tc>
        <w:tc>
          <w:tcPr>
            <w:tcW w:w="5660" w:type="dxa"/>
            <w:vAlign w:val="bottom"/>
            <w:tcBorders>
              <w:bottom w:val="single" w:sz="8" w:color="888B8D"/>
            </w:tcBorders>
          </w:tcPr>
          <w:p>
            <w:pPr>
              <w:jc w:val="center"/>
              <w:ind w:left="2800"/>
              <w:spacing w:after="0"/>
              <w:rPr>
                <w:sz w:val="20"/>
                <w:szCs w:val="20"/>
                <w:color w:val="auto"/>
              </w:rPr>
            </w:pPr>
            <w:r>
              <w:rPr>
                <w:rFonts w:ascii="Arial" w:cs="Arial" w:eastAsia="Arial" w:hAnsi="Arial"/>
                <w:sz w:val="12"/>
                <w:szCs w:val="12"/>
                <w:color w:val="auto"/>
                <w:w w:val="98"/>
              </w:rPr>
              <w:t>Saudi Arabia</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Automation Control Solutions (China) Co Ltd</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w w:val="95"/>
              </w:rPr>
              <w:t>China</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Automation Controls System" limited liability partnership</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w w:val="98"/>
              </w:rPr>
              <w:t>Kazakhstan</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Automation India Limited</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w w:val="99"/>
              </w:rPr>
              <w:t>India</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75 %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AUTOMATION TECHNOLOGY (CHINA) CO.,LTD</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w w:val="95"/>
              </w:rPr>
              <w:t>China</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Automotive de Mexico, S. de R.L. de C.V.</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w w:val="99"/>
              </w:rPr>
              <w:t>Mexico</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Avionics (Shanghai) Co., Ltd.</w:t>
            </w:r>
          </w:p>
        </w:tc>
        <w:tc>
          <w:tcPr>
            <w:tcW w:w="5660" w:type="dxa"/>
            <w:vAlign w:val="bottom"/>
            <w:tcBorders>
              <w:bottom w:val="single" w:sz="8" w:color="888B8D"/>
            </w:tcBorders>
          </w:tcPr>
          <w:p>
            <w:pPr>
              <w:jc w:val="center"/>
              <w:ind w:left="2820"/>
              <w:spacing w:after="0"/>
              <w:rPr>
                <w:sz w:val="20"/>
                <w:szCs w:val="20"/>
                <w:color w:val="auto"/>
              </w:rPr>
            </w:pPr>
            <w:r>
              <w:rPr>
                <w:rFonts w:ascii="Arial" w:cs="Arial" w:eastAsia="Arial" w:hAnsi="Arial"/>
                <w:sz w:val="12"/>
                <w:szCs w:val="12"/>
                <w:color w:val="auto"/>
                <w:w w:val="95"/>
              </w:rPr>
              <w:t>China</w:t>
            </w:r>
          </w:p>
        </w:tc>
        <w:tc>
          <w:tcPr>
            <w:tcW w:w="16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ind w:left="20"/>
              <w:spacing w:after="0"/>
              <w:rPr>
                <w:sz w:val="20"/>
                <w:szCs w:val="20"/>
                <w:color w:val="auto"/>
              </w:rPr>
            </w:pPr>
            <w:r>
              <w:rPr>
                <w:rFonts w:ascii="Arial" w:cs="Arial" w:eastAsia="Arial" w:hAnsi="Arial"/>
                <w:sz w:val="12"/>
                <w:szCs w:val="12"/>
                <w:color w:val="auto"/>
              </w:rPr>
              <w:t>Honeywell B.V.</w:t>
            </w:r>
          </w:p>
        </w:tc>
        <w:tc>
          <w:tcPr>
            <w:tcW w:w="5660" w:type="dxa"/>
            <w:vAlign w:val="bottom"/>
          </w:tcPr>
          <w:p>
            <w:pPr>
              <w:jc w:val="center"/>
              <w:ind w:left="2820"/>
              <w:spacing w:after="0"/>
              <w:rPr>
                <w:sz w:val="20"/>
                <w:szCs w:val="20"/>
                <w:color w:val="auto"/>
              </w:rPr>
            </w:pPr>
            <w:r>
              <w:rPr>
                <w:rFonts w:ascii="Arial" w:cs="Arial" w:eastAsia="Arial" w:hAnsi="Arial"/>
                <w:sz w:val="12"/>
                <w:szCs w:val="12"/>
                <w:color w:val="auto"/>
              </w:rPr>
              <w:t>Netherlands</w:t>
            </w:r>
          </w:p>
        </w:tc>
        <w:tc>
          <w:tcPr>
            <w:tcW w:w="1660" w:type="dxa"/>
            <w:vAlign w:val="bottom"/>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38" w:right="299" w:bottom="1440" w:gutter="0" w:footer="0" w:header="0"/>
        </w:sectPr>
      </w:pPr>
    </w:p>
    <w:bookmarkStart w:id="183" w:name="page184"/>
    <w:bookmarkEnd w:id="1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54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Name</w:t>
            </w:r>
          </w:p>
        </w:tc>
        <w:tc>
          <w:tcPr>
            <w:tcW w:w="4320" w:type="dxa"/>
            <w:vAlign w:val="bottom"/>
          </w:tcPr>
          <w:p>
            <w:pPr>
              <w:jc w:val="center"/>
              <w:ind w:left="981"/>
              <w:spacing w:after="0"/>
              <w:rPr>
                <w:sz w:val="20"/>
                <w:szCs w:val="20"/>
                <w:color w:val="auto"/>
              </w:rPr>
            </w:pPr>
            <w:r>
              <w:rPr>
                <w:rFonts w:ascii="Arial" w:cs="Arial" w:eastAsia="Arial" w:hAnsi="Arial"/>
                <w:sz w:val="10"/>
                <w:szCs w:val="10"/>
                <w:b w:val="1"/>
                <w:bCs w:val="1"/>
                <w:color w:val="auto"/>
                <w:w w:val="96"/>
              </w:rPr>
              <w:t>Country or State</w:t>
            </w:r>
          </w:p>
        </w:tc>
        <w:tc>
          <w:tcPr>
            <w:tcW w:w="1420" w:type="dxa"/>
            <w:vAlign w:val="bottom"/>
          </w:tcPr>
          <w:p>
            <w:pPr>
              <w:jc w:val="right"/>
              <w:spacing w:after="0"/>
              <w:rPr>
                <w:sz w:val="20"/>
                <w:szCs w:val="20"/>
                <w:color w:val="auto"/>
              </w:rPr>
            </w:pPr>
            <w:r>
              <w:rPr>
                <w:rFonts w:ascii="Arial" w:cs="Arial" w:eastAsia="Arial" w:hAnsi="Arial"/>
                <w:sz w:val="10"/>
                <w:szCs w:val="10"/>
                <w:b w:val="1"/>
                <w:bCs w:val="1"/>
                <w:color w:val="auto"/>
              </w:rPr>
              <w:t>Percent</w:t>
            </w:r>
          </w:p>
        </w:tc>
        <w:tc>
          <w:tcPr>
            <w:tcW w:w="0" w:type="dxa"/>
            <w:vAlign w:val="bottom"/>
          </w:tcPr>
          <w:p>
            <w:pPr>
              <w:spacing w:after="0"/>
              <w:rPr>
                <w:sz w:val="1"/>
                <w:szCs w:val="1"/>
                <w:color w:val="auto"/>
              </w:rPr>
            </w:pPr>
          </w:p>
        </w:tc>
      </w:tr>
      <w:tr>
        <w:trPr>
          <w:trHeight w:val="124"/>
        </w:trPr>
        <w:tc>
          <w:tcPr>
            <w:tcW w:w="5540" w:type="dxa"/>
            <w:vAlign w:val="bottom"/>
            <w:tcBorders>
              <w:bottom w:val="single" w:sz="8" w:color="DC202E"/>
            </w:tcBorders>
            <w:vMerge w:val="continue"/>
          </w:tcPr>
          <w:p>
            <w:pPr>
              <w:spacing w:after="0"/>
              <w:rPr>
                <w:sz w:val="10"/>
                <w:szCs w:val="10"/>
                <w:color w:val="auto"/>
              </w:rPr>
            </w:pPr>
          </w:p>
        </w:tc>
        <w:tc>
          <w:tcPr>
            <w:tcW w:w="4320" w:type="dxa"/>
            <w:vAlign w:val="bottom"/>
            <w:tcBorders>
              <w:bottom w:val="single" w:sz="8" w:color="DC202E"/>
            </w:tcBorders>
          </w:tcPr>
          <w:p>
            <w:pPr>
              <w:jc w:val="center"/>
              <w:ind w:left="1001"/>
              <w:spacing w:after="0"/>
              <w:rPr>
                <w:sz w:val="20"/>
                <w:szCs w:val="20"/>
                <w:color w:val="auto"/>
              </w:rPr>
            </w:pPr>
            <w:r>
              <w:rPr>
                <w:rFonts w:ascii="Arial" w:cs="Arial" w:eastAsia="Arial" w:hAnsi="Arial"/>
                <w:sz w:val="10"/>
                <w:szCs w:val="10"/>
                <w:b w:val="1"/>
                <w:bCs w:val="1"/>
                <w:color w:val="auto"/>
                <w:w w:val="96"/>
              </w:rPr>
              <w:t>of Incorporation</w:t>
            </w:r>
          </w:p>
        </w:tc>
        <w:tc>
          <w:tcPr>
            <w:tcW w:w="14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Building Solutions GmbH</w:t>
            </w:r>
          </w:p>
        </w:tc>
        <w:tc>
          <w:tcPr>
            <w:tcW w:w="4320" w:type="dxa"/>
            <w:vAlign w:val="bottom"/>
            <w:tcBorders>
              <w:bottom w:val="single" w:sz="8" w:color="888B8D"/>
            </w:tcBorders>
          </w:tcPr>
          <w:p>
            <w:pPr>
              <w:jc w:val="center"/>
              <w:ind w:left="981"/>
              <w:spacing w:after="0"/>
              <w:rPr>
                <w:sz w:val="20"/>
                <w:szCs w:val="20"/>
                <w:color w:val="auto"/>
              </w:rPr>
            </w:pPr>
            <w:r>
              <w:rPr>
                <w:rFonts w:ascii="Arial" w:cs="Arial" w:eastAsia="Arial" w:hAnsi="Arial"/>
                <w:sz w:val="12"/>
                <w:szCs w:val="12"/>
                <w:color w:val="auto"/>
                <w:w w:val="97"/>
              </w:rPr>
              <w:t>Germany</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Chile S.A.</w:t>
            </w:r>
          </w:p>
        </w:tc>
        <w:tc>
          <w:tcPr>
            <w:tcW w:w="4320" w:type="dxa"/>
            <w:vAlign w:val="bottom"/>
            <w:tcBorders>
              <w:bottom w:val="single" w:sz="8" w:color="888B8D"/>
            </w:tcBorders>
          </w:tcPr>
          <w:p>
            <w:pPr>
              <w:jc w:val="center"/>
              <w:ind w:left="981"/>
              <w:spacing w:after="0"/>
              <w:rPr>
                <w:sz w:val="20"/>
                <w:szCs w:val="20"/>
                <w:color w:val="auto"/>
              </w:rPr>
            </w:pPr>
            <w:r>
              <w:rPr>
                <w:rFonts w:ascii="Arial" w:cs="Arial" w:eastAsia="Arial" w:hAnsi="Arial"/>
                <w:sz w:val="12"/>
                <w:szCs w:val="12"/>
                <w:color w:val="auto"/>
              </w:rPr>
              <w:t>Chile</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Co., Ltd.</w:t>
            </w:r>
          </w:p>
        </w:tc>
        <w:tc>
          <w:tcPr>
            <w:tcW w:w="4320" w:type="dxa"/>
            <w:vAlign w:val="bottom"/>
            <w:tcBorders>
              <w:bottom w:val="single" w:sz="8" w:color="888B8D"/>
            </w:tcBorders>
          </w:tcPr>
          <w:p>
            <w:pPr>
              <w:jc w:val="center"/>
              <w:ind w:left="981"/>
              <w:spacing w:after="0"/>
              <w:rPr>
                <w:sz w:val="20"/>
                <w:szCs w:val="20"/>
                <w:color w:val="auto"/>
              </w:rPr>
            </w:pPr>
            <w:r>
              <w:rPr>
                <w:rFonts w:ascii="Arial" w:cs="Arial" w:eastAsia="Arial" w:hAnsi="Arial"/>
                <w:sz w:val="12"/>
                <w:szCs w:val="12"/>
                <w:color w:val="auto"/>
              </w:rPr>
              <w:t>Korea, Republic of</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Control Systems Limited</w:t>
            </w:r>
          </w:p>
        </w:tc>
        <w:tc>
          <w:tcPr>
            <w:tcW w:w="4320" w:type="dxa"/>
            <w:vAlign w:val="bottom"/>
            <w:tcBorders>
              <w:bottom w:val="single" w:sz="8" w:color="888B8D"/>
            </w:tcBorders>
          </w:tcPr>
          <w:p>
            <w:pPr>
              <w:jc w:val="center"/>
              <w:ind w:left="981"/>
              <w:spacing w:after="0"/>
              <w:rPr>
                <w:sz w:val="20"/>
                <w:szCs w:val="20"/>
                <w:color w:val="auto"/>
              </w:rPr>
            </w:pPr>
            <w:r>
              <w:rPr>
                <w:rFonts w:ascii="Arial" w:cs="Arial" w:eastAsia="Arial" w:hAnsi="Arial"/>
                <w:sz w:val="12"/>
                <w:szCs w:val="12"/>
                <w:color w:val="auto"/>
                <w:w w:val="98"/>
              </w:rPr>
              <w:t>United Kingdom</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Deutschland Holding GmbH</w:t>
            </w:r>
          </w:p>
        </w:tc>
        <w:tc>
          <w:tcPr>
            <w:tcW w:w="4320" w:type="dxa"/>
            <w:vAlign w:val="bottom"/>
            <w:tcBorders>
              <w:bottom w:val="single" w:sz="8" w:color="888B8D"/>
            </w:tcBorders>
          </w:tcPr>
          <w:p>
            <w:pPr>
              <w:jc w:val="center"/>
              <w:ind w:left="981"/>
              <w:spacing w:after="0"/>
              <w:rPr>
                <w:sz w:val="20"/>
                <w:szCs w:val="20"/>
                <w:color w:val="auto"/>
              </w:rPr>
            </w:pPr>
            <w:r>
              <w:rPr>
                <w:rFonts w:ascii="Arial" w:cs="Arial" w:eastAsia="Arial" w:hAnsi="Arial"/>
                <w:sz w:val="12"/>
                <w:szCs w:val="12"/>
                <w:color w:val="auto"/>
                <w:w w:val="97"/>
              </w:rPr>
              <w:t>Germany</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Electronic Chemicals LLC</w:t>
            </w:r>
          </w:p>
        </w:tc>
        <w:tc>
          <w:tcPr>
            <w:tcW w:w="4320" w:type="dxa"/>
            <w:vAlign w:val="bottom"/>
            <w:tcBorders>
              <w:bottom w:val="single" w:sz="8" w:color="888B8D"/>
            </w:tcBorders>
          </w:tcPr>
          <w:p>
            <w:pPr>
              <w:jc w:val="center"/>
              <w:ind w:left="981"/>
              <w:spacing w:after="0"/>
              <w:rPr>
                <w:sz w:val="20"/>
                <w:szCs w:val="20"/>
                <w:color w:val="auto"/>
              </w:rPr>
            </w:pPr>
            <w:r>
              <w:rPr>
                <w:rFonts w:ascii="Arial" w:cs="Arial" w:eastAsia="Arial" w:hAnsi="Arial"/>
                <w:sz w:val="12"/>
                <w:szCs w:val="12"/>
                <w:color w:val="auto"/>
              </w:rPr>
              <w:t>Delaware</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Electronic Materials (Thailand) Co., Ltd.</w:t>
            </w:r>
          </w:p>
        </w:tc>
        <w:tc>
          <w:tcPr>
            <w:tcW w:w="4320" w:type="dxa"/>
            <w:vAlign w:val="bottom"/>
            <w:tcBorders>
              <w:bottom w:val="single" w:sz="8" w:color="888B8D"/>
            </w:tcBorders>
          </w:tcPr>
          <w:p>
            <w:pPr>
              <w:jc w:val="center"/>
              <w:ind w:left="1001"/>
              <w:spacing w:after="0"/>
              <w:rPr>
                <w:sz w:val="20"/>
                <w:szCs w:val="20"/>
                <w:color w:val="auto"/>
              </w:rPr>
            </w:pPr>
            <w:r>
              <w:rPr>
                <w:rFonts w:ascii="Arial" w:cs="Arial" w:eastAsia="Arial" w:hAnsi="Arial"/>
                <w:sz w:val="12"/>
                <w:szCs w:val="12"/>
                <w:color w:val="auto"/>
                <w:w w:val="99"/>
              </w:rPr>
              <w:t>Thailand</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Electronic Materials Manufacturing, LLC</w:t>
            </w:r>
          </w:p>
        </w:tc>
        <w:tc>
          <w:tcPr>
            <w:tcW w:w="4320" w:type="dxa"/>
            <w:vAlign w:val="bottom"/>
            <w:tcBorders>
              <w:bottom w:val="single" w:sz="8" w:color="888B8D"/>
            </w:tcBorders>
          </w:tcPr>
          <w:p>
            <w:pPr>
              <w:jc w:val="center"/>
              <w:ind w:left="981"/>
              <w:spacing w:after="0"/>
              <w:rPr>
                <w:sz w:val="20"/>
                <w:szCs w:val="20"/>
                <w:color w:val="auto"/>
              </w:rPr>
            </w:pPr>
            <w:r>
              <w:rPr>
                <w:rFonts w:ascii="Arial" w:cs="Arial" w:eastAsia="Arial" w:hAnsi="Arial"/>
                <w:sz w:val="12"/>
                <w:szCs w:val="12"/>
                <w:color w:val="auto"/>
              </w:rPr>
              <w:t>Washington</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Electronic Materials Taiwan Co., Ltd.</w:t>
            </w:r>
          </w:p>
        </w:tc>
        <w:tc>
          <w:tcPr>
            <w:tcW w:w="4320" w:type="dxa"/>
            <w:vAlign w:val="bottom"/>
            <w:tcBorders>
              <w:bottom w:val="single" w:sz="8" w:color="888B8D"/>
            </w:tcBorders>
          </w:tcPr>
          <w:p>
            <w:pPr>
              <w:jc w:val="center"/>
              <w:ind w:left="981"/>
              <w:spacing w:after="0"/>
              <w:rPr>
                <w:sz w:val="20"/>
                <w:szCs w:val="20"/>
                <w:color w:val="auto"/>
              </w:rPr>
            </w:pPr>
            <w:r>
              <w:rPr>
                <w:rFonts w:ascii="Arial" w:cs="Arial" w:eastAsia="Arial" w:hAnsi="Arial"/>
                <w:sz w:val="12"/>
                <w:szCs w:val="12"/>
                <w:color w:val="auto"/>
                <w:w w:val="99"/>
              </w:rPr>
              <w:t>Taiwan (Province of China)</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Energy Services Inc.</w:t>
            </w:r>
          </w:p>
        </w:tc>
        <w:tc>
          <w:tcPr>
            <w:tcW w:w="4320" w:type="dxa"/>
            <w:vAlign w:val="bottom"/>
            <w:tcBorders>
              <w:bottom w:val="single" w:sz="8" w:color="888B8D"/>
            </w:tcBorders>
          </w:tcPr>
          <w:p>
            <w:pPr>
              <w:jc w:val="center"/>
              <w:ind w:left="981"/>
              <w:spacing w:after="0"/>
              <w:rPr>
                <w:sz w:val="20"/>
                <w:szCs w:val="20"/>
                <w:color w:val="auto"/>
              </w:rPr>
            </w:pPr>
            <w:r>
              <w:rPr>
                <w:rFonts w:ascii="Arial" w:cs="Arial" w:eastAsia="Arial" w:hAnsi="Arial"/>
                <w:sz w:val="12"/>
                <w:szCs w:val="12"/>
                <w:color w:val="auto"/>
              </w:rPr>
              <w:t>Delaware</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Europe BV</w:t>
            </w:r>
          </w:p>
        </w:tc>
        <w:tc>
          <w:tcPr>
            <w:tcW w:w="4320" w:type="dxa"/>
            <w:vAlign w:val="bottom"/>
            <w:tcBorders>
              <w:bottom w:val="single" w:sz="8" w:color="888B8D"/>
            </w:tcBorders>
          </w:tcPr>
          <w:p>
            <w:pPr>
              <w:jc w:val="center"/>
              <w:ind w:left="981"/>
              <w:spacing w:after="0"/>
              <w:rPr>
                <w:sz w:val="20"/>
                <w:szCs w:val="20"/>
                <w:color w:val="auto"/>
              </w:rPr>
            </w:pPr>
            <w:r>
              <w:rPr>
                <w:rFonts w:ascii="Arial" w:cs="Arial" w:eastAsia="Arial" w:hAnsi="Arial"/>
                <w:sz w:val="12"/>
                <w:szCs w:val="12"/>
                <w:color w:val="auto"/>
              </w:rPr>
              <w:t>Belgium</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Federal Manufacturing &amp; Technologies, LLC</w:t>
            </w:r>
          </w:p>
        </w:tc>
        <w:tc>
          <w:tcPr>
            <w:tcW w:w="4320" w:type="dxa"/>
            <w:vAlign w:val="bottom"/>
            <w:tcBorders>
              <w:bottom w:val="single" w:sz="8" w:color="888B8D"/>
            </w:tcBorders>
          </w:tcPr>
          <w:p>
            <w:pPr>
              <w:jc w:val="center"/>
              <w:ind w:left="981"/>
              <w:spacing w:after="0"/>
              <w:rPr>
                <w:sz w:val="20"/>
                <w:szCs w:val="20"/>
                <w:color w:val="auto"/>
              </w:rPr>
            </w:pPr>
            <w:r>
              <w:rPr>
                <w:rFonts w:ascii="Arial" w:cs="Arial" w:eastAsia="Arial" w:hAnsi="Arial"/>
                <w:sz w:val="12"/>
                <w:szCs w:val="12"/>
                <w:color w:val="auto"/>
              </w:rPr>
              <w:t>Delaware</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FINANCE ONTARIO LP</w:t>
            </w:r>
          </w:p>
        </w:tc>
        <w:tc>
          <w:tcPr>
            <w:tcW w:w="4320" w:type="dxa"/>
            <w:vAlign w:val="bottom"/>
            <w:tcBorders>
              <w:bottom w:val="single" w:sz="8" w:color="888B8D"/>
            </w:tcBorders>
          </w:tcPr>
          <w:p>
            <w:pPr>
              <w:jc w:val="center"/>
              <w:ind w:left="1001"/>
              <w:spacing w:after="0"/>
              <w:rPr>
                <w:sz w:val="20"/>
                <w:szCs w:val="20"/>
                <w:color w:val="auto"/>
              </w:rPr>
            </w:pPr>
            <w:r>
              <w:rPr>
                <w:rFonts w:ascii="Arial" w:cs="Arial" w:eastAsia="Arial" w:hAnsi="Arial"/>
                <w:sz w:val="12"/>
                <w:szCs w:val="12"/>
                <w:color w:val="auto"/>
                <w:w w:val="99"/>
              </w:rPr>
              <w:t>Canada</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Fluorine Products Europe B.V.</w:t>
            </w:r>
          </w:p>
        </w:tc>
        <w:tc>
          <w:tcPr>
            <w:tcW w:w="4320" w:type="dxa"/>
            <w:vAlign w:val="bottom"/>
            <w:tcBorders>
              <w:bottom w:val="single" w:sz="8" w:color="888B8D"/>
            </w:tcBorders>
          </w:tcPr>
          <w:p>
            <w:pPr>
              <w:jc w:val="center"/>
              <w:ind w:left="981"/>
              <w:spacing w:after="0"/>
              <w:rPr>
                <w:sz w:val="20"/>
                <w:szCs w:val="20"/>
                <w:color w:val="auto"/>
              </w:rPr>
            </w:pPr>
            <w:r>
              <w:rPr>
                <w:rFonts w:ascii="Arial" w:cs="Arial" w:eastAsia="Arial" w:hAnsi="Arial"/>
                <w:sz w:val="12"/>
                <w:szCs w:val="12"/>
                <w:color w:val="auto"/>
                <w:w w:val="98"/>
              </w:rPr>
              <w:t>Netherlands</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GmbH</w:t>
            </w:r>
          </w:p>
        </w:tc>
        <w:tc>
          <w:tcPr>
            <w:tcW w:w="4320" w:type="dxa"/>
            <w:vAlign w:val="bottom"/>
            <w:tcBorders>
              <w:bottom w:val="single" w:sz="8" w:color="888B8D"/>
            </w:tcBorders>
          </w:tcPr>
          <w:p>
            <w:pPr>
              <w:jc w:val="center"/>
              <w:ind w:left="981"/>
              <w:spacing w:after="0"/>
              <w:rPr>
                <w:sz w:val="20"/>
                <w:szCs w:val="20"/>
                <w:color w:val="auto"/>
              </w:rPr>
            </w:pPr>
            <w:r>
              <w:rPr>
                <w:rFonts w:ascii="Arial" w:cs="Arial" w:eastAsia="Arial" w:hAnsi="Arial"/>
                <w:sz w:val="12"/>
                <w:szCs w:val="12"/>
                <w:color w:val="auto"/>
                <w:w w:val="97"/>
              </w:rPr>
              <w:t>Germany</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Holdings International Inc.</w:t>
            </w:r>
          </w:p>
        </w:tc>
        <w:tc>
          <w:tcPr>
            <w:tcW w:w="4320" w:type="dxa"/>
            <w:vAlign w:val="bottom"/>
            <w:tcBorders>
              <w:bottom w:val="single" w:sz="8" w:color="888B8D"/>
            </w:tcBorders>
          </w:tcPr>
          <w:p>
            <w:pPr>
              <w:jc w:val="center"/>
              <w:ind w:left="961"/>
              <w:spacing w:after="0"/>
              <w:rPr>
                <w:sz w:val="20"/>
                <w:szCs w:val="20"/>
                <w:color w:val="auto"/>
              </w:rPr>
            </w:pPr>
            <w:r>
              <w:rPr>
                <w:rFonts w:ascii="Arial" w:cs="Arial" w:eastAsia="Arial" w:hAnsi="Arial"/>
                <w:sz w:val="12"/>
                <w:szCs w:val="12"/>
                <w:color w:val="auto"/>
                <w:w w:val="98"/>
              </w:rPr>
              <w:t>Delaware</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International (India) Private Limited</w:t>
            </w:r>
          </w:p>
        </w:tc>
        <w:tc>
          <w:tcPr>
            <w:tcW w:w="4320" w:type="dxa"/>
            <w:vAlign w:val="bottom"/>
            <w:tcBorders>
              <w:bottom w:val="single" w:sz="8" w:color="888B8D"/>
            </w:tcBorders>
          </w:tcPr>
          <w:p>
            <w:pPr>
              <w:jc w:val="center"/>
              <w:ind w:left="1001"/>
              <w:spacing w:after="0"/>
              <w:rPr>
                <w:sz w:val="20"/>
                <w:szCs w:val="20"/>
                <w:color w:val="auto"/>
              </w:rPr>
            </w:pPr>
            <w:r>
              <w:rPr>
                <w:rFonts w:ascii="Arial" w:cs="Arial" w:eastAsia="Arial" w:hAnsi="Arial"/>
                <w:sz w:val="12"/>
                <w:szCs w:val="12"/>
                <w:color w:val="auto"/>
                <w:w w:val="99"/>
              </w:rPr>
              <w:t>India</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International Sàrl</w:t>
            </w:r>
          </w:p>
        </w:tc>
        <w:tc>
          <w:tcPr>
            <w:tcW w:w="4320" w:type="dxa"/>
            <w:vAlign w:val="bottom"/>
            <w:tcBorders>
              <w:bottom w:val="single" w:sz="8" w:color="888B8D"/>
            </w:tcBorders>
          </w:tcPr>
          <w:p>
            <w:pPr>
              <w:jc w:val="center"/>
              <w:ind w:left="1001"/>
              <w:spacing w:after="0"/>
              <w:rPr>
                <w:sz w:val="20"/>
                <w:szCs w:val="20"/>
                <w:color w:val="auto"/>
              </w:rPr>
            </w:pPr>
            <w:r>
              <w:rPr>
                <w:rFonts w:ascii="Arial" w:cs="Arial" w:eastAsia="Arial" w:hAnsi="Arial"/>
                <w:sz w:val="12"/>
                <w:szCs w:val="12"/>
                <w:color w:val="auto"/>
                <w:w w:val="99"/>
              </w:rPr>
              <w:t>Switzerland</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International Sdn. Bhd.</w:t>
            </w:r>
          </w:p>
        </w:tc>
        <w:tc>
          <w:tcPr>
            <w:tcW w:w="4320" w:type="dxa"/>
            <w:vAlign w:val="bottom"/>
            <w:tcBorders>
              <w:bottom w:val="single" w:sz="8" w:color="888B8D"/>
            </w:tcBorders>
          </w:tcPr>
          <w:p>
            <w:pPr>
              <w:jc w:val="center"/>
              <w:ind w:left="981"/>
              <w:spacing w:after="0"/>
              <w:rPr>
                <w:sz w:val="20"/>
                <w:szCs w:val="20"/>
                <w:color w:val="auto"/>
              </w:rPr>
            </w:pPr>
            <w:r>
              <w:rPr>
                <w:rFonts w:ascii="Arial" w:cs="Arial" w:eastAsia="Arial" w:hAnsi="Arial"/>
                <w:sz w:val="12"/>
                <w:szCs w:val="12"/>
                <w:color w:val="auto"/>
              </w:rPr>
              <w:t>Malaysia</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International UK Limited</w:t>
            </w:r>
          </w:p>
        </w:tc>
        <w:tc>
          <w:tcPr>
            <w:tcW w:w="4320" w:type="dxa"/>
            <w:vAlign w:val="bottom"/>
            <w:tcBorders>
              <w:bottom w:val="single" w:sz="8" w:color="888B8D"/>
            </w:tcBorders>
          </w:tcPr>
          <w:p>
            <w:pPr>
              <w:jc w:val="center"/>
              <w:ind w:left="981"/>
              <w:spacing w:after="0"/>
              <w:rPr>
                <w:sz w:val="20"/>
                <w:szCs w:val="20"/>
                <w:color w:val="auto"/>
              </w:rPr>
            </w:pPr>
            <w:r>
              <w:rPr>
                <w:rFonts w:ascii="Arial" w:cs="Arial" w:eastAsia="Arial" w:hAnsi="Arial"/>
                <w:sz w:val="12"/>
                <w:szCs w:val="12"/>
                <w:color w:val="auto"/>
                <w:w w:val="98"/>
              </w:rPr>
              <w:t>United Kingdom</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Japan Ltd.</w:t>
            </w:r>
          </w:p>
        </w:tc>
        <w:tc>
          <w:tcPr>
            <w:tcW w:w="4320" w:type="dxa"/>
            <w:vAlign w:val="bottom"/>
            <w:tcBorders>
              <w:bottom w:val="single" w:sz="8" w:color="888B8D"/>
            </w:tcBorders>
          </w:tcPr>
          <w:p>
            <w:pPr>
              <w:jc w:val="center"/>
              <w:ind w:left="981"/>
              <w:spacing w:after="0"/>
              <w:rPr>
                <w:sz w:val="20"/>
                <w:szCs w:val="20"/>
                <w:color w:val="auto"/>
              </w:rPr>
            </w:pPr>
            <w:r>
              <w:rPr>
                <w:rFonts w:ascii="Arial" w:cs="Arial" w:eastAsia="Arial" w:hAnsi="Arial"/>
                <w:sz w:val="12"/>
                <w:szCs w:val="12"/>
                <w:color w:val="auto"/>
                <w:w w:val="97"/>
              </w:rPr>
              <w:t>Japan</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Kuwait Co. Sharing Closed</w:t>
            </w:r>
          </w:p>
        </w:tc>
        <w:tc>
          <w:tcPr>
            <w:tcW w:w="4320" w:type="dxa"/>
            <w:vAlign w:val="bottom"/>
            <w:tcBorders>
              <w:bottom w:val="single" w:sz="8" w:color="888B8D"/>
            </w:tcBorders>
          </w:tcPr>
          <w:p>
            <w:pPr>
              <w:jc w:val="center"/>
              <w:ind w:left="981"/>
              <w:spacing w:after="0"/>
              <w:rPr>
                <w:sz w:val="20"/>
                <w:szCs w:val="20"/>
                <w:color w:val="auto"/>
              </w:rPr>
            </w:pPr>
            <w:r>
              <w:rPr>
                <w:rFonts w:ascii="Arial" w:cs="Arial" w:eastAsia="Arial" w:hAnsi="Arial"/>
                <w:sz w:val="12"/>
                <w:szCs w:val="12"/>
                <w:color w:val="auto"/>
                <w:w w:val="99"/>
              </w:rPr>
              <w:t>Kuwait</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60 %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Life Safety Romania SRL</w:t>
            </w:r>
          </w:p>
        </w:tc>
        <w:tc>
          <w:tcPr>
            <w:tcW w:w="4320" w:type="dxa"/>
            <w:vAlign w:val="bottom"/>
            <w:tcBorders>
              <w:bottom w:val="single" w:sz="8" w:color="888B8D"/>
            </w:tcBorders>
          </w:tcPr>
          <w:p>
            <w:pPr>
              <w:jc w:val="center"/>
              <w:ind w:left="981"/>
              <w:spacing w:after="0"/>
              <w:rPr>
                <w:sz w:val="20"/>
                <w:szCs w:val="20"/>
                <w:color w:val="auto"/>
              </w:rPr>
            </w:pPr>
            <w:r>
              <w:rPr>
                <w:rFonts w:ascii="Arial" w:cs="Arial" w:eastAsia="Arial" w:hAnsi="Arial"/>
                <w:sz w:val="12"/>
                <w:szCs w:val="12"/>
                <w:color w:val="auto"/>
                <w:w w:val="99"/>
              </w:rPr>
              <w:t>Romania</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Limited</w:t>
            </w:r>
          </w:p>
        </w:tc>
        <w:tc>
          <w:tcPr>
            <w:tcW w:w="4320" w:type="dxa"/>
            <w:vAlign w:val="bottom"/>
            <w:tcBorders>
              <w:bottom w:val="single" w:sz="8" w:color="888B8D"/>
            </w:tcBorders>
          </w:tcPr>
          <w:p>
            <w:pPr>
              <w:jc w:val="center"/>
              <w:ind w:left="981"/>
              <w:spacing w:after="0"/>
              <w:rPr>
                <w:sz w:val="20"/>
                <w:szCs w:val="20"/>
                <w:color w:val="auto"/>
              </w:rPr>
            </w:pPr>
            <w:r>
              <w:rPr>
                <w:rFonts w:ascii="Arial" w:cs="Arial" w:eastAsia="Arial" w:hAnsi="Arial"/>
                <w:sz w:val="12"/>
                <w:szCs w:val="12"/>
                <w:color w:val="auto"/>
              </w:rPr>
              <w:t>Australia</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Limited [Australia]</w:t>
            </w:r>
          </w:p>
        </w:tc>
        <w:tc>
          <w:tcPr>
            <w:tcW w:w="4320" w:type="dxa"/>
            <w:vAlign w:val="bottom"/>
            <w:tcBorders>
              <w:bottom w:val="single" w:sz="8" w:color="888B8D"/>
            </w:tcBorders>
          </w:tcPr>
          <w:p>
            <w:pPr>
              <w:jc w:val="center"/>
              <w:ind w:left="981"/>
              <w:spacing w:after="0"/>
              <w:rPr>
                <w:sz w:val="20"/>
                <w:szCs w:val="20"/>
                <w:color w:val="auto"/>
              </w:rPr>
            </w:pPr>
            <w:r>
              <w:rPr>
                <w:rFonts w:ascii="Arial" w:cs="Arial" w:eastAsia="Arial" w:hAnsi="Arial"/>
                <w:sz w:val="12"/>
                <w:szCs w:val="12"/>
                <w:color w:val="auto"/>
              </w:rPr>
              <w:t>Australia</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Limited [Hong Kong]</w:t>
            </w:r>
          </w:p>
        </w:tc>
        <w:tc>
          <w:tcPr>
            <w:tcW w:w="4320" w:type="dxa"/>
            <w:vAlign w:val="bottom"/>
            <w:tcBorders>
              <w:bottom w:val="single" w:sz="8" w:color="888B8D"/>
            </w:tcBorders>
          </w:tcPr>
          <w:p>
            <w:pPr>
              <w:jc w:val="center"/>
              <w:ind w:left="981"/>
              <w:spacing w:after="0"/>
              <w:rPr>
                <w:sz w:val="20"/>
                <w:szCs w:val="20"/>
                <w:color w:val="auto"/>
              </w:rPr>
            </w:pPr>
            <w:r>
              <w:rPr>
                <w:rFonts w:ascii="Arial" w:cs="Arial" w:eastAsia="Arial" w:hAnsi="Arial"/>
                <w:sz w:val="12"/>
                <w:szCs w:val="12"/>
                <w:color w:val="auto"/>
                <w:w w:val="99"/>
              </w:rPr>
              <w:t>Hong Kong</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LIMITED HONEYWELL LIMITÉE</w:t>
            </w:r>
          </w:p>
        </w:tc>
        <w:tc>
          <w:tcPr>
            <w:tcW w:w="4320" w:type="dxa"/>
            <w:vAlign w:val="bottom"/>
            <w:tcBorders>
              <w:bottom w:val="single" w:sz="8" w:color="888B8D"/>
            </w:tcBorders>
          </w:tcPr>
          <w:p>
            <w:pPr>
              <w:jc w:val="center"/>
              <w:ind w:left="1001"/>
              <w:spacing w:after="0"/>
              <w:rPr>
                <w:sz w:val="20"/>
                <w:szCs w:val="20"/>
                <w:color w:val="auto"/>
              </w:rPr>
            </w:pPr>
            <w:r>
              <w:rPr>
                <w:rFonts w:ascii="Arial" w:cs="Arial" w:eastAsia="Arial" w:hAnsi="Arial"/>
                <w:sz w:val="12"/>
                <w:szCs w:val="12"/>
                <w:color w:val="auto"/>
                <w:w w:val="99"/>
              </w:rPr>
              <w:t>Canada</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Middle East FZE</w:t>
            </w:r>
          </w:p>
        </w:tc>
        <w:tc>
          <w:tcPr>
            <w:tcW w:w="4320" w:type="dxa"/>
            <w:vAlign w:val="bottom"/>
            <w:tcBorders>
              <w:bottom w:val="single" w:sz="8" w:color="888B8D"/>
            </w:tcBorders>
          </w:tcPr>
          <w:p>
            <w:pPr>
              <w:jc w:val="center"/>
              <w:ind w:left="981"/>
              <w:spacing w:after="0"/>
              <w:rPr>
                <w:sz w:val="20"/>
                <w:szCs w:val="20"/>
                <w:color w:val="auto"/>
              </w:rPr>
            </w:pPr>
            <w:r>
              <w:rPr>
                <w:rFonts w:ascii="Arial" w:cs="Arial" w:eastAsia="Arial" w:hAnsi="Arial"/>
                <w:sz w:val="12"/>
                <w:szCs w:val="12"/>
                <w:color w:val="auto"/>
                <w:w w:val="98"/>
              </w:rPr>
              <w:t>United Arab Emirates</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NV</w:t>
            </w:r>
          </w:p>
        </w:tc>
        <w:tc>
          <w:tcPr>
            <w:tcW w:w="4320" w:type="dxa"/>
            <w:vAlign w:val="bottom"/>
            <w:tcBorders>
              <w:bottom w:val="single" w:sz="8" w:color="888B8D"/>
            </w:tcBorders>
          </w:tcPr>
          <w:p>
            <w:pPr>
              <w:jc w:val="center"/>
              <w:ind w:left="981"/>
              <w:spacing w:after="0"/>
              <w:rPr>
                <w:sz w:val="20"/>
                <w:szCs w:val="20"/>
                <w:color w:val="auto"/>
              </w:rPr>
            </w:pPr>
            <w:r>
              <w:rPr>
                <w:rFonts w:ascii="Arial" w:cs="Arial" w:eastAsia="Arial" w:hAnsi="Arial"/>
                <w:sz w:val="12"/>
                <w:szCs w:val="12"/>
                <w:color w:val="auto"/>
              </w:rPr>
              <w:t>Belgium</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Performance Materials &amp; Technologies Korea Ltd</w:t>
            </w:r>
          </w:p>
        </w:tc>
        <w:tc>
          <w:tcPr>
            <w:tcW w:w="4320" w:type="dxa"/>
            <w:vAlign w:val="bottom"/>
            <w:tcBorders>
              <w:bottom w:val="single" w:sz="8" w:color="888B8D"/>
            </w:tcBorders>
          </w:tcPr>
          <w:p>
            <w:pPr>
              <w:jc w:val="center"/>
              <w:ind w:left="981"/>
              <w:spacing w:after="0"/>
              <w:rPr>
                <w:sz w:val="20"/>
                <w:szCs w:val="20"/>
                <w:color w:val="auto"/>
              </w:rPr>
            </w:pPr>
            <w:r>
              <w:rPr>
                <w:rFonts w:ascii="Arial" w:cs="Arial" w:eastAsia="Arial" w:hAnsi="Arial"/>
                <w:sz w:val="12"/>
                <w:szCs w:val="12"/>
                <w:color w:val="auto"/>
              </w:rPr>
              <w:t>Korea, Republic of</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Performance Materials and Technologies (China) Co Ltd</w:t>
            </w:r>
          </w:p>
        </w:tc>
        <w:tc>
          <w:tcPr>
            <w:tcW w:w="4320" w:type="dxa"/>
            <w:vAlign w:val="bottom"/>
            <w:tcBorders>
              <w:bottom w:val="single" w:sz="8" w:color="888B8D"/>
            </w:tcBorders>
          </w:tcPr>
          <w:p>
            <w:pPr>
              <w:jc w:val="center"/>
              <w:ind w:left="981"/>
              <w:spacing w:after="0"/>
              <w:rPr>
                <w:sz w:val="20"/>
                <w:szCs w:val="20"/>
                <w:color w:val="auto"/>
              </w:rPr>
            </w:pPr>
            <w:r>
              <w:rPr>
                <w:rFonts w:ascii="Arial" w:cs="Arial" w:eastAsia="Arial" w:hAnsi="Arial"/>
                <w:sz w:val="12"/>
                <w:szCs w:val="12"/>
                <w:color w:val="auto"/>
              </w:rPr>
              <w:t>China</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Productivity Solutions B.V.</w:t>
            </w:r>
          </w:p>
        </w:tc>
        <w:tc>
          <w:tcPr>
            <w:tcW w:w="4320" w:type="dxa"/>
            <w:vAlign w:val="bottom"/>
            <w:tcBorders>
              <w:bottom w:val="single" w:sz="8" w:color="888B8D"/>
            </w:tcBorders>
          </w:tcPr>
          <w:p>
            <w:pPr>
              <w:jc w:val="center"/>
              <w:ind w:left="981"/>
              <w:spacing w:after="0"/>
              <w:rPr>
                <w:sz w:val="20"/>
                <w:szCs w:val="20"/>
                <w:color w:val="auto"/>
              </w:rPr>
            </w:pPr>
            <w:r>
              <w:rPr>
                <w:rFonts w:ascii="Arial" w:cs="Arial" w:eastAsia="Arial" w:hAnsi="Arial"/>
                <w:sz w:val="12"/>
                <w:szCs w:val="12"/>
                <w:color w:val="auto"/>
                <w:w w:val="98"/>
              </w:rPr>
              <w:t>Netherlands</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Products &amp; Solutions Sàrl</w:t>
            </w:r>
          </w:p>
        </w:tc>
        <w:tc>
          <w:tcPr>
            <w:tcW w:w="4320" w:type="dxa"/>
            <w:vAlign w:val="bottom"/>
            <w:tcBorders>
              <w:bottom w:val="single" w:sz="8" w:color="888B8D"/>
            </w:tcBorders>
          </w:tcPr>
          <w:p>
            <w:pPr>
              <w:jc w:val="center"/>
              <w:ind w:left="1001"/>
              <w:spacing w:after="0"/>
              <w:rPr>
                <w:sz w:val="20"/>
                <w:szCs w:val="20"/>
                <w:color w:val="auto"/>
              </w:rPr>
            </w:pPr>
            <w:r>
              <w:rPr>
                <w:rFonts w:ascii="Arial" w:cs="Arial" w:eastAsia="Arial" w:hAnsi="Arial"/>
                <w:sz w:val="12"/>
                <w:szCs w:val="12"/>
                <w:color w:val="auto"/>
                <w:w w:val="99"/>
              </w:rPr>
              <w:t>Switzerland</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Pte. Ltd.</w:t>
            </w:r>
          </w:p>
        </w:tc>
        <w:tc>
          <w:tcPr>
            <w:tcW w:w="4320" w:type="dxa"/>
            <w:vAlign w:val="bottom"/>
            <w:tcBorders>
              <w:bottom w:val="single" w:sz="8" w:color="888B8D"/>
            </w:tcBorders>
          </w:tcPr>
          <w:p>
            <w:pPr>
              <w:jc w:val="center"/>
              <w:ind w:left="981"/>
              <w:spacing w:after="0"/>
              <w:rPr>
                <w:sz w:val="20"/>
                <w:szCs w:val="20"/>
                <w:color w:val="auto"/>
              </w:rPr>
            </w:pPr>
            <w:r>
              <w:rPr>
                <w:rFonts w:ascii="Arial" w:cs="Arial" w:eastAsia="Arial" w:hAnsi="Arial"/>
                <w:sz w:val="12"/>
                <w:szCs w:val="12"/>
                <w:color w:val="auto"/>
              </w:rPr>
              <w:t>Singapore</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S.L.</w:t>
            </w:r>
          </w:p>
        </w:tc>
        <w:tc>
          <w:tcPr>
            <w:tcW w:w="4320" w:type="dxa"/>
            <w:vAlign w:val="bottom"/>
            <w:tcBorders>
              <w:bottom w:val="single" w:sz="8" w:color="888B8D"/>
            </w:tcBorders>
          </w:tcPr>
          <w:p>
            <w:pPr>
              <w:jc w:val="center"/>
              <w:ind w:left="981"/>
              <w:spacing w:after="0"/>
              <w:rPr>
                <w:sz w:val="20"/>
                <w:szCs w:val="20"/>
                <w:color w:val="auto"/>
              </w:rPr>
            </w:pPr>
            <w:r>
              <w:rPr>
                <w:rFonts w:ascii="Arial" w:cs="Arial" w:eastAsia="Arial" w:hAnsi="Arial"/>
                <w:sz w:val="12"/>
                <w:szCs w:val="12"/>
                <w:color w:val="auto"/>
              </w:rPr>
              <w:t>Spain</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S.r.l.</w:t>
            </w:r>
          </w:p>
        </w:tc>
        <w:tc>
          <w:tcPr>
            <w:tcW w:w="4320" w:type="dxa"/>
            <w:vAlign w:val="bottom"/>
            <w:tcBorders>
              <w:bottom w:val="single" w:sz="8" w:color="888B8D"/>
            </w:tcBorders>
          </w:tcPr>
          <w:p>
            <w:pPr>
              <w:jc w:val="center"/>
              <w:ind w:left="1001"/>
              <w:spacing w:after="0"/>
              <w:rPr>
                <w:sz w:val="20"/>
                <w:szCs w:val="20"/>
                <w:color w:val="auto"/>
              </w:rPr>
            </w:pPr>
            <w:r>
              <w:rPr>
                <w:rFonts w:ascii="Arial" w:cs="Arial" w:eastAsia="Arial" w:hAnsi="Arial"/>
                <w:sz w:val="12"/>
                <w:szCs w:val="12"/>
                <w:color w:val="auto"/>
                <w:w w:val="99"/>
              </w:rPr>
              <w:t>Italy</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Safety Products Europe SAS</w:t>
            </w:r>
          </w:p>
        </w:tc>
        <w:tc>
          <w:tcPr>
            <w:tcW w:w="4320" w:type="dxa"/>
            <w:vAlign w:val="bottom"/>
            <w:tcBorders>
              <w:bottom w:val="single" w:sz="8" w:color="888B8D"/>
            </w:tcBorders>
          </w:tcPr>
          <w:p>
            <w:pPr>
              <w:jc w:val="center"/>
              <w:ind w:left="981"/>
              <w:spacing w:after="0"/>
              <w:rPr>
                <w:sz w:val="20"/>
                <w:szCs w:val="20"/>
                <w:color w:val="auto"/>
              </w:rPr>
            </w:pPr>
            <w:r>
              <w:rPr>
                <w:rFonts w:ascii="Arial" w:cs="Arial" w:eastAsia="Arial" w:hAnsi="Arial"/>
                <w:sz w:val="12"/>
                <w:szCs w:val="12"/>
                <w:color w:val="auto"/>
                <w:w w:val="96"/>
              </w:rPr>
              <w:t>France</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Safety Products USA, Inc.</w:t>
            </w:r>
          </w:p>
        </w:tc>
        <w:tc>
          <w:tcPr>
            <w:tcW w:w="4320" w:type="dxa"/>
            <w:vAlign w:val="bottom"/>
            <w:tcBorders>
              <w:bottom w:val="single" w:sz="8" w:color="888B8D"/>
            </w:tcBorders>
          </w:tcPr>
          <w:p>
            <w:pPr>
              <w:jc w:val="center"/>
              <w:ind w:left="981"/>
              <w:spacing w:after="0"/>
              <w:rPr>
                <w:sz w:val="20"/>
                <w:szCs w:val="20"/>
                <w:color w:val="auto"/>
              </w:rPr>
            </w:pPr>
            <w:r>
              <w:rPr>
                <w:rFonts w:ascii="Arial" w:cs="Arial" w:eastAsia="Arial" w:hAnsi="Arial"/>
                <w:sz w:val="12"/>
                <w:szCs w:val="12"/>
                <w:color w:val="auto"/>
              </w:rPr>
              <w:t>Delaware</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SAS</w:t>
            </w:r>
          </w:p>
        </w:tc>
        <w:tc>
          <w:tcPr>
            <w:tcW w:w="4320" w:type="dxa"/>
            <w:vAlign w:val="bottom"/>
            <w:tcBorders>
              <w:bottom w:val="single" w:sz="8" w:color="888B8D"/>
            </w:tcBorders>
          </w:tcPr>
          <w:p>
            <w:pPr>
              <w:jc w:val="center"/>
              <w:ind w:left="981"/>
              <w:spacing w:after="0"/>
              <w:rPr>
                <w:sz w:val="20"/>
                <w:szCs w:val="20"/>
                <w:color w:val="auto"/>
              </w:rPr>
            </w:pPr>
            <w:r>
              <w:rPr>
                <w:rFonts w:ascii="Arial" w:cs="Arial" w:eastAsia="Arial" w:hAnsi="Arial"/>
                <w:sz w:val="12"/>
                <w:szCs w:val="12"/>
                <w:color w:val="auto"/>
                <w:w w:val="96"/>
              </w:rPr>
              <w:t>France</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Sensing and Control (China) Co., Ltd.</w:t>
            </w:r>
          </w:p>
        </w:tc>
        <w:tc>
          <w:tcPr>
            <w:tcW w:w="4320" w:type="dxa"/>
            <w:vAlign w:val="bottom"/>
            <w:tcBorders>
              <w:bottom w:val="single" w:sz="8" w:color="888B8D"/>
            </w:tcBorders>
          </w:tcPr>
          <w:p>
            <w:pPr>
              <w:jc w:val="center"/>
              <w:ind w:left="981"/>
              <w:spacing w:after="0"/>
              <w:rPr>
                <w:sz w:val="20"/>
                <w:szCs w:val="20"/>
                <w:color w:val="auto"/>
              </w:rPr>
            </w:pPr>
            <w:r>
              <w:rPr>
                <w:rFonts w:ascii="Arial" w:cs="Arial" w:eastAsia="Arial" w:hAnsi="Arial"/>
                <w:sz w:val="12"/>
                <w:szCs w:val="12"/>
                <w:color w:val="auto"/>
              </w:rPr>
              <w:t>China</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Specialty Chemicals Seelze GmbH</w:t>
            </w:r>
          </w:p>
        </w:tc>
        <w:tc>
          <w:tcPr>
            <w:tcW w:w="4320" w:type="dxa"/>
            <w:vAlign w:val="bottom"/>
            <w:tcBorders>
              <w:bottom w:val="single" w:sz="8" w:color="888B8D"/>
            </w:tcBorders>
          </w:tcPr>
          <w:p>
            <w:pPr>
              <w:jc w:val="center"/>
              <w:ind w:left="981"/>
              <w:spacing w:after="0"/>
              <w:rPr>
                <w:sz w:val="20"/>
                <w:szCs w:val="20"/>
                <w:color w:val="auto"/>
              </w:rPr>
            </w:pPr>
            <w:r>
              <w:rPr>
                <w:rFonts w:ascii="Arial" w:cs="Arial" w:eastAsia="Arial" w:hAnsi="Arial"/>
                <w:sz w:val="12"/>
                <w:szCs w:val="12"/>
                <w:color w:val="auto"/>
                <w:w w:val="97"/>
              </w:rPr>
              <w:t>Germany</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Specialty Materials, LLC</w:t>
            </w:r>
          </w:p>
        </w:tc>
        <w:tc>
          <w:tcPr>
            <w:tcW w:w="4320" w:type="dxa"/>
            <w:vAlign w:val="bottom"/>
            <w:tcBorders>
              <w:bottom w:val="single" w:sz="8" w:color="888B8D"/>
            </w:tcBorders>
          </w:tcPr>
          <w:p>
            <w:pPr>
              <w:jc w:val="center"/>
              <w:ind w:left="981"/>
              <w:spacing w:after="0"/>
              <w:rPr>
                <w:sz w:val="20"/>
                <w:szCs w:val="20"/>
                <w:color w:val="auto"/>
              </w:rPr>
            </w:pPr>
            <w:r>
              <w:rPr>
                <w:rFonts w:ascii="Arial" w:cs="Arial" w:eastAsia="Arial" w:hAnsi="Arial"/>
                <w:sz w:val="12"/>
                <w:szCs w:val="12"/>
                <w:color w:val="auto"/>
              </w:rPr>
              <w:t>Delaware</w:t>
            </w:r>
          </w:p>
        </w:tc>
        <w:tc>
          <w:tcPr>
            <w:tcW w:w="14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8"/>
        </w:trPr>
        <w:tc>
          <w:tcPr>
            <w:tcW w:w="5540" w:type="dxa"/>
            <w:vAlign w:val="bottom"/>
          </w:tcPr>
          <w:p>
            <w:pPr>
              <w:ind w:left="20"/>
              <w:spacing w:after="0"/>
              <w:rPr>
                <w:sz w:val="20"/>
                <w:szCs w:val="20"/>
                <w:color w:val="auto"/>
              </w:rPr>
            </w:pPr>
            <w:r>
              <w:rPr>
                <w:rFonts w:ascii="Arial" w:cs="Arial" w:eastAsia="Arial" w:hAnsi="Arial"/>
                <w:sz w:val="12"/>
                <w:szCs w:val="12"/>
                <w:color w:val="auto"/>
              </w:rPr>
              <w:t>Honeywell Taiwan Limited</w:t>
            </w:r>
          </w:p>
        </w:tc>
        <w:tc>
          <w:tcPr>
            <w:tcW w:w="4320" w:type="dxa"/>
            <w:vAlign w:val="bottom"/>
          </w:tcPr>
          <w:p>
            <w:pPr>
              <w:jc w:val="center"/>
              <w:ind w:left="981"/>
              <w:spacing w:after="0"/>
              <w:rPr>
                <w:sz w:val="20"/>
                <w:szCs w:val="20"/>
                <w:color w:val="auto"/>
              </w:rPr>
            </w:pPr>
            <w:r>
              <w:rPr>
                <w:rFonts w:ascii="Arial" w:cs="Arial" w:eastAsia="Arial" w:hAnsi="Arial"/>
                <w:sz w:val="12"/>
                <w:szCs w:val="12"/>
                <w:color w:val="auto"/>
                <w:w w:val="99"/>
              </w:rPr>
              <w:t>Taiwan (Province of China)</w:t>
            </w:r>
          </w:p>
        </w:tc>
        <w:tc>
          <w:tcPr>
            <w:tcW w:w="1420" w:type="dxa"/>
            <w:vAlign w:val="bottom"/>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bl>
    <w:p>
      <w:pPr>
        <w:sectPr>
          <w:pgSz w:w="11900" w:h="16838" w:orient="portrait"/>
          <w:cols w:equalWidth="0" w:num="1">
            <w:col w:w="11280"/>
          </w:cols>
          <w:pgMar w:left="300" w:top="657" w:right="319" w:bottom="1440" w:gutter="0" w:footer="0" w:header="0"/>
        </w:sectPr>
      </w:pPr>
    </w:p>
    <w:bookmarkStart w:id="184" w:name="page185"/>
    <w:bookmarkEnd w:id="1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28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Name</w:t>
            </w:r>
          </w:p>
        </w:tc>
        <w:tc>
          <w:tcPr>
            <w:tcW w:w="4440" w:type="dxa"/>
            <w:vAlign w:val="bottom"/>
          </w:tcPr>
          <w:p>
            <w:pPr>
              <w:jc w:val="center"/>
              <w:ind w:left="1381"/>
              <w:spacing w:after="0"/>
              <w:rPr>
                <w:sz w:val="20"/>
                <w:szCs w:val="20"/>
                <w:color w:val="auto"/>
              </w:rPr>
            </w:pPr>
            <w:r>
              <w:rPr>
                <w:rFonts w:ascii="Arial" w:cs="Arial" w:eastAsia="Arial" w:hAnsi="Arial"/>
                <w:sz w:val="10"/>
                <w:szCs w:val="10"/>
                <w:b w:val="1"/>
                <w:bCs w:val="1"/>
                <w:color w:val="auto"/>
                <w:w w:val="96"/>
              </w:rPr>
              <w:t>Country or State</w:t>
            </w:r>
          </w:p>
        </w:tc>
        <w:tc>
          <w:tcPr>
            <w:tcW w:w="1560" w:type="dxa"/>
            <w:vAlign w:val="bottom"/>
          </w:tcPr>
          <w:p>
            <w:pPr>
              <w:jc w:val="right"/>
              <w:spacing w:after="0"/>
              <w:rPr>
                <w:sz w:val="20"/>
                <w:szCs w:val="20"/>
                <w:color w:val="auto"/>
              </w:rPr>
            </w:pPr>
            <w:r>
              <w:rPr>
                <w:rFonts w:ascii="Arial" w:cs="Arial" w:eastAsia="Arial" w:hAnsi="Arial"/>
                <w:sz w:val="10"/>
                <w:szCs w:val="10"/>
                <w:b w:val="1"/>
                <w:bCs w:val="1"/>
                <w:color w:val="auto"/>
              </w:rPr>
              <w:t>Percent</w:t>
            </w:r>
          </w:p>
        </w:tc>
        <w:tc>
          <w:tcPr>
            <w:tcW w:w="0" w:type="dxa"/>
            <w:vAlign w:val="bottom"/>
          </w:tcPr>
          <w:p>
            <w:pPr>
              <w:spacing w:after="0"/>
              <w:rPr>
                <w:sz w:val="1"/>
                <w:szCs w:val="1"/>
                <w:color w:val="auto"/>
              </w:rPr>
            </w:pPr>
          </w:p>
        </w:tc>
      </w:tr>
      <w:tr>
        <w:trPr>
          <w:trHeight w:val="124"/>
        </w:trPr>
        <w:tc>
          <w:tcPr>
            <w:tcW w:w="5280" w:type="dxa"/>
            <w:vAlign w:val="bottom"/>
            <w:tcBorders>
              <w:bottom w:val="single" w:sz="8" w:color="DC202E"/>
            </w:tcBorders>
            <w:vMerge w:val="continue"/>
          </w:tcPr>
          <w:p>
            <w:pPr>
              <w:spacing w:after="0"/>
              <w:rPr>
                <w:sz w:val="10"/>
                <w:szCs w:val="10"/>
                <w:color w:val="auto"/>
              </w:rPr>
            </w:pPr>
          </w:p>
        </w:tc>
        <w:tc>
          <w:tcPr>
            <w:tcW w:w="4440" w:type="dxa"/>
            <w:vAlign w:val="bottom"/>
            <w:tcBorders>
              <w:bottom w:val="single" w:sz="8" w:color="DC202E"/>
            </w:tcBorders>
          </w:tcPr>
          <w:p>
            <w:pPr>
              <w:jc w:val="center"/>
              <w:ind w:left="1381"/>
              <w:spacing w:after="0"/>
              <w:rPr>
                <w:sz w:val="20"/>
                <w:szCs w:val="20"/>
                <w:color w:val="auto"/>
              </w:rPr>
            </w:pPr>
            <w:r>
              <w:rPr>
                <w:rFonts w:ascii="Arial" w:cs="Arial" w:eastAsia="Arial" w:hAnsi="Arial"/>
                <w:sz w:val="10"/>
                <w:szCs w:val="10"/>
                <w:b w:val="1"/>
                <w:bCs w:val="1"/>
                <w:color w:val="auto"/>
                <w:w w:val="93"/>
              </w:rPr>
              <w:t>of Incorporation</w:t>
            </w:r>
          </w:p>
        </w:tc>
        <w:tc>
          <w:tcPr>
            <w:tcW w:w="15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Technology Solutions Lab Private Limited</w:t>
            </w:r>
          </w:p>
        </w:tc>
        <w:tc>
          <w:tcPr>
            <w:tcW w:w="4440" w:type="dxa"/>
            <w:vAlign w:val="bottom"/>
            <w:tcBorders>
              <w:bottom w:val="single" w:sz="8" w:color="888B8D"/>
            </w:tcBorders>
          </w:tcPr>
          <w:p>
            <w:pPr>
              <w:jc w:val="center"/>
              <w:ind w:left="1361"/>
              <w:spacing w:after="0"/>
              <w:rPr>
                <w:sz w:val="20"/>
                <w:szCs w:val="20"/>
                <w:color w:val="auto"/>
              </w:rPr>
            </w:pPr>
            <w:r>
              <w:rPr>
                <w:rFonts w:ascii="Arial" w:cs="Arial" w:eastAsia="Arial" w:hAnsi="Arial"/>
                <w:sz w:val="12"/>
                <w:szCs w:val="12"/>
                <w:color w:val="auto"/>
                <w:w w:val="99"/>
              </w:rPr>
              <w:t>India</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Technology Solutions Qatar</w:t>
            </w:r>
          </w:p>
        </w:tc>
        <w:tc>
          <w:tcPr>
            <w:tcW w:w="4440" w:type="dxa"/>
            <w:vAlign w:val="bottom"/>
            <w:tcBorders>
              <w:bottom w:val="single" w:sz="8" w:color="888B8D"/>
            </w:tcBorders>
          </w:tcPr>
          <w:p>
            <w:pPr>
              <w:jc w:val="center"/>
              <w:ind w:left="1361"/>
              <w:spacing w:after="0"/>
              <w:rPr>
                <w:sz w:val="20"/>
                <w:szCs w:val="20"/>
                <w:color w:val="auto"/>
              </w:rPr>
            </w:pPr>
            <w:r>
              <w:rPr>
                <w:rFonts w:ascii="Arial" w:cs="Arial" w:eastAsia="Arial" w:hAnsi="Arial"/>
                <w:sz w:val="12"/>
                <w:szCs w:val="12"/>
                <w:color w:val="auto"/>
                <w:w w:val="99"/>
              </w:rPr>
              <w:t>Qatar</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Teknoloji Anonim Sirketi</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w w:val="98"/>
              </w:rPr>
              <w:t>Turkey</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Trading (Shanghai) Co., Ltd.</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rPr>
              <w:t>China</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Turki-Arabia Limited</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w w:val="98"/>
              </w:rPr>
              <w:t>Saudi Arabia</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75 %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UK Limited</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w w:val="98"/>
              </w:rPr>
              <w:t>United Kingdom</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Venture Capital LLC</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rPr>
              <w:t>Delaware</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S.A. de C.V.</w:t>
            </w:r>
          </w:p>
        </w:tc>
        <w:tc>
          <w:tcPr>
            <w:tcW w:w="4440" w:type="dxa"/>
            <w:vAlign w:val="bottom"/>
            <w:tcBorders>
              <w:bottom w:val="single" w:sz="8" w:color="888B8D"/>
            </w:tcBorders>
          </w:tcPr>
          <w:p>
            <w:pPr>
              <w:jc w:val="center"/>
              <w:ind w:left="1361"/>
              <w:spacing w:after="0"/>
              <w:rPr>
                <w:sz w:val="20"/>
                <w:szCs w:val="20"/>
                <w:color w:val="auto"/>
              </w:rPr>
            </w:pPr>
            <w:r>
              <w:rPr>
                <w:rFonts w:ascii="Arial" w:cs="Arial" w:eastAsia="Arial" w:hAnsi="Arial"/>
                <w:sz w:val="12"/>
                <w:szCs w:val="12"/>
                <w:color w:val="auto"/>
                <w:w w:val="99"/>
              </w:rPr>
              <w:t>Mexico</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spol. s r.o.</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w w:val="99"/>
              </w:rPr>
              <w:t>Czech Republic</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Intelligrated Headquarters, LLC</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rPr>
              <w:t>Delaware</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Intelligrated Software, LLC</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rPr>
              <w:t>Delaware</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Intelligrated Systems, Inc.</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rPr>
              <w:t>Delaware</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Intelligrated Systems, LLC</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rPr>
              <w:t>Delaware</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Intermec Technologies (S) Pte Ltd</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rPr>
              <w:t>Singapore</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International Turbine Engine Company LLC</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rPr>
              <w:t>Delaware</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51 %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KAC Alarm Company Limited</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w w:val="98"/>
              </w:rPr>
              <w:t>United Kingdom</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King's Shoe Manufacturing Pte Ltd</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rPr>
              <w:t>Singapore</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Life Safety Distribution GmbH</w:t>
            </w:r>
          </w:p>
        </w:tc>
        <w:tc>
          <w:tcPr>
            <w:tcW w:w="4440" w:type="dxa"/>
            <w:vAlign w:val="bottom"/>
            <w:tcBorders>
              <w:bottom w:val="single" w:sz="8" w:color="888B8D"/>
            </w:tcBorders>
          </w:tcPr>
          <w:p>
            <w:pPr>
              <w:jc w:val="center"/>
              <w:ind w:left="1361"/>
              <w:spacing w:after="0"/>
              <w:rPr>
                <w:sz w:val="20"/>
                <w:szCs w:val="20"/>
                <w:color w:val="auto"/>
              </w:rPr>
            </w:pPr>
            <w:r>
              <w:rPr>
                <w:rFonts w:ascii="Arial" w:cs="Arial" w:eastAsia="Arial" w:hAnsi="Arial"/>
                <w:sz w:val="12"/>
                <w:szCs w:val="12"/>
                <w:color w:val="auto"/>
                <w:w w:val="99"/>
              </w:rPr>
              <w:t>Switzerland</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Maxon Corporation</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rPr>
              <w:t>Indiana</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Metro (Suzhou) Technologies Co Ltd</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rPr>
              <w:t>China</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Morning Pride Manufacturing L.L.C.</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rPr>
              <w:t>Delaware</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Notifier Italia S.r.l.</w:t>
            </w:r>
          </w:p>
        </w:tc>
        <w:tc>
          <w:tcPr>
            <w:tcW w:w="4440" w:type="dxa"/>
            <w:vAlign w:val="bottom"/>
            <w:tcBorders>
              <w:bottom w:val="single" w:sz="8" w:color="888B8D"/>
            </w:tcBorders>
          </w:tcPr>
          <w:p>
            <w:pPr>
              <w:jc w:val="center"/>
              <w:ind w:left="1361"/>
              <w:spacing w:after="0"/>
              <w:rPr>
                <w:sz w:val="20"/>
                <w:szCs w:val="20"/>
                <w:color w:val="auto"/>
              </w:rPr>
            </w:pPr>
            <w:r>
              <w:rPr>
                <w:rFonts w:ascii="Arial" w:cs="Arial" w:eastAsia="Arial" w:hAnsi="Arial"/>
                <w:sz w:val="12"/>
                <w:szCs w:val="12"/>
                <w:color w:val="auto"/>
                <w:w w:val="99"/>
              </w:rPr>
              <w:t>Italy</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Novar ED&amp;S Limited</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w w:val="98"/>
              </w:rPr>
              <w:t>United Kingdom</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Novar GmbH</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w w:val="97"/>
              </w:rPr>
              <w:t>Germany</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Novar Systems Limited</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w w:val="98"/>
              </w:rPr>
              <w:t>United Kingdom</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O. &amp; S. Holdings (Vic) Pty Ltd</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rPr>
              <w:t>Australia</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Quantinuum</w:t>
            </w:r>
          </w:p>
        </w:tc>
        <w:tc>
          <w:tcPr>
            <w:tcW w:w="4440" w:type="dxa"/>
            <w:vAlign w:val="bottom"/>
            <w:tcBorders>
              <w:bottom w:val="single" w:sz="8" w:color="888B8D"/>
            </w:tcBorders>
          </w:tcPr>
          <w:p>
            <w:pPr>
              <w:jc w:val="center"/>
              <w:ind w:left="1361"/>
              <w:spacing w:after="0"/>
              <w:rPr>
                <w:sz w:val="20"/>
                <w:szCs w:val="20"/>
                <w:color w:val="auto"/>
              </w:rPr>
            </w:pPr>
            <w:r>
              <w:rPr>
                <w:rFonts w:ascii="Arial" w:cs="Arial" w:eastAsia="Arial" w:hAnsi="Arial"/>
                <w:sz w:val="12"/>
                <w:szCs w:val="12"/>
                <w:color w:val="auto"/>
                <w:w w:val="99"/>
              </w:rPr>
              <w:t>Cayman Islands</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58 %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Quantinuum LLC</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rPr>
              <w:t>Delaware</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58 %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Quantinuum Ltd</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w w:val="98"/>
              </w:rPr>
              <w:t>United Kingdom</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58 %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Rocky Research</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w w:val="96"/>
              </w:rPr>
              <w:t>Nevada</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Salisbury Electrical Safety L.L.C.</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rPr>
              <w:t>Delaware</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Shanghai UOP Ltd.</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rPr>
              <w:t>China</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70 %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Sinopec Honeywell (Tianjin) Limited</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rPr>
              <w:t>China</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55 %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Sparta Systems, Inc.</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rPr>
              <w:t>New Jersey</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Sperian Protection SAS</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w w:val="96"/>
              </w:rPr>
              <w:t>France</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TRANSNORM SYSTEM GmbH</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w w:val="97"/>
              </w:rPr>
              <w:t>Germany</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Transnorm System Inc.</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rPr>
              <w:t>Delaware</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Tridium, Inc.</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rPr>
              <w:t>Delaware</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United Sortation Solutions LLC</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w w:val="97"/>
              </w:rPr>
              <w:t>Maryland</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UOP CH Sàrl</w:t>
            </w:r>
          </w:p>
        </w:tc>
        <w:tc>
          <w:tcPr>
            <w:tcW w:w="4440" w:type="dxa"/>
            <w:vAlign w:val="bottom"/>
            <w:tcBorders>
              <w:bottom w:val="single" w:sz="8" w:color="888B8D"/>
            </w:tcBorders>
          </w:tcPr>
          <w:p>
            <w:pPr>
              <w:jc w:val="center"/>
              <w:ind w:left="1361"/>
              <w:spacing w:after="0"/>
              <w:rPr>
                <w:sz w:val="20"/>
                <w:szCs w:val="20"/>
                <w:color w:val="auto"/>
              </w:rPr>
            </w:pPr>
            <w:r>
              <w:rPr>
                <w:rFonts w:ascii="Arial" w:cs="Arial" w:eastAsia="Arial" w:hAnsi="Arial"/>
                <w:sz w:val="12"/>
                <w:szCs w:val="12"/>
                <w:color w:val="auto"/>
                <w:w w:val="99"/>
              </w:rPr>
              <w:t>Switzerland</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UOP India Pvt. Ltd.</w:t>
            </w:r>
          </w:p>
        </w:tc>
        <w:tc>
          <w:tcPr>
            <w:tcW w:w="4440" w:type="dxa"/>
            <w:vAlign w:val="bottom"/>
            <w:tcBorders>
              <w:bottom w:val="single" w:sz="8" w:color="888B8D"/>
            </w:tcBorders>
          </w:tcPr>
          <w:p>
            <w:pPr>
              <w:jc w:val="center"/>
              <w:ind w:left="1361"/>
              <w:spacing w:after="0"/>
              <w:rPr>
                <w:sz w:val="20"/>
                <w:szCs w:val="20"/>
                <w:color w:val="auto"/>
              </w:rPr>
            </w:pPr>
            <w:r>
              <w:rPr>
                <w:rFonts w:ascii="Arial" w:cs="Arial" w:eastAsia="Arial" w:hAnsi="Arial"/>
                <w:sz w:val="12"/>
                <w:szCs w:val="12"/>
                <w:color w:val="auto"/>
                <w:w w:val="99"/>
              </w:rPr>
              <w:t>India</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UOP Limited</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w w:val="98"/>
              </w:rPr>
              <w:t>United Kingdom</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UOP LLC</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rPr>
              <w:t>Delaware</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UOP Process Technology Co., Ltd.</w:t>
            </w:r>
          </w:p>
        </w:tc>
        <w:tc>
          <w:tcPr>
            <w:tcW w:w="444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rPr>
              <w:t>China</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8"/>
        </w:trPr>
        <w:tc>
          <w:tcPr>
            <w:tcW w:w="5280" w:type="dxa"/>
            <w:vAlign w:val="bottom"/>
          </w:tcPr>
          <w:p>
            <w:pPr>
              <w:ind w:left="20"/>
              <w:spacing w:after="0"/>
              <w:rPr>
                <w:sz w:val="20"/>
                <w:szCs w:val="20"/>
                <w:color w:val="auto"/>
              </w:rPr>
            </w:pPr>
            <w:r>
              <w:rPr>
                <w:rFonts w:ascii="Arial" w:cs="Arial" w:eastAsia="Arial" w:hAnsi="Arial"/>
                <w:sz w:val="12"/>
                <w:szCs w:val="12"/>
                <w:color w:val="auto"/>
              </w:rPr>
              <w:t>UOP Russell LLC</w:t>
            </w:r>
          </w:p>
        </w:tc>
        <w:tc>
          <w:tcPr>
            <w:tcW w:w="4440" w:type="dxa"/>
            <w:vAlign w:val="bottom"/>
          </w:tcPr>
          <w:p>
            <w:pPr>
              <w:jc w:val="center"/>
              <w:ind w:left="1381"/>
              <w:spacing w:after="0"/>
              <w:rPr>
                <w:sz w:val="20"/>
                <w:szCs w:val="20"/>
                <w:color w:val="auto"/>
              </w:rPr>
            </w:pPr>
            <w:r>
              <w:rPr>
                <w:rFonts w:ascii="Arial" w:cs="Arial" w:eastAsia="Arial" w:hAnsi="Arial"/>
                <w:sz w:val="12"/>
                <w:szCs w:val="12"/>
                <w:color w:val="auto"/>
              </w:rPr>
              <w:t>Delaware</w:t>
            </w:r>
          </w:p>
        </w:tc>
        <w:tc>
          <w:tcPr>
            <w:tcW w:w="1560" w:type="dxa"/>
            <w:vAlign w:val="bottom"/>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bl>
    <w:p>
      <w:pPr>
        <w:sectPr>
          <w:pgSz w:w="11900" w:h="16838" w:orient="portrait"/>
          <w:cols w:equalWidth="0" w:num="1">
            <w:col w:w="11280"/>
          </w:cols>
          <w:pgMar w:left="300" w:top="657" w:right="319" w:bottom="1440" w:gutter="0" w:footer="0" w:header="0"/>
        </w:sectPr>
      </w:pPr>
    </w:p>
    <w:bookmarkStart w:id="185" w:name="page186"/>
    <w:bookmarkEnd w:id="1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88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Name</w:t>
            </w:r>
          </w:p>
        </w:tc>
        <w:tc>
          <w:tcPr>
            <w:tcW w:w="4840" w:type="dxa"/>
            <w:vAlign w:val="bottom"/>
          </w:tcPr>
          <w:p>
            <w:pPr>
              <w:jc w:val="center"/>
              <w:ind w:left="1785"/>
              <w:spacing w:after="0"/>
              <w:rPr>
                <w:sz w:val="20"/>
                <w:szCs w:val="20"/>
                <w:color w:val="auto"/>
              </w:rPr>
            </w:pPr>
            <w:r>
              <w:rPr>
                <w:rFonts w:ascii="Arial" w:cs="Arial" w:eastAsia="Arial" w:hAnsi="Arial"/>
                <w:sz w:val="10"/>
                <w:szCs w:val="10"/>
                <w:b w:val="1"/>
                <w:bCs w:val="1"/>
                <w:color w:val="auto"/>
                <w:w w:val="96"/>
              </w:rPr>
              <w:t>Country or State</w:t>
            </w:r>
          </w:p>
        </w:tc>
        <w:tc>
          <w:tcPr>
            <w:tcW w:w="1560" w:type="dxa"/>
            <w:vAlign w:val="bottom"/>
          </w:tcPr>
          <w:p>
            <w:pPr>
              <w:jc w:val="right"/>
              <w:spacing w:after="0"/>
              <w:rPr>
                <w:sz w:val="20"/>
                <w:szCs w:val="20"/>
                <w:color w:val="auto"/>
              </w:rPr>
            </w:pPr>
            <w:r>
              <w:rPr>
                <w:rFonts w:ascii="Arial" w:cs="Arial" w:eastAsia="Arial" w:hAnsi="Arial"/>
                <w:sz w:val="10"/>
                <w:szCs w:val="10"/>
                <w:b w:val="1"/>
                <w:bCs w:val="1"/>
                <w:color w:val="auto"/>
              </w:rPr>
              <w:t>Percent</w:t>
            </w:r>
          </w:p>
        </w:tc>
        <w:tc>
          <w:tcPr>
            <w:tcW w:w="0" w:type="dxa"/>
            <w:vAlign w:val="bottom"/>
          </w:tcPr>
          <w:p>
            <w:pPr>
              <w:spacing w:after="0"/>
              <w:rPr>
                <w:sz w:val="1"/>
                <w:szCs w:val="1"/>
                <w:color w:val="auto"/>
              </w:rPr>
            </w:pPr>
          </w:p>
        </w:tc>
      </w:tr>
      <w:tr>
        <w:trPr>
          <w:trHeight w:val="124"/>
        </w:trPr>
        <w:tc>
          <w:tcPr>
            <w:tcW w:w="4880" w:type="dxa"/>
            <w:vAlign w:val="bottom"/>
            <w:tcBorders>
              <w:bottom w:val="single" w:sz="8" w:color="DC202E"/>
            </w:tcBorders>
            <w:vMerge w:val="continue"/>
          </w:tcPr>
          <w:p>
            <w:pPr>
              <w:spacing w:after="0"/>
              <w:rPr>
                <w:sz w:val="10"/>
                <w:szCs w:val="10"/>
                <w:color w:val="auto"/>
              </w:rPr>
            </w:pPr>
          </w:p>
        </w:tc>
        <w:tc>
          <w:tcPr>
            <w:tcW w:w="4840" w:type="dxa"/>
            <w:vAlign w:val="bottom"/>
            <w:tcBorders>
              <w:bottom w:val="single" w:sz="8" w:color="DC202E"/>
            </w:tcBorders>
          </w:tcPr>
          <w:p>
            <w:pPr>
              <w:jc w:val="center"/>
              <w:ind w:left="1785"/>
              <w:spacing w:after="0"/>
              <w:rPr>
                <w:sz w:val="20"/>
                <w:szCs w:val="20"/>
                <w:color w:val="auto"/>
              </w:rPr>
            </w:pPr>
            <w:r>
              <w:rPr>
                <w:rFonts w:ascii="Arial" w:cs="Arial" w:eastAsia="Arial" w:hAnsi="Arial"/>
                <w:sz w:val="10"/>
                <w:szCs w:val="10"/>
                <w:b w:val="1"/>
                <w:bCs w:val="1"/>
                <w:color w:val="auto"/>
                <w:w w:val="93"/>
              </w:rPr>
              <w:t>of Incorporation</w:t>
            </w:r>
          </w:p>
        </w:tc>
        <w:tc>
          <w:tcPr>
            <w:tcW w:w="15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142"/>
        </w:trPr>
        <w:tc>
          <w:tcPr>
            <w:tcW w:w="48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UOP Services Limited</w:t>
            </w:r>
          </w:p>
        </w:tc>
        <w:tc>
          <w:tcPr>
            <w:tcW w:w="4840" w:type="dxa"/>
            <w:vAlign w:val="bottom"/>
            <w:tcBorders>
              <w:bottom w:val="single" w:sz="8" w:color="888B8D"/>
            </w:tcBorders>
          </w:tcPr>
          <w:p>
            <w:pPr>
              <w:jc w:val="center"/>
              <w:ind w:left="1785"/>
              <w:spacing w:after="0"/>
              <w:rPr>
                <w:sz w:val="20"/>
                <w:szCs w:val="20"/>
                <w:color w:val="auto"/>
              </w:rPr>
            </w:pPr>
            <w:r>
              <w:rPr>
                <w:rFonts w:ascii="Arial" w:cs="Arial" w:eastAsia="Arial" w:hAnsi="Arial"/>
                <w:sz w:val="12"/>
                <w:szCs w:val="12"/>
                <w:color w:val="auto"/>
                <w:w w:val="98"/>
              </w:rPr>
              <w:t>United Kingdom</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488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Vocollect, Inc.</w:t>
            </w:r>
          </w:p>
        </w:tc>
        <w:tc>
          <w:tcPr>
            <w:tcW w:w="4840" w:type="dxa"/>
            <w:vAlign w:val="bottom"/>
            <w:tcBorders>
              <w:bottom w:val="single" w:sz="8" w:color="888B8D"/>
            </w:tcBorders>
          </w:tcPr>
          <w:p>
            <w:pPr>
              <w:jc w:val="center"/>
              <w:ind w:left="1785"/>
              <w:spacing w:after="0"/>
              <w:rPr>
                <w:sz w:val="20"/>
                <w:szCs w:val="20"/>
                <w:color w:val="auto"/>
              </w:rPr>
            </w:pPr>
            <w:r>
              <w:rPr>
                <w:rFonts w:ascii="Arial" w:cs="Arial" w:eastAsia="Arial" w:hAnsi="Arial"/>
                <w:sz w:val="12"/>
                <w:szCs w:val="12"/>
                <w:color w:val="auto"/>
              </w:rPr>
              <w:t>Pennsylvania</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8"/>
        </w:trPr>
        <w:tc>
          <w:tcPr>
            <w:tcW w:w="4880" w:type="dxa"/>
            <w:vAlign w:val="bottom"/>
          </w:tcPr>
          <w:p>
            <w:pPr>
              <w:ind w:left="20"/>
              <w:spacing w:after="0"/>
              <w:rPr>
                <w:sz w:val="20"/>
                <w:szCs w:val="20"/>
                <w:color w:val="auto"/>
              </w:rPr>
            </w:pPr>
            <w:r>
              <w:rPr>
                <w:rFonts w:ascii="Arial" w:cs="Arial" w:eastAsia="Arial" w:hAnsi="Arial"/>
                <w:sz w:val="12"/>
                <w:szCs w:val="12"/>
                <w:color w:val="auto"/>
              </w:rPr>
              <w:t>Xi'an System Sensor Electronics Ltd.</w:t>
            </w:r>
          </w:p>
        </w:tc>
        <w:tc>
          <w:tcPr>
            <w:tcW w:w="4840" w:type="dxa"/>
            <w:vAlign w:val="bottom"/>
          </w:tcPr>
          <w:p>
            <w:pPr>
              <w:jc w:val="center"/>
              <w:ind w:left="1785"/>
              <w:spacing w:after="0"/>
              <w:rPr>
                <w:sz w:val="20"/>
                <w:szCs w:val="20"/>
                <w:color w:val="auto"/>
              </w:rPr>
            </w:pPr>
            <w:r>
              <w:rPr>
                <w:rFonts w:ascii="Arial" w:cs="Arial" w:eastAsia="Arial" w:hAnsi="Arial"/>
                <w:sz w:val="12"/>
                <w:szCs w:val="12"/>
                <w:color w:val="auto"/>
              </w:rPr>
              <w:t>China</w:t>
            </w:r>
          </w:p>
        </w:tc>
        <w:tc>
          <w:tcPr>
            <w:tcW w:w="1560" w:type="dxa"/>
            <w:vAlign w:val="bottom"/>
          </w:tcPr>
          <w:p>
            <w:pPr>
              <w:jc w:val="right"/>
              <w:spacing w:after="0"/>
              <w:rPr>
                <w:sz w:val="20"/>
                <w:szCs w:val="20"/>
                <w:color w:val="auto"/>
              </w:rPr>
            </w:pPr>
            <w:r>
              <w:rPr>
                <w:rFonts w:ascii="Arial" w:cs="Arial" w:eastAsia="Arial" w:hAnsi="Arial"/>
                <w:sz w:val="12"/>
                <w:szCs w:val="12"/>
                <w:color w:val="auto"/>
              </w:rPr>
              <w:t>60 %</w:t>
            </w:r>
          </w:p>
        </w:tc>
        <w:tc>
          <w:tcPr>
            <w:tcW w:w="0" w:type="dxa"/>
            <w:vAlign w:val="bottom"/>
          </w:tcPr>
          <w:p>
            <w:pPr>
              <w:spacing w:after="0"/>
              <w:rPr>
                <w:sz w:val="1"/>
                <w:szCs w:val="1"/>
                <w:color w:val="auto"/>
              </w:rPr>
            </w:pPr>
          </w:p>
        </w:tc>
      </w:tr>
    </w:tbl>
    <w:p>
      <w:pPr>
        <w:sectPr>
          <w:pgSz w:w="11900" w:h="16838" w:orient="portrait"/>
          <w:cols w:equalWidth="0" w:num="1">
            <w:col w:w="11280"/>
          </w:cols>
          <w:pgMar w:left="300" w:top="909" w:right="31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3"/>
          <w:szCs w:val="13"/>
          <w:b w:val="1"/>
          <w:bCs w:val="1"/>
          <w:color w:val="auto"/>
        </w:rPr>
        <w:t>EXHIBIT 23.1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CONSENT OF INDEPENDENT REGISTERED PUBLIC ACCOUNTING FIRM</w:t>
      </w:r>
    </w:p>
    <w:p>
      <w:pPr>
        <w:spacing w:after="0" w:line="15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3"/>
          <w:szCs w:val="13"/>
          <w:color w:val="auto"/>
        </w:rPr>
        <w:t>We consent to the incorporation by reference in Registration Statement Nos. 033-55425, 333-22355, 333-101455 and 333-260437 on Form S-3 and Registration Statement Nos. 033-58347, 333-49280, 333-136083, 333-136086, 333-146932, 333-148995, 333-175260, 333-195331, 333-210889, 333-210899 and 333-228733 on Form S-8 of our report dated February 16, 2024, relating to the consolidated financial statements of Honeywell International Inc. and subsidiaries and the effectiveness of the Honeywell International Inc. and subsidiaries’ internal control over financial reporting, appearing in this Annual Report on Form 10-K of Honeywell International Inc. for the year ended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Deloitte &amp; Touche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Charlotte, North Carolina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February 16, 2024</w:t>
      </w:r>
    </w:p>
    <w:p>
      <w:pPr>
        <w:sectPr>
          <w:pgSz w:w="11900" w:h="16838" w:orient="portrait"/>
          <w:cols w:equalWidth="0" w:num="1">
            <w:col w:w="11300"/>
          </w:cols>
          <w:pgMar w:left="300" w:top="636" w:right="29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4"/>
          <w:szCs w:val="14"/>
          <w:color w:val="auto"/>
        </w:rPr>
        <w:t>EXHIBIT 24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POWER OF ATTORNEY</w:t>
      </w:r>
    </w:p>
    <w:p>
      <w:pPr>
        <w:spacing w:after="0" w:line="312" w:lineRule="exact"/>
        <w:rPr>
          <w:sz w:val="20"/>
          <w:szCs w:val="20"/>
          <w:color w:val="auto"/>
        </w:rPr>
      </w:pPr>
    </w:p>
    <w:p>
      <w:pPr>
        <w:ind w:right="180" w:firstLine="133"/>
        <w:spacing w:after="0" w:line="270" w:lineRule="auto"/>
        <w:rPr>
          <w:sz w:val="20"/>
          <w:szCs w:val="20"/>
          <w:color w:val="auto"/>
        </w:rPr>
      </w:pPr>
      <w:r>
        <w:rPr>
          <w:rFonts w:ascii="Arial" w:cs="Arial" w:eastAsia="Arial" w:hAnsi="Arial"/>
          <w:sz w:val="12"/>
          <w:szCs w:val="12"/>
          <w:color w:val="auto"/>
        </w:rPr>
        <w:t>Each of the undersigned, as a director of Honeywell International Inc. (the “Company”), a Delaware corporation, hereby appoints Vimal Kapur, Gregory P. Lewis, Anne T. Madden, and Robert D. Mailloux, each with power to act without the other and with power of substitution and resubstitution, as my attorney-in-fact and agent for me and in my name, place and stead in any and all capacities,</w:t>
      </w:r>
    </w:p>
    <w:p>
      <w:pPr>
        <w:spacing w:after="0" w:line="122" w:lineRule="exact"/>
        <w:rPr>
          <w:sz w:val="20"/>
          <w:szCs w:val="20"/>
          <w:color w:val="auto"/>
        </w:rPr>
      </w:pPr>
    </w:p>
    <w:p>
      <w:pPr>
        <w:ind w:left="660" w:hanging="236"/>
        <w:spacing w:after="0"/>
        <w:tabs>
          <w:tab w:leader="none" w:pos="660" w:val="left"/>
        </w:tabs>
        <w:numPr>
          <w:ilvl w:val="0"/>
          <w:numId w:val="234"/>
        </w:numPr>
        <w:rPr>
          <w:rFonts w:ascii="Arial" w:cs="Arial" w:eastAsia="Arial" w:hAnsi="Arial"/>
          <w:sz w:val="12"/>
          <w:szCs w:val="12"/>
          <w:color w:val="auto"/>
        </w:rPr>
      </w:pPr>
      <w:r>
        <w:rPr>
          <w:rFonts w:ascii="Arial" w:cs="Arial" w:eastAsia="Arial" w:hAnsi="Arial"/>
          <w:sz w:val="12"/>
          <w:szCs w:val="12"/>
          <w:color w:val="auto"/>
        </w:rPr>
        <w:t>to sign the Company’s Annual Report on Form 10-K under the Securities Exchange Act of 1934 for the year ended December 31, 2023,</w:t>
      </w:r>
    </w:p>
    <w:p>
      <w:pPr>
        <w:spacing w:after="0" w:line="150" w:lineRule="exact"/>
        <w:rPr>
          <w:rFonts w:ascii="Arial" w:cs="Arial" w:eastAsia="Arial" w:hAnsi="Arial"/>
          <w:sz w:val="12"/>
          <w:szCs w:val="12"/>
          <w:color w:val="auto"/>
        </w:rPr>
      </w:pPr>
    </w:p>
    <w:p>
      <w:pPr>
        <w:ind w:left="700" w:hanging="276"/>
        <w:spacing w:after="0"/>
        <w:tabs>
          <w:tab w:leader="none" w:pos="700" w:val="left"/>
        </w:tabs>
        <w:numPr>
          <w:ilvl w:val="0"/>
          <w:numId w:val="234"/>
        </w:numPr>
        <w:rPr>
          <w:rFonts w:ascii="Arial" w:cs="Arial" w:eastAsia="Arial" w:hAnsi="Arial"/>
          <w:sz w:val="12"/>
          <w:szCs w:val="12"/>
          <w:color w:val="auto"/>
        </w:rPr>
      </w:pPr>
      <w:r>
        <w:rPr>
          <w:rFonts w:ascii="Arial" w:cs="Arial" w:eastAsia="Arial" w:hAnsi="Arial"/>
          <w:sz w:val="12"/>
          <w:szCs w:val="12"/>
          <w:color w:val="auto"/>
        </w:rPr>
        <w:t>to sign any amendment to the Annual Report referred to in (i) above, or to any previously filed Annual Report on Form 10-K for any prior fiscal year, and</w:t>
      </w:r>
    </w:p>
    <w:p>
      <w:pPr>
        <w:spacing w:after="0" w:line="159" w:lineRule="exact"/>
        <w:rPr>
          <w:rFonts w:ascii="Arial" w:cs="Arial" w:eastAsia="Arial" w:hAnsi="Arial"/>
          <w:sz w:val="12"/>
          <w:szCs w:val="12"/>
          <w:color w:val="auto"/>
        </w:rPr>
      </w:pPr>
    </w:p>
    <w:p>
      <w:pPr>
        <w:ind w:left="720" w:hanging="296"/>
        <w:spacing w:after="0"/>
        <w:tabs>
          <w:tab w:leader="none" w:pos="720" w:val="left"/>
        </w:tabs>
        <w:numPr>
          <w:ilvl w:val="0"/>
          <w:numId w:val="234"/>
        </w:numPr>
        <w:rPr>
          <w:rFonts w:ascii="Arial" w:cs="Arial" w:eastAsia="Arial" w:hAnsi="Arial"/>
          <w:sz w:val="12"/>
          <w:szCs w:val="12"/>
          <w:color w:val="auto"/>
        </w:rPr>
      </w:pPr>
      <w:r>
        <w:rPr>
          <w:rFonts w:ascii="Arial" w:cs="Arial" w:eastAsia="Arial" w:hAnsi="Arial"/>
          <w:sz w:val="12"/>
          <w:szCs w:val="12"/>
          <w:color w:val="auto"/>
        </w:rPr>
        <w:t>to file the documents described in (i) and (ii) above and all exhibits thereto and any and all other documents in connection therewith,</w:t>
      </w:r>
    </w:p>
    <w:p>
      <w:pPr>
        <w:spacing w:after="0" w:line="159" w:lineRule="exact"/>
        <w:rPr>
          <w:sz w:val="20"/>
          <w:szCs w:val="20"/>
          <w:color w:val="auto"/>
        </w:rPr>
      </w:pPr>
    </w:p>
    <w:p>
      <w:pPr>
        <w:ind w:right="20"/>
        <w:spacing w:after="0" w:line="252" w:lineRule="auto"/>
        <w:rPr>
          <w:sz w:val="20"/>
          <w:szCs w:val="20"/>
          <w:color w:val="auto"/>
        </w:rPr>
      </w:pPr>
      <w:r>
        <w:rPr>
          <w:rFonts w:ascii="Arial" w:cs="Arial" w:eastAsia="Arial" w:hAnsi="Arial"/>
          <w:sz w:val="12"/>
          <w:szCs w:val="12"/>
          <w:color w:val="auto"/>
        </w:rPr>
        <w:t>granting unto each said attorney-in-fact and agent full power and authority to do and perform every act and thing requisite, necessary or desirable to be done in connection therewith, as fully to all intents and purposes as I might or could do in person, hereby ratifying and confirming all that said attorneys-in-fact and agents, or any of them, or their or his or her substitutes or substitute, may lawfully do or cause to be done by virtue hereof.</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This Power of Attorney may be signed in any number of counterparts, each of which shall be an original, with the same effect as if the signatures thereto and hereto were upon the same instrument.</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December 1, 2023</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/s/ Kevin Burke</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Kevin Burke</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/s/ D. Scott Davis</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D. Scott David</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/s/ William Ayer</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William Ayer</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/s/ Grace Lieblein</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Grade Lieblein</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/s/ Robin Washington</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Robin Washington</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/s/ Rose Lee</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Rose Lee</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/s/ Duncan Angove</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Duncan Angove</w:t>
      </w:r>
    </w:p>
    <w:p>
      <w:pPr>
        <w:spacing w:after="0" w:line="309" w:lineRule="exact"/>
        <w:rPr>
          <w:sz w:val="20"/>
          <w:szCs w:val="20"/>
          <w:color w:val="auto"/>
        </w:rPr>
      </w:pPr>
    </w:p>
    <w:p>
      <w:pPr>
        <w:spacing w:after="0"/>
        <w:rPr>
          <w:sz w:val="20"/>
          <w:szCs w:val="20"/>
          <w:color w:val="auto"/>
        </w:rPr>
      </w:pPr>
      <w:r>
        <w:rPr>
          <w:rFonts w:ascii="Arial" w:cs="Arial" w:eastAsia="Arial" w:hAnsi="Arial"/>
          <w:sz w:val="12"/>
          <w:szCs w:val="12"/>
          <w:color w:val="auto"/>
        </w:rPr>
        <w:t>/s/ Robin Watson</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Robin Watson</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/s/ Deborah Flint</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Deborah Flint</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/s/ Mike Lamach</w:t>
      </w:r>
    </w:p>
    <w:p>
      <w:pPr>
        <w:spacing w:after="0"/>
        <w:rPr>
          <w:sz w:val="20"/>
          <w:szCs w:val="20"/>
          <w:color w:val="auto"/>
        </w:rPr>
      </w:pPr>
      <w:r>
        <w:rPr>
          <w:rFonts w:ascii="Arial" w:cs="Arial" w:eastAsia="Arial" w:hAnsi="Arial"/>
          <w:sz w:val="12"/>
          <w:szCs w:val="12"/>
          <w:color w:val="auto"/>
        </w:rPr>
        <w:t>Mike Lamach</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/s/ Darius Adamczyk</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Darius Adamczyk</w:t>
      </w:r>
    </w:p>
    <w:p>
      <w:pPr>
        <w:sectPr>
          <w:pgSz w:w="11900" w:h="16838" w:orient="portrait"/>
          <w:cols w:equalWidth="0" w:num="1">
            <w:col w:w="11300"/>
          </w:cols>
          <w:pgMar w:left="300" w:top="679" w:right="299" w:bottom="1440" w:gutter="0" w:footer="0" w:header="0"/>
        </w:sectPr>
      </w:pPr>
    </w:p>
    <w:bookmarkStart w:id="188" w:name="page189"/>
    <w:bookmarkEnd w:id="188"/>
    <w:p>
      <w:pPr>
        <w:jc w:val="center"/>
        <w:ind w:right="-99"/>
        <w:spacing w:after="0"/>
        <w:rPr>
          <w:sz w:val="20"/>
          <w:szCs w:val="20"/>
          <w:color w:val="auto"/>
        </w:rPr>
      </w:pPr>
      <w:r>
        <w:rPr>
          <w:rFonts w:ascii="Arial" w:cs="Arial" w:eastAsia="Arial" w:hAnsi="Arial"/>
          <w:sz w:val="12"/>
          <w:szCs w:val="12"/>
          <w:b w:val="1"/>
          <w:bCs w:val="1"/>
          <w:u w:val="single" w:color="auto"/>
          <w:color w:val="auto"/>
        </w:rPr>
        <w:t>POWER OF ATTORNEY</w:t>
      </w:r>
    </w:p>
    <w:p>
      <w:pPr>
        <w:spacing w:after="0" w:line="321" w:lineRule="exact"/>
        <w:rPr>
          <w:sz w:val="20"/>
          <w:szCs w:val="20"/>
          <w:color w:val="auto"/>
        </w:rPr>
      </w:pPr>
    </w:p>
    <w:p>
      <w:pPr>
        <w:ind w:firstLine="133"/>
        <w:spacing w:after="0" w:line="267" w:lineRule="auto"/>
        <w:rPr>
          <w:sz w:val="20"/>
          <w:szCs w:val="20"/>
          <w:color w:val="auto"/>
        </w:rPr>
      </w:pPr>
      <w:r>
        <w:rPr>
          <w:rFonts w:ascii="Arial" w:cs="Arial" w:eastAsia="Arial" w:hAnsi="Arial"/>
          <w:sz w:val="11"/>
          <w:szCs w:val="11"/>
          <w:color w:val="auto"/>
        </w:rPr>
        <w:t>Each of the undersigned, as a director of Honeywell International Inc. (the “Company”), a Delaware corporation, hereby appoints Vimal Kapur, Gregory P. Lewis, Anne T. Madden, and Robert D. Mailloux, each with power to act without the other and with power of substitution and resubstitution, as my attorney-in-fact to sign on my behalf in my capacity as a director of the Company one or more registration statements on</w:t>
      </w:r>
    </w:p>
    <w:p>
      <w:pPr>
        <w:spacing w:after="0" w:line="1" w:lineRule="exact"/>
        <w:rPr>
          <w:sz w:val="20"/>
          <w:szCs w:val="20"/>
          <w:color w:val="auto"/>
        </w:rPr>
      </w:pPr>
    </w:p>
    <w:p>
      <w:pPr>
        <w:ind w:right="20"/>
        <w:spacing w:after="0" w:line="131" w:lineRule="exact"/>
        <w:rPr>
          <w:sz w:val="20"/>
          <w:szCs w:val="20"/>
          <w:color w:val="auto"/>
        </w:rPr>
      </w:pPr>
      <w:r>
        <w:rPr>
          <w:rFonts w:ascii="Arial" w:cs="Arial" w:eastAsia="Arial" w:hAnsi="Arial"/>
          <w:sz w:val="11"/>
          <w:szCs w:val="11"/>
          <w:color w:val="auto"/>
        </w:rPr>
        <w:t>Form S-8 or any other appropriate form during fiscal year 2024 and to file the same together with all exhibits thereto, under the Securities Act of 1933, including any amendment or supplement thereto or to any registration statement heretofore filed by the Company on Form S</w:t>
      </w:r>
      <w:r>
        <w:rPr>
          <w:rFonts w:ascii="MS PGothic" w:cs="MS PGothic" w:eastAsia="MS PGothic" w:hAnsi="MS PGothic"/>
          <w:sz w:val="11"/>
          <w:szCs w:val="11"/>
          <w:color w:val="auto"/>
        </w:rPr>
        <w:t>‑</w:t>
      </w:r>
      <w:r>
        <w:rPr>
          <w:rFonts w:ascii="Arial" w:cs="Arial" w:eastAsia="Arial" w:hAnsi="Arial"/>
          <w:sz w:val="11"/>
          <w:szCs w:val="11"/>
          <w:color w:val="auto"/>
        </w:rPr>
        <w:t>8 or any other appropriate form for the registration of shares of the Company's Common Stock (or participations where appropriate) to be offered</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2"/>
          <w:szCs w:val="12"/>
          <w:color w:val="auto"/>
        </w:rPr>
        <w:t>pursuant to the Honeywell Savings and Ownership Plan, the Honeywell Puerto Rico Savings and Ownership Plan, the Honeywell Supplemental Savings Plan, the 2006 Stock Plan for Non-Employee Directors of Honeywell International Inc., the 2007 Honeywell Global Employee Stock Plan (including any and all sub-plans), the 2011 Stock Incentive Plan of Honeywell International Inc. and its Affiliates, the 2016 Stock Plan for Non-Employee Directors of Honeywell International Inc., and the 2016 Stock Incentive Plan of Honeywell International Inc. and its Affiliates and any plan which is a successor to such plans or is a validly authorized new plan pursuant to which securities of the Company are issued to employees or non-employee directors.</w:t>
      </w:r>
    </w:p>
    <w:p>
      <w:pPr>
        <w:spacing w:after="0" w:line="140" w:lineRule="exact"/>
        <w:rPr>
          <w:sz w:val="20"/>
          <w:szCs w:val="20"/>
          <w:color w:val="auto"/>
        </w:rPr>
      </w:pPr>
    </w:p>
    <w:p>
      <w:pPr>
        <w:ind w:right="140"/>
        <w:spacing w:after="0" w:line="270" w:lineRule="auto"/>
        <w:rPr>
          <w:sz w:val="20"/>
          <w:szCs w:val="20"/>
          <w:color w:val="auto"/>
        </w:rPr>
      </w:pPr>
      <w:r>
        <w:rPr>
          <w:rFonts w:ascii="Arial" w:cs="Arial" w:eastAsia="Arial" w:hAnsi="Arial"/>
          <w:sz w:val="12"/>
          <w:szCs w:val="12"/>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95" w:lineRule="exact"/>
        <w:rPr>
          <w:sz w:val="20"/>
          <w:szCs w:val="20"/>
          <w:color w:val="auto"/>
        </w:rPr>
      </w:pPr>
    </w:p>
    <w:p>
      <w:pPr>
        <w:spacing w:after="0" w:line="138" w:lineRule="exact"/>
        <w:rPr>
          <w:sz w:val="20"/>
          <w:szCs w:val="20"/>
          <w:color w:val="auto"/>
        </w:rPr>
      </w:pPr>
      <w:r>
        <w:rPr>
          <w:rFonts w:ascii="Arial" w:cs="Arial" w:eastAsia="Arial" w:hAnsi="Arial"/>
          <w:sz w:val="12"/>
          <w:szCs w:val="12"/>
          <w:color w:val="auto"/>
        </w:rPr>
        <w:t>I hereby revoke any or all prior appointments of attorneys</w:t>
      </w:r>
      <w:r>
        <w:rPr>
          <w:rFonts w:ascii="MS PGothic" w:cs="MS PGothic" w:eastAsia="MS PGothic" w:hAnsi="MS PGothic"/>
          <w:sz w:val="12"/>
          <w:szCs w:val="12"/>
          <w:color w:val="auto"/>
        </w:rPr>
        <w:t>‑</w:t>
      </w:r>
      <w:r>
        <w:rPr>
          <w:rFonts w:ascii="Arial" w:cs="Arial" w:eastAsia="Arial" w:hAnsi="Arial"/>
          <w:sz w:val="12"/>
          <w:szCs w:val="12"/>
          <w:color w:val="auto"/>
        </w:rPr>
        <w:t>in</w:t>
      </w:r>
      <w:r>
        <w:rPr>
          <w:rFonts w:ascii="MS PGothic" w:cs="MS PGothic" w:eastAsia="MS PGothic" w:hAnsi="MS PGothic"/>
          <w:sz w:val="12"/>
          <w:szCs w:val="12"/>
          <w:color w:val="auto"/>
        </w:rPr>
        <w:t>‑</w:t>
      </w:r>
      <w:r>
        <w:rPr>
          <w:rFonts w:ascii="Arial" w:cs="Arial" w:eastAsia="Arial" w:hAnsi="Arial"/>
          <w:sz w:val="12"/>
          <w:szCs w:val="12"/>
          <w:color w:val="auto"/>
        </w:rPr>
        <w:t>fact to sign the above-described documents.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This Power of Attorney may be signed in any number of counterparts, each of which shall be an original, with the same effect as if the signatures thereto and hereto were upon the same instrument.</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December 1, 2023</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/s/ Kevin Burke</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Kevin Burke</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/s/ D. Scott Davis</w:t>
      </w:r>
    </w:p>
    <w:p>
      <w:pPr>
        <w:spacing w:after="0"/>
        <w:rPr>
          <w:sz w:val="20"/>
          <w:szCs w:val="20"/>
          <w:color w:val="auto"/>
        </w:rPr>
      </w:pPr>
      <w:r>
        <w:rPr>
          <w:rFonts w:ascii="Arial" w:cs="Arial" w:eastAsia="Arial" w:hAnsi="Arial"/>
          <w:sz w:val="12"/>
          <w:szCs w:val="12"/>
          <w:color w:val="auto"/>
        </w:rPr>
        <w:t>D. Scott David</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/s/ William Ayer</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William Ayer</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/s/ Grace Lieblein</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Grade Lieblein</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/s/ Robin Washington</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Robin Washington</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/s/ Rose Lee</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Rose Lee</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/s/ Duncan Angove</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Duncan Angove</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/s/ Robin Watson</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Robin Watson</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/s/ Deborah Flint</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Deborah Flint</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/s/ Mike Lamach</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Mike Lamach</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/s/ Darius Adamczyk</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Darius Adamczyk</w:t>
      </w:r>
    </w:p>
    <w:p>
      <w:pPr>
        <w:sectPr>
          <w:pgSz w:w="11900" w:h="16838" w:orient="portrait"/>
          <w:cols w:equalWidth="0" w:num="1">
            <w:col w:w="11200"/>
          </w:cols>
          <w:pgMar w:left="300" w:top="694" w:right="399" w:bottom="1440" w:gutter="0" w:footer="0" w:header="0"/>
        </w:sectPr>
      </w:pPr>
    </w:p>
    <w:bookmarkStart w:id="189" w:name="page190"/>
    <w:bookmarkEnd w:id="189"/>
    <w:p>
      <w:pPr>
        <w:jc w:val="center"/>
        <w:ind w:right="-99"/>
        <w:spacing w:after="0"/>
        <w:rPr>
          <w:sz w:val="20"/>
          <w:szCs w:val="20"/>
          <w:color w:val="auto"/>
        </w:rPr>
      </w:pPr>
      <w:r>
        <w:rPr>
          <w:rFonts w:ascii="Arial" w:cs="Arial" w:eastAsia="Arial" w:hAnsi="Arial"/>
          <w:sz w:val="12"/>
          <w:szCs w:val="12"/>
          <w:b w:val="1"/>
          <w:bCs w:val="1"/>
          <w:u w:val="single" w:color="auto"/>
          <w:color w:val="auto"/>
        </w:rPr>
        <w:t>POWER OF ATTORNEY</w:t>
      </w:r>
    </w:p>
    <w:p>
      <w:pPr>
        <w:spacing w:after="0" w:line="312" w:lineRule="exact"/>
        <w:rPr>
          <w:sz w:val="20"/>
          <w:szCs w:val="20"/>
          <w:color w:val="auto"/>
        </w:rPr>
      </w:pPr>
    </w:p>
    <w:p>
      <w:pPr>
        <w:ind w:right="40" w:firstLine="432"/>
        <w:spacing w:after="0" w:line="267" w:lineRule="auto"/>
        <w:rPr>
          <w:sz w:val="20"/>
          <w:szCs w:val="20"/>
          <w:color w:val="auto"/>
        </w:rPr>
      </w:pPr>
      <w:r>
        <w:rPr>
          <w:rFonts w:ascii="Arial" w:cs="Arial" w:eastAsia="Arial" w:hAnsi="Arial"/>
          <w:sz w:val="11"/>
          <w:szCs w:val="11"/>
          <w:color w:val="auto"/>
        </w:rPr>
        <w:t>Each of the undersigned, as a director of Honeywell International Inc. (the “Company”), a Delaware corporation, hereby appoints Vimal Kapur, Gregory P. Lewis, Anne T. Madden, and Robert D. Mailloux, each with power to act without the other and with power of substitution and resubstitution, as my attorney-in-fact to sign on my behalf in my capacity as a director of the Company one or more registration</w:t>
      </w:r>
    </w:p>
    <w:p>
      <w:pPr>
        <w:spacing w:after="0" w:line="1" w:lineRule="exact"/>
        <w:rPr>
          <w:sz w:val="20"/>
          <w:szCs w:val="20"/>
          <w:color w:val="auto"/>
        </w:rPr>
      </w:pPr>
    </w:p>
    <w:p>
      <w:pPr>
        <w:ind w:right="540"/>
        <w:spacing w:after="0" w:line="237" w:lineRule="auto"/>
        <w:rPr>
          <w:sz w:val="20"/>
          <w:szCs w:val="20"/>
          <w:color w:val="auto"/>
        </w:rPr>
      </w:pPr>
      <w:r>
        <w:rPr>
          <w:rFonts w:ascii="Arial" w:cs="Arial" w:eastAsia="Arial" w:hAnsi="Arial"/>
          <w:sz w:val="12"/>
          <w:szCs w:val="12"/>
          <w:color w:val="auto"/>
        </w:rPr>
        <w:t>statements on Form S-3 or S-4 or any other appropriate form during fiscal year 2024, and to file the same together with all exhibits thereto, under the Securities Act of 1933, including any amendment or supplement thereto or to any registration statement heretofore filed by the Company for the registration of sales or resales of:</w:t>
      </w:r>
    </w:p>
    <w:p>
      <w:pPr>
        <w:spacing w:after="0" w:line="138" w:lineRule="exact"/>
        <w:rPr>
          <w:sz w:val="20"/>
          <w:szCs w:val="20"/>
          <w:color w:val="auto"/>
        </w:rPr>
      </w:pPr>
    </w:p>
    <w:p>
      <w:pPr>
        <w:ind w:firstLine="320"/>
        <w:spacing w:after="0" w:line="270" w:lineRule="auto"/>
        <w:tabs>
          <w:tab w:leader="none" w:pos="468" w:val="left"/>
        </w:tabs>
        <w:numPr>
          <w:ilvl w:val="0"/>
          <w:numId w:val="235"/>
        </w:numPr>
        <w:rPr>
          <w:rFonts w:ascii="Arial" w:cs="Arial" w:eastAsia="Arial" w:hAnsi="Arial"/>
          <w:sz w:val="12"/>
          <w:szCs w:val="12"/>
          <w:color w:val="auto"/>
        </w:rPr>
      </w:pPr>
      <w:r>
        <w:rPr>
          <w:rFonts w:ascii="Arial" w:cs="Arial" w:eastAsia="Arial" w:hAnsi="Arial"/>
          <w:sz w:val="12"/>
          <w:szCs w:val="12"/>
          <w:color w:val="auto"/>
        </w:rPr>
        <w:t>shares of the Company’s common stock, par value, $1.00 per share, including shares of common stock to be offered under the Dividend Reinvestment and Share Purchase Plan of the Company and any successor or new plan for such purposes;</w:t>
      </w:r>
    </w:p>
    <w:p>
      <w:pPr>
        <w:spacing w:after="0" w:line="121" w:lineRule="exact"/>
        <w:rPr>
          <w:rFonts w:ascii="Arial" w:cs="Arial" w:eastAsia="Arial" w:hAnsi="Arial"/>
          <w:sz w:val="12"/>
          <w:szCs w:val="12"/>
          <w:color w:val="auto"/>
        </w:rPr>
      </w:pPr>
    </w:p>
    <w:p>
      <w:pPr>
        <w:ind w:left="480" w:hanging="160"/>
        <w:spacing w:after="0"/>
        <w:tabs>
          <w:tab w:leader="none" w:pos="480" w:val="left"/>
        </w:tabs>
        <w:numPr>
          <w:ilvl w:val="0"/>
          <w:numId w:val="235"/>
        </w:numPr>
        <w:rPr>
          <w:rFonts w:ascii="Arial" w:cs="Arial" w:eastAsia="Arial" w:hAnsi="Arial"/>
          <w:sz w:val="12"/>
          <w:szCs w:val="12"/>
          <w:color w:val="auto"/>
        </w:rPr>
      </w:pPr>
      <w:r>
        <w:rPr>
          <w:rFonts w:ascii="Arial" w:cs="Arial" w:eastAsia="Arial" w:hAnsi="Arial"/>
          <w:sz w:val="12"/>
          <w:szCs w:val="12"/>
          <w:color w:val="auto"/>
        </w:rPr>
        <w:t>shares of the Company’s preferred stock, without par value;</w:t>
      </w:r>
    </w:p>
    <w:p>
      <w:pPr>
        <w:spacing w:after="0" w:line="159" w:lineRule="exact"/>
        <w:rPr>
          <w:rFonts w:ascii="Arial" w:cs="Arial" w:eastAsia="Arial" w:hAnsi="Arial"/>
          <w:sz w:val="12"/>
          <w:szCs w:val="12"/>
          <w:color w:val="auto"/>
        </w:rPr>
      </w:pPr>
    </w:p>
    <w:p>
      <w:pPr>
        <w:ind w:left="520" w:hanging="200"/>
        <w:spacing w:after="0"/>
        <w:tabs>
          <w:tab w:leader="none" w:pos="520" w:val="left"/>
        </w:tabs>
        <w:numPr>
          <w:ilvl w:val="0"/>
          <w:numId w:val="235"/>
        </w:numPr>
        <w:rPr>
          <w:rFonts w:ascii="Arial" w:cs="Arial" w:eastAsia="Arial" w:hAnsi="Arial"/>
          <w:sz w:val="12"/>
          <w:szCs w:val="12"/>
          <w:color w:val="auto"/>
        </w:rPr>
      </w:pPr>
      <w:r>
        <w:rPr>
          <w:rFonts w:ascii="Arial" w:cs="Arial" w:eastAsia="Arial" w:hAnsi="Arial"/>
          <w:sz w:val="12"/>
          <w:szCs w:val="12"/>
          <w:color w:val="auto"/>
        </w:rPr>
        <w:t>debt securities of the Company, with such terms as may be from time to time specified in such registration statement or any amendment, post-effective amendment or supplement thereto; and</w:t>
      </w:r>
    </w:p>
    <w:p>
      <w:pPr>
        <w:spacing w:after="0" w:line="159" w:lineRule="exact"/>
        <w:rPr>
          <w:rFonts w:ascii="Arial" w:cs="Arial" w:eastAsia="Arial" w:hAnsi="Arial"/>
          <w:sz w:val="12"/>
          <w:szCs w:val="12"/>
          <w:color w:val="auto"/>
        </w:rPr>
      </w:pPr>
    </w:p>
    <w:p>
      <w:pPr>
        <w:ind w:right="40" w:firstLine="320"/>
        <w:spacing w:after="0" w:line="270" w:lineRule="auto"/>
        <w:tabs>
          <w:tab w:leader="none" w:pos="528" w:val="left"/>
        </w:tabs>
        <w:numPr>
          <w:ilvl w:val="0"/>
          <w:numId w:val="235"/>
        </w:numPr>
        <w:rPr>
          <w:rFonts w:ascii="Arial" w:cs="Arial" w:eastAsia="Arial" w:hAnsi="Arial"/>
          <w:sz w:val="12"/>
          <w:szCs w:val="12"/>
          <w:color w:val="auto"/>
        </w:rPr>
      </w:pPr>
      <w:r>
        <w:rPr>
          <w:rFonts w:ascii="Arial" w:cs="Arial" w:eastAsia="Arial" w:hAnsi="Arial"/>
          <w:sz w:val="12"/>
          <w:szCs w:val="12"/>
          <w:color w:val="auto"/>
        </w:rPr>
        <w:t>such other securities of the Company, its subsidiaries, joint ventures or affiliates or any other person or entity, as may be specified in any such registration statement, amendment or supplement thereto, all in accordance with the Securities Act of 1933 and the rules and regulations thereunder.</w:t>
      </w:r>
    </w:p>
    <w:p>
      <w:pPr>
        <w:spacing w:after="0" w:line="122" w:lineRule="exact"/>
        <w:rPr>
          <w:sz w:val="20"/>
          <w:szCs w:val="20"/>
          <w:color w:val="auto"/>
        </w:rPr>
      </w:pPr>
    </w:p>
    <w:p>
      <w:pPr>
        <w:ind w:right="420" w:firstLine="432"/>
        <w:spacing w:after="0" w:line="270" w:lineRule="auto"/>
        <w:rPr>
          <w:sz w:val="20"/>
          <w:szCs w:val="20"/>
          <w:color w:val="auto"/>
        </w:rPr>
      </w:pPr>
      <w:r>
        <w:rPr>
          <w:rFonts w:ascii="Arial" w:cs="Arial" w:eastAsia="Arial" w:hAnsi="Arial"/>
          <w:sz w:val="12"/>
          <w:szCs w:val="12"/>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 hereby revoke any or all prior appointments of attorneys-in-fact to the extent that they confer authority to sign the above-described documents.</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This Power of Attorney may be signed in any number of counterparts, each of which shall be an original, with the same effect as if the signatures thereto and hereto were upon the same instrument.</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December 1, 2023</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/s/ Kevin Burke</w:t>
      </w:r>
    </w:p>
    <w:p>
      <w:pPr>
        <w:spacing w:after="0"/>
        <w:rPr>
          <w:sz w:val="20"/>
          <w:szCs w:val="20"/>
          <w:color w:val="auto"/>
        </w:rPr>
      </w:pPr>
      <w:r>
        <w:rPr>
          <w:rFonts w:ascii="Arial" w:cs="Arial" w:eastAsia="Arial" w:hAnsi="Arial"/>
          <w:sz w:val="12"/>
          <w:szCs w:val="12"/>
          <w:color w:val="auto"/>
        </w:rPr>
        <w:t>Kevin Burke</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/s/ D. Scott Davis</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D. Scott David</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/s/ William Ayer</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William Ayer</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/s/ Grace Lieblein</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Grade Lieblein</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/s/ Robin Washington</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Robin Washington</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/s/ Rose Lee</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Rose Lee</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/s/ Duncan Angove</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Duncan Angove</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/s/ Robin Watson</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Robin Watson</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/s/ Deborah Flint</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Deborah Flint</w:t>
      </w:r>
    </w:p>
    <w:p>
      <w:pPr>
        <w:sectPr>
          <w:pgSz w:w="11900" w:h="16838" w:orient="portrait"/>
          <w:cols w:equalWidth="0" w:num="1">
            <w:col w:w="11180"/>
          </w:cols>
          <w:pgMar w:left="300" w:top="685" w:right="419" w:bottom="1440" w:gutter="0" w:footer="0" w:header="0"/>
        </w:sectPr>
      </w:pPr>
    </w:p>
    <w:bookmarkStart w:id="190" w:name="page191"/>
    <w:bookmarkEnd w:id="190"/>
    <w:p>
      <w:pPr>
        <w:spacing w:after="0"/>
        <w:rPr>
          <w:sz w:val="20"/>
          <w:szCs w:val="20"/>
          <w:color w:val="auto"/>
        </w:rPr>
      </w:pPr>
      <w:r>
        <w:rPr>
          <w:rFonts w:ascii="Arial" w:cs="Arial" w:eastAsia="Arial" w:hAnsi="Arial"/>
          <w:sz w:val="12"/>
          <w:szCs w:val="12"/>
          <w:color w:val="auto"/>
        </w:rPr>
        <w:t>/s/ Mike Lamach</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Mike Lamach</w:t>
      </w:r>
    </w:p>
    <w:p>
      <w:pPr>
        <w:spacing w:after="0" w:line="147" w:lineRule="exact"/>
        <w:rPr>
          <w:sz w:val="20"/>
          <w:szCs w:val="20"/>
          <w:color w:val="auto"/>
        </w:rPr>
      </w:pPr>
    </w:p>
    <w:p>
      <w:pPr>
        <w:spacing w:after="0"/>
        <w:rPr>
          <w:sz w:val="20"/>
          <w:szCs w:val="20"/>
          <w:color w:val="auto"/>
        </w:rPr>
      </w:pPr>
      <w:r>
        <w:rPr>
          <w:rFonts w:ascii="Arial" w:cs="Arial" w:eastAsia="Arial" w:hAnsi="Arial"/>
          <w:sz w:val="11"/>
          <w:szCs w:val="11"/>
          <w:color w:val="auto"/>
        </w:rPr>
        <w:t>/s/ Darius Adamczyk</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Darius Adamczyk</w:t>
      </w:r>
    </w:p>
    <w:p>
      <w:pPr>
        <w:sectPr>
          <w:pgSz w:w="11900" w:h="16838" w:orient="portrait"/>
          <w:cols w:equalWidth="0" w:num="1">
            <w:col w:w="10159"/>
          </w:cols>
          <w:pgMar w:left="300" w:top="694" w:right="1440" w:bottom="1440" w:gutter="0" w:footer="0" w:header="0"/>
        </w:sectPr>
      </w:pPr>
    </w:p>
    <w:bookmarkStart w:id="191" w:name="page192"/>
    <w:bookmarkEnd w:id="191"/>
    <w:p>
      <w:pPr>
        <w:jc w:val="center"/>
        <w:spacing w:after="0"/>
        <w:rPr>
          <w:sz w:val="20"/>
          <w:szCs w:val="20"/>
          <w:color w:val="auto"/>
        </w:rPr>
      </w:pPr>
      <w:r>
        <w:rPr>
          <w:rFonts w:ascii="Arial" w:cs="Arial" w:eastAsia="Arial" w:hAnsi="Arial"/>
          <w:sz w:val="12"/>
          <w:szCs w:val="12"/>
          <w:b w:val="1"/>
          <w:bCs w:val="1"/>
          <w:u w:val="single" w:color="auto"/>
          <w:color w:val="auto"/>
        </w:rPr>
        <w:t>POWER OF ATTORNEY</w:t>
      </w:r>
    </w:p>
    <w:p>
      <w:pPr>
        <w:spacing w:after="0" w:line="321" w:lineRule="exact"/>
        <w:rPr>
          <w:sz w:val="20"/>
          <w:szCs w:val="20"/>
          <w:color w:val="auto"/>
        </w:rPr>
      </w:pPr>
    </w:p>
    <w:p>
      <w:pPr>
        <w:ind w:right="120" w:firstLine="133"/>
        <w:spacing w:after="0" w:line="270" w:lineRule="auto"/>
        <w:rPr>
          <w:sz w:val="20"/>
          <w:szCs w:val="20"/>
          <w:color w:val="auto"/>
        </w:rPr>
      </w:pPr>
      <w:r>
        <w:rPr>
          <w:rFonts w:ascii="Arial" w:cs="Arial" w:eastAsia="Arial" w:hAnsi="Arial"/>
          <w:sz w:val="12"/>
          <w:szCs w:val="12"/>
          <w:color w:val="auto"/>
        </w:rPr>
        <w:t>I, Vimal Kapur, a director and the principal executive officer of Honeywell International Inc. (the “Company”), a Delaware corporation, hereby appoint Gregory P. Lewis, Anne T. Madden, and Robert D. Mailloux, each with power to act without the other and with power of substitution and resubstitution, as my attorney-in-fact and agent for me and in my name, place and stead in any and all capacities,</w:t>
      </w:r>
    </w:p>
    <w:p>
      <w:pPr>
        <w:spacing w:after="0" w:line="122" w:lineRule="exact"/>
        <w:rPr>
          <w:sz w:val="20"/>
          <w:szCs w:val="20"/>
          <w:color w:val="auto"/>
        </w:rPr>
      </w:pPr>
    </w:p>
    <w:p>
      <w:pPr>
        <w:ind w:left="560" w:hanging="240"/>
        <w:spacing w:after="0"/>
        <w:tabs>
          <w:tab w:leader="none" w:pos="560" w:val="left"/>
        </w:tabs>
        <w:numPr>
          <w:ilvl w:val="0"/>
          <w:numId w:val="236"/>
        </w:numPr>
        <w:rPr>
          <w:rFonts w:ascii="Arial" w:cs="Arial" w:eastAsia="Arial" w:hAnsi="Arial"/>
          <w:sz w:val="12"/>
          <w:szCs w:val="12"/>
          <w:color w:val="auto"/>
        </w:rPr>
      </w:pPr>
      <w:r>
        <w:rPr>
          <w:rFonts w:ascii="Arial" w:cs="Arial" w:eastAsia="Arial" w:hAnsi="Arial"/>
          <w:sz w:val="12"/>
          <w:szCs w:val="12"/>
          <w:color w:val="auto"/>
        </w:rPr>
        <w:t>to sign the Company’s Annual Report on Form 10-K under the Securities Exchange Act of 1934 for the year ended December 31, 2023,</w:t>
      </w:r>
    </w:p>
    <w:p>
      <w:pPr>
        <w:spacing w:after="0" w:line="159" w:lineRule="exact"/>
        <w:rPr>
          <w:rFonts w:ascii="Arial" w:cs="Arial" w:eastAsia="Arial" w:hAnsi="Arial"/>
          <w:sz w:val="12"/>
          <w:szCs w:val="12"/>
          <w:color w:val="auto"/>
        </w:rPr>
      </w:pPr>
    </w:p>
    <w:p>
      <w:pPr>
        <w:ind w:left="580" w:hanging="260"/>
        <w:spacing w:after="0"/>
        <w:tabs>
          <w:tab w:leader="none" w:pos="580" w:val="left"/>
        </w:tabs>
        <w:numPr>
          <w:ilvl w:val="0"/>
          <w:numId w:val="236"/>
        </w:numPr>
        <w:rPr>
          <w:rFonts w:ascii="Arial" w:cs="Arial" w:eastAsia="Arial" w:hAnsi="Arial"/>
          <w:sz w:val="12"/>
          <w:szCs w:val="12"/>
          <w:color w:val="auto"/>
        </w:rPr>
      </w:pPr>
      <w:r>
        <w:rPr>
          <w:rFonts w:ascii="Arial" w:cs="Arial" w:eastAsia="Arial" w:hAnsi="Arial"/>
          <w:sz w:val="12"/>
          <w:szCs w:val="12"/>
          <w:color w:val="auto"/>
        </w:rPr>
        <w:t>to sign any amendment to the Annual Report referred to in (i) above or to any previously filed Annual Report on Form 10-K for any prior fiscal year, and</w:t>
      </w:r>
    </w:p>
    <w:p>
      <w:pPr>
        <w:spacing w:after="0" w:line="159" w:lineRule="exact"/>
        <w:rPr>
          <w:rFonts w:ascii="Arial" w:cs="Arial" w:eastAsia="Arial" w:hAnsi="Arial"/>
          <w:sz w:val="12"/>
          <w:szCs w:val="12"/>
          <w:color w:val="auto"/>
        </w:rPr>
      </w:pPr>
    </w:p>
    <w:p>
      <w:pPr>
        <w:ind w:left="620" w:hanging="300"/>
        <w:spacing w:after="0"/>
        <w:tabs>
          <w:tab w:leader="none" w:pos="620" w:val="left"/>
        </w:tabs>
        <w:numPr>
          <w:ilvl w:val="0"/>
          <w:numId w:val="236"/>
        </w:numPr>
        <w:rPr>
          <w:rFonts w:ascii="Arial" w:cs="Arial" w:eastAsia="Arial" w:hAnsi="Arial"/>
          <w:sz w:val="12"/>
          <w:szCs w:val="12"/>
          <w:color w:val="auto"/>
        </w:rPr>
      </w:pPr>
      <w:r>
        <w:rPr>
          <w:rFonts w:ascii="Arial" w:cs="Arial" w:eastAsia="Arial" w:hAnsi="Arial"/>
          <w:sz w:val="12"/>
          <w:szCs w:val="12"/>
          <w:color w:val="auto"/>
        </w:rPr>
        <w:t>to file the documents described in (i) and (ii) above and all exhibits thereto and any and all other documents in connection therewith,</w:t>
      </w:r>
    </w:p>
    <w:p>
      <w:pPr>
        <w:spacing w:after="0" w:line="159" w:lineRule="exact"/>
        <w:rPr>
          <w:sz w:val="20"/>
          <w:szCs w:val="20"/>
          <w:color w:val="auto"/>
        </w:rPr>
      </w:pPr>
    </w:p>
    <w:p>
      <w:pPr>
        <w:spacing w:after="0" w:line="252" w:lineRule="auto"/>
        <w:rPr>
          <w:sz w:val="20"/>
          <w:szCs w:val="20"/>
          <w:color w:val="auto"/>
        </w:rPr>
      </w:pPr>
      <w:r>
        <w:rPr>
          <w:rFonts w:ascii="Arial" w:cs="Arial" w:eastAsia="Arial" w:hAnsi="Arial"/>
          <w:sz w:val="12"/>
          <w:szCs w:val="12"/>
          <w:color w:val="auto"/>
        </w:rPr>
        <w:t>granting unto each said attorney-in-fact and agent full power and authority to do and perform every act and thing requisite, necessary or desirable to be done in connection therewith, as fully to all intents and purposes as I might or could do in person, hereby ratifying and confirming all that said attorneys-in-fact and agents, or any of them, or their or his or her substitutes or substitute, may lawfully do or cause to be done by virtue hereof.</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/s/ Vimal Kapur</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Vimal Kapur</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December 1, 2023</w:t>
      </w:r>
    </w:p>
    <w:p>
      <w:pPr>
        <w:sectPr>
          <w:pgSz w:w="11900" w:h="16838" w:orient="portrait"/>
          <w:cols w:equalWidth="0" w:num="1">
            <w:col w:w="11280"/>
          </w:cols>
          <w:pgMar w:left="300" w:top="856" w:right="319" w:bottom="1440" w:gutter="0" w:footer="0" w:header="0"/>
        </w:sectPr>
      </w:pPr>
    </w:p>
    <w:bookmarkStart w:id="192" w:name="page193"/>
    <w:bookmarkEnd w:id="192"/>
    <w:p>
      <w:pPr>
        <w:jc w:val="center"/>
        <w:ind w:right="-19"/>
        <w:spacing w:after="0"/>
        <w:rPr>
          <w:sz w:val="20"/>
          <w:szCs w:val="20"/>
          <w:color w:val="auto"/>
        </w:rPr>
      </w:pPr>
      <w:r>
        <w:rPr>
          <w:rFonts w:ascii="Arial" w:cs="Arial" w:eastAsia="Arial" w:hAnsi="Arial"/>
          <w:sz w:val="12"/>
          <w:szCs w:val="12"/>
          <w:b w:val="1"/>
          <w:bCs w:val="1"/>
          <w:u w:val="single" w:color="auto"/>
          <w:color w:val="auto"/>
        </w:rPr>
        <w:t>POWER OF ATTORNEY</w:t>
      </w:r>
    </w:p>
    <w:p>
      <w:pPr>
        <w:spacing w:after="0" w:line="312" w:lineRule="exact"/>
        <w:rPr>
          <w:sz w:val="20"/>
          <w:szCs w:val="20"/>
          <w:color w:val="auto"/>
        </w:rPr>
      </w:pPr>
    </w:p>
    <w:p>
      <w:pPr>
        <w:ind w:firstLine="133"/>
        <w:spacing w:after="0" w:line="267" w:lineRule="auto"/>
        <w:rPr>
          <w:sz w:val="20"/>
          <w:szCs w:val="20"/>
          <w:color w:val="auto"/>
        </w:rPr>
      </w:pPr>
      <w:r>
        <w:rPr>
          <w:rFonts w:ascii="Arial" w:cs="Arial" w:eastAsia="Arial" w:hAnsi="Arial"/>
          <w:sz w:val="11"/>
          <w:szCs w:val="11"/>
          <w:color w:val="auto"/>
        </w:rPr>
        <w:t>I, Vimal Kapur, a director and the principal executive officer of Honeywell International Inc. (the “Company”), a Delaware corporation, hereby appoint Gregory P. Lewis, Anne T. Madden, and Robert D. Mailloux, each with power to act without the other and with power of substitution and resubstitution, as my attorney-in-fact to sign on my behalf in my capacity as a director or as the principal executive officer of the Company</w:t>
      </w:r>
    </w:p>
    <w:p>
      <w:pPr>
        <w:spacing w:after="0" w:line="1" w:lineRule="exact"/>
        <w:rPr>
          <w:sz w:val="20"/>
          <w:szCs w:val="20"/>
          <w:color w:val="auto"/>
        </w:rPr>
      </w:pPr>
    </w:p>
    <w:p>
      <w:pPr>
        <w:ind w:right="220"/>
        <w:spacing w:after="0" w:line="131" w:lineRule="exact"/>
        <w:rPr>
          <w:sz w:val="20"/>
          <w:szCs w:val="20"/>
          <w:color w:val="auto"/>
        </w:rPr>
      </w:pPr>
      <w:r>
        <w:rPr>
          <w:rFonts w:ascii="Arial" w:cs="Arial" w:eastAsia="Arial" w:hAnsi="Arial"/>
          <w:sz w:val="11"/>
          <w:szCs w:val="11"/>
          <w:color w:val="auto"/>
        </w:rPr>
        <w:t>one or more registration statements on Form S-8 or any other appropriate form during fiscal year 2024, and to file the same together with all exhibits thereto, under the Securities Act of 1933, including any amendment or supplement thereto or to any registration statement heretofore filed by the Company on Form S</w:t>
      </w:r>
      <w:r>
        <w:rPr>
          <w:rFonts w:ascii="MS PGothic" w:cs="MS PGothic" w:eastAsia="MS PGothic" w:hAnsi="MS PGothic"/>
          <w:sz w:val="11"/>
          <w:szCs w:val="11"/>
          <w:color w:val="auto"/>
        </w:rPr>
        <w:t>‑</w:t>
      </w:r>
      <w:r>
        <w:rPr>
          <w:rFonts w:ascii="Arial" w:cs="Arial" w:eastAsia="Arial" w:hAnsi="Arial"/>
          <w:sz w:val="11"/>
          <w:szCs w:val="11"/>
          <w:color w:val="auto"/>
        </w:rPr>
        <w:t>8 or any other appropriate form for the registration of shares of the Company's Common Stock (or</w:t>
      </w:r>
    </w:p>
    <w:p>
      <w:pPr>
        <w:spacing w:after="0" w:line="1" w:lineRule="exact"/>
        <w:rPr>
          <w:sz w:val="20"/>
          <w:szCs w:val="20"/>
          <w:color w:val="auto"/>
        </w:rPr>
      </w:pPr>
    </w:p>
    <w:p>
      <w:pPr>
        <w:ind w:right="120"/>
        <w:spacing w:after="0" w:line="239" w:lineRule="auto"/>
        <w:rPr>
          <w:sz w:val="20"/>
          <w:szCs w:val="20"/>
          <w:color w:val="auto"/>
        </w:rPr>
      </w:pPr>
      <w:r>
        <w:rPr>
          <w:rFonts w:ascii="Arial" w:cs="Arial" w:eastAsia="Arial" w:hAnsi="Arial"/>
          <w:sz w:val="12"/>
          <w:szCs w:val="12"/>
          <w:color w:val="auto"/>
        </w:rPr>
        <w:t>participations where appropriate) to be offered pursuant to the Honeywell Savings and Ownership Plan, the Honeywell Puerto Rico Savings and Ownership Plan, the Honeywell Supplemental Savings Plan, the 2006 Stock Plan for Non-Employee Directors of Honeywell International Inc., the 2007 Honeywell Global Employee Stock Plan (including any and all sub-plans), the 2011 Stock Incentive Plan of Honeywell International Inc. and its Affiliates, the 2016 Stock Plan for Non-Employee Directors of Honeywell International Inc., and the 2016 Stock Incentive Plan of Honeywell International Inc. and its Affiliates and any plan which is a successor to such plans or is a validly authorized new plan pursuant to which securities of the Company are issued to employees or non-employee directors.</w:t>
      </w:r>
    </w:p>
    <w:p>
      <w:pPr>
        <w:spacing w:after="0" w:line="140" w:lineRule="exact"/>
        <w:rPr>
          <w:sz w:val="20"/>
          <w:szCs w:val="20"/>
          <w:color w:val="auto"/>
        </w:rPr>
      </w:pPr>
    </w:p>
    <w:p>
      <w:pPr>
        <w:ind w:right="220"/>
        <w:spacing w:after="0" w:line="270" w:lineRule="auto"/>
        <w:rPr>
          <w:sz w:val="20"/>
          <w:szCs w:val="20"/>
          <w:color w:val="auto"/>
        </w:rPr>
      </w:pPr>
      <w:r>
        <w:rPr>
          <w:rFonts w:ascii="Arial" w:cs="Arial" w:eastAsia="Arial" w:hAnsi="Arial"/>
          <w:sz w:val="12"/>
          <w:szCs w:val="12"/>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95" w:lineRule="exact"/>
        <w:rPr>
          <w:sz w:val="20"/>
          <w:szCs w:val="20"/>
          <w:color w:val="auto"/>
        </w:rPr>
      </w:pPr>
    </w:p>
    <w:p>
      <w:pPr>
        <w:spacing w:after="0" w:line="138" w:lineRule="exact"/>
        <w:rPr>
          <w:sz w:val="20"/>
          <w:szCs w:val="20"/>
          <w:color w:val="auto"/>
        </w:rPr>
      </w:pPr>
      <w:r>
        <w:rPr>
          <w:rFonts w:ascii="Arial" w:cs="Arial" w:eastAsia="Arial" w:hAnsi="Arial"/>
          <w:sz w:val="12"/>
          <w:szCs w:val="12"/>
          <w:color w:val="auto"/>
        </w:rPr>
        <w:t>I hereby revoke any or all prior appointments of attorneys</w:t>
      </w:r>
      <w:r>
        <w:rPr>
          <w:rFonts w:ascii="MS PGothic" w:cs="MS PGothic" w:eastAsia="MS PGothic" w:hAnsi="MS PGothic"/>
          <w:sz w:val="12"/>
          <w:szCs w:val="12"/>
          <w:color w:val="auto"/>
        </w:rPr>
        <w:t>‑</w:t>
      </w:r>
      <w:r>
        <w:rPr>
          <w:rFonts w:ascii="Arial" w:cs="Arial" w:eastAsia="Arial" w:hAnsi="Arial"/>
          <w:sz w:val="12"/>
          <w:szCs w:val="12"/>
          <w:color w:val="auto"/>
        </w:rPr>
        <w:t>in</w:t>
      </w:r>
      <w:r>
        <w:rPr>
          <w:rFonts w:ascii="MS PGothic" w:cs="MS PGothic" w:eastAsia="MS PGothic" w:hAnsi="MS PGothic"/>
          <w:sz w:val="12"/>
          <w:szCs w:val="12"/>
          <w:color w:val="auto"/>
        </w:rPr>
        <w:t>‑</w:t>
      </w:r>
      <w:r>
        <w:rPr>
          <w:rFonts w:ascii="Arial" w:cs="Arial" w:eastAsia="Arial" w:hAnsi="Arial"/>
          <w:sz w:val="12"/>
          <w:szCs w:val="12"/>
          <w:color w:val="auto"/>
        </w:rPr>
        <w:t>fact to sign the above-described documents.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/s/ Vimal Kapur</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Vimal Kapur</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December 1, 2023</w:t>
      </w:r>
    </w:p>
    <w:p>
      <w:pPr>
        <w:sectPr>
          <w:pgSz w:w="11900" w:h="16838" w:orient="portrait"/>
          <w:cols w:equalWidth="0" w:num="1">
            <w:col w:w="11280"/>
          </w:cols>
          <w:pgMar w:left="300" w:top="685" w:right="319" w:bottom="1440" w:gutter="0" w:footer="0" w:header="0"/>
        </w:sectPr>
      </w:pPr>
    </w:p>
    <w:bookmarkStart w:id="193" w:name="page194"/>
    <w:bookmarkEnd w:id="193"/>
    <w:p>
      <w:pPr>
        <w:jc w:val="center"/>
        <w:ind w:right="-59"/>
        <w:spacing w:after="0"/>
        <w:rPr>
          <w:sz w:val="20"/>
          <w:szCs w:val="20"/>
          <w:color w:val="auto"/>
        </w:rPr>
      </w:pPr>
      <w:r>
        <w:rPr>
          <w:rFonts w:ascii="Arial" w:cs="Arial" w:eastAsia="Arial" w:hAnsi="Arial"/>
          <w:sz w:val="12"/>
          <w:szCs w:val="12"/>
          <w:b w:val="1"/>
          <w:bCs w:val="1"/>
          <w:u w:val="single" w:color="auto"/>
          <w:color w:val="auto"/>
        </w:rPr>
        <w:t>POWER OF ATTORNEY</w:t>
      </w:r>
    </w:p>
    <w:p>
      <w:pPr>
        <w:spacing w:after="0" w:line="312" w:lineRule="exact"/>
        <w:rPr>
          <w:sz w:val="20"/>
          <w:szCs w:val="20"/>
          <w:color w:val="auto"/>
        </w:rPr>
      </w:pPr>
    </w:p>
    <w:p>
      <w:pPr>
        <w:ind w:firstLine="432"/>
        <w:spacing w:after="0" w:line="267" w:lineRule="auto"/>
        <w:rPr>
          <w:sz w:val="20"/>
          <w:szCs w:val="20"/>
          <w:color w:val="auto"/>
        </w:rPr>
      </w:pPr>
      <w:r>
        <w:rPr>
          <w:rFonts w:ascii="Arial" w:cs="Arial" w:eastAsia="Arial" w:hAnsi="Arial"/>
          <w:sz w:val="11"/>
          <w:szCs w:val="11"/>
          <w:color w:val="auto"/>
        </w:rPr>
        <w:t>I, Vimal Kapur, a director and the principal executive officer of Honeywell International Inc. (the “Company”), a Delaware corporation, hereby appoint Gregory P. Lewis, Anne T. Madden, and Robert D. Mailloux, each with power to act without the other and with power of substitution and resubstitution, as my attorney-in-fact to sign on my behalf in my capacity as a director or as the principal executive officer of the</w:t>
      </w:r>
    </w:p>
    <w:p>
      <w:pPr>
        <w:spacing w:after="0" w:line="1" w:lineRule="exact"/>
        <w:rPr>
          <w:sz w:val="20"/>
          <w:szCs w:val="20"/>
          <w:color w:val="auto"/>
        </w:rPr>
      </w:pPr>
    </w:p>
    <w:p>
      <w:pPr>
        <w:ind w:right="280"/>
        <w:spacing w:after="0" w:line="237" w:lineRule="auto"/>
        <w:rPr>
          <w:sz w:val="20"/>
          <w:szCs w:val="20"/>
          <w:color w:val="auto"/>
        </w:rPr>
      </w:pPr>
      <w:r>
        <w:rPr>
          <w:rFonts w:ascii="Arial" w:cs="Arial" w:eastAsia="Arial" w:hAnsi="Arial"/>
          <w:sz w:val="12"/>
          <w:szCs w:val="12"/>
          <w:color w:val="auto"/>
        </w:rPr>
        <w:t>Company one or more registration statements on Form S-3 or S-4 or any other appropriate form during fiscal year 2024, and to file the same together with all exhibits thereto, under the Securities Act of 1933, including any amendment or supplement thereto or to any registration statement heretofore filed by the Company for the registration of sales or resales of:</w:t>
      </w:r>
    </w:p>
    <w:p>
      <w:pPr>
        <w:spacing w:after="0" w:line="138" w:lineRule="exact"/>
        <w:rPr>
          <w:sz w:val="20"/>
          <w:szCs w:val="20"/>
          <w:color w:val="auto"/>
        </w:rPr>
      </w:pPr>
    </w:p>
    <w:p>
      <w:pPr>
        <w:ind w:right="60" w:firstLine="320"/>
        <w:spacing w:after="0" w:line="270" w:lineRule="auto"/>
        <w:tabs>
          <w:tab w:leader="none" w:pos="468" w:val="left"/>
        </w:tabs>
        <w:numPr>
          <w:ilvl w:val="0"/>
          <w:numId w:val="237"/>
        </w:numPr>
        <w:rPr>
          <w:rFonts w:ascii="Arial" w:cs="Arial" w:eastAsia="Arial" w:hAnsi="Arial"/>
          <w:sz w:val="12"/>
          <w:szCs w:val="12"/>
          <w:color w:val="auto"/>
        </w:rPr>
      </w:pPr>
      <w:r>
        <w:rPr>
          <w:rFonts w:ascii="Arial" w:cs="Arial" w:eastAsia="Arial" w:hAnsi="Arial"/>
          <w:sz w:val="12"/>
          <w:szCs w:val="12"/>
          <w:color w:val="auto"/>
        </w:rPr>
        <w:t>shares of the Company’s common stock, par value, $1.00 per share, including shares of common stock to be offered under the Dividend Reinvestment and Share Purchase Plan of the Company and any successor or new plan for such purposes;</w:t>
      </w:r>
    </w:p>
    <w:p>
      <w:pPr>
        <w:spacing w:after="0" w:line="121" w:lineRule="exact"/>
        <w:rPr>
          <w:rFonts w:ascii="Arial" w:cs="Arial" w:eastAsia="Arial" w:hAnsi="Arial"/>
          <w:sz w:val="12"/>
          <w:szCs w:val="12"/>
          <w:color w:val="auto"/>
        </w:rPr>
      </w:pPr>
    </w:p>
    <w:p>
      <w:pPr>
        <w:ind w:left="480" w:hanging="160"/>
        <w:spacing w:after="0"/>
        <w:tabs>
          <w:tab w:leader="none" w:pos="480" w:val="left"/>
        </w:tabs>
        <w:numPr>
          <w:ilvl w:val="0"/>
          <w:numId w:val="237"/>
        </w:numPr>
        <w:rPr>
          <w:rFonts w:ascii="Arial" w:cs="Arial" w:eastAsia="Arial" w:hAnsi="Arial"/>
          <w:sz w:val="12"/>
          <w:szCs w:val="12"/>
          <w:color w:val="auto"/>
        </w:rPr>
      </w:pPr>
      <w:r>
        <w:rPr>
          <w:rFonts w:ascii="Arial" w:cs="Arial" w:eastAsia="Arial" w:hAnsi="Arial"/>
          <w:sz w:val="12"/>
          <w:szCs w:val="12"/>
          <w:color w:val="auto"/>
        </w:rPr>
        <w:t>shares of the Company’s preferred stock, without par value;</w:t>
      </w:r>
    </w:p>
    <w:p>
      <w:pPr>
        <w:spacing w:after="0" w:line="159" w:lineRule="exact"/>
        <w:rPr>
          <w:rFonts w:ascii="Arial" w:cs="Arial" w:eastAsia="Arial" w:hAnsi="Arial"/>
          <w:sz w:val="12"/>
          <w:szCs w:val="12"/>
          <w:color w:val="auto"/>
        </w:rPr>
      </w:pPr>
    </w:p>
    <w:p>
      <w:pPr>
        <w:ind w:left="520" w:hanging="200"/>
        <w:spacing w:after="0"/>
        <w:tabs>
          <w:tab w:leader="none" w:pos="520" w:val="left"/>
        </w:tabs>
        <w:numPr>
          <w:ilvl w:val="0"/>
          <w:numId w:val="237"/>
        </w:numPr>
        <w:rPr>
          <w:rFonts w:ascii="Arial" w:cs="Arial" w:eastAsia="Arial" w:hAnsi="Arial"/>
          <w:sz w:val="12"/>
          <w:szCs w:val="12"/>
          <w:color w:val="auto"/>
        </w:rPr>
      </w:pPr>
      <w:r>
        <w:rPr>
          <w:rFonts w:ascii="Arial" w:cs="Arial" w:eastAsia="Arial" w:hAnsi="Arial"/>
          <w:sz w:val="12"/>
          <w:szCs w:val="12"/>
          <w:color w:val="auto"/>
        </w:rPr>
        <w:t>debt securities of the Company, with such terms as may be from time to time specified in such registration statement or any amendment, post-effective amendment or supplement thereto; and</w:t>
      </w:r>
    </w:p>
    <w:p>
      <w:pPr>
        <w:spacing w:after="0" w:line="159" w:lineRule="exact"/>
        <w:rPr>
          <w:rFonts w:ascii="Arial" w:cs="Arial" w:eastAsia="Arial" w:hAnsi="Arial"/>
          <w:sz w:val="12"/>
          <w:szCs w:val="12"/>
          <w:color w:val="auto"/>
        </w:rPr>
      </w:pPr>
    </w:p>
    <w:p>
      <w:pPr>
        <w:ind w:right="100" w:firstLine="320"/>
        <w:spacing w:after="0" w:line="270" w:lineRule="auto"/>
        <w:tabs>
          <w:tab w:leader="none" w:pos="528" w:val="left"/>
        </w:tabs>
        <w:numPr>
          <w:ilvl w:val="0"/>
          <w:numId w:val="237"/>
        </w:numPr>
        <w:rPr>
          <w:rFonts w:ascii="Arial" w:cs="Arial" w:eastAsia="Arial" w:hAnsi="Arial"/>
          <w:sz w:val="12"/>
          <w:szCs w:val="12"/>
          <w:color w:val="auto"/>
        </w:rPr>
      </w:pPr>
      <w:r>
        <w:rPr>
          <w:rFonts w:ascii="Arial" w:cs="Arial" w:eastAsia="Arial" w:hAnsi="Arial"/>
          <w:sz w:val="12"/>
          <w:szCs w:val="12"/>
          <w:color w:val="auto"/>
        </w:rPr>
        <w:t>such other securities of the Company, its subsidiaries, joint ventures or affiliates or any other person or entity, as may be specified in any such registration statement, amendment or supplement thereto, all in accordance with the Securities Act of 1933 and the rules and regulations thereunder.</w:t>
      </w:r>
    </w:p>
    <w:p>
      <w:pPr>
        <w:spacing w:after="0" w:line="122" w:lineRule="exact"/>
        <w:rPr>
          <w:sz w:val="20"/>
          <w:szCs w:val="20"/>
          <w:color w:val="auto"/>
        </w:rPr>
      </w:pPr>
    </w:p>
    <w:p>
      <w:pPr>
        <w:ind w:right="480" w:firstLine="432"/>
        <w:spacing w:after="0" w:line="270" w:lineRule="auto"/>
        <w:rPr>
          <w:sz w:val="20"/>
          <w:szCs w:val="20"/>
          <w:color w:val="auto"/>
        </w:rPr>
      </w:pPr>
      <w:r>
        <w:rPr>
          <w:rFonts w:ascii="Arial" w:cs="Arial" w:eastAsia="Arial" w:hAnsi="Arial"/>
          <w:sz w:val="12"/>
          <w:szCs w:val="12"/>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 hereby revoke any or all prior appointments of attorneys-in-fact to the extent that they confer authority to sign the above-described documents.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auto"/>
        </w:rPr>
        <w:t>/s/ Vimal Kapur</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Vimal Kapur</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December 1, 2023</w:t>
      </w:r>
    </w:p>
    <w:p>
      <w:pPr>
        <w:sectPr>
          <w:pgSz w:w="11900" w:h="16838" w:orient="portrait"/>
          <w:cols w:equalWidth="0" w:num="1">
            <w:col w:w="11240"/>
          </w:cols>
          <w:pgMar w:left="300" w:top="685" w:right="359" w:bottom="1440" w:gutter="0" w:footer="0" w:header="0"/>
        </w:sectPr>
      </w:pPr>
    </w:p>
    <w:bookmarkStart w:id="194" w:name="page195"/>
    <w:bookmarkEnd w:id="194"/>
    <w:p>
      <w:pPr>
        <w:jc w:val="right"/>
        <w:spacing w:after="0"/>
        <w:rPr>
          <w:sz w:val="20"/>
          <w:szCs w:val="20"/>
          <w:color w:val="auto"/>
        </w:rPr>
      </w:pPr>
      <w:r>
        <w:rPr>
          <w:rFonts w:ascii="Arial" w:cs="Arial" w:eastAsia="Arial" w:hAnsi="Arial"/>
          <w:sz w:val="12"/>
          <w:szCs w:val="12"/>
          <w:b w:val="1"/>
          <w:bCs w:val="1"/>
          <w:color w:val="auto"/>
        </w:rPr>
        <w:t>EXHIBIT 31.1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302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OF THE SARBANES-OXLEY ACT OF 2002</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I, Vimal Kapur, certify that:</w:t>
      </w:r>
    </w:p>
    <w:p>
      <w:pPr>
        <w:spacing w:after="0" w:line="33" w:lineRule="exact"/>
        <w:rPr>
          <w:sz w:val="20"/>
          <w:szCs w:val="20"/>
          <w:color w:val="auto"/>
        </w:rPr>
      </w:pPr>
    </w:p>
    <w:p>
      <w:pPr>
        <w:ind w:left="680" w:hanging="134"/>
        <w:spacing w:after="0"/>
        <w:tabs>
          <w:tab w:leader="none" w:pos="680" w:val="left"/>
        </w:tabs>
        <w:numPr>
          <w:ilvl w:val="0"/>
          <w:numId w:val="238"/>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Honeywell International Inc.;</w:t>
      </w:r>
    </w:p>
    <w:p>
      <w:pPr>
        <w:spacing w:after="0" w:line="195" w:lineRule="exact"/>
        <w:rPr>
          <w:rFonts w:ascii="Arial" w:cs="Arial" w:eastAsia="Arial" w:hAnsi="Arial"/>
          <w:sz w:val="12"/>
          <w:szCs w:val="12"/>
          <w:color w:val="auto"/>
        </w:rPr>
      </w:pPr>
    </w:p>
    <w:p>
      <w:pPr>
        <w:ind w:left="680" w:right="40" w:hanging="134"/>
        <w:spacing w:after="0" w:line="239" w:lineRule="auto"/>
        <w:tabs>
          <w:tab w:leader="none" w:pos="680" w:val="left"/>
        </w:tabs>
        <w:numPr>
          <w:ilvl w:val="0"/>
          <w:numId w:val="238"/>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2"/>
          <w:szCs w:val="12"/>
          <w:color w:val="auto"/>
        </w:rPr>
      </w:pPr>
    </w:p>
    <w:p>
      <w:pPr>
        <w:ind w:left="680" w:right="320" w:hanging="134"/>
        <w:spacing w:after="0" w:line="239" w:lineRule="auto"/>
        <w:tabs>
          <w:tab w:leader="none" w:pos="680" w:val="left"/>
        </w:tabs>
        <w:numPr>
          <w:ilvl w:val="0"/>
          <w:numId w:val="238"/>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2"/>
          <w:szCs w:val="12"/>
          <w:color w:val="auto"/>
        </w:rPr>
      </w:pPr>
    </w:p>
    <w:p>
      <w:pPr>
        <w:ind w:left="680" w:right="380" w:hanging="134"/>
        <w:spacing w:after="0" w:line="239" w:lineRule="auto"/>
        <w:tabs>
          <w:tab w:leader="none" w:pos="680" w:val="left"/>
        </w:tabs>
        <w:numPr>
          <w:ilvl w:val="0"/>
          <w:numId w:val="238"/>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5" w:lineRule="exact"/>
        <w:rPr>
          <w:rFonts w:ascii="Arial" w:cs="Arial" w:eastAsia="Arial" w:hAnsi="Arial"/>
          <w:sz w:val="12"/>
          <w:szCs w:val="12"/>
          <w:color w:val="auto"/>
        </w:rPr>
      </w:pPr>
    </w:p>
    <w:p>
      <w:pPr>
        <w:ind w:left="880" w:right="320" w:hanging="134"/>
        <w:spacing w:after="0" w:line="239" w:lineRule="auto"/>
        <w:tabs>
          <w:tab w:leader="none" w:pos="880" w:val="left"/>
        </w:tabs>
        <w:numPr>
          <w:ilvl w:val="1"/>
          <w:numId w:val="23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2"/>
          <w:szCs w:val="12"/>
          <w:color w:val="auto"/>
        </w:rPr>
      </w:pPr>
    </w:p>
    <w:p>
      <w:pPr>
        <w:ind w:left="880" w:right="80" w:hanging="134"/>
        <w:spacing w:after="0" w:line="239" w:lineRule="auto"/>
        <w:tabs>
          <w:tab w:leader="none" w:pos="880" w:val="left"/>
        </w:tabs>
        <w:numPr>
          <w:ilvl w:val="1"/>
          <w:numId w:val="23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2"/>
          <w:szCs w:val="12"/>
          <w:color w:val="auto"/>
        </w:rPr>
      </w:pPr>
    </w:p>
    <w:p>
      <w:pPr>
        <w:ind w:left="880" w:right="80" w:hanging="127"/>
        <w:spacing w:after="0" w:line="239" w:lineRule="auto"/>
        <w:tabs>
          <w:tab w:leader="none" w:pos="880" w:val="left"/>
        </w:tabs>
        <w:numPr>
          <w:ilvl w:val="1"/>
          <w:numId w:val="238"/>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2"/>
          <w:szCs w:val="12"/>
          <w:color w:val="auto"/>
        </w:rPr>
      </w:pPr>
    </w:p>
    <w:p>
      <w:pPr>
        <w:ind w:left="880" w:right="220" w:hanging="134"/>
        <w:spacing w:after="0" w:line="239" w:lineRule="auto"/>
        <w:tabs>
          <w:tab w:leader="none" w:pos="880" w:val="left"/>
        </w:tabs>
        <w:numPr>
          <w:ilvl w:val="1"/>
          <w:numId w:val="23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6" w:lineRule="exact"/>
        <w:rPr>
          <w:rFonts w:ascii="Arial" w:cs="Arial" w:eastAsia="Arial" w:hAnsi="Arial"/>
          <w:sz w:val="12"/>
          <w:szCs w:val="12"/>
          <w:color w:val="auto"/>
        </w:rPr>
      </w:pPr>
    </w:p>
    <w:p>
      <w:pPr>
        <w:ind w:left="680" w:right="200" w:hanging="134"/>
        <w:spacing w:after="0" w:line="254" w:lineRule="auto"/>
        <w:tabs>
          <w:tab w:leader="none" w:pos="680" w:val="left"/>
        </w:tabs>
        <w:numPr>
          <w:ilvl w:val="0"/>
          <w:numId w:val="238"/>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Arial" w:cs="Arial" w:eastAsia="Arial" w:hAnsi="Arial"/>
          <w:sz w:val="12"/>
          <w:szCs w:val="12"/>
          <w:color w:val="auto"/>
        </w:rPr>
      </w:pPr>
    </w:p>
    <w:p>
      <w:pPr>
        <w:ind w:left="880" w:right="340" w:hanging="134"/>
        <w:spacing w:after="0" w:line="239" w:lineRule="auto"/>
        <w:tabs>
          <w:tab w:leader="none" w:pos="880" w:val="left"/>
        </w:tabs>
        <w:numPr>
          <w:ilvl w:val="1"/>
          <w:numId w:val="238"/>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2"/>
          <w:szCs w:val="12"/>
          <w:color w:val="auto"/>
        </w:rPr>
      </w:pPr>
    </w:p>
    <w:p>
      <w:pPr>
        <w:ind w:left="880" w:hanging="134"/>
        <w:spacing w:after="0"/>
        <w:tabs>
          <w:tab w:leader="none" w:pos="880" w:val="left"/>
        </w:tabs>
        <w:numPr>
          <w:ilvl w:val="1"/>
          <w:numId w:val="23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96" w:lineRule="exact"/>
        <w:rPr>
          <w:sz w:val="20"/>
          <w:szCs w:val="20"/>
          <w:color w:val="auto"/>
        </w:rPr>
      </w:pPr>
    </w:p>
    <w:p>
      <w:pPr>
        <w:spacing w:after="0"/>
        <w:tabs>
          <w:tab w:leader="none" w:pos="5840" w:val="left"/>
          <w:tab w:leader="none" w:pos="7020" w:val="left"/>
        </w:tabs>
        <w:rPr>
          <w:sz w:val="20"/>
          <w:szCs w:val="20"/>
          <w:color w:val="auto"/>
        </w:rPr>
      </w:pPr>
      <w:r>
        <w:rPr>
          <w:rFonts w:ascii="Arial" w:cs="Arial" w:eastAsia="Arial" w:hAnsi="Arial"/>
          <w:sz w:val="12"/>
          <w:szCs w:val="12"/>
          <w:color w:val="auto"/>
        </w:rPr>
        <w:t>Date: February 16, 2024</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u w:val="single" w:color="auto"/>
          <w:color w:val="auto"/>
        </w:rPr>
        <w:t>/s/ Vimal Kapur</w:t>
      </w:r>
    </w:p>
    <w:p>
      <w:pPr>
        <w:spacing w:after="0" w:line="6" w:lineRule="exact"/>
        <w:rPr>
          <w:sz w:val="20"/>
          <w:szCs w:val="20"/>
          <w:color w:val="auto"/>
        </w:rPr>
      </w:pPr>
    </w:p>
    <w:p>
      <w:pPr>
        <w:ind w:left="7040"/>
        <w:spacing w:after="0"/>
        <w:rPr>
          <w:sz w:val="20"/>
          <w:szCs w:val="20"/>
          <w:color w:val="auto"/>
        </w:rPr>
      </w:pPr>
      <w:r>
        <w:rPr>
          <w:rFonts w:ascii="Arial" w:cs="Arial" w:eastAsia="Arial" w:hAnsi="Arial"/>
          <w:sz w:val="12"/>
          <w:szCs w:val="12"/>
          <w:color w:val="auto"/>
        </w:rPr>
        <w:t>Vimal Kapur</w:t>
      </w:r>
    </w:p>
    <w:p>
      <w:pPr>
        <w:ind w:left="7040"/>
        <w:spacing w:after="0"/>
        <w:rPr>
          <w:sz w:val="20"/>
          <w:szCs w:val="20"/>
          <w:color w:val="auto"/>
        </w:rPr>
      </w:pPr>
      <w:r>
        <w:rPr>
          <w:rFonts w:ascii="Arial" w:cs="Arial" w:eastAsia="Arial" w:hAnsi="Arial"/>
          <w:sz w:val="12"/>
          <w:szCs w:val="12"/>
          <w:color w:val="auto"/>
        </w:rPr>
        <w:t>Chief Executive Officer</w:t>
      </w:r>
    </w:p>
    <w:p>
      <w:pPr>
        <w:sectPr>
          <w:pgSz w:w="11900" w:h="16838" w:orient="portrait"/>
          <w:cols w:equalWidth="0" w:num="1">
            <w:col w:w="11300"/>
          </w:cols>
          <w:pgMar w:left="300" w:top="640" w:right="299" w:bottom="1440" w:gutter="0" w:footer="0" w:header="0"/>
        </w:sectPr>
      </w:pPr>
    </w:p>
    <w:bookmarkStart w:id="195" w:name="page196"/>
    <w:bookmarkEnd w:id="195"/>
    <w:p>
      <w:pPr>
        <w:jc w:val="right"/>
        <w:spacing w:after="0"/>
        <w:rPr>
          <w:sz w:val="20"/>
          <w:szCs w:val="20"/>
          <w:color w:val="auto"/>
        </w:rPr>
      </w:pPr>
      <w:r>
        <w:rPr>
          <w:rFonts w:ascii="Arial" w:cs="Arial" w:eastAsia="Arial" w:hAnsi="Arial"/>
          <w:sz w:val="12"/>
          <w:szCs w:val="12"/>
          <w:b w:val="1"/>
          <w:bCs w:val="1"/>
          <w:color w:val="auto"/>
        </w:rPr>
        <w:t>EXHIBIT 31.2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302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OF THE SARBANES-OXLEY ACT OF 2002</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I, Gregory P. Lewis, certify that:</w:t>
      </w:r>
    </w:p>
    <w:p>
      <w:pPr>
        <w:spacing w:after="0" w:line="33" w:lineRule="exact"/>
        <w:rPr>
          <w:sz w:val="20"/>
          <w:szCs w:val="20"/>
          <w:color w:val="auto"/>
        </w:rPr>
      </w:pPr>
    </w:p>
    <w:p>
      <w:pPr>
        <w:ind w:left="680" w:hanging="134"/>
        <w:spacing w:after="0"/>
        <w:tabs>
          <w:tab w:leader="none" w:pos="680" w:val="left"/>
        </w:tabs>
        <w:numPr>
          <w:ilvl w:val="0"/>
          <w:numId w:val="239"/>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Honeywell International Inc.;</w:t>
      </w:r>
    </w:p>
    <w:p>
      <w:pPr>
        <w:spacing w:after="0" w:line="195" w:lineRule="exact"/>
        <w:rPr>
          <w:rFonts w:ascii="Arial" w:cs="Arial" w:eastAsia="Arial" w:hAnsi="Arial"/>
          <w:sz w:val="12"/>
          <w:szCs w:val="12"/>
          <w:color w:val="auto"/>
        </w:rPr>
      </w:pPr>
    </w:p>
    <w:p>
      <w:pPr>
        <w:ind w:left="680" w:right="40" w:hanging="134"/>
        <w:spacing w:after="0" w:line="239" w:lineRule="auto"/>
        <w:tabs>
          <w:tab w:leader="none" w:pos="680" w:val="left"/>
        </w:tabs>
        <w:numPr>
          <w:ilvl w:val="0"/>
          <w:numId w:val="239"/>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2"/>
          <w:szCs w:val="12"/>
          <w:color w:val="auto"/>
        </w:rPr>
      </w:pPr>
    </w:p>
    <w:p>
      <w:pPr>
        <w:ind w:left="680" w:right="320" w:hanging="134"/>
        <w:spacing w:after="0" w:line="239" w:lineRule="auto"/>
        <w:tabs>
          <w:tab w:leader="none" w:pos="680" w:val="left"/>
        </w:tabs>
        <w:numPr>
          <w:ilvl w:val="0"/>
          <w:numId w:val="239"/>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2"/>
          <w:szCs w:val="12"/>
          <w:color w:val="auto"/>
        </w:rPr>
      </w:pPr>
    </w:p>
    <w:p>
      <w:pPr>
        <w:ind w:left="680" w:right="380" w:hanging="134"/>
        <w:spacing w:after="0" w:line="239" w:lineRule="auto"/>
        <w:tabs>
          <w:tab w:leader="none" w:pos="680" w:val="left"/>
        </w:tabs>
        <w:numPr>
          <w:ilvl w:val="0"/>
          <w:numId w:val="239"/>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7" w:lineRule="exact"/>
        <w:rPr>
          <w:rFonts w:ascii="Arial" w:cs="Arial" w:eastAsia="Arial" w:hAnsi="Arial"/>
          <w:sz w:val="12"/>
          <w:szCs w:val="12"/>
          <w:color w:val="auto"/>
        </w:rPr>
      </w:pPr>
    </w:p>
    <w:p>
      <w:pPr>
        <w:ind w:left="880" w:right="320" w:hanging="134"/>
        <w:spacing w:after="0" w:line="239" w:lineRule="auto"/>
        <w:tabs>
          <w:tab w:leader="none" w:pos="880" w:val="left"/>
        </w:tabs>
        <w:numPr>
          <w:ilvl w:val="1"/>
          <w:numId w:val="23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2"/>
          <w:szCs w:val="12"/>
          <w:color w:val="auto"/>
        </w:rPr>
      </w:pPr>
    </w:p>
    <w:p>
      <w:pPr>
        <w:ind w:left="880" w:right="80" w:hanging="134"/>
        <w:spacing w:after="0" w:line="239" w:lineRule="auto"/>
        <w:tabs>
          <w:tab w:leader="none" w:pos="880" w:val="left"/>
        </w:tabs>
        <w:numPr>
          <w:ilvl w:val="1"/>
          <w:numId w:val="23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2"/>
          <w:szCs w:val="12"/>
          <w:color w:val="auto"/>
        </w:rPr>
      </w:pPr>
    </w:p>
    <w:p>
      <w:pPr>
        <w:ind w:left="880" w:right="80" w:hanging="127"/>
        <w:spacing w:after="0" w:line="239" w:lineRule="auto"/>
        <w:tabs>
          <w:tab w:leader="none" w:pos="880" w:val="left"/>
        </w:tabs>
        <w:numPr>
          <w:ilvl w:val="1"/>
          <w:numId w:val="239"/>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2"/>
          <w:szCs w:val="12"/>
          <w:color w:val="auto"/>
        </w:rPr>
      </w:pPr>
    </w:p>
    <w:p>
      <w:pPr>
        <w:ind w:left="880" w:right="220" w:hanging="134"/>
        <w:spacing w:after="0" w:line="239" w:lineRule="auto"/>
        <w:tabs>
          <w:tab w:leader="none" w:pos="880" w:val="left"/>
        </w:tabs>
        <w:numPr>
          <w:ilvl w:val="1"/>
          <w:numId w:val="23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6" w:lineRule="exact"/>
        <w:rPr>
          <w:rFonts w:ascii="Arial" w:cs="Arial" w:eastAsia="Arial" w:hAnsi="Arial"/>
          <w:sz w:val="12"/>
          <w:szCs w:val="12"/>
          <w:color w:val="auto"/>
        </w:rPr>
      </w:pPr>
    </w:p>
    <w:p>
      <w:pPr>
        <w:ind w:left="680" w:right="200" w:hanging="134"/>
        <w:spacing w:after="0" w:line="254" w:lineRule="auto"/>
        <w:tabs>
          <w:tab w:leader="none" w:pos="680" w:val="left"/>
        </w:tabs>
        <w:numPr>
          <w:ilvl w:val="0"/>
          <w:numId w:val="239"/>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Arial" w:cs="Arial" w:eastAsia="Arial" w:hAnsi="Arial"/>
          <w:sz w:val="12"/>
          <w:szCs w:val="12"/>
          <w:color w:val="auto"/>
        </w:rPr>
      </w:pPr>
    </w:p>
    <w:p>
      <w:pPr>
        <w:ind w:left="880" w:right="340" w:hanging="134"/>
        <w:spacing w:after="0" w:line="239" w:lineRule="auto"/>
        <w:tabs>
          <w:tab w:leader="none" w:pos="880" w:val="left"/>
        </w:tabs>
        <w:numPr>
          <w:ilvl w:val="1"/>
          <w:numId w:val="239"/>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2"/>
          <w:szCs w:val="12"/>
          <w:color w:val="auto"/>
        </w:rPr>
      </w:pPr>
    </w:p>
    <w:p>
      <w:pPr>
        <w:ind w:left="880" w:hanging="134"/>
        <w:spacing w:after="0"/>
        <w:tabs>
          <w:tab w:leader="none" w:pos="880" w:val="left"/>
        </w:tabs>
        <w:numPr>
          <w:ilvl w:val="1"/>
          <w:numId w:val="239"/>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96" w:lineRule="exact"/>
        <w:rPr>
          <w:sz w:val="20"/>
          <w:szCs w:val="20"/>
          <w:color w:val="auto"/>
        </w:rPr>
      </w:pPr>
    </w:p>
    <w:p>
      <w:pPr>
        <w:spacing w:after="0"/>
        <w:tabs>
          <w:tab w:leader="none" w:pos="5840" w:val="left"/>
          <w:tab w:leader="none" w:pos="7020" w:val="left"/>
        </w:tabs>
        <w:rPr>
          <w:sz w:val="20"/>
          <w:szCs w:val="20"/>
          <w:color w:val="auto"/>
        </w:rPr>
      </w:pPr>
      <w:r>
        <w:rPr>
          <w:rFonts w:ascii="Arial" w:cs="Arial" w:eastAsia="Arial" w:hAnsi="Arial"/>
          <w:sz w:val="12"/>
          <w:szCs w:val="12"/>
          <w:color w:val="auto"/>
        </w:rPr>
        <w:t>Date: February 16, 2024</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u w:val="single" w:color="auto"/>
          <w:color w:val="auto"/>
        </w:rPr>
        <w:t>/s/ Gregory P. Lewis</w:t>
      </w:r>
    </w:p>
    <w:p>
      <w:pPr>
        <w:spacing w:after="0" w:line="6" w:lineRule="exact"/>
        <w:rPr>
          <w:sz w:val="20"/>
          <w:szCs w:val="20"/>
          <w:color w:val="auto"/>
        </w:rPr>
      </w:pPr>
    </w:p>
    <w:p>
      <w:pPr>
        <w:ind w:left="7040"/>
        <w:spacing w:after="0"/>
        <w:rPr>
          <w:sz w:val="20"/>
          <w:szCs w:val="20"/>
          <w:color w:val="auto"/>
        </w:rPr>
      </w:pPr>
      <w:r>
        <w:rPr>
          <w:rFonts w:ascii="Arial" w:cs="Arial" w:eastAsia="Arial" w:hAnsi="Arial"/>
          <w:sz w:val="12"/>
          <w:szCs w:val="12"/>
          <w:color w:val="auto"/>
        </w:rPr>
        <w:t>Gregory P. Lewis</w:t>
      </w:r>
    </w:p>
    <w:p>
      <w:pPr>
        <w:ind w:left="7040"/>
        <w:spacing w:after="0"/>
        <w:rPr>
          <w:sz w:val="20"/>
          <w:szCs w:val="20"/>
          <w:color w:val="auto"/>
        </w:rPr>
      </w:pPr>
      <w:r>
        <w:rPr>
          <w:rFonts w:ascii="Arial" w:cs="Arial" w:eastAsia="Arial" w:hAnsi="Arial"/>
          <w:sz w:val="12"/>
          <w:szCs w:val="12"/>
          <w:color w:val="auto"/>
        </w:rPr>
        <w:t>Senior Vice President and Chief Financial Officer</w:t>
      </w:r>
    </w:p>
    <w:p>
      <w:pPr>
        <w:sectPr>
          <w:pgSz w:w="11900" w:h="16838" w:orient="portrait"/>
          <w:cols w:equalWidth="0" w:num="1">
            <w:col w:w="11300"/>
          </w:cols>
          <w:pgMar w:left="300" w:top="640" w:right="299" w:bottom="1440" w:gutter="0" w:footer="0" w:header="0"/>
        </w:sectPr>
      </w:pPr>
    </w:p>
    <w:bookmarkStart w:id="196" w:name="page197"/>
    <w:bookmarkEnd w:id="196"/>
    <w:p>
      <w:pPr>
        <w:jc w:val="right"/>
        <w:spacing w:after="0"/>
        <w:rPr>
          <w:sz w:val="20"/>
          <w:szCs w:val="20"/>
          <w:color w:val="auto"/>
        </w:rPr>
      </w:pPr>
      <w:r>
        <w:rPr>
          <w:rFonts w:ascii="Arial" w:cs="Arial" w:eastAsia="Arial" w:hAnsi="Arial"/>
          <w:sz w:val="12"/>
          <w:szCs w:val="12"/>
          <w:b w:val="1"/>
          <w:bCs w:val="1"/>
          <w:color w:val="auto"/>
        </w:rPr>
        <w:t>EXHIBIT 32.1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66" w:lineRule="exact"/>
        <w:rPr>
          <w:sz w:val="20"/>
          <w:szCs w:val="20"/>
          <w:color w:val="auto"/>
        </w:rPr>
      </w:pPr>
    </w:p>
    <w:p>
      <w:pPr>
        <w:ind w:right="340"/>
        <w:spacing w:after="0" w:line="260" w:lineRule="auto"/>
        <w:rPr>
          <w:sz w:val="20"/>
          <w:szCs w:val="20"/>
          <w:color w:val="auto"/>
        </w:rPr>
      </w:pPr>
      <w:r>
        <w:rPr>
          <w:rFonts w:ascii="Arial" w:cs="Arial" w:eastAsia="Arial" w:hAnsi="Arial"/>
          <w:sz w:val="12"/>
          <w:szCs w:val="12"/>
          <w:color w:val="auto"/>
        </w:rPr>
        <w:t>In connection with the Annual Report of Honeywell International Inc. (the Company) on Form 10-K for the period ending December 31, 2023 as filed with the Securities and Exchange Commission on the date hereof (the Report), I, Vimal Kapur, Chief Executive Officer of the Company, certify, pursuant to 18 U.S.C. Section 1350, as adopted pursuant to Section 906 of the Sarbanes-Oxley Act of 2002, that:</w:t>
      </w:r>
    </w:p>
    <w:p>
      <w:pPr>
        <w:spacing w:after="0" w:line="1" w:lineRule="exact"/>
        <w:rPr>
          <w:sz w:val="20"/>
          <w:szCs w:val="20"/>
          <w:color w:val="auto"/>
        </w:rPr>
      </w:pPr>
    </w:p>
    <w:p>
      <w:pPr>
        <w:ind w:left="340" w:hanging="213"/>
        <w:spacing w:after="0"/>
        <w:tabs>
          <w:tab w:leader="none" w:pos="340" w:val="left"/>
        </w:tabs>
        <w:numPr>
          <w:ilvl w:val="0"/>
          <w:numId w:val="240"/>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6" w:lineRule="exact"/>
        <w:rPr>
          <w:rFonts w:ascii="Arial" w:cs="Arial" w:eastAsia="Arial" w:hAnsi="Arial"/>
          <w:sz w:val="12"/>
          <w:szCs w:val="12"/>
          <w:color w:val="auto"/>
        </w:rPr>
      </w:pPr>
    </w:p>
    <w:p>
      <w:pPr>
        <w:ind w:left="340" w:hanging="213"/>
        <w:spacing w:after="0"/>
        <w:tabs>
          <w:tab w:leader="none" w:pos="340" w:val="left"/>
        </w:tabs>
        <w:numPr>
          <w:ilvl w:val="0"/>
          <w:numId w:val="240"/>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3" w:lineRule="exact"/>
        <w:rPr>
          <w:sz w:val="20"/>
          <w:szCs w:val="20"/>
          <w:color w:val="auto"/>
        </w:rPr>
      </w:pPr>
    </w:p>
    <w:tbl>
      <w:tblPr>
        <w:tblLayout w:type="fixed"/>
        <w:tblInd w:w="360" w:type="dxa"/>
        <w:tblCellMar>
          <w:top w:w="0" w:type="dxa"/>
          <w:left w:w="0" w:type="dxa"/>
          <w:bottom w:w="0" w:type="dxa"/>
          <w:right w:w="0" w:type="dxa"/>
        </w:tblCellMar>
      </w:tblPr>
      <w:tr>
        <w:trPr>
          <w:trHeight w:val="138"/>
        </w:trPr>
        <w:tc>
          <w:tcPr>
            <w:tcW w:w="3480" w:type="dxa"/>
            <w:vAlign w:val="bottom"/>
          </w:tcPr>
          <w:p>
            <w:pPr>
              <w:spacing w:after="0"/>
              <w:rPr>
                <w:sz w:val="20"/>
                <w:szCs w:val="20"/>
                <w:color w:val="auto"/>
              </w:rPr>
            </w:pPr>
            <w:r>
              <w:rPr>
                <w:rFonts w:ascii="Arial" w:cs="Arial" w:eastAsia="Arial" w:hAnsi="Arial"/>
                <w:sz w:val="12"/>
                <w:szCs w:val="12"/>
                <w:color w:val="auto"/>
              </w:rPr>
              <w:t>Date: February 16, 2024</w:t>
            </w:r>
          </w:p>
        </w:tc>
        <w:tc>
          <w:tcPr>
            <w:tcW w:w="3340" w:type="dxa"/>
            <w:vAlign w:val="bottom"/>
          </w:tcPr>
          <w:p>
            <w:pPr>
              <w:ind w:left="2200"/>
              <w:spacing w:after="0"/>
              <w:rPr>
                <w:sz w:val="20"/>
                <w:szCs w:val="20"/>
                <w:color w:val="auto"/>
              </w:rPr>
            </w:pPr>
            <w:r>
              <w:rPr>
                <w:rFonts w:ascii="Arial" w:cs="Arial" w:eastAsia="Arial" w:hAnsi="Arial"/>
                <w:sz w:val="12"/>
                <w:szCs w:val="12"/>
                <w:color w:val="auto"/>
              </w:rPr>
              <w:t>By:</w:t>
            </w:r>
          </w:p>
        </w:tc>
        <w:tc>
          <w:tcPr>
            <w:tcW w:w="1220" w:type="dxa"/>
            <w:vAlign w:val="bottom"/>
            <w:gridSpan w:val="2"/>
          </w:tcPr>
          <w:p>
            <w:pPr>
              <w:spacing w:after="0"/>
              <w:rPr>
                <w:sz w:val="20"/>
                <w:szCs w:val="20"/>
                <w:color w:val="auto"/>
              </w:rPr>
            </w:pPr>
            <w:r>
              <w:rPr>
                <w:rFonts w:ascii="Arial" w:cs="Arial" w:eastAsia="Arial" w:hAnsi="Arial"/>
                <w:sz w:val="12"/>
                <w:szCs w:val="12"/>
                <w:color w:val="auto"/>
              </w:rPr>
              <w:t>/s/ Vimal Kapur</w:t>
            </w:r>
          </w:p>
        </w:tc>
      </w:tr>
      <w:tr>
        <w:trPr>
          <w:trHeight w:val="124"/>
        </w:trPr>
        <w:tc>
          <w:tcPr>
            <w:tcW w:w="34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8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Vimal Kapur</w:t>
            </w:r>
          </w:p>
        </w:tc>
        <w:tc>
          <w:tcPr>
            <w:tcW w:w="420" w:type="dxa"/>
            <w:vAlign w:val="bottom"/>
          </w:tcPr>
          <w:p>
            <w:pPr>
              <w:spacing w:after="0"/>
              <w:rPr>
                <w:sz w:val="10"/>
                <w:szCs w:val="10"/>
                <w:color w:val="auto"/>
              </w:rPr>
            </w:pPr>
          </w:p>
        </w:tc>
      </w:tr>
      <w:tr>
        <w:trPr>
          <w:trHeight w:val="159"/>
        </w:trPr>
        <w:tc>
          <w:tcPr>
            <w:tcW w:w="34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220" w:type="dxa"/>
            <w:vAlign w:val="bottom"/>
            <w:gridSpan w:val="2"/>
          </w:tcPr>
          <w:p>
            <w:pPr>
              <w:spacing w:after="0"/>
              <w:rPr>
                <w:sz w:val="20"/>
                <w:szCs w:val="20"/>
                <w:color w:val="auto"/>
              </w:rPr>
            </w:pPr>
            <w:r>
              <w:rPr>
                <w:rFonts w:ascii="Arial" w:cs="Arial" w:eastAsia="Arial" w:hAnsi="Arial"/>
                <w:sz w:val="12"/>
                <w:szCs w:val="12"/>
                <w:color w:val="auto"/>
                <w:w w:val="98"/>
              </w:rPr>
              <w:t>Chief Executive Officer</w:t>
            </w:r>
          </w:p>
        </w:tc>
      </w:tr>
    </w:tbl>
    <w:p>
      <w:pPr>
        <w:sectPr>
          <w:pgSz w:w="11900" w:h="16838" w:orient="portrait"/>
          <w:cols w:equalWidth="0" w:num="1">
            <w:col w:w="11300"/>
          </w:cols>
          <w:pgMar w:left="300" w:top="640" w:right="299" w:bottom="1440" w:gutter="0" w:footer="0" w:header="0"/>
        </w:sectPr>
      </w:pPr>
    </w:p>
    <w:bookmarkStart w:id="197" w:name="page198"/>
    <w:bookmarkEnd w:id="197"/>
    <w:p>
      <w:pPr>
        <w:jc w:val="right"/>
        <w:spacing w:after="0"/>
        <w:rPr>
          <w:sz w:val="20"/>
          <w:szCs w:val="20"/>
          <w:color w:val="auto"/>
        </w:rPr>
      </w:pPr>
      <w:r>
        <w:rPr>
          <w:rFonts w:ascii="Arial" w:cs="Arial" w:eastAsia="Arial" w:hAnsi="Arial"/>
          <w:sz w:val="12"/>
          <w:szCs w:val="12"/>
          <w:b w:val="1"/>
          <w:bCs w:val="1"/>
          <w:color w:val="auto"/>
        </w:rPr>
        <w:t>EXHIBIT 32.2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66" w:lineRule="exact"/>
        <w:rPr>
          <w:sz w:val="20"/>
          <w:szCs w:val="20"/>
          <w:color w:val="auto"/>
        </w:rPr>
      </w:pPr>
    </w:p>
    <w:p>
      <w:pPr>
        <w:ind w:right="180"/>
        <w:spacing w:after="0" w:line="257" w:lineRule="auto"/>
        <w:rPr>
          <w:sz w:val="20"/>
          <w:szCs w:val="20"/>
          <w:color w:val="auto"/>
        </w:rPr>
      </w:pPr>
      <w:r>
        <w:rPr>
          <w:rFonts w:ascii="Arial" w:cs="Arial" w:eastAsia="Arial" w:hAnsi="Arial"/>
          <w:sz w:val="12"/>
          <w:szCs w:val="12"/>
          <w:color w:val="auto"/>
        </w:rPr>
        <w:t>In connection with the Annual Report of Honeywell International Inc. (the Company) on Form 10-K for the period ending December 31, 2023 as filed with the Securities and Exchange Commission on the date hereof (the Report), I, Gregory P. Lewis, Senior Vice President and Chief Financial Officer of the Company, certify, pursuant to 18 U.S.C. Section 1350, as adopted pursuant to Section 906 of the Sarbanes-Oxley Act of 2002, that:</w:t>
      </w:r>
    </w:p>
    <w:p>
      <w:pPr>
        <w:spacing w:after="0" w:line="1" w:lineRule="exact"/>
        <w:rPr>
          <w:sz w:val="20"/>
          <w:szCs w:val="20"/>
          <w:color w:val="auto"/>
        </w:rPr>
      </w:pPr>
    </w:p>
    <w:p>
      <w:pPr>
        <w:ind w:left="340" w:hanging="213"/>
        <w:spacing w:after="0"/>
        <w:tabs>
          <w:tab w:leader="none" w:pos="340" w:val="left"/>
        </w:tabs>
        <w:numPr>
          <w:ilvl w:val="0"/>
          <w:numId w:val="241"/>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6" w:lineRule="exact"/>
        <w:rPr>
          <w:rFonts w:ascii="Arial" w:cs="Arial" w:eastAsia="Arial" w:hAnsi="Arial"/>
          <w:sz w:val="12"/>
          <w:szCs w:val="12"/>
          <w:color w:val="auto"/>
        </w:rPr>
      </w:pPr>
    </w:p>
    <w:p>
      <w:pPr>
        <w:ind w:left="340" w:hanging="213"/>
        <w:spacing w:after="0"/>
        <w:tabs>
          <w:tab w:leader="none" w:pos="340" w:val="left"/>
        </w:tabs>
        <w:numPr>
          <w:ilvl w:val="0"/>
          <w:numId w:val="241"/>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3" w:lineRule="exact"/>
        <w:rPr>
          <w:sz w:val="20"/>
          <w:szCs w:val="20"/>
          <w:color w:val="auto"/>
        </w:rPr>
      </w:pPr>
    </w:p>
    <w:tbl>
      <w:tblPr>
        <w:tblLayout w:type="fixed"/>
        <w:tblInd w:w="360" w:type="dxa"/>
        <w:tblCellMar>
          <w:top w:w="0" w:type="dxa"/>
          <w:left w:w="0" w:type="dxa"/>
          <w:bottom w:w="0" w:type="dxa"/>
          <w:right w:w="0" w:type="dxa"/>
        </w:tblCellMar>
      </w:tblPr>
      <w:tr>
        <w:trPr>
          <w:trHeight w:val="138"/>
        </w:trPr>
        <w:tc>
          <w:tcPr>
            <w:tcW w:w="3480" w:type="dxa"/>
            <w:vAlign w:val="bottom"/>
          </w:tcPr>
          <w:p>
            <w:pPr>
              <w:spacing w:after="0"/>
              <w:rPr>
                <w:sz w:val="20"/>
                <w:szCs w:val="20"/>
                <w:color w:val="auto"/>
              </w:rPr>
            </w:pPr>
            <w:r>
              <w:rPr>
                <w:rFonts w:ascii="Arial" w:cs="Arial" w:eastAsia="Arial" w:hAnsi="Arial"/>
                <w:sz w:val="12"/>
                <w:szCs w:val="12"/>
                <w:color w:val="auto"/>
              </w:rPr>
              <w:t>Date: February 16, 2024</w:t>
            </w:r>
          </w:p>
        </w:tc>
        <w:tc>
          <w:tcPr>
            <w:tcW w:w="3340" w:type="dxa"/>
            <w:vAlign w:val="bottom"/>
          </w:tcPr>
          <w:p>
            <w:pPr>
              <w:ind w:left="2200"/>
              <w:spacing w:after="0"/>
              <w:rPr>
                <w:sz w:val="20"/>
                <w:szCs w:val="20"/>
                <w:color w:val="auto"/>
              </w:rPr>
            </w:pPr>
            <w:r>
              <w:rPr>
                <w:rFonts w:ascii="Arial" w:cs="Arial" w:eastAsia="Arial" w:hAnsi="Arial"/>
                <w:sz w:val="12"/>
                <w:szCs w:val="12"/>
                <w:color w:val="auto"/>
              </w:rPr>
              <w:t>By:</w:t>
            </w:r>
          </w:p>
        </w:tc>
        <w:tc>
          <w:tcPr>
            <w:tcW w:w="2600" w:type="dxa"/>
            <w:vAlign w:val="bottom"/>
            <w:gridSpan w:val="2"/>
          </w:tcPr>
          <w:p>
            <w:pPr>
              <w:spacing w:after="0"/>
              <w:rPr>
                <w:sz w:val="20"/>
                <w:szCs w:val="20"/>
                <w:color w:val="auto"/>
              </w:rPr>
            </w:pPr>
            <w:r>
              <w:rPr>
                <w:rFonts w:ascii="Arial" w:cs="Arial" w:eastAsia="Arial" w:hAnsi="Arial"/>
                <w:sz w:val="12"/>
                <w:szCs w:val="12"/>
                <w:color w:val="auto"/>
              </w:rPr>
              <w:t>/s/ Gregory P. Lewis</w:t>
            </w:r>
          </w:p>
        </w:tc>
      </w:tr>
      <w:tr>
        <w:trPr>
          <w:trHeight w:val="124"/>
        </w:trPr>
        <w:tc>
          <w:tcPr>
            <w:tcW w:w="34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06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Gregory P. Lewis</w:t>
            </w:r>
          </w:p>
        </w:tc>
        <w:tc>
          <w:tcPr>
            <w:tcW w:w="1540" w:type="dxa"/>
            <w:vAlign w:val="bottom"/>
          </w:tcPr>
          <w:p>
            <w:pPr>
              <w:spacing w:after="0"/>
              <w:rPr>
                <w:sz w:val="10"/>
                <w:szCs w:val="10"/>
                <w:color w:val="auto"/>
              </w:rPr>
            </w:pPr>
          </w:p>
        </w:tc>
      </w:tr>
      <w:tr>
        <w:trPr>
          <w:trHeight w:val="159"/>
        </w:trPr>
        <w:tc>
          <w:tcPr>
            <w:tcW w:w="34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600" w:type="dxa"/>
            <w:vAlign w:val="bottom"/>
            <w:gridSpan w:val="2"/>
          </w:tcPr>
          <w:p>
            <w:pPr>
              <w:spacing w:after="0"/>
              <w:rPr>
                <w:sz w:val="20"/>
                <w:szCs w:val="20"/>
                <w:color w:val="auto"/>
              </w:rPr>
            </w:pPr>
            <w:r>
              <w:rPr>
                <w:rFonts w:ascii="Arial" w:cs="Arial" w:eastAsia="Arial" w:hAnsi="Arial"/>
                <w:sz w:val="12"/>
                <w:szCs w:val="12"/>
                <w:color w:val="auto"/>
                <w:w w:val="99"/>
              </w:rPr>
              <w:t>Senior Vice President and Chief Financial Officer</w:t>
            </w:r>
          </w:p>
        </w:tc>
      </w:tr>
    </w:tbl>
    <w:p>
      <w:pPr>
        <w:sectPr>
          <w:pgSz w:w="11900" w:h="16838" w:orient="portrait"/>
          <w:cols w:equalWidth="0" w:num="1">
            <w:col w:w="11300"/>
          </w:cols>
          <w:pgMar w:left="300" w:top="640" w:right="299" w:bottom="1440" w:gutter="0" w:footer="0" w:header="0"/>
        </w:sectPr>
      </w:pPr>
    </w:p>
    <w:bookmarkStart w:id="198" w:name="page199"/>
    <w:bookmarkEnd w:id="198"/>
    <w:p>
      <w:pPr>
        <w:jc w:val="right"/>
        <w:spacing w:after="0"/>
        <w:rPr>
          <w:sz w:val="20"/>
          <w:szCs w:val="20"/>
          <w:color w:val="auto"/>
        </w:rPr>
      </w:pPr>
      <w:r>
        <w:rPr>
          <w:rFonts w:ascii="Arial" w:cs="Arial" w:eastAsia="Arial" w:hAnsi="Arial"/>
          <w:sz w:val="12"/>
          <w:szCs w:val="12"/>
          <w:b w:val="1"/>
          <w:bCs w:val="1"/>
          <w:color w:val="auto"/>
        </w:rPr>
        <w:t>EXHIBIT 95</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Mine Safety Disclosures</w:t>
      </w:r>
    </w:p>
    <w:p>
      <w:pPr>
        <w:spacing w:after="0" w:line="2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2"/>
          <w:szCs w:val="12"/>
          <w:color w:val="auto"/>
        </w:rPr>
        <w:t>The following disclosures are provided pursuant to Section 1503(a) of the Dodd-Frank Wall Street Reform and Consumer Protection Act and Item 104 of Regulation S-K, which require certain disclosures by companies required to file periodic reports under the Securities Exchange Act of 1934, as amended, that operate mines regulated under the Federal Mine Safety and Health Act of 1977 (the "Mine Safety Act"). One of the subsidiaries of Honeywell International Inc. (the "Company") has placer claims for and operates a surface mine for chabazite ore in Arizona.</w:t>
      </w:r>
    </w:p>
    <w:p>
      <w:pPr>
        <w:spacing w:after="0" w:line="4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2"/>
          <w:szCs w:val="12"/>
          <w:color w:val="auto"/>
        </w:rPr>
        <w:t>During the year ended December 31, 2023, the Company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4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2"/>
          <w:szCs w:val="12"/>
          <w:color w:val="auto"/>
        </w:rPr>
        <w:t>In addition, during the year ended December 31, 2023, the Company had no mining-related fatalities, had no pending legal actions before the Federal Mine Safety and Health Review Commission involving a coal or other mine, and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ectPr>
          <w:pgSz w:w="11900" w:h="16838" w:orient="portrait"/>
          <w:cols w:equalWidth="0" w:num="1">
            <w:col w:w="11300"/>
          </w:cols>
          <w:pgMar w:left="300" w:top="640" w:right="29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4"/>
          <w:szCs w:val="14"/>
          <w:b w:val="1"/>
          <w:bCs w:val="1"/>
          <w:color w:val="auto"/>
        </w:rPr>
        <w:t>Exhibit 97</w:t>
      </w:r>
    </w:p>
    <w:p>
      <w:pPr>
        <w:spacing w:after="0" w:line="12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HONEYWELL INTERNATIONAL INC.</w:t>
      </w:r>
    </w:p>
    <w:p>
      <w:pPr>
        <w:spacing w:after="0" w:line="12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CLAWBACK POLICY</w:t>
      </w:r>
    </w:p>
    <w:p>
      <w:pPr>
        <w:spacing w:after="0" w:line="12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Effective December 1, 2023</w:t>
      </w:r>
    </w:p>
    <w:p>
      <w:pPr>
        <w:spacing w:after="0" w:line="12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Approved June 1, 2023</w:t>
      </w:r>
    </w:p>
    <w:p>
      <w:pPr>
        <w:spacing w:after="0" w:line="129" w:lineRule="exact"/>
        <w:rPr>
          <w:sz w:val="20"/>
          <w:szCs w:val="20"/>
          <w:color w:val="auto"/>
        </w:rPr>
      </w:pPr>
    </w:p>
    <w:p>
      <w:pPr>
        <w:jc w:val="both"/>
        <w:ind w:left="8" w:hanging="8"/>
        <w:spacing w:after="0" w:line="227" w:lineRule="auto"/>
        <w:tabs>
          <w:tab w:leader="none" w:pos="440"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Purpose</w:t>
      </w:r>
      <w:r>
        <w:rPr>
          <w:rFonts w:ascii="Times New Roman" w:cs="Times New Roman" w:eastAsia="Times New Roman" w:hAnsi="Times New Roman"/>
          <w:sz w:val="14"/>
          <w:szCs w:val="14"/>
          <w:color w:val="auto"/>
        </w:rPr>
        <w:t xml:space="preserve">. The purpose of this Policy is to describe the circumstances in which Executive Officers will be required to repay or return Erroneously Awarded Compensation to the Company in accordance with the Clawback Rules. Each Executive Officer shall be required to sign and return to the Company the Acknowledgement and Acceptance Form attached hereto as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pursuant to which such Executive Officer will acknowledge that he or she is bound by the terms of this Policy; provided, however, that this Policy shall apply to, and be enforceable against, any Executive Officer and his or her successors (as specified in Section 11 of this Policy) regardless of whether or not such Executive Officer properly signs and returns to the Company such Acknowledgement and Acceptance Form and regardless of whether or not such Executive Officer is aware of his or her status as such. This Policy is designed to comply with the Clawback Rules.</w:t>
      </w:r>
    </w:p>
    <w:p>
      <w:pPr>
        <w:spacing w:after="0" w:line="102" w:lineRule="exact"/>
        <w:rPr>
          <w:rFonts w:ascii="Times New Roman" w:cs="Times New Roman" w:eastAsia="Times New Roman" w:hAnsi="Times New Roman"/>
          <w:sz w:val="14"/>
          <w:szCs w:val="14"/>
          <w:color w:val="auto"/>
        </w:rPr>
      </w:pPr>
    </w:p>
    <w:p>
      <w:pPr>
        <w:jc w:val="both"/>
        <w:ind w:left="8" w:hanging="8"/>
        <w:spacing w:after="0" w:line="231" w:lineRule="auto"/>
        <w:tabs>
          <w:tab w:leader="none" w:pos="440"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Administration</w:t>
      </w:r>
      <w:r>
        <w:rPr>
          <w:rFonts w:ascii="Times New Roman" w:cs="Times New Roman" w:eastAsia="Times New Roman" w:hAnsi="Times New Roman"/>
          <w:sz w:val="14"/>
          <w:szCs w:val="14"/>
          <w:color w:val="auto"/>
        </w:rPr>
        <w:t>. Except as specifically set forth herein, this Policy shall be administered by the Administrator. Any determinations made by the Administrator shall be final and binding on all affected individuals and need not be uniform with respect to each individual covered by this Policy. Subject to any limitation under applicable law, the Administrator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spacing w:after="0" w:line="100" w:lineRule="exact"/>
        <w:rPr>
          <w:rFonts w:ascii="Times New Roman" w:cs="Times New Roman" w:eastAsia="Times New Roman" w:hAnsi="Times New Roman"/>
          <w:sz w:val="14"/>
          <w:szCs w:val="14"/>
          <w:color w:val="auto"/>
        </w:rPr>
      </w:pPr>
    </w:p>
    <w:p>
      <w:pPr>
        <w:ind w:left="428" w:hanging="428"/>
        <w:spacing w:after="0"/>
        <w:tabs>
          <w:tab w:leader="none" w:pos="428"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For purposes of this Policy, the following capitalized terms shall have the meanings set forth below.</w:t>
      </w:r>
    </w:p>
    <w:p>
      <w:pPr>
        <w:spacing w:after="0" w:line="123" w:lineRule="exact"/>
        <w:rPr>
          <w:rFonts w:ascii="Times New Roman" w:cs="Times New Roman" w:eastAsia="Times New Roman" w:hAnsi="Times New Roman"/>
          <w:sz w:val="14"/>
          <w:szCs w:val="14"/>
          <w:color w:val="auto"/>
        </w:rPr>
      </w:pPr>
    </w:p>
    <w:p>
      <w:pPr>
        <w:jc w:val="both"/>
        <w:ind w:left="8" w:firstLine="424"/>
        <w:spacing w:after="0" w:line="238" w:lineRule="auto"/>
        <w:tabs>
          <w:tab w:leader="none" w:pos="870" w:val="left"/>
        </w:tabs>
        <w:numPr>
          <w:ilvl w:val="1"/>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Accounting Restatement</w:t>
      </w:r>
      <w:r>
        <w:rPr>
          <w:rFonts w:ascii="Times New Roman" w:cs="Times New Roman" w:eastAsia="Times New Roman" w:hAnsi="Times New Roman"/>
          <w:sz w:val="14"/>
          <w:szCs w:val="14"/>
          <w:color w:val="auto"/>
        </w:rPr>
        <w:t>” shall mean an accounting restatement: (i)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(a “Big R” restatement); or (ii) that would result in a material misstatement if the error were corrected in the current period or left uncorrected in the current period (a “little r” restatement).</w:t>
      </w:r>
    </w:p>
    <w:p>
      <w:pPr>
        <w:spacing w:after="0" w:line="97" w:lineRule="exact"/>
        <w:rPr>
          <w:rFonts w:ascii="Times New Roman" w:cs="Times New Roman" w:eastAsia="Times New Roman" w:hAnsi="Times New Roman"/>
          <w:sz w:val="14"/>
          <w:szCs w:val="14"/>
          <w:color w:val="auto"/>
        </w:rPr>
      </w:pPr>
    </w:p>
    <w:p>
      <w:pPr>
        <w:ind w:left="868" w:hanging="436"/>
        <w:spacing w:after="0"/>
        <w:tabs>
          <w:tab w:leader="none" w:pos="868" w:val="left"/>
        </w:tabs>
        <w:numPr>
          <w:ilvl w:val="1"/>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Administrator</w:t>
      </w:r>
      <w:r>
        <w:rPr>
          <w:rFonts w:ascii="Times New Roman" w:cs="Times New Roman" w:eastAsia="Times New Roman" w:hAnsi="Times New Roman"/>
          <w:sz w:val="14"/>
          <w:szCs w:val="14"/>
          <w:color w:val="auto"/>
        </w:rPr>
        <w:t>” shall mean the Committee or any other committee designated by the Board to administer the Policy, and in the absence of such designation, the Board.</w:t>
      </w:r>
    </w:p>
    <w:p>
      <w:pPr>
        <w:spacing w:after="0" w:line="127" w:lineRule="exact"/>
        <w:rPr>
          <w:rFonts w:ascii="Times New Roman" w:cs="Times New Roman" w:eastAsia="Times New Roman" w:hAnsi="Times New Roman"/>
          <w:sz w:val="14"/>
          <w:szCs w:val="14"/>
          <w:color w:val="auto"/>
        </w:rPr>
      </w:pPr>
    </w:p>
    <w:p>
      <w:pPr>
        <w:ind w:left="868" w:hanging="436"/>
        <w:spacing w:after="0"/>
        <w:tabs>
          <w:tab w:leader="none" w:pos="868" w:val="left"/>
        </w:tabs>
        <w:numPr>
          <w:ilvl w:val="1"/>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Board</w:t>
      </w:r>
      <w:r>
        <w:rPr>
          <w:rFonts w:ascii="Times New Roman" w:cs="Times New Roman" w:eastAsia="Times New Roman" w:hAnsi="Times New Roman"/>
          <w:sz w:val="14"/>
          <w:szCs w:val="14"/>
          <w:color w:val="auto"/>
        </w:rPr>
        <w:t>” shall mean the Board of Directors of the Company.</w:t>
      </w:r>
    </w:p>
    <w:p>
      <w:pPr>
        <w:spacing w:after="0" w:line="127" w:lineRule="exact"/>
        <w:rPr>
          <w:rFonts w:ascii="Times New Roman" w:cs="Times New Roman" w:eastAsia="Times New Roman" w:hAnsi="Times New Roman"/>
          <w:sz w:val="14"/>
          <w:szCs w:val="14"/>
          <w:color w:val="auto"/>
        </w:rPr>
      </w:pPr>
    </w:p>
    <w:p>
      <w:pPr>
        <w:jc w:val="both"/>
        <w:ind w:left="8" w:firstLine="424"/>
        <w:spacing w:after="0" w:line="232" w:lineRule="auto"/>
        <w:tabs>
          <w:tab w:leader="none" w:pos="869" w:val="left"/>
        </w:tabs>
        <w:numPr>
          <w:ilvl w:val="1"/>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Clawback Eligible Incentive Compensation</w:t>
      </w:r>
      <w:r>
        <w:rPr>
          <w:rFonts w:ascii="Times New Roman" w:cs="Times New Roman" w:eastAsia="Times New Roman" w:hAnsi="Times New Roman"/>
          <w:sz w:val="14"/>
          <w:szCs w:val="14"/>
          <w:color w:val="auto"/>
        </w:rPr>
        <w:t>” shall mean, with respect to each individual who served as an Executive Officer at any time during the applicable performance period for any Incentive-based Compensation (whether or not such individual is serving as an Executive Officer at the time the Erroneously Awarded Compensation is required to be repaid to the Company), all Incentive-based Compensation Received by such individual: (i) on or after the Effective Date; (ii) after beginning service as an Executive Officer; (iii) while the Company has a class of securities listed on the Listing Exchange; and (iv) during the applicable Clawback Period.</w:t>
      </w:r>
    </w:p>
    <w:p>
      <w:pPr>
        <w:sectPr>
          <w:pgSz w:w="11900" w:h="16838" w:orient="portrait"/>
          <w:cols w:equalWidth="0" w:num="1">
            <w:col w:w="11308"/>
          </w:cols>
          <w:pgMar w:left="292" w:top="974" w:right="299" w:bottom="1440" w:gutter="0" w:footer="0" w:header="0"/>
        </w:sectPr>
      </w:pPr>
    </w:p>
    <w:bookmarkStart w:id="200" w:name="page201"/>
    <w:bookmarkEnd w:id="200"/>
    <w:p>
      <w:pPr>
        <w:ind w:right="20" w:firstLine="424"/>
        <w:spacing w:after="0" w:line="261" w:lineRule="auto"/>
        <w:tabs>
          <w:tab w:leader="none" w:pos="862"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Clawback Period</w:t>
      </w:r>
      <w:r>
        <w:rPr>
          <w:rFonts w:ascii="Times New Roman" w:cs="Times New Roman" w:eastAsia="Times New Roman" w:hAnsi="Times New Roman"/>
          <w:sz w:val="14"/>
          <w:szCs w:val="14"/>
          <w:color w:val="auto"/>
        </w:rPr>
        <w:t>” 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spacing w:after="0" w:line="81" w:lineRule="exact"/>
        <w:rPr>
          <w:rFonts w:ascii="Times New Roman" w:cs="Times New Roman" w:eastAsia="Times New Roman" w:hAnsi="Times New Roman"/>
          <w:sz w:val="14"/>
          <w:szCs w:val="14"/>
          <w:color w:val="auto"/>
        </w:rPr>
      </w:pPr>
    </w:p>
    <w:p>
      <w:pPr>
        <w:ind w:firstLine="424"/>
        <w:spacing w:after="0" w:line="261" w:lineRule="auto"/>
        <w:tabs>
          <w:tab w:leader="none" w:pos="864"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Clawback Rules</w:t>
      </w:r>
      <w:r>
        <w:rPr>
          <w:rFonts w:ascii="Times New Roman" w:cs="Times New Roman" w:eastAsia="Times New Roman" w:hAnsi="Times New Roman"/>
          <w:sz w:val="14"/>
          <w:szCs w:val="14"/>
          <w:color w:val="auto"/>
        </w:rPr>
        <w:t>” shall mean Section 10D of the Exchange Act and any applicable rules or standards adopted by the SEC thereunder (including Rule 10D-1 under the Exchange Act) or the Listing Exchange pursuant to Rule 10D-1 under the Exchange Act (including Nasdaq Stock Market Listing Rule 5608), in each case as may be in effect from time to time.</w:t>
      </w:r>
    </w:p>
    <w:p>
      <w:pPr>
        <w:spacing w:after="0" w:line="81"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Committee</w:t>
      </w:r>
      <w:r>
        <w:rPr>
          <w:rFonts w:ascii="Times New Roman" w:cs="Times New Roman" w:eastAsia="Times New Roman" w:hAnsi="Times New Roman"/>
          <w:sz w:val="14"/>
          <w:szCs w:val="14"/>
          <w:color w:val="auto"/>
        </w:rPr>
        <w:t>” shall mean the Management Development and Compensation Committee of the Board.</w:t>
      </w:r>
    </w:p>
    <w:p>
      <w:pPr>
        <w:spacing w:after="0" w:line="127"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shall mean Honeywell International Inc. (and as the Administrator determines is applicable, together with each of its direct and indirect subsidiaries).</w:t>
      </w:r>
    </w:p>
    <w:p>
      <w:pPr>
        <w:spacing w:after="0" w:line="127" w:lineRule="exact"/>
        <w:rPr>
          <w:rFonts w:ascii="Times New Roman" w:cs="Times New Roman" w:eastAsia="Times New Roman" w:hAnsi="Times New Roman"/>
          <w:sz w:val="14"/>
          <w:szCs w:val="14"/>
          <w:color w:val="auto"/>
        </w:rPr>
      </w:pPr>
    </w:p>
    <w:p>
      <w:pPr>
        <w:ind w:left="840" w:hanging="416"/>
        <w:spacing w:after="0"/>
        <w:tabs>
          <w:tab w:leader="none" w:pos="840"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Effective Date</w:t>
      </w:r>
      <w:r>
        <w:rPr>
          <w:rFonts w:ascii="Times New Roman" w:cs="Times New Roman" w:eastAsia="Times New Roman" w:hAnsi="Times New Roman"/>
          <w:sz w:val="14"/>
          <w:szCs w:val="14"/>
          <w:color w:val="auto"/>
        </w:rPr>
        <w:t>” shall mean December 1, 2023.</w:t>
      </w:r>
    </w:p>
    <w:p>
      <w:pPr>
        <w:spacing w:after="0" w:line="127" w:lineRule="exact"/>
        <w:rPr>
          <w:rFonts w:ascii="Times New Roman" w:cs="Times New Roman" w:eastAsia="Times New Roman" w:hAnsi="Times New Roman"/>
          <w:sz w:val="14"/>
          <w:szCs w:val="14"/>
          <w:color w:val="auto"/>
        </w:rPr>
      </w:pPr>
    </w:p>
    <w:p>
      <w:pPr>
        <w:jc w:val="both"/>
        <w:ind w:firstLine="424"/>
        <w:spacing w:after="0" w:line="238" w:lineRule="auto"/>
        <w:tabs>
          <w:tab w:leader="none" w:pos="856"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Erroneously Awarded Compensation</w:t>
      </w:r>
      <w:r>
        <w:rPr>
          <w:rFonts w:ascii="Times New Roman" w:cs="Times New Roman" w:eastAsia="Times New Roman" w:hAnsi="Times New Roman"/>
          <w:sz w:val="14"/>
          <w:szCs w:val="14"/>
          <w:color w:val="auto"/>
        </w:rPr>
        <w:t>” shall mean, with respect to each Executive Officer in connection with an Accounting Restatement, the amount of Clawback Eligible Incentive Compensation that exceeds the amount of Clawback Eligible Incentive Compensation that otherwise would have been Received had it been determined based on the restated amounts, computed without regard to any taxes paid.</w:t>
      </w:r>
    </w:p>
    <w:p>
      <w:pPr>
        <w:spacing w:after="0" w:line="97" w:lineRule="exact"/>
        <w:rPr>
          <w:rFonts w:ascii="Times New Roman" w:cs="Times New Roman" w:eastAsia="Times New Roman" w:hAnsi="Times New Roman"/>
          <w:sz w:val="14"/>
          <w:szCs w:val="14"/>
          <w:color w:val="auto"/>
        </w:rPr>
      </w:pPr>
    </w:p>
    <w:p>
      <w:pPr>
        <w:jc w:val="both"/>
        <w:ind w:firstLine="424"/>
        <w:spacing w:after="0" w:line="238" w:lineRule="auto"/>
        <w:tabs>
          <w:tab w:leader="none" w:pos="861"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Executive Officer</w:t>
      </w:r>
      <w:r>
        <w:rPr>
          <w:rFonts w:ascii="Times New Roman" w:cs="Times New Roman" w:eastAsia="Times New Roman" w:hAnsi="Times New Roman"/>
          <w:sz w:val="14"/>
          <w:szCs w:val="14"/>
          <w:color w:val="auto"/>
        </w:rPr>
        <w:t>” shall mean any individual who is or was an executive officer as determined by the Administrator in accordance with the definition of “executive officer” as set forth in the Clawback Rules and any other senior executive, employee or other personnel of the Company who may from time to time be deemed subject to the Policy by the Administrator. For the avoidance of doubt, the Administrator shall have full discretion to determine which individuals in the Company shall be considered an “Executive Officer” for purposes of this Policy.</w:t>
      </w:r>
    </w:p>
    <w:p>
      <w:pPr>
        <w:spacing w:after="0" w:line="97" w:lineRule="exact"/>
        <w:rPr>
          <w:rFonts w:ascii="Times New Roman" w:cs="Times New Roman" w:eastAsia="Times New Roman" w:hAnsi="Times New Roman"/>
          <w:sz w:val="14"/>
          <w:szCs w:val="14"/>
          <w:color w:val="auto"/>
        </w:rPr>
      </w:pPr>
    </w:p>
    <w:p>
      <w:pPr>
        <w:ind w:left="840" w:hanging="416"/>
        <w:spacing w:after="0"/>
        <w:tabs>
          <w:tab w:leader="none" w:pos="840"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Exchange Act</w:t>
      </w:r>
      <w:r>
        <w:rPr>
          <w:rFonts w:ascii="Times New Roman" w:cs="Times New Roman" w:eastAsia="Times New Roman" w:hAnsi="Times New Roman"/>
          <w:sz w:val="14"/>
          <w:szCs w:val="14"/>
          <w:color w:val="auto"/>
        </w:rPr>
        <w:t>” shall mean the Securities Exchange Act of 1934, as amended, and the rules and regulations promulgated thereunder.</w:t>
      </w:r>
    </w:p>
    <w:p>
      <w:pPr>
        <w:spacing w:after="0" w:line="127" w:lineRule="exact"/>
        <w:rPr>
          <w:rFonts w:ascii="Times New Roman" w:cs="Times New Roman" w:eastAsia="Times New Roman" w:hAnsi="Times New Roman"/>
          <w:sz w:val="14"/>
          <w:szCs w:val="14"/>
          <w:color w:val="auto"/>
        </w:rPr>
      </w:pPr>
    </w:p>
    <w:p>
      <w:pPr>
        <w:jc w:val="both"/>
        <w:ind w:firstLine="424"/>
        <w:spacing w:after="0" w:line="238" w:lineRule="auto"/>
        <w:tabs>
          <w:tab w:leader="none" w:pos="856"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Financial Reporting Measures</w:t>
      </w:r>
      <w:r>
        <w:rPr>
          <w:rFonts w:ascii="Times New Roman" w:cs="Times New Roman" w:eastAsia="Times New Roman" w:hAnsi="Times New Roman"/>
          <w:sz w:val="14"/>
          <w:szCs w:val="14"/>
          <w:color w:val="auto"/>
        </w:rPr>
        <w:t>” shall mean measures that are determined and presented in accordance with the accounting principles used in preparing the Company’s financial statements, and any measures that are derived wholly or in part from such measures. Stock price and total shareholder return shall for purposes of this Policy be considered Financial Reporting Measures. For the avoidance of doubt, a Financial Reporting Measure need not be presented within the Company’s financial statements or included in a filing with the SEC.</w:t>
      </w:r>
    </w:p>
    <w:p>
      <w:pPr>
        <w:spacing w:after="0" w:line="97"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Incentive-based Compensation</w:t>
      </w:r>
      <w:r>
        <w:rPr>
          <w:rFonts w:ascii="Times New Roman" w:cs="Times New Roman" w:eastAsia="Times New Roman" w:hAnsi="Times New Roman"/>
          <w:sz w:val="14"/>
          <w:szCs w:val="14"/>
          <w:color w:val="auto"/>
        </w:rPr>
        <w:t>” shall mean any compensation that is granted, earned or vested based wholly or in part upon the attainment of a Financial Reporting Measure.</w:t>
      </w:r>
    </w:p>
    <w:p>
      <w:pPr>
        <w:spacing w:after="0" w:line="127" w:lineRule="exact"/>
        <w:rPr>
          <w:rFonts w:ascii="Times New Roman" w:cs="Times New Roman" w:eastAsia="Times New Roman" w:hAnsi="Times New Roman"/>
          <w:sz w:val="14"/>
          <w:szCs w:val="14"/>
          <w:color w:val="auto"/>
        </w:rPr>
      </w:pPr>
    </w:p>
    <w:p>
      <w:pPr>
        <w:jc w:val="both"/>
        <w:ind w:firstLine="424"/>
        <w:spacing w:after="0" w:line="232" w:lineRule="auto"/>
        <w:tabs>
          <w:tab w:leader="none" w:pos="861"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Impracticable</w:t>
      </w:r>
      <w:r>
        <w:rPr>
          <w:rFonts w:ascii="Times New Roman" w:cs="Times New Roman" w:eastAsia="Times New Roman" w:hAnsi="Times New Roman"/>
          <w:sz w:val="14"/>
          <w:szCs w:val="14"/>
          <w:color w:val="auto"/>
        </w:rPr>
        <w:t>” shall mean, in accordance with the good faith determination of the Committee that either: (i) the direct expenses paid to a third party to assist in enforcing the Policy against an Executive Officer would exceed the amount to be recovered, after the Company has made a reasonable attempt to recover the applicable Erroneously Awarded Compensation, documented such reasonable attempt(s) and provided such documentation to the Listing Exchange; (ii) recovery would violate the Company’s home country law where that law was adopted prior to November 28, 2022, provided that, before concluding that it would be impracticable to recover any amount of Erroneously Awarded Compensation based on violation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300"/>
          </w:cols>
          <w:pgMar w:left="300" w:top="972" w:right="299" w:bottom="1440" w:gutter="0" w:footer="0" w:header="0"/>
        </w:sectPr>
      </w:pPr>
    </w:p>
    <w:bookmarkStart w:id="201" w:name="page202"/>
    <w:bookmarkEnd w:id="201"/>
    <w:p>
      <w:pPr>
        <w:jc w:val="both"/>
        <w:ind w:left="8"/>
        <w:spacing w:after="0" w:line="236" w:lineRule="auto"/>
        <w:rPr>
          <w:sz w:val="20"/>
          <w:szCs w:val="20"/>
          <w:color w:val="auto"/>
        </w:rPr>
      </w:pPr>
      <w:r>
        <w:rPr>
          <w:rFonts w:ascii="Times New Roman" w:cs="Times New Roman" w:eastAsia="Times New Roman" w:hAnsi="Times New Roman"/>
          <w:sz w:val="14"/>
          <w:szCs w:val="14"/>
          <w:color w:val="auto"/>
        </w:rPr>
        <w:t>of home country law, the Company has obtained an opinion of home country counsel, acceptable to the Listing Exchange, that recovery would result in such a violation and a copy of the opinion is provided to the Listing Exchange; or (iii) recovery would likely cause an otherwise tax-qualified retirement plan, under which benefits are broadly available to employees of the Company, to fail to meet the requirements of 26 U.S.C. 401(a)(13) or 26 U.S.C. 411(a) and regulations thereunder.</w:t>
      </w:r>
    </w:p>
    <w:p>
      <w:pPr>
        <w:spacing w:after="0" w:line="97"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4"/>
          <w:szCs w:val="14"/>
          <w:color w:val="auto"/>
        </w:rPr>
        <w:t>(p)</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Listing Exchange</w:t>
      </w:r>
      <w:r>
        <w:rPr>
          <w:rFonts w:ascii="Times New Roman" w:cs="Times New Roman" w:eastAsia="Times New Roman" w:hAnsi="Times New Roman"/>
          <w:sz w:val="14"/>
          <w:szCs w:val="14"/>
          <w:color w:val="auto"/>
        </w:rPr>
        <w:t>” shall mean the Nasdaq Stock Market or such other U.S. national securities exchange or national securities association on which the Company’s securities are</w:t>
      </w:r>
    </w:p>
    <w:p>
      <w:pPr>
        <w:spacing w:after="0" w:line="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listed.</w:t>
      </w:r>
    </w:p>
    <w:p>
      <w:pPr>
        <w:spacing w:after="0" w:line="107" w:lineRule="exact"/>
        <w:rPr>
          <w:sz w:val="20"/>
          <w:szCs w:val="20"/>
          <w:color w:val="auto"/>
        </w:rPr>
      </w:pPr>
    </w:p>
    <w:p>
      <w:pPr>
        <w:jc w:val="both"/>
        <w:ind w:left="8" w:firstLine="424"/>
        <w:spacing w:after="0" w:line="232" w:lineRule="auto"/>
        <w:tabs>
          <w:tab w:leader="none" w:pos="869" w:val="left"/>
        </w:tabs>
        <w:numPr>
          <w:ilvl w:val="1"/>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Method of Recovery</w:t>
      </w:r>
      <w:r>
        <w:rPr>
          <w:rFonts w:ascii="Times New Roman" w:cs="Times New Roman" w:eastAsia="Times New Roman" w:hAnsi="Times New Roman"/>
          <w:sz w:val="14"/>
          <w:szCs w:val="14"/>
          <w:color w:val="auto"/>
        </w:rPr>
        <w:t>” shall include, but is not limited to: (i) requiring reimbursement of Erroneously Awarded Compensation; (ii) seeking recovery of any gain realized on the vesting, exercise, settlement, sale, transfer, or other disposition of any equity-based awards; (iii) offsetting the Erroneously Awarded Compensation from any compensation otherwise owed by the Company to the Executive Officer; (iv) cancelling outstanding vested or unvested equity awards; and/or (v) taking any other remedial and recovery action permitted by applicable law, as determined by the Administrator.</w:t>
      </w:r>
    </w:p>
    <w:p>
      <w:pPr>
        <w:spacing w:after="0" w:line="97" w:lineRule="exact"/>
        <w:rPr>
          <w:rFonts w:ascii="Times New Roman" w:cs="Times New Roman" w:eastAsia="Times New Roman" w:hAnsi="Times New Roman"/>
          <w:sz w:val="14"/>
          <w:szCs w:val="14"/>
          <w:color w:val="auto"/>
        </w:rPr>
      </w:pPr>
    </w:p>
    <w:p>
      <w:pPr>
        <w:ind w:left="868" w:hanging="436"/>
        <w:spacing w:after="0"/>
        <w:tabs>
          <w:tab w:leader="none" w:pos="868" w:val="left"/>
        </w:tabs>
        <w:numPr>
          <w:ilvl w:val="1"/>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Policy</w:t>
      </w:r>
      <w:r>
        <w:rPr>
          <w:rFonts w:ascii="Times New Roman" w:cs="Times New Roman" w:eastAsia="Times New Roman" w:hAnsi="Times New Roman"/>
          <w:sz w:val="14"/>
          <w:szCs w:val="14"/>
          <w:color w:val="auto"/>
        </w:rPr>
        <w:t>” shall mean this Clawback Policy, as the same may be amended and/or restated from time to time.</w:t>
      </w:r>
    </w:p>
    <w:p>
      <w:pPr>
        <w:spacing w:after="0" w:line="127" w:lineRule="exact"/>
        <w:rPr>
          <w:rFonts w:ascii="Times New Roman" w:cs="Times New Roman" w:eastAsia="Times New Roman" w:hAnsi="Times New Roman"/>
          <w:sz w:val="14"/>
          <w:szCs w:val="14"/>
          <w:color w:val="auto"/>
        </w:rPr>
      </w:pPr>
    </w:p>
    <w:p>
      <w:pPr>
        <w:jc w:val="both"/>
        <w:ind w:left="8" w:firstLine="424"/>
        <w:spacing w:after="0" w:line="232" w:lineRule="auto"/>
        <w:tabs>
          <w:tab w:leader="none" w:pos="871" w:val="left"/>
        </w:tabs>
        <w:numPr>
          <w:ilvl w:val="1"/>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Received</w:t>
      </w:r>
      <w:r>
        <w:rPr>
          <w:rFonts w:ascii="Times New Roman" w:cs="Times New Roman" w:eastAsia="Times New Roman" w:hAnsi="Times New Roman"/>
          <w:sz w:val="14"/>
          <w:szCs w:val="14"/>
          <w:color w:val="auto"/>
        </w:rPr>
        <w:t>” shall, with respect to any Incentive-based Compensation, mean deemed receipt and Incentive-based Compensation shall be deemed received in the Company’s fiscal period during which the Financial Reporting Measure specified in the Incentive-based Compensation award is attained, even if the payment or grant of the Incentive-based Compensation occurs after the end of that period. For the avoidance of doubt, Incentive-Based Compensation that is subject to both a Financial Reporting Measure vesting condition and a service-based vesting condition shall be considered received when the Financial Reporting Measure is achieved, even if the Incentive-Based Compensation continues to be subject to the service-based vesting condition.</w:t>
      </w:r>
    </w:p>
    <w:p>
      <w:pPr>
        <w:spacing w:after="0" w:line="97" w:lineRule="exact"/>
        <w:rPr>
          <w:rFonts w:ascii="Times New Roman" w:cs="Times New Roman" w:eastAsia="Times New Roman" w:hAnsi="Times New Roman"/>
          <w:sz w:val="14"/>
          <w:szCs w:val="14"/>
          <w:color w:val="auto"/>
        </w:rPr>
      </w:pPr>
    </w:p>
    <w:p>
      <w:pPr>
        <w:jc w:val="both"/>
        <w:ind w:left="8" w:firstLine="424"/>
        <w:spacing w:after="0" w:line="238" w:lineRule="auto"/>
        <w:tabs>
          <w:tab w:leader="none" w:pos="864" w:val="left"/>
        </w:tabs>
        <w:numPr>
          <w:ilvl w:val="1"/>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Restatement Date</w:t>
      </w:r>
      <w:r>
        <w:rPr>
          <w:rFonts w:ascii="Times New Roman" w:cs="Times New Roman" w:eastAsia="Times New Roman" w:hAnsi="Times New Roman"/>
          <w:sz w:val="14"/>
          <w:szCs w:val="14"/>
          <w:color w:val="auto"/>
        </w:rPr>
        <w:t>” shall mean the earlier to occur of: (i) the date the Board, a committee of the Board or the officer or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97" w:lineRule="exact"/>
        <w:rPr>
          <w:rFonts w:ascii="Times New Roman" w:cs="Times New Roman" w:eastAsia="Times New Roman" w:hAnsi="Times New Roman"/>
          <w:sz w:val="14"/>
          <w:szCs w:val="14"/>
          <w:color w:val="auto"/>
        </w:rPr>
      </w:pPr>
    </w:p>
    <w:p>
      <w:pPr>
        <w:ind w:left="868" w:hanging="436"/>
        <w:spacing w:after="0"/>
        <w:tabs>
          <w:tab w:leader="none" w:pos="868" w:val="left"/>
        </w:tabs>
        <w:numPr>
          <w:ilvl w:val="1"/>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w:t>
      </w:r>
      <w:r>
        <w:rPr>
          <w:rFonts w:ascii="Times New Roman" w:cs="Times New Roman" w:eastAsia="Times New Roman" w:hAnsi="Times New Roman"/>
          <w:sz w:val="14"/>
          <w:szCs w:val="14"/>
          <w:color w:val="auto"/>
        </w:rPr>
        <w:t>” shall mean the U.S. Securities and Exchange Commission.</w:t>
      </w:r>
    </w:p>
    <w:p>
      <w:pPr>
        <w:spacing w:after="0" w:line="200" w:lineRule="exact"/>
        <w:rPr>
          <w:rFonts w:ascii="Times New Roman" w:cs="Times New Roman" w:eastAsia="Times New Roman" w:hAnsi="Times New Roman"/>
          <w:sz w:val="14"/>
          <w:szCs w:val="14"/>
          <w:color w:val="auto"/>
        </w:rPr>
      </w:pPr>
    </w:p>
    <w:p>
      <w:pPr>
        <w:spacing w:after="0" w:line="237" w:lineRule="exact"/>
        <w:rPr>
          <w:rFonts w:ascii="Times New Roman" w:cs="Times New Roman" w:eastAsia="Times New Roman" w:hAnsi="Times New Roman"/>
          <w:sz w:val="14"/>
          <w:szCs w:val="14"/>
          <w:color w:val="auto"/>
        </w:rPr>
      </w:pPr>
    </w:p>
    <w:p>
      <w:pPr>
        <w:ind w:left="428" w:hanging="428"/>
        <w:spacing w:after="0"/>
        <w:tabs>
          <w:tab w:leader="none" w:pos="428"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Repayment of Erroneously Awarded Compensation</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jc w:val="both"/>
        <w:ind w:left="8" w:firstLine="424"/>
        <w:spacing w:after="0" w:line="227" w:lineRule="auto"/>
        <w:tabs>
          <w:tab w:leader="none" w:pos="870" w:val="left"/>
        </w:tabs>
        <w:numPr>
          <w:ilvl w:val="1"/>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the Company is required to prepare an Accounting Restatement, the Administrator shall reasonably promptly (in accordance with the applicable Clawback Rules) determine the amount of any Erroneously Awarded Compensation for each Executive Officer in connection with such Accounting Restatement and shall reasonably promptly thereafter provide each Executive Officer with notice containing the amount of Erroneously Awarded Compensation and a demand for repayment or return, as applicable. For Clawback Eligible Incentive Compensation based on stock price or total shareholder return where the amount of Erroneously Awarded Compensation is not subject to mathematical recalculation directly from the information in the applicable Accounting Restatement, the amount shall be determined by the Administrator based on a reasonable estimate of the effect of the Accounting Restatement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308"/>
          </w:cols>
          <w:pgMar w:left="292" w:top="976" w:right="299" w:bottom="1440" w:gutter="0" w:footer="0" w:header="0"/>
        </w:sectPr>
      </w:pPr>
    </w:p>
    <w:bookmarkStart w:id="202" w:name="page203"/>
    <w:bookmarkEnd w:id="202"/>
    <w:p>
      <w:pPr>
        <w:jc w:val="both"/>
        <w:ind w:left="8"/>
        <w:spacing w:after="0" w:line="231" w:lineRule="auto"/>
        <w:rPr>
          <w:sz w:val="20"/>
          <w:szCs w:val="20"/>
          <w:color w:val="auto"/>
        </w:rPr>
      </w:pPr>
      <w:r>
        <w:rPr>
          <w:rFonts w:ascii="Times New Roman" w:cs="Times New Roman" w:eastAsia="Times New Roman" w:hAnsi="Times New Roman"/>
          <w:sz w:val="14"/>
          <w:szCs w:val="14"/>
          <w:color w:val="auto"/>
        </w:rPr>
        <w:t>stock price or total shareholder return upon which the Clawback Eligible Incentive Compensation was Received (in which case, the Company shall maintain documentation of such determination of that reasonable estimate and provide such documentation to the Listing Exchange). The Administrator is authorized to engage, on behalf of the Company, any third-party advisors it deems advisable in order to perform any calculations contemplated by this Policy. For the avoidance of doubt, recovery under this Policy with respect to an Executive Officer shall not require the finding of any misconduct by such Executive Officer or such Executive Officer being found responsible for the accounting error leading to an Accounting Restatement.</w:t>
      </w:r>
    </w:p>
    <w:p>
      <w:pPr>
        <w:spacing w:after="0" w:line="100" w:lineRule="exact"/>
        <w:rPr>
          <w:sz w:val="20"/>
          <w:szCs w:val="20"/>
          <w:color w:val="auto"/>
        </w:rPr>
      </w:pPr>
    </w:p>
    <w:p>
      <w:pPr>
        <w:jc w:val="both"/>
        <w:ind w:left="8" w:firstLine="424"/>
        <w:spacing w:after="0" w:line="225" w:lineRule="auto"/>
        <w:tabs>
          <w:tab w:leader="none" w:pos="869" w:val="left"/>
        </w:tabs>
        <w:numPr>
          <w:ilvl w:val="1"/>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any repayment of Erroneously Awarded Compensation is owed to the Company, the Administrator shall recover reasonably promptly the Erroneously Awarded Compensation through any Method of Recovery it deems reasonable and appropriate in its discretion based on all applicable facts and circumstances and taking into account the time value of money and the cost to shareholders of delaying recovery. For the avoidance of doubt, except to the extent permitted pursuant to the Clawback Rules, in no event may the Company accept an amount that is less than the amount of Erroneously Awarded Compensation in satisfaction of an Executive Officer’s obligations hereunder. Notwithstanding anything herein to the contrary, the Company shall not be required to take the actions contemplated in this Section 4(b) if the Committee determines in good faith that recovery would be Impracticable. In implementing the actions contemplated in this Section 4(b), the Administrator will act in accordance with the listing standards and requirements of the Listing Exchange and with the applicable Clawback Rules.</w:t>
      </w:r>
    </w:p>
    <w:p>
      <w:pPr>
        <w:spacing w:after="0" w:line="102" w:lineRule="exact"/>
        <w:rPr>
          <w:rFonts w:ascii="Times New Roman" w:cs="Times New Roman" w:eastAsia="Times New Roman" w:hAnsi="Times New Roman"/>
          <w:sz w:val="14"/>
          <w:szCs w:val="14"/>
          <w:color w:val="auto"/>
        </w:rPr>
      </w:pPr>
    </w:p>
    <w:p>
      <w:pPr>
        <w:ind w:left="8" w:hanging="8"/>
        <w:spacing w:after="0" w:line="255" w:lineRule="auto"/>
        <w:tabs>
          <w:tab w:leader="none" w:pos="440"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Reporting and Disclosure</w:t>
      </w:r>
      <w:r>
        <w:rPr>
          <w:rFonts w:ascii="Times New Roman" w:cs="Times New Roman" w:eastAsia="Times New Roman" w:hAnsi="Times New Roman"/>
          <w:sz w:val="14"/>
          <w:szCs w:val="14"/>
          <w:color w:val="auto"/>
        </w:rPr>
        <w:t>. The Company shall file all disclosures with respect to this Policy in accordance with the requirements of U.S. federal securities laws, including any disclosure required by applicable SEC rules.</w:t>
      </w:r>
    </w:p>
    <w:p>
      <w:pPr>
        <w:spacing w:after="0" w:line="89" w:lineRule="exact"/>
        <w:rPr>
          <w:rFonts w:ascii="Times New Roman" w:cs="Times New Roman" w:eastAsia="Times New Roman" w:hAnsi="Times New Roman"/>
          <w:sz w:val="14"/>
          <w:szCs w:val="14"/>
          <w:color w:val="auto"/>
        </w:rPr>
      </w:pPr>
    </w:p>
    <w:p>
      <w:pPr>
        <w:jc w:val="both"/>
        <w:ind w:left="8" w:hanging="8"/>
        <w:spacing w:after="0" w:line="227" w:lineRule="auto"/>
        <w:tabs>
          <w:tab w:leader="none" w:pos="440"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 Prohibition</w:t>
      </w:r>
      <w:r>
        <w:rPr>
          <w:rFonts w:ascii="Times New Roman" w:cs="Times New Roman" w:eastAsia="Times New Roman" w:hAnsi="Times New Roman"/>
          <w:sz w:val="14"/>
          <w:szCs w:val="14"/>
          <w:color w:val="auto"/>
        </w:rPr>
        <w:t>. The Company shall not be permitted to indemnify any Executive Officer against the loss of any Erroneously Awarded Compensation that is repaid, returned or recovered pursuant to the terms of this Policy and/or pursuant to the Clawback Rules or to pay or reimburse any Executive Officer for the cost of third-party insurance purchased by an Executive Officer to cover any such loss under this Policy and/or pursuant to the Clawback Rules. Further, the Company shall not enter into any agreement that exempts any Incentive-based Compensation from the application of this Policy or that waives the Company’s right to recovery of any Erroneously Awarded Compensation and this Policy shall supersede any such agreement (whether entered into before, on or after the Effective Date). Any such purported indemnification (whether oral or in writing) shall be null and void.</w:t>
      </w:r>
    </w:p>
    <w:p>
      <w:pPr>
        <w:spacing w:after="0" w:line="102" w:lineRule="exact"/>
        <w:rPr>
          <w:rFonts w:ascii="Times New Roman" w:cs="Times New Roman" w:eastAsia="Times New Roman" w:hAnsi="Times New Roman"/>
          <w:sz w:val="14"/>
          <w:szCs w:val="14"/>
          <w:color w:val="auto"/>
        </w:rPr>
      </w:pPr>
    </w:p>
    <w:p>
      <w:pPr>
        <w:jc w:val="both"/>
        <w:ind w:left="8" w:hanging="8"/>
        <w:spacing w:after="0"/>
        <w:tabs>
          <w:tab w:leader="none" w:pos="440"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Interpretation</w:t>
      </w:r>
      <w:r>
        <w:rPr>
          <w:rFonts w:ascii="Times New Roman" w:cs="Times New Roman" w:eastAsia="Times New Roman" w:hAnsi="Times New Roman"/>
          <w:sz w:val="14"/>
          <w:szCs w:val="14"/>
          <w:color w:val="auto"/>
        </w:rPr>
        <w:t>. The Administrator is authorized to interpret and construe this Policy and to make all determinations necessary, appropriate, or advisable for the administration of this Policy. It is intended that this Policy be interpreted in a manner that is consistent with the requirements of the Clawback Rules. The terms of this Policy shall also be construed and enforced in such a manner as to comply with applicable law, including the Sarbanes-Oxley Act of 2002, the Dodd-Frank Wall Street Reform and Consumer Protection Act, and any other law or regulation that the Administrator determines is applicable. In the event any provision of this Policy is determined to be unenforceable or invalid under applicable law, such provision shall be applied to the maximum extent permitted by applicable law and shall automatically be deemed amended in a manner consistent with its objectives to the extent necessary to conform to any limitations required by applicable law.</w:t>
      </w:r>
    </w:p>
    <w:p>
      <w:pPr>
        <w:spacing w:after="0" w:line="203" w:lineRule="exact"/>
        <w:rPr>
          <w:rFonts w:ascii="Times New Roman" w:cs="Times New Roman" w:eastAsia="Times New Roman" w:hAnsi="Times New Roman"/>
          <w:sz w:val="14"/>
          <w:szCs w:val="14"/>
          <w:color w:val="auto"/>
        </w:rPr>
      </w:pPr>
    </w:p>
    <w:p>
      <w:pPr>
        <w:ind w:left="428" w:hanging="428"/>
        <w:spacing w:after="0"/>
        <w:tabs>
          <w:tab w:leader="none" w:pos="428"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Effective Date</w:t>
      </w:r>
      <w:r>
        <w:rPr>
          <w:rFonts w:ascii="Times New Roman" w:cs="Times New Roman" w:eastAsia="Times New Roman" w:hAnsi="Times New Roman"/>
          <w:sz w:val="14"/>
          <w:szCs w:val="14"/>
          <w:color w:val="auto"/>
        </w:rPr>
        <w:t>. This Policy shall be effective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308"/>
          </w:cols>
          <w:pgMar w:left="292" w:top="976" w:right="299" w:bottom="1440" w:gutter="0" w:footer="0" w:header="0"/>
        </w:sectPr>
      </w:pPr>
    </w:p>
    <w:bookmarkStart w:id="203" w:name="page204"/>
    <w:bookmarkEnd w:id="203"/>
    <w:p>
      <w:pPr>
        <w:jc w:val="both"/>
        <w:ind w:left="8" w:hanging="8"/>
        <w:spacing w:after="0" w:line="225" w:lineRule="auto"/>
        <w:tabs>
          <w:tab w:leader="none" w:pos="440"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 Termination</w:t>
      </w:r>
      <w:r>
        <w:rPr>
          <w:rFonts w:ascii="Times New Roman" w:cs="Times New Roman" w:eastAsia="Times New Roman" w:hAnsi="Times New Roman"/>
          <w:sz w:val="14"/>
          <w:szCs w:val="14"/>
          <w:color w:val="auto"/>
        </w:rPr>
        <w:t>. The Administrator may modify or amend this Policy, in whole or in part, from time to time in its discretion and shall amend any or all of the provisions of this Policy as it deems necessary, including as and when it determines that it is legally required by the Clawback Rules, or any federal securities law, SEC rule or Listing Exchange rule. The Administrator may terminate this Policy at any time. Notwithstanding anything in this Section 9 to the contrary, no amendment or termination of this Policy shall be effective if such amendment or termination would (after taking into account any actions taken by the Company contemporaneously with such amendment or termination) cause the Company to violate the Clawback Rules, or any federal securities law, SEC rule or Listing Exchange rule. Furthermore, unless otherwise determined by the Administrator or as otherwise amended, this Policy shall automatically be deemed amended in a manner necessary to comply with any change in the Clawback Rules.</w:t>
      </w:r>
    </w:p>
    <w:p>
      <w:pPr>
        <w:spacing w:after="0" w:line="102" w:lineRule="exact"/>
        <w:rPr>
          <w:rFonts w:ascii="Times New Roman" w:cs="Times New Roman" w:eastAsia="Times New Roman" w:hAnsi="Times New Roman"/>
          <w:sz w:val="14"/>
          <w:szCs w:val="14"/>
          <w:color w:val="auto"/>
        </w:rPr>
      </w:pPr>
    </w:p>
    <w:p>
      <w:pPr>
        <w:jc w:val="both"/>
        <w:ind w:left="8" w:hanging="8"/>
        <w:spacing w:after="0" w:line="220" w:lineRule="auto"/>
        <w:tabs>
          <w:tab w:leader="none" w:pos="440"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Recoupment Rights; No Additional Payments</w:t>
      </w:r>
      <w:r>
        <w:rPr>
          <w:rFonts w:ascii="Times New Roman" w:cs="Times New Roman" w:eastAsia="Times New Roman" w:hAnsi="Times New Roman"/>
          <w:sz w:val="14"/>
          <w:szCs w:val="14"/>
          <w:color w:val="auto"/>
        </w:rPr>
        <w:t>. The Administrator intends that this Policy will be applied to the fullest extent permitted by applicable law. The Administrator may require that any employment agreement, equity award agreement, or any other agreement entered into on or after the Effective Date shall, as a condition to the grant of any benefit thereunder, require an Executive Officer to agree to abide by the terms of this Policy. Executive Officers shall be deemed to have accepted continuing employment on terms that include compliance with the Policy, to the extent of its otherwise applicable provisions, and to be contractually bound by its enforcement provisions. Executive Officers who cease employment or service with the Company shall continue to be bound by the terms of the Policy with respect to Clawback Eligible Incentive Compensation. Any right of recoupment under this Policy is in addition to, and not in lieu of, any other remedies or rights of recoupment that may be available to the Company under applicable law, regulation or rule or pursuant to the terms of any similar policy in any employment agreement, cash-based bonus plan, equity award agreement or similar agreement and any other legal remedies available to the Company. To the extent that an Executive Officer has already reimbursed the Company for any Erroneously Awarded Compensation Received under any duplicative recovery obligations established by the Company or applicable law, it shall be appropriate for any such reimbursed amount to be credited to the amount of Erroneously Awarded Compensation that is subject to recovery under this Policy, as determined by the Administrator in its sole discretion. Nothing in this Policy precludes the Company from implementing any additional clawback or recoupment policies with respect to Executive Officers or any other service provider of the Company. Application of this Policy does not preclude the Company from taking any other action to enforce any Executive Officer’s obligations to the Company, including termination of employment or institution of civil or criminal proceedings or any other remedies that may be available to the Company with respect to any Executive Officer.</w:t>
      </w:r>
    </w:p>
    <w:p>
      <w:pPr>
        <w:spacing w:after="0" w:line="101" w:lineRule="exact"/>
        <w:rPr>
          <w:rFonts w:ascii="Times New Roman" w:cs="Times New Roman" w:eastAsia="Times New Roman" w:hAnsi="Times New Roman"/>
          <w:sz w:val="14"/>
          <w:szCs w:val="14"/>
          <w:color w:val="auto"/>
        </w:rPr>
      </w:pPr>
    </w:p>
    <w:p>
      <w:pPr>
        <w:ind w:left="8" w:right="20" w:hanging="8"/>
        <w:spacing w:after="0" w:line="255" w:lineRule="auto"/>
        <w:tabs>
          <w:tab w:leader="none" w:pos="435"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Successors</w:t>
      </w:r>
      <w:r>
        <w:rPr>
          <w:rFonts w:ascii="Times New Roman" w:cs="Times New Roman" w:eastAsia="Times New Roman" w:hAnsi="Times New Roman"/>
          <w:sz w:val="14"/>
          <w:szCs w:val="14"/>
          <w:color w:val="auto"/>
        </w:rPr>
        <w:t>. This Policy shall be binding and enforceable against all Executive Officers and their beneficiaries, estates, heirs, executors, administrators or other legal representatives to the extent required by the Clawback Rules or as otherwise determined by the Administrator.</w:t>
      </w:r>
    </w:p>
    <w:p>
      <w:pPr>
        <w:spacing w:after="0" w:line="89" w:lineRule="exact"/>
        <w:rPr>
          <w:rFonts w:ascii="Times New Roman" w:cs="Times New Roman" w:eastAsia="Times New Roman" w:hAnsi="Times New Roman"/>
          <w:sz w:val="14"/>
          <w:szCs w:val="14"/>
          <w:color w:val="auto"/>
        </w:rPr>
      </w:pPr>
    </w:p>
    <w:p>
      <w:pPr>
        <w:ind w:left="540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  *</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47" w:lineRule="exact"/>
        <w:rPr>
          <w:rFonts w:ascii="Times New Roman" w:cs="Times New Roman" w:eastAsia="Times New Roman" w:hAnsi="Times New Roman"/>
          <w:sz w:val="14"/>
          <w:szCs w:val="14"/>
          <w:color w:val="auto"/>
        </w:rPr>
      </w:pPr>
    </w:p>
    <w:p>
      <w:pPr>
        <w:ind w:left="560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w:t>
      </w:r>
    </w:p>
    <w:p>
      <w:pPr>
        <w:sectPr>
          <w:pgSz w:w="11900" w:h="16838" w:orient="portrait"/>
          <w:cols w:equalWidth="0" w:num="1">
            <w:col w:w="11308"/>
          </w:cols>
          <w:pgMar w:left="292" w:top="976" w:right="299" w:bottom="1440" w:gutter="0" w:footer="0" w:header="0"/>
        </w:sectPr>
      </w:pPr>
    </w:p>
    <w:bookmarkStart w:id="204" w:name="page205"/>
    <w:bookmarkEnd w:id="204"/>
    <w:p>
      <w:pPr>
        <w:ind w:left="5340"/>
        <w:spacing w:after="0"/>
        <w:rPr>
          <w:sz w:val="20"/>
          <w:szCs w:val="20"/>
          <w:color w:val="auto"/>
        </w:rPr>
      </w:pPr>
      <w:r>
        <w:rPr>
          <w:rFonts w:ascii="Times New Roman" w:cs="Times New Roman" w:eastAsia="Times New Roman" w:hAnsi="Times New Roman"/>
          <w:sz w:val="14"/>
          <w:szCs w:val="14"/>
          <w:b w:val="1"/>
          <w:bCs w:val="1"/>
          <w:color w:val="auto"/>
        </w:rPr>
        <w:t>Exhibit A</w:t>
      </w:r>
    </w:p>
    <w:p>
      <w:pPr>
        <w:spacing w:after="0" w:line="12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HONEYWELL INTERNATIONAL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CLAWBACK POLICY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ACKNOWLEDGEMENT AND ACCEPTANCE FORM</w:t>
      </w:r>
    </w:p>
    <w:p>
      <w:pPr>
        <w:spacing w:after="0" w:line="1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Capitalized terms used but not otherwise defined in this Acknowledgement and Acceptance Form shall have the meanings ascribed to such terms in the Honeywell International Inc. Clawback Policy (the “</w:t>
      </w:r>
      <w:r>
        <w:rPr>
          <w:rFonts w:ascii="Times New Roman" w:cs="Times New Roman" w:eastAsia="Times New Roman" w:hAnsi="Times New Roman"/>
          <w:sz w:val="14"/>
          <w:szCs w:val="14"/>
          <w:b w:val="1"/>
          <w:bCs w:val="1"/>
          <w:i w:val="1"/>
          <w:iCs w:val="1"/>
          <w:color w:val="auto"/>
        </w:rPr>
        <w:t>Policy</w:t>
      </w:r>
      <w:r>
        <w:rPr>
          <w:rFonts w:ascii="Times New Roman" w:cs="Times New Roman" w:eastAsia="Times New Roman" w:hAnsi="Times New Roman"/>
          <w:sz w:val="14"/>
          <w:szCs w:val="14"/>
          <w:color w:val="auto"/>
        </w:rPr>
        <w:t>”). By signing below, the undersigned executive officer (the “</w:t>
      </w:r>
      <w:r>
        <w:rPr>
          <w:rFonts w:ascii="Times New Roman" w:cs="Times New Roman" w:eastAsia="Times New Roman" w:hAnsi="Times New Roman"/>
          <w:sz w:val="14"/>
          <w:szCs w:val="14"/>
          <w:b w:val="1"/>
          <w:bCs w:val="1"/>
          <w:i w:val="1"/>
          <w:iCs w:val="1"/>
          <w:color w:val="auto"/>
        </w:rPr>
        <w:t>Executive Officer</w:t>
      </w:r>
      <w:r>
        <w:rPr>
          <w:rFonts w:ascii="Times New Roman" w:cs="Times New Roman" w:eastAsia="Times New Roman" w:hAnsi="Times New Roman"/>
          <w:sz w:val="14"/>
          <w:szCs w:val="14"/>
          <w:color w:val="auto"/>
        </w:rPr>
        <w:t>”) acknowledges and confirms that the Executive Officer has received and reviewed a copy of the Policy and, in addition, the Executive Officer acknowledges and agrees as follows:</w:t>
      </w:r>
    </w:p>
    <w:p>
      <w:pPr>
        <w:spacing w:after="0" w:line="65" w:lineRule="exact"/>
        <w:rPr>
          <w:sz w:val="20"/>
          <w:szCs w:val="20"/>
          <w:color w:val="auto"/>
        </w:rPr>
      </w:pPr>
    </w:p>
    <w:p>
      <w:pPr>
        <w:ind w:left="860" w:hanging="436"/>
        <w:spacing w:after="0"/>
        <w:tabs>
          <w:tab w:leader="none" w:pos="860"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Executive Officer is and will continue to be subject to the Policy and that the Policy will apply both during and after the Executive Officer’s employment with the Company;</w:t>
      </w:r>
    </w:p>
    <w:p>
      <w:pPr>
        <w:spacing w:after="0" w:line="91" w:lineRule="exact"/>
        <w:rPr>
          <w:rFonts w:ascii="Times New Roman" w:cs="Times New Roman" w:eastAsia="Times New Roman" w:hAnsi="Times New Roman"/>
          <w:sz w:val="14"/>
          <w:szCs w:val="14"/>
          <w:color w:val="auto"/>
        </w:rPr>
      </w:pPr>
    </w:p>
    <w:p>
      <w:pPr>
        <w:jc w:val="both"/>
        <w:ind w:firstLine="424"/>
        <w:spacing w:after="0" w:line="236" w:lineRule="auto"/>
        <w:tabs>
          <w:tab w:leader="none" w:pos="861"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necessary to comply with the Policy, the Policy hereby amends any employment agreement, equity award agreement or similar agreement that the Executive Officer is a party to with the Company and shall apply and govern Incentive-based Compensation Received by any Executive Officer, notwithstanding any contrary or supplemental term or condition in any document, plan or agreement including without limitation any employment contract, indemnification agreement, equity agreement, or equity plan document;</w:t>
      </w:r>
    </w:p>
    <w:p>
      <w:pPr>
        <w:spacing w:after="0" w:line="65" w:lineRule="exact"/>
        <w:rPr>
          <w:rFonts w:ascii="Times New Roman" w:cs="Times New Roman" w:eastAsia="Times New Roman" w:hAnsi="Times New Roman"/>
          <w:sz w:val="14"/>
          <w:szCs w:val="14"/>
          <w:color w:val="auto"/>
        </w:rPr>
      </w:pPr>
    </w:p>
    <w:p>
      <w:pPr>
        <w:ind w:right="20" w:firstLine="424"/>
        <w:spacing w:after="0" w:line="255" w:lineRule="auto"/>
        <w:tabs>
          <w:tab w:leader="none" w:pos="862"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Executive Officer shall abide by the terms of the Policy, including, without limitation, by returning any Erroneously Awarded Compensation to the Company to the extent required by, and in a manner permitted by, the Policy;</w:t>
      </w:r>
    </w:p>
    <w:p>
      <w:pPr>
        <w:spacing w:after="0" w:line="53" w:lineRule="exact"/>
        <w:rPr>
          <w:rFonts w:ascii="Times New Roman" w:cs="Times New Roman" w:eastAsia="Times New Roman" w:hAnsi="Times New Roman"/>
          <w:sz w:val="14"/>
          <w:szCs w:val="14"/>
          <w:color w:val="auto"/>
        </w:rPr>
      </w:pPr>
    </w:p>
    <w:p>
      <w:pPr>
        <w:ind w:firstLine="424"/>
        <w:spacing w:after="0" w:line="255" w:lineRule="auto"/>
        <w:tabs>
          <w:tab w:leader="none" w:pos="861"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amounts payable to the Executive Officer, including any Incentive-based Compensation, shall be subject to the Policy as may be in effect and modified from time to time in the sole discretion of the Administrator or as required by applicable law or the requirements of the Listing Exchange, and that such modification will be deemed to amend this acknowledgment;</w:t>
      </w:r>
    </w:p>
    <w:p>
      <w:pPr>
        <w:spacing w:after="0" w:line="53" w:lineRule="exact"/>
        <w:rPr>
          <w:rFonts w:ascii="Times New Roman" w:cs="Times New Roman" w:eastAsia="Times New Roman" w:hAnsi="Times New Roman"/>
          <w:sz w:val="14"/>
          <w:szCs w:val="14"/>
          <w:color w:val="auto"/>
        </w:rPr>
      </w:pPr>
    </w:p>
    <w:p>
      <w:pPr>
        <w:ind w:firstLine="424"/>
        <w:spacing w:after="0" w:line="255" w:lineRule="auto"/>
        <w:tabs>
          <w:tab w:leader="none" w:pos="862"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recover compensation paid to the Executive Officer through any Method of Recovery the Administrator deems appropriate, and the Executive Officer agrees to comply with any request or demand for repayment by the Company in order to comply with the Policy;</w:t>
      </w:r>
    </w:p>
    <w:p>
      <w:pPr>
        <w:spacing w:after="0" w:line="53" w:lineRule="exact"/>
        <w:rPr>
          <w:rFonts w:ascii="Times New Roman" w:cs="Times New Roman" w:eastAsia="Times New Roman" w:hAnsi="Times New Roman"/>
          <w:sz w:val="14"/>
          <w:szCs w:val="14"/>
          <w:color w:val="auto"/>
        </w:rPr>
      </w:pPr>
    </w:p>
    <w:p>
      <w:pPr>
        <w:ind w:firstLine="424"/>
        <w:spacing w:after="0" w:line="255" w:lineRule="auto"/>
        <w:tabs>
          <w:tab w:leader="none" w:pos="864"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w:t>
      </w:r>
    </w:p>
    <w:p>
      <w:pPr>
        <w:spacing w:after="0" w:line="53" w:lineRule="exact"/>
        <w:rPr>
          <w:rFonts w:ascii="Times New Roman" w:cs="Times New Roman" w:eastAsia="Times New Roman" w:hAnsi="Times New Roman"/>
          <w:sz w:val="14"/>
          <w:szCs w:val="14"/>
          <w:color w:val="auto"/>
        </w:rPr>
      </w:pPr>
    </w:p>
    <w:p>
      <w:pPr>
        <w:jc w:val="both"/>
        <w:ind w:firstLine="424"/>
        <w:spacing w:after="0" w:line="236" w:lineRule="auto"/>
        <w:tabs>
          <w:tab w:leader="none" w:pos="861"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to the greatest extent permitted by applicable law, reduce any amount that may become payable to the Executive Officer by any amount to be recovered by the Company pursuant to the Policy to the extent such amount has not been returned by the Executive Officer to the Company prior to the date that any subsequent amount becomes payable to the Executive Officer; and</w:t>
      </w:r>
    </w:p>
    <w:p>
      <w:pPr>
        <w:spacing w:after="0" w:line="209" w:lineRule="exact"/>
        <w:rPr>
          <w:rFonts w:ascii="Times New Roman" w:cs="Times New Roman" w:eastAsia="Times New Roman" w:hAnsi="Times New Roman"/>
          <w:sz w:val="14"/>
          <w:szCs w:val="14"/>
          <w:color w:val="auto"/>
        </w:rPr>
      </w:pPr>
    </w:p>
    <w:p>
      <w:pPr>
        <w:jc w:val="both"/>
        <w:ind w:firstLine="424"/>
        <w:spacing w:after="0" w:line="236" w:lineRule="auto"/>
        <w:tabs>
          <w:tab w:leader="none" w:pos="861"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assertion or application of any rights under federal, state, local or foreign law or in contract or equity that would otherwise conflict with or narrow the Company’s authority to interpret, apply and enforce the Policy to its fullest extent, including but not limited to, the Company’s authority to withhold or divert my wages pursuant to the Policy, is hereby waived by the Executive Officer.</w:t>
      </w:r>
    </w:p>
    <w:p>
      <w:pPr>
        <w:sectPr>
          <w:pgSz w:w="11900" w:h="16838" w:orient="portrait"/>
          <w:cols w:equalWidth="0" w:num="1">
            <w:col w:w="11300"/>
          </w:cols>
          <w:pgMar w:left="300" w:top="974" w:right="299" w:bottom="1440" w:gutter="0" w:footer="0" w:header="0"/>
        </w:sectPr>
      </w:pPr>
    </w:p>
    <w:bookmarkStart w:id="205" w:name="page206"/>
    <w:bookmarkEnd w:id="205"/>
    <w:p>
      <w:pPr>
        <w:ind w:left="1440"/>
        <w:spacing w:after="0"/>
        <w:rPr>
          <w:sz w:val="20"/>
          <w:szCs w:val="20"/>
          <w:color w:val="auto"/>
        </w:rPr>
      </w:pP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-95885</wp:posOffset>
            </wp:positionV>
            <wp:extent cx="9144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45">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25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-95885</wp:posOffset>
            </wp:positionV>
            <wp:extent cx="9144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46">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25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-95885</wp:posOffset>
            </wp:positionV>
            <wp:extent cx="9144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7">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i w:val="1"/>
          <w:iCs w:val="1"/>
          <w:color w:val="auto"/>
        </w:rPr>
        <w:t>Signature page to Honeywell International Inc. Clawback Policy</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Acknowledgement and Acceptance Form</w:t>
      </w:r>
    </w:p>
    <w:sectPr>
      <w:pgSz w:w="11900" w:h="16838" w:orient="portrait"/>
      <w:cols w:equalWidth="0" w:num="1">
        <w:col w:w="9019"/>
      </w:cols>
      <w:pgMar w:left="1440" w:top="11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15FF32"/>
    <w:multiLevelType w:val="hybridMultilevel"/>
    <w:lvl w:ilvl="0">
      <w:lvlJc w:val="left"/>
      <w:lvlText w:val="☐"/>
      <w:numFmt w:val="bullet"/>
      <w:start w:val="1"/>
    </w:lvl>
  </w:abstractNum>
  <w:abstractNum w:abstractNumId="1">
    <w:nsid w:val="56438D15"/>
    <w:multiLevelType w:val="hybridMultilevel"/>
    <w:lvl w:ilvl="0">
      <w:lvlJc w:val="left"/>
      <w:lvlText w:val="1"/>
      <w:numFmt w:val="bullet"/>
      <w:start w:val="1"/>
    </w:lvl>
  </w:abstractNum>
  <w:abstractNum w:abstractNumId="2">
    <w:nsid w:val="519E3149"/>
    <w:multiLevelType w:val="hybridMultilevel"/>
    <w:lvl w:ilvl="0">
      <w:lvlJc w:val="left"/>
      <w:lvlText w:val="%1"/>
      <w:numFmt w:val="decimal"/>
      <w:start w:val="17"/>
    </w:lvl>
  </w:abstractNum>
  <w:abstractNum w:abstractNumId="3">
    <w:nsid w:val="2C6E4AFD"/>
    <w:multiLevelType w:val="hybridMultilevel"/>
    <w:lvl w:ilvl="0">
      <w:lvlJc w:val="left"/>
      <w:lvlText w:val="%1"/>
      <w:numFmt w:val="decimal"/>
      <w:start w:val="25"/>
    </w:lvl>
  </w:abstractNum>
  <w:abstractNum w:abstractNumId="4">
    <w:nsid w:val="17A1B582"/>
    <w:multiLevelType w:val="hybridMultilevel"/>
    <w:lvl w:ilvl="0">
      <w:lvlJc w:val="left"/>
      <w:lvlText w:val="%1"/>
      <w:numFmt w:val="decimal"/>
      <w:start w:val="30"/>
    </w:lvl>
  </w:abstractNum>
  <w:abstractNum w:abstractNumId="5">
    <w:nsid w:val="4DF72E4E"/>
    <w:multiLevelType w:val="hybridMultilevel"/>
    <w:lvl w:ilvl="0">
      <w:lvlJc w:val="left"/>
      <w:lvlText w:val="%1"/>
      <w:numFmt w:val="decimal"/>
      <w:start w:val="38"/>
    </w:lvl>
  </w:abstractNum>
  <w:abstractNum w:abstractNumId="6">
    <w:nsid w:val="5046B5A9"/>
    <w:multiLevelType w:val="hybridMultilevel"/>
    <w:lvl w:ilvl="0">
      <w:lvlJc w:val="left"/>
      <w:lvlText w:val="%1"/>
      <w:numFmt w:val="decimal"/>
      <w:start w:val="38"/>
    </w:lvl>
  </w:abstractNum>
  <w:abstractNum w:abstractNumId="7">
    <w:nsid w:val="5D888A08"/>
    <w:multiLevelType w:val="hybridMultilevel"/>
    <w:lvl w:ilvl="0">
      <w:lvlJc w:val="left"/>
      <w:lvlText w:val="%1"/>
      <w:numFmt w:val="decimal"/>
      <w:start w:val="44"/>
    </w:lvl>
  </w:abstractNum>
  <w:abstractNum w:abstractNumId="8">
    <w:nsid w:val="2A082C70"/>
    <w:multiLevelType w:val="hybridMultilevel"/>
    <w:lvl w:ilvl="0">
      <w:lvlJc w:val="left"/>
      <w:lvlText w:val="%1"/>
      <w:numFmt w:val="decimal"/>
      <w:start w:val="47"/>
    </w:lvl>
  </w:abstractNum>
  <w:abstractNum w:abstractNumId="9">
    <w:nsid w:val="5EC6AFD4"/>
    <w:multiLevelType w:val="hybridMultilevel"/>
    <w:lvl w:ilvl="0">
      <w:lvlJc w:val="left"/>
      <w:lvlText w:val="%1"/>
      <w:numFmt w:val="decimal"/>
      <w:start w:val="49"/>
    </w:lvl>
  </w:abstractNum>
  <w:abstractNum w:abstractNumId="10">
    <w:nsid w:val="19E21BB2"/>
    <w:multiLevelType w:val="hybridMultilevel"/>
    <w:lvl w:ilvl="0">
      <w:lvlJc w:val="left"/>
      <w:lvlText w:val="%1"/>
      <w:numFmt w:val="decimal"/>
      <w:start w:val="50"/>
    </w:lvl>
  </w:abstractNum>
  <w:abstractNum w:abstractNumId="11">
    <w:nsid w:val="75E0858A"/>
    <w:multiLevelType w:val="hybridMultilevel"/>
    <w:lvl w:ilvl="0">
      <w:lvlJc w:val="left"/>
      <w:lvlText w:val="%1"/>
      <w:numFmt w:val="decimal"/>
      <w:start w:val="50"/>
    </w:lvl>
  </w:abstractNum>
  <w:abstractNum w:abstractNumId="12">
    <w:nsid w:val="57A61A29"/>
    <w:multiLevelType w:val="hybridMultilevel"/>
    <w:lvl w:ilvl="0">
      <w:lvlJc w:val="left"/>
      <w:lvlText w:val="%1"/>
      <w:numFmt w:val="decimal"/>
      <w:start w:val="53"/>
    </w:lvl>
  </w:abstractNum>
  <w:abstractNum w:abstractNumId="13">
    <w:nsid w:val="5399C654"/>
    <w:multiLevelType w:val="hybridMultilevel"/>
    <w:lvl w:ilvl="0">
      <w:lvlJc w:val="left"/>
      <w:lvlText w:val="%1"/>
      <w:numFmt w:val="decimal"/>
      <w:start w:val="115"/>
    </w:lvl>
  </w:abstractNum>
  <w:abstractNum w:abstractNumId="14">
    <w:nsid w:val="20EE1348"/>
    <w:multiLevelType w:val="hybridMultilevel"/>
    <w:lvl w:ilvl="0">
      <w:lvlJc w:val="left"/>
      <w:lvlText w:val="%1"/>
      <w:numFmt w:val="decimal"/>
      <w:start w:val="117"/>
    </w:lvl>
  </w:abstractNum>
  <w:abstractNum w:abstractNumId="15">
    <w:nsid w:val="4427069A"/>
    <w:multiLevelType w:val="hybridMultilevel"/>
    <w:lvl w:ilvl="0">
      <w:lvlJc w:val="left"/>
      <w:lvlText w:val="%1"/>
      <w:numFmt w:val="decimal"/>
      <w:start w:val="117"/>
    </w:lvl>
  </w:abstractNum>
  <w:abstractNum w:abstractNumId="16">
    <w:nsid w:val="B37E80A"/>
    <w:multiLevelType w:val="hybridMultilevel"/>
    <w:lvl w:ilvl="0">
      <w:lvlJc w:val="left"/>
      <w:lvlText w:val="%1"/>
      <w:numFmt w:val="decimal"/>
      <w:start w:val="117"/>
    </w:lvl>
  </w:abstractNum>
  <w:abstractNum w:abstractNumId="17">
    <w:nsid w:val="2157F6BC"/>
    <w:multiLevelType w:val="hybridMultilevel"/>
    <w:lvl w:ilvl="0">
      <w:lvlJc w:val="left"/>
      <w:lvlText w:val="%1"/>
      <w:numFmt w:val="decimal"/>
      <w:start w:val="118"/>
    </w:lvl>
  </w:abstractNum>
  <w:abstractNum w:abstractNumId="18">
    <w:nsid w:val="704E1DD5"/>
    <w:multiLevelType w:val="hybridMultilevel"/>
    <w:lvl w:ilvl="0">
      <w:lvlJc w:val="left"/>
      <w:lvlText w:val="%1"/>
      <w:numFmt w:val="decimal"/>
      <w:start w:val="118"/>
    </w:lvl>
  </w:abstractNum>
  <w:abstractNum w:abstractNumId="19">
    <w:nsid w:val="57D2F10E"/>
    <w:multiLevelType w:val="hybridMultilevel"/>
    <w:lvl w:ilvl="0">
      <w:lvlJc w:val="left"/>
      <w:lvlText w:val="%1"/>
      <w:numFmt w:val="decimal"/>
      <w:start w:val="118"/>
    </w:lvl>
  </w:abstractNum>
  <w:abstractNum w:abstractNumId="20">
    <w:nsid w:val="BFFAE18"/>
    <w:multiLevelType w:val="hybridMultilevel"/>
    <w:lvl w:ilvl="0">
      <w:lvlJc w:val="left"/>
      <w:lvlText w:val="%1"/>
      <w:numFmt w:val="decimal"/>
      <w:start w:val="120"/>
    </w:lvl>
  </w:abstractNum>
  <w:abstractNum w:abstractNumId="21">
    <w:nsid w:val="E3E47A8"/>
    <w:multiLevelType w:val="hybridMultilevel"/>
    <w:lvl w:ilvl="0">
      <w:lvlJc w:val="left"/>
      <w:lvlText w:val="%1"/>
      <w:numFmt w:val="decimal"/>
      <w:start w:val="120"/>
    </w:lvl>
  </w:abstractNum>
  <w:abstractNum w:abstractNumId="22">
    <w:nsid w:val="2E48F044"/>
    <w:multiLevelType w:val="hybridMultilevel"/>
    <w:lvl w:ilvl="0">
      <w:lvlJc w:val="left"/>
      <w:lvlText w:val="%1"/>
      <w:numFmt w:val="decimal"/>
      <w:start w:val="120"/>
    </w:lvl>
  </w:abstractNum>
  <w:abstractNum w:abstractNumId="23">
    <w:nsid w:val="49D0FEAC"/>
    <w:multiLevelType w:val="hybridMultilevel"/>
    <w:lvl w:ilvl="0">
      <w:lvlJc w:val="left"/>
      <w:lvlText w:val="%1"/>
      <w:numFmt w:val="decimal"/>
      <w:start w:val="125"/>
    </w:lvl>
  </w:abstractNum>
  <w:abstractNum w:abstractNumId="24">
    <w:nsid w:val="4BEE5A5B"/>
    <w:multiLevelType w:val="hybridMultilevel"/>
    <w:lvl w:ilvl="0">
      <w:lvlJc w:val="left"/>
      <w:lvlText w:val="%1"/>
      <w:numFmt w:val="decimal"/>
      <w:start w:val="127"/>
    </w:lvl>
  </w:abstractNum>
  <w:abstractNum w:abstractNumId="25">
    <w:nsid w:val="5551B9F3"/>
    <w:multiLevelType w:val="hybridMultilevel"/>
    <w:lvl w:ilvl="0">
      <w:lvlJc w:val="left"/>
      <w:lvlText w:val="1"/>
      <w:numFmt w:val="bullet"/>
      <w:start w:val="1"/>
    </w:lvl>
  </w:abstractNum>
  <w:abstractNum w:abstractNumId="26">
    <w:nsid w:val="24F6AB8E"/>
    <w:multiLevelType w:val="hybridMultilevel"/>
    <w:lvl w:ilvl="0">
      <w:lvlJc w:val="left"/>
      <w:lvlText w:val="2"/>
      <w:numFmt w:val="bullet"/>
      <w:start w:val="1"/>
    </w:lvl>
  </w:abstractNum>
  <w:abstractNum w:abstractNumId="27">
    <w:nsid w:val="634C574C"/>
    <w:multiLevelType w:val="hybridMultilevel"/>
    <w:lvl w:ilvl="0">
      <w:lvlJc w:val="left"/>
      <w:lvlText w:val="3"/>
      <w:numFmt w:val="bullet"/>
      <w:start w:val="1"/>
    </w:lvl>
  </w:abstractNum>
  <w:abstractNum w:abstractNumId="28">
    <w:nsid w:val="24E99DD7"/>
    <w:multiLevelType w:val="hybridMultilevel"/>
    <w:lvl w:ilvl="0">
      <w:lvlJc w:val="left"/>
      <w:lvlText w:val="4"/>
      <w:numFmt w:val="bullet"/>
      <w:start w:val="1"/>
    </w:lvl>
  </w:abstractNum>
  <w:abstractNum w:abstractNumId="29">
    <w:nsid w:val="2A31B62D"/>
    <w:multiLevelType w:val="hybridMultilevel"/>
    <w:lvl w:ilvl="0">
      <w:lvlJc w:val="left"/>
      <w:lvlText w:val="8"/>
      <w:numFmt w:val="bullet"/>
      <w:start w:val="1"/>
    </w:lvl>
  </w:abstractNum>
  <w:abstractNum w:abstractNumId="30">
    <w:nsid w:val="1849C29B"/>
    <w:multiLevelType w:val="hybridMultilevel"/>
    <w:lvl w:ilvl="0">
      <w:lvlJc w:val="left"/>
      <w:lvlText w:val="9"/>
      <w:numFmt w:val="bullet"/>
      <w:start w:val="1"/>
    </w:lvl>
  </w:abstractNum>
  <w:abstractNum w:abstractNumId="31">
    <w:nsid w:val="7DFF9D09"/>
    <w:multiLevelType w:val="hybridMultilevel"/>
    <w:lvl w:ilvl="0">
      <w:lvlJc w:val="left"/>
      <w:lvlText w:val="•"/>
      <w:numFmt w:val="bullet"/>
      <w:start w:val="1"/>
    </w:lvl>
  </w:abstractNum>
  <w:abstractNum w:abstractNumId="32">
    <w:nsid w:val="754342"/>
    <w:multiLevelType w:val="hybridMultilevel"/>
    <w:lvl w:ilvl="0">
      <w:lvlJc w:val="left"/>
      <w:lvlText w:val="(%1)"/>
      <w:numFmt w:val="lowerRoman"/>
      <w:start w:val="3"/>
    </w:lvl>
  </w:abstractNum>
  <w:abstractNum w:abstractNumId="33">
    <w:nsid w:val="69E7F3E5"/>
    <w:multiLevelType w:val="hybridMultilevel"/>
    <w:lvl w:ilvl="0">
      <w:lvlJc w:val="left"/>
      <w:lvlText w:val="%1"/>
      <w:numFmt w:val="decimal"/>
      <w:start w:val="10"/>
    </w:lvl>
  </w:abstractNum>
  <w:abstractNum w:abstractNumId="34">
    <w:nsid w:val="2A6DE806"/>
    <w:multiLevelType w:val="hybridMultilevel"/>
    <w:lvl w:ilvl="0">
      <w:lvlJc w:val="left"/>
      <w:lvlText w:val="1"/>
      <w:numFmt w:val="bullet"/>
      <w:start w:val="1"/>
    </w:lvl>
    <w:lvl w:ilvl="1">
      <w:lvlJc w:val="left"/>
      <w:lvlText w:val="•"/>
      <w:numFmt w:val="bullet"/>
      <w:start w:val="1"/>
    </w:lvl>
  </w:abstractNum>
  <w:abstractNum w:abstractNumId="35">
    <w:nsid w:val="1816F8C4"/>
    <w:multiLevelType w:val="hybridMultilevel"/>
    <w:lvl w:ilvl="0">
      <w:lvlJc w:val="left"/>
      <w:lvlText w:val="%1"/>
      <w:numFmt w:val="decimal"/>
      <w:start w:val="11"/>
    </w:lvl>
  </w:abstractNum>
  <w:abstractNum w:abstractNumId="36">
    <w:nsid w:val="37DF2233"/>
    <w:multiLevelType w:val="hybridMultilevel"/>
    <w:lvl w:ilvl="0">
      <w:lvlJc w:val="left"/>
      <w:lvlText w:val="1"/>
      <w:numFmt w:val="bullet"/>
      <w:start w:val="1"/>
    </w:lvl>
  </w:abstractNum>
  <w:abstractNum w:abstractNumId="37">
    <w:nsid w:val="7AB49DAF"/>
    <w:multiLevelType w:val="hybridMultilevel"/>
    <w:lvl w:ilvl="0">
      <w:lvlJc w:val="left"/>
      <w:lvlText w:val="%1"/>
      <w:numFmt w:val="decimal"/>
      <w:start w:val="12"/>
    </w:lvl>
  </w:abstractNum>
  <w:abstractNum w:abstractNumId="38">
    <w:nsid w:val="759F82CD"/>
    <w:multiLevelType w:val="hybridMultilevel"/>
    <w:lvl w:ilvl="0">
      <w:lvlJc w:val="left"/>
      <w:lvlText w:val="%1"/>
      <w:numFmt w:val="decimal"/>
      <w:start w:val="13"/>
    </w:lvl>
  </w:abstractNum>
  <w:abstractNum w:abstractNumId="39">
    <w:nsid w:val="61E74EA3"/>
    <w:multiLevelType w:val="hybridMultilevel"/>
    <w:lvl w:ilvl="0">
      <w:lvlJc w:val="left"/>
      <w:lvlText w:val="%1"/>
      <w:numFmt w:val="decimal"/>
      <w:start w:val="14"/>
    </w:lvl>
  </w:abstractNum>
  <w:abstractNum w:abstractNumId="40">
    <w:nsid w:val="597B4D84"/>
    <w:multiLevelType w:val="hybridMultilevel"/>
    <w:lvl w:ilvl="0">
      <w:lvlJc w:val="left"/>
      <w:lvlText w:val="%1"/>
      <w:numFmt w:val="decimal"/>
      <w:start w:val="15"/>
    </w:lvl>
  </w:abstractNum>
  <w:abstractNum w:abstractNumId="41">
    <w:nsid w:val="F819E7F"/>
    <w:multiLevelType w:val="hybridMultilevel"/>
    <w:lvl w:ilvl="0">
      <w:lvlJc w:val="left"/>
      <w:lvlText w:val="%1"/>
      <w:numFmt w:val="decimal"/>
      <w:start w:val="16"/>
    </w:lvl>
  </w:abstractNum>
  <w:abstractNum w:abstractNumId="42">
    <w:nsid w:val="57C7D42D"/>
    <w:multiLevelType w:val="hybridMultilevel"/>
    <w:lvl w:ilvl="0">
      <w:lvlJc w:val="left"/>
      <w:lvlText w:val="%1"/>
      <w:numFmt w:val="decimal"/>
      <w:start w:val="17"/>
    </w:lvl>
  </w:abstractNum>
  <w:abstractNum w:abstractNumId="43">
    <w:nsid w:val="312167AD"/>
    <w:multiLevelType w:val="hybridMultilevel"/>
    <w:lvl w:ilvl="0">
      <w:lvlJc w:val="left"/>
      <w:lvlText w:val="%1"/>
      <w:numFmt w:val="decimal"/>
      <w:start w:val="18"/>
    </w:lvl>
  </w:abstractNum>
  <w:abstractNum w:abstractNumId="44">
    <w:nsid w:val="631B64D4"/>
    <w:multiLevelType w:val="hybridMultilevel"/>
    <w:lvl w:ilvl="0">
      <w:lvlJc w:val="left"/>
      <w:lvlText w:val="%1"/>
      <w:numFmt w:val="decimal"/>
      <w:start w:val="19"/>
    </w:lvl>
  </w:abstractNum>
  <w:abstractNum w:abstractNumId="45">
    <w:nsid w:val="78B5E776"/>
    <w:multiLevelType w:val="hybridMultilevel"/>
    <w:lvl w:ilvl="0">
      <w:lvlJc w:val="left"/>
      <w:lvlText w:val="•"/>
      <w:numFmt w:val="bullet"/>
      <w:start w:val="1"/>
    </w:lvl>
  </w:abstractNum>
  <w:abstractNum w:abstractNumId="46">
    <w:nsid w:val="75486E47"/>
    <w:multiLevelType w:val="hybridMultilevel"/>
    <w:lvl w:ilvl="0">
      <w:lvlJc w:val="left"/>
      <w:lvlText w:val="%1"/>
      <w:numFmt w:val="decimal"/>
      <w:start w:val="20"/>
    </w:lvl>
  </w:abstractNum>
  <w:abstractNum w:abstractNumId="47">
    <w:nsid w:val="6E534CDE"/>
    <w:multiLevelType w:val="hybridMultilevel"/>
    <w:lvl w:ilvl="0">
      <w:lvlJc w:val="left"/>
      <w:lvlText w:val="•"/>
      <w:numFmt w:val="bullet"/>
      <w:start w:val="1"/>
    </w:lvl>
  </w:abstractNum>
  <w:abstractNum w:abstractNumId="48">
    <w:nsid w:val="1A0DDE32"/>
    <w:multiLevelType w:val="hybridMultilevel"/>
    <w:lvl w:ilvl="0">
      <w:lvlJc w:val="left"/>
      <w:lvlText w:val="%1"/>
      <w:numFmt w:val="decimal"/>
      <w:start w:val="21"/>
    </w:lvl>
  </w:abstractNum>
  <w:abstractNum w:abstractNumId="49">
    <w:nsid w:val="65968C1C"/>
    <w:multiLevelType w:val="hybridMultilevel"/>
    <w:lvl w:ilvl="0">
      <w:lvlJc w:val="left"/>
      <w:lvlText w:val="•"/>
      <w:numFmt w:val="bullet"/>
      <w:start w:val="1"/>
    </w:lvl>
  </w:abstractNum>
  <w:abstractNum w:abstractNumId="50">
    <w:nsid w:val="46263DEC"/>
    <w:multiLevelType w:val="hybridMultilevel"/>
    <w:lvl w:ilvl="0">
      <w:lvlJc w:val="left"/>
      <w:lvlText w:val="%1"/>
      <w:numFmt w:val="decimal"/>
      <w:start w:val="22"/>
    </w:lvl>
  </w:abstractNum>
  <w:abstractNum w:abstractNumId="51">
    <w:nsid w:val="260D8C4A"/>
    <w:multiLevelType w:val="hybridMultilevel"/>
    <w:lvl w:ilvl="0">
      <w:lvlJc w:val="left"/>
      <w:lvlText w:val="•"/>
      <w:numFmt w:val="bullet"/>
      <w:start w:val="1"/>
    </w:lvl>
  </w:abstractNum>
  <w:abstractNum w:abstractNumId="52">
    <w:nsid w:val="73D4D3C4"/>
    <w:multiLevelType w:val="hybridMultilevel"/>
    <w:lvl w:ilvl="0">
      <w:lvlJc w:val="left"/>
      <w:lvlText w:val="•"/>
      <w:numFmt w:val="bullet"/>
      <w:start w:val="1"/>
    </w:lvl>
  </w:abstractNum>
  <w:abstractNum w:abstractNumId="53">
    <w:nsid w:val="746F2E30"/>
    <w:multiLevelType w:val="hybridMultilevel"/>
    <w:lvl w:ilvl="0">
      <w:lvlJc w:val="left"/>
      <w:lvlText w:val="%1"/>
      <w:numFmt w:val="decimal"/>
      <w:start w:val="23"/>
    </w:lvl>
  </w:abstractNum>
  <w:abstractNum w:abstractNumId="54">
    <w:nsid w:val="6FDE8AF6"/>
    <w:multiLevelType w:val="hybridMultilevel"/>
    <w:lvl w:ilvl="0">
      <w:lvlJc w:val="left"/>
      <w:lvlText w:val="•"/>
      <w:numFmt w:val="bullet"/>
      <w:start w:val="1"/>
    </w:lvl>
  </w:abstractNum>
  <w:abstractNum w:abstractNumId="55">
    <w:nsid w:val="3FC32E20"/>
    <w:multiLevelType w:val="hybridMultilevel"/>
    <w:lvl w:ilvl="0">
      <w:lvlJc w:val="left"/>
      <w:lvlText w:val="%1"/>
      <w:numFmt w:val="decimal"/>
      <w:start w:val="24"/>
    </w:lvl>
  </w:abstractNum>
  <w:abstractNum w:abstractNumId="56">
    <w:nsid w:val="49C0E823"/>
    <w:multiLevelType w:val="hybridMultilevel"/>
    <w:lvl w:ilvl="0">
      <w:lvlJc w:val="left"/>
      <w:lvlText w:val="1"/>
      <w:numFmt w:val="bullet"/>
      <w:start w:val="1"/>
    </w:lvl>
  </w:abstractNum>
  <w:abstractNum w:abstractNumId="57">
    <w:nsid w:val="14D53685"/>
    <w:multiLevelType w:val="hybridMultilevel"/>
    <w:lvl w:ilvl="0">
      <w:lvlJc w:val="left"/>
      <w:lvlText w:val="%1"/>
      <w:numFmt w:val="decimal"/>
      <w:start w:val="25"/>
    </w:lvl>
  </w:abstractNum>
  <w:abstractNum w:abstractNumId="58">
    <w:nsid w:val="230F856C"/>
    <w:multiLevelType w:val="hybridMultilevel"/>
    <w:lvl w:ilvl="0">
      <w:lvlJc w:val="left"/>
      <w:lvlText w:val="%1"/>
      <w:numFmt w:val="decimal"/>
      <w:start w:val="26"/>
    </w:lvl>
  </w:abstractNum>
  <w:abstractNum w:abstractNumId="59">
    <w:nsid w:val="6EAA85FB"/>
    <w:multiLevelType w:val="hybridMultilevel"/>
    <w:lvl w:ilvl="0">
      <w:lvlJc w:val="left"/>
      <w:lvlText w:val="%1"/>
      <w:numFmt w:val="decimal"/>
      <w:start w:val="27"/>
    </w:lvl>
  </w:abstractNum>
  <w:abstractNum w:abstractNumId="60">
    <w:nsid w:val="3F06ECB2"/>
    <w:multiLevelType w:val="hybridMultilevel"/>
    <w:lvl w:ilvl="0">
      <w:lvlJc w:val="left"/>
      <w:lvlText w:val="%1"/>
      <w:numFmt w:val="decimal"/>
      <w:start w:val="28"/>
    </w:lvl>
  </w:abstractNum>
  <w:abstractNum w:abstractNumId="61">
    <w:nsid w:val="3B594807"/>
    <w:multiLevelType w:val="hybridMultilevel"/>
    <w:lvl w:ilvl="0">
      <w:lvlJc w:val="left"/>
      <w:lvlText w:val="%1"/>
      <w:numFmt w:val="decimal"/>
      <w:start w:val="29"/>
    </w:lvl>
  </w:abstractNum>
  <w:abstractNum w:abstractNumId="62">
    <w:nsid w:val="6CAA2304"/>
    <w:multiLevelType w:val="hybridMultilevel"/>
    <w:lvl w:ilvl="0">
      <w:lvlJc w:val="left"/>
      <w:lvlText w:val="•"/>
      <w:numFmt w:val="bullet"/>
      <w:start w:val="1"/>
    </w:lvl>
  </w:abstractNum>
  <w:abstractNum w:abstractNumId="63">
    <w:nsid w:val="3F7C2FF4"/>
    <w:multiLevelType w:val="hybridMultilevel"/>
    <w:lvl w:ilvl="0">
      <w:lvlJc w:val="left"/>
      <w:lvlText w:val="%1"/>
      <w:numFmt w:val="decimal"/>
      <w:start w:val="30"/>
    </w:lvl>
  </w:abstractNum>
  <w:abstractNum w:abstractNumId="64">
    <w:nsid w:val="25413BEC"/>
    <w:multiLevelType w:val="hybridMultilevel"/>
    <w:lvl w:ilvl="0">
      <w:lvlJc w:val="left"/>
      <w:lvlText w:val="%1"/>
      <w:numFmt w:val="decimal"/>
      <w:start w:val="31"/>
    </w:lvl>
  </w:abstractNum>
  <w:abstractNum w:abstractNumId="65">
    <w:nsid w:val="17180B0B"/>
    <w:multiLevelType w:val="hybridMultilevel"/>
    <w:lvl w:ilvl="0">
      <w:lvlJc w:val="left"/>
      <w:lvlText w:val="%1"/>
      <w:numFmt w:val="decimal"/>
      <w:start w:val="32"/>
    </w:lvl>
  </w:abstractNum>
  <w:abstractNum w:abstractNumId="66">
    <w:nsid w:val="579328B9"/>
    <w:multiLevelType w:val="hybridMultilevel"/>
    <w:lvl w:ilvl="0">
      <w:lvlJc w:val="left"/>
      <w:lvlText w:val="%1"/>
      <w:numFmt w:val="decimal"/>
      <w:start w:val="33"/>
    </w:lvl>
  </w:abstractNum>
  <w:abstractNum w:abstractNumId="67">
    <w:nsid w:val="5D205E20"/>
    <w:multiLevelType w:val="hybridMultilevel"/>
    <w:lvl w:ilvl="0">
      <w:lvlJc w:val="left"/>
      <w:lvlText w:val="%1"/>
      <w:numFmt w:val="decimal"/>
      <w:start w:val="34"/>
    </w:lvl>
  </w:abstractNum>
  <w:abstractNum w:abstractNumId="68">
    <w:nsid w:val="11CCA8BA"/>
    <w:multiLevelType w:val="hybridMultilevel"/>
    <w:lvl w:ilvl="0">
      <w:lvlJc w:val="left"/>
      <w:lvlText w:val="%1"/>
      <w:numFmt w:val="decimal"/>
      <w:start w:val="35"/>
    </w:lvl>
  </w:abstractNum>
  <w:abstractNum w:abstractNumId="69">
    <w:nsid w:val="4D32AB86"/>
    <w:multiLevelType w:val="hybridMultilevel"/>
    <w:lvl w:ilvl="0">
      <w:lvlJc w:val="left"/>
      <w:lvlText w:val="%1"/>
      <w:numFmt w:val="decimal"/>
      <w:start w:val="36"/>
    </w:lvl>
  </w:abstractNum>
  <w:abstractNum w:abstractNumId="70">
    <w:nsid w:val="3F07ACC3"/>
    <w:multiLevelType w:val="hybridMultilevel"/>
    <w:lvl w:ilvl="0">
      <w:lvlJc w:val="left"/>
      <w:lvlText w:val="%1"/>
      <w:numFmt w:val="decimal"/>
      <w:start w:val="37"/>
    </w:lvl>
  </w:abstractNum>
  <w:abstractNum w:abstractNumId="71">
    <w:nsid w:val="6B47F63E"/>
    <w:multiLevelType w:val="hybridMultilevel"/>
    <w:lvl w:ilvl="0">
      <w:lvlJc w:val="left"/>
      <w:lvlText w:val="•"/>
      <w:numFmt w:val="bullet"/>
      <w:start w:val="1"/>
    </w:lvl>
  </w:abstractNum>
  <w:abstractNum w:abstractNumId="72">
    <w:nsid w:val="5CB44A05"/>
    <w:multiLevelType w:val="hybridMultilevel"/>
    <w:lvl w:ilvl="0">
      <w:lvlJc w:val="left"/>
      <w:lvlText w:val="%1"/>
      <w:numFmt w:val="decimal"/>
      <w:start w:val="39"/>
    </w:lvl>
  </w:abstractNum>
  <w:abstractNum w:abstractNumId="73">
    <w:nsid w:val="16CF80F1"/>
    <w:multiLevelType w:val="hybridMultilevel"/>
    <w:lvl w:ilvl="0">
      <w:lvlJc w:val="left"/>
      <w:lvlText w:val="%1"/>
      <w:numFmt w:val="decimal"/>
      <w:start w:val="40"/>
    </w:lvl>
  </w:abstractNum>
  <w:abstractNum w:abstractNumId="74">
    <w:nsid w:val="1C695DEC"/>
    <w:multiLevelType w:val="hybridMultilevel"/>
    <w:lvl w:ilvl="0">
      <w:lvlJc w:val="left"/>
      <w:lvlText w:val="•"/>
      <w:numFmt w:val="bullet"/>
      <w:start w:val="1"/>
    </w:lvl>
  </w:abstractNum>
  <w:abstractNum w:abstractNumId="75">
    <w:nsid w:val="3FCFAED9"/>
    <w:multiLevelType w:val="hybridMultilevel"/>
    <w:lvl w:ilvl="0">
      <w:lvlJc w:val="left"/>
      <w:lvlText w:val="%1"/>
      <w:numFmt w:val="decimal"/>
      <w:start w:val="41"/>
    </w:lvl>
  </w:abstractNum>
  <w:abstractNum w:abstractNumId="76">
    <w:nsid w:val="F856867"/>
    <w:multiLevelType w:val="hybridMultilevel"/>
    <w:lvl w:ilvl="0">
      <w:lvlJc w:val="left"/>
      <w:lvlText w:val="1"/>
      <w:numFmt w:val="bullet"/>
      <w:start w:val="1"/>
    </w:lvl>
  </w:abstractNum>
  <w:abstractNum w:abstractNumId="77">
    <w:nsid w:val="11B1CC33"/>
    <w:multiLevelType w:val="hybridMultilevel"/>
    <w:lvl w:ilvl="0">
      <w:lvlJc w:val="left"/>
      <w:lvlText w:val="2"/>
      <w:numFmt w:val="bullet"/>
      <w:start w:val="1"/>
    </w:lvl>
  </w:abstractNum>
  <w:abstractNum w:abstractNumId="78">
    <w:nsid w:val="2E22FBB7"/>
    <w:multiLevelType w:val="hybridMultilevel"/>
    <w:lvl w:ilvl="0">
      <w:lvlJc w:val="left"/>
      <w:lvlText w:val="3"/>
      <w:numFmt w:val="bullet"/>
      <w:start w:val="1"/>
    </w:lvl>
  </w:abstractNum>
  <w:abstractNum w:abstractNumId="79">
    <w:nsid w:val="29934699"/>
    <w:multiLevelType w:val="hybridMultilevel"/>
    <w:lvl w:ilvl="0">
      <w:lvlJc w:val="left"/>
      <w:lvlText w:val="4"/>
      <w:numFmt w:val="bullet"/>
      <w:start w:val="1"/>
    </w:lvl>
  </w:abstractNum>
  <w:abstractNum w:abstractNumId="80">
    <w:nsid w:val="77485850"/>
    <w:multiLevelType w:val="hybridMultilevel"/>
    <w:lvl w:ilvl="0">
      <w:lvlJc w:val="left"/>
      <w:lvlText w:val="5"/>
      <w:numFmt w:val="bullet"/>
      <w:start w:val="1"/>
    </w:lvl>
  </w:abstractNum>
  <w:abstractNum w:abstractNumId="81">
    <w:nsid w:val="744939A3"/>
    <w:multiLevelType w:val="hybridMultilevel"/>
    <w:lvl w:ilvl="0">
      <w:lvlJc w:val="left"/>
      <w:lvlText w:val="6"/>
      <w:numFmt w:val="bullet"/>
      <w:start w:val="1"/>
    </w:lvl>
  </w:abstractNum>
  <w:abstractNum w:abstractNumId="82">
    <w:nsid w:val="4FA0D2E3"/>
    <w:multiLevelType w:val="hybridMultilevel"/>
    <w:lvl w:ilvl="0">
      <w:lvlJc w:val="left"/>
      <w:lvlText w:val="7"/>
      <w:numFmt w:val="bullet"/>
      <w:start w:val="1"/>
    </w:lvl>
  </w:abstractNum>
  <w:abstractNum w:abstractNumId="83">
    <w:nsid w:val="6B1D2C14"/>
    <w:multiLevelType w:val="hybridMultilevel"/>
    <w:lvl w:ilvl="0">
      <w:lvlJc w:val="left"/>
      <w:lvlText w:val="%1"/>
      <w:numFmt w:val="decimal"/>
      <w:start w:val="42"/>
    </w:lvl>
  </w:abstractNum>
  <w:abstractNum w:abstractNumId="84">
    <w:nsid w:val="68B867D3"/>
    <w:multiLevelType w:val="hybridMultilevel"/>
    <w:lvl w:ilvl="0">
      <w:lvlJc w:val="left"/>
      <w:lvlText w:val="1"/>
      <w:numFmt w:val="bullet"/>
      <w:start w:val="1"/>
    </w:lvl>
  </w:abstractNum>
  <w:abstractNum w:abstractNumId="85">
    <w:nsid w:val="3F7F5DD9"/>
    <w:multiLevelType w:val="hybridMultilevel"/>
    <w:lvl w:ilvl="0">
      <w:lvlJc w:val="left"/>
      <w:lvlText w:val="2"/>
      <w:numFmt w:val="bullet"/>
      <w:start w:val="1"/>
    </w:lvl>
  </w:abstractNum>
  <w:abstractNum w:abstractNumId="86">
    <w:nsid w:val="2AE05A34"/>
    <w:multiLevelType w:val="hybridMultilevel"/>
    <w:lvl w:ilvl="0">
      <w:lvlJc w:val="left"/>
      <w:lvlText w:val="3"/>
      <w:numFmt w:val="bullet"/>
      <w:start w:val="1"/>
    </w:lvl>
  </w:abstractNum>
  <w:abstractNum w:abstractNumId="87">
    <w:nsid w:val="32794FF7"/>
    <w:multiLevelType w:val="hybridMultilevel"/>
    <w:lvl w:ilvl="0">
      <w:lvlJc w:val="left"/>
      <w:lvlText w:val="%1"/>
      <w:numFmt w:val="decimal"/>
      <w:start w:val="43"/>
    </w:lvl>
  </w:abstractNum>
  <w:abstractNum w:abstractNumId="88">
    <w:nsid w:val="5454945E"/>
    <w:multiLevelType w:val="hybridMultilevel"/>
    <w:lvl w:ilvl="0">
      <w:lvlJc w:val="left"/>
      <w:lvlText w:val="%1"/>
      <w:numFmt w:val="decimal"/>
      <w:start w:val="44"/>
    </w:lvl>
  </w:abstractNum>
  <w:abstractNum w:abstractNumId="89">
    <w:nsid w:val="4DEFDFA0"/>
    <w:multiLevelType w:val="hybridMultilevel"/>
    <w:lvl w:ilvl="0">
      <w:lvlJc w:val="left"/>
      <w:lvlText w:val="•"/>
      <w:numFmt w:val="bullet"/>
      <w:start w:val="1"/>
    </w:lvl>
  </w:abstractNum>
  <w:abstractNum w:abstractNumId="90">
    <w:nsid w:val="2123D5F2"/>
    <w:multiLevelType w:val="hybridMultilevel"/>
    <w:lvl w:ilvl="0">
      <w:lvlJc w:val="left"/>
      <w:lvlText w:val="%1"/>
      <w:numFmt w:val="decimal"/>
      <w:start w:val="45"/>
    </w:lvl>
  </w:abstractNum>
  <w:abstractNum w:abstractNumId="91">
    <w:nsid w:val="135B8110"/>
    <w:multiLevelType w:val="hybridMultilevel"/>
    <w:lvl w:ilvl="0">
      <w:lvlJc w:val="left"/>
      <w:lvlText w:val="%1"/>
      <w:numFmt w:val="decimal"/>
      <w:start w:val="46"/>
    </w:lvl>
  </w:abstractNum>
  <w:abstractNum w:abstractNumId="92">
    <w:nsid w:val="94927A8"/>
    <w:multiLevelType w:val="hybridMultilevel"/>
    <w:lvl w:ilvl="0">
      <w:lvlJc w:val="left"/>
      <w:lvlText w:val="%1"/>
      <w:numFmt w:val="decimal"/>
      <w:start w:val="47"/>
    </w:lvl>
  </w:abstractNum>
  <w:abstractNum w:abstractNumId="93">
    <w:nsid w:val="DCDF8F6"/>
    <w:multiLevelType w:val="hybridMultilevel"/>
    <w:lvl w:ilvl="0">
      <w:lvlJc w:val="left"/>
      <w:lvlText w:val="(%1)"/>
      <w:numFmt w:val="lowerLetter"/>
      <w:start w:val="1"/>
    </w:lvl>
  </w:abstractNum>
  <w:abstractNum w:abstractNumId="94">
    <w:nsid w:val="52D7B105"/>
    <w:multiLevelType w:val="hybridMultilevel"/>
    <w:lvl w:ilvl="0">
      <w:lvlJc w:val="left"/>
      <w:lvlText w:val="%1"/>
      <w:numFmt w:val="decimal"/>
      <w:start w:val="48"/>
    </w:lvl>
  </w:abstractNum>
  <w:abstractNum w:abstractNumId="95">
    <w:nsid w:val="2E8A6394"/>
    <w:multiLevelType w:val="hybridMultilevel"/>
    <w:lvl w:ilvl="0">
      <w:lvlJc w:val="left"/>
      <w:lvlText w:val="%1"/>
      <w:numFmt w:val="decimal"/>
      <w:start w:val="49"/>
    </w:lvl>
  </w:abstractNum>
  <w:abstractNum w:abstractNumId="96">
    <w:nsid w:val="24E60401"/>
    <w:multiLevelType w:val="hybridMultilevel"/>
    <w:lvl w:ilvl="0">
      <w:lvlJc w:val="left"/>
      <w:lvlText w:val="%1"/>
      <w:numFmt w:val="decimal"/>
      <w:start w:val="50"/>
    </w:lvl>
  </w:abstractNum>
  <w:abstractNum w:abstractNumId="97">
    <w:nsid w:val="2A6AD9BE"/>
    <w:multiLevelType w:val="hybridMultilevel"/>
    <w:lvl w:ilvl="0">
      <w:lvlJc w:val="left"/>
      <w:lvlText w:val="%1"/>
      <w:numFmt w:val="decimal"/>
      <w:start w:val="51"/>
    </w:lvl>
  </w:abstractNum>
  <w:abstractNum w:abstractNumId="98">
    <w:nsid w:val="BAAC1B4"/>
    <w:multiLevelType w:val="hybridMultilevel"/>
    <w:lvl w:ilvl="0">
      <w:lvlJc w:val="left"/>
      <w:lvlText w:val="%1"/>
      <w:numFmt w:val="decimal"/>
      <w:start w:val="53"/>
    </w:lvl>
  </w:abstractNum>
  <w:abstractNum w:abstractNumId="99">
    <w:nsid w:val="36B2ACBC"/>
    <w:multiLevelType w:val="hybridMultilevel"/>
    <w:lvl w:ilvl="0">
      <w:lvlJc w:val="left"/>
      <w:lvlText w:val="%1"/>
      <w:numFmt w:val="decimal"/>
      <w:start w:val="56"/>
    </w:lvl>
  </w:abstractNum>
  <w:abstractNum w:abstractNumId="100">
    <w:nsid w:val="779D8544"/>
    <w:multiLevelType w:val="hybridMultilevel"/>
    <w:lvl w:ilvl="0">
      <w:lvlJc w:val="left"/>
      <w:lvlText w:val="%1"/>
      <w:numFmt w:val="decimal"/>
      <w:start w:val="57"/>
    </w:lvl>
  </w:abstractNum>
  <w:abstractNum w:abstractNumId="101">
    <w:nsid w:val="4AB26E78"/>
    <w:multiLevelType w:val="hybridMultilevel"/>
    <w:lvl w:ilvl="0">
      <w:lvlJc w:val="left"/>
      <w:lvlText w:val="%1"/>
      <w:numFmt w:val="decimal"/>
      <w:start w:val="58"/>
    </w:lvl>
  </w:abstractNum>
  <w:abstractNum w:abstractNumId="102">
    <w:nsid w:val="21FAA2FA"/>
    <w:multiLevelType w:val="hybridMultilevel"/>
    <w:lvl w:ilvl="0">
      <w:lvlJc w:val="left"/>
      <w:lvlText w:val="%1"/>
      <w:numFmt w:val="decimal"/>
      <w:start w:val="59"/>
    </w:lvl>
  </w:abstractNum>
  <w:abstractNum w:abstractNumId="103">
    <w:nsid w:val="5451CF49"/>
    <w:multiLevelType w:val="hybridMultilevel"/>
    <w:lvl w:ilvl="0">
      <w:lvlJc w:val="left"/>
      <w:lvlText w:val="%1"/>
      <w:numFmt w:val="decimal"/>
      <w:start w:val="60"/>
    </w:lvl>
  </w:abstractNum>
  <w:abstractNum w:abstractNumId="104">
    <w:nsid w:val="6181EF69"/>
    <w:multiLevelType w:val="hybridMultilevel"/>
    <w:lvl w:ilvl="0">
      <w:lvlJc w:val="left"/>
      <w:lvlText w:val="%1"/>
      <w:numFmt w:val="decimal"/>
      <w:start w:val="61"/>
    </w:lvl>
  </w:abstractNum>
  <w:abstractNum w:abstractNumId="105">
    <w:nsid w:val="3E6400E6"/>
    <w:multiLevelType w:val="hybridMultilevel"/>
    <w:lvl w:ilvl="0">
      <w:lvlJc w:val="left"/>
      <w:lvlText w:val="%1"/>
      <w:numFmt w:val="decimal"/>
      <w:start w:val="62"/>
    </w:lvl>
  </w:abstractNum>
  <w:abstractNum w:abstractNumId="106">
    <w:nsid w:val="14217E23"/>
    <w:multiLevelType w:val="hybridMultilevel"/>
    <w:lvl w:ilvl="0">
      <w:lvlJc w:val="left"/>
      <w:lvlText w:val="%1"/>
      <w:numFmt w:val="decimal"/>
      <w:start w:val="63"/>
    </w:lvl>
  </w:abstractNum>
  <w:abstractNum w:abstractNumId="107">
    <w:nsid w:val="710757D0"/>
    <w:multiLevelType w:val="hybridMultilevel"/>
    <w:lvl w:ilvl="0">
      <w:lvlJc w:val="left"/>
      <w:lvlText w:val="%1"/>
      <w:numFmt w:val="decimal"/>
      <w:start w:val="64"/>
    </w:lvl>
  </w:abstractNum>
  <w:abstractNum w:abstractNumId="108">
    <w:nsid w:val="5015CD1A"/>
    <w:multiLevelType w:val="hybridMultilevel"/>
    <w:lvl w:ilvl="0">
      <w:lvlJc w:val="left"/>
      <w:lvlText w:val="%1"/>
      <w:numFmt w:val="decimal"/>
      <w:start w:val="65"/>
    </w:lvl>
  </w:abstractNum>
  <w:abstractNum w:abstractNumId="109">
    <w:nsid w:val="424479DA"/>
    <w:multiLevelType w:val="hybridMultilevel"/>
    <w:lvl w:ilvl="0">
      <w:lvlJc w:val="left"/>
      <w:lvlText w:val="%1"/>
      <w:numFmt w:val="decimal"/>
      <w:start w:val="66"/>
    </w:lvl>
  </w:abstractNum>
  <w:abstractNum w:abstractNumId="110">
    <w:nsid w:val="1A9A9E69"/>
    <w:multiLevelType w:val="hybridMultilevel"/>
    <w:lvl w:ilvl="0">
      <w:lvlJc w:val="left"/>
      <w:lvlText w:val="%1"/>
      <w:numFmt w:val="decimal"/>
      <w:start w:val="67"/>
    </w:lvl>
  </w:abstractNum>
  <w:abstractNum w:abstractNumId="111">
    <w:nsid w:val="475E256A"/>
    <w:multiLevelType w:val="hybridMultilevel"/>
    <w:lvl w:ilvl="0">
      <w:lvlJc w:val="left"/>
      <w:lvlText w:val="1"/>
      <w:numFmt w:val="bullet"/>
      <w:start w:val="1"/>
    </w:lvl>
  </w:abstractNum>
  <w:abstractNum w:abstractNumId="112">
    <w:nsid w:val="368DB37E"/>
    <w:multiLevelType w:val="hybridMultilevel"/>
    <w:lvl w:ilvl="0">
      <w:lvlJc w:val="left"/>
      <w:lvlText w:val="%1"/>
      <w:numFmt w:val="decimal"/>
      <w:start w:val="68"/>
    </w:lvl>
  </w:abstractNum>
  <w:abstractNum w:abstractNumId="113">
    <w:nsid w:val="6A3B714C"/>
    <w:multiLevelType w:val="hybridMultilevel"/>
    <w:lvl w:ilvl="0">
      <w:lvlJc w:val="left"/>
      <w:lvlText w:val="%1"/>
      <w:numFmt w:val="decimal"/>
      <w:start w:val="70"/>
    </w:lvl>
  </w:abstractNum>
  <w:abstractNum w:abstractNumId="114">
    <w:nsid w:val="327B517E"/>
    <w:multiLevelType w:val="hybridMultilevel"/>
    <w:lvl w:ilvl="0">
      <w:lvlJc w:val="left"/>
      <w:lvlText w:val="%1"/>
      <w:numFmt w:val="decimal"/>
      <w:start w:val="71"/>
    </w:lvl>
  </w:abstractNum>
  <w:abstractNum w:abstractNumId="115">
    <w:nsid w:val="1F461B51"/>
    <w:multiLevelType w:val="hybridMultilevel"/>
    <w:lvl w:ilvl="0">
      <w:lvlJc w:val="left"/>
      <w:lvlText w:val="1"/>
      <w:numFmt w:val="bullet"/>
      <w:start w:val="1"/>
    </w:lvl>
  </w:abstractNum>
  <w:abstractNum w:abstractNumId="116">
    <w:nsid w:val="29BACF25"/>
    <w:multiLevelType w:val="hybridMultilevel"/>
    <w:lvl w:ilvl="0">
      <w:lvlJc w:val="left"/>
      <w:lvlText w:val="2"/>
      <w:numFmt w:val="bullet"/>
      <w:start w:val="1"/>
    </w:lvl>
  </w:abstractNum>
  <w:abstractNum w:abstractNumId="117">
    <w:nsid w:val="5D5BABB3"/>
    <w:multiLevelType w:val="hybridMultilevel"/>
    <w:lvl w:ilvl="0">
      <w:lvlJc w:val="left"/>
      <w:lvlText w:val="3"/>
      <w:numFmt w:val="bullet"/>
      <w:start w:val="1"/>
    </w:lvl>
  </w:abstractNum>
  <w:abstractNum w:abstractNumId="118">
    <w:nsid w:val="51BF6B48"/>
    <w:multiLevelType w:val="hybridMultilevel"/>
    <w:lvl w:ilvl="0">
      <w:lvlJc w:val="left"/>
      <w:lvlText w:val="%1"/>
      <w:numFmt w:val="decimal"/>
      <w:start w:val="73"/>
    </w:lvl>
  </w:abstractNum>
  <w:abstractNum w:abstractNumId="119">
    <w:nsid w:val="7E0F6384"/>
    <w:multiLevelType w:val="hybridMultilevel"/>
    <w:lvl w:ilvl="0">
      <w:lvlJc w:val="left"/>
      <w:lvlText w:val="%1"/>
      <w:numFmt w:val="decimal"/>
      <w:start w:val="74"/>
    </w:lvl>
  </w:abstractNum>
  <w:abstractNum w:abstractNumId="120">
    <w:nsid w:val="2B4B8B53"/>
    <w:multiLevelType w:val="hybridMultilevel"/>
    <w:lvl w:ilvl="0">
      <w:lvlJc w:val="left"/>
      <w:lvlText w:val="%1"/>
      <w:numFmt w:val="decimal"/>
      <w:start w:val="75"/>
    </w:lvl>
  </w:abstractNum>
  <w:abstractNum w:abstractNumId="121">
    <w:nsid w:val="72E3413A"/>
    <w:multiLevelType w:val="hybridMultilevel"/>
    <w:lvl w:ilvl="0">
      <w:lvlJc w:val="left"/>
      <w:lvlText w:val="%1"/>
      <w:numFmt w:val="decimal"/>
      <w:start w:val="77"/>
    </w:lvl>
  </w:abstractNum>
  <w:abstractNum w:abstractNumId="122">
    <w:nsid w:val="116AE494"/>
    <w:multiLevelType w:val="hybridMultilevel"/>
    <w:lvl w:ilvl="0">
      <w:lvlJc w:val="left"/>
      <w:lvlText w:val="%1"/>
      <w:numFmt w:val="decimal"/>
      <w:start w:val="79"/>
    </w:lvl>
  </w:abstractNum>
  <w:abstractNum w:abstractNumId="123">
    <w:nsid w:val="3494B2FB"/>
    <w:multiLevelType w:val="hybridMultilevel"/>
    <w:lvl w:ilvl="0">
      <w:lvlJc w:val="left"/>
      <w:lvlText w:val="%1"/>
      <w:numFmt w:val="decimal"/>
      <w:start w:val="82"/>
    </w:lvl>
  </w:abstractNum>
  <w:abstractNum w:abstractNumId="124">
    <w:nsid w:val="B13A31"/>
    <w:multiLevelType w:val="hybridMultilevel"/>
    <w:lvl w:ilvl="0">
      <w:lvlJc w:val="left"/>
      <w:lvlText w:val="%1"/>
      <w:numFmt w:val="decimal"/>
      <w:start w:val="83"/>
    </w:lvl>
  </w:abstractNum>
  <w:abstractNum w:abstractNumId="125">
    <w:nsid w:val="64429599"/>
    <w:multiLevelType w:val="hybridMultilevel"/>
    <w:lvl w:ilvl="0">
      <w:lvlJc w:val="left"/>
      <w:lvlText w:val="•"/>
      <w:numFmt w:val="bullet"/>
      <w:start w:val="1"/>
    </w:lvl>
  </w:abstractNum>
  <w:abstractNum w:abstractNumId="126">
    <w:nsid w:val="631F1690"/>
    <w:multiLevelType w:val="hybridMultilevel"/>
    <w:lvl w:ilvl="0">
      <w:lvlJc w:val="left"/>
      <w:lvlText w:val="%1"/>
      <w:numFmt w:val="decimal"/>
      <w:start w:val="85"/>
    </w:lvl>
  </w:abstractNum>
  <w:abstractNum w:abstractNumId="127">
    <w:nsid w:val="25973E32"/>
    <w:multiLevelType w:val="hybridMultilevel"/>
    <w:lvl w:ilvl="0">
      <w:lvlJc w:val="left"/>
      <w:lvlText w:val="%1"/>
      <w:numFmt w:val="decimal"/>
      <w:start w:val="88"/>
    </w:lvl>
  </w:abstractNum>
  <w:abstractNum w:abstractNumId="128">
    <w:nsid w:val="EAD6F57"/>
    <w:multiLevelType w:val="hybridMultilevel"/>
    <w:lvl w:ilvl="0">
      <w:lvlJc w:val="left"/>
      <w:lvlText w:val="1"/>
      <w:numFmt w:val="bullet"/>
      <w:start w:val="1"/>
    </w:lvl>
  </w:abstractNum>
  <w:abstractNum w:abstractNumId="129">
    <w:nsid w:val="6EC9D844"/>
    <w:multiLevelType w:val="hybridMultilevel"/>
    <w:lvl w:ilvl="0">
      <w:lvlJc w:val="left"/>
      <w:lvlText w:val="1"/>
      <w:numFmt w:val="bullet"/>
      <w:start w:val="1"/>
    </w:lvl>
  </w:abstractNum>
  <w:abstractNum w:abstractNumId="130">
    <w:nsid w:val="5C49EAEE"/>
    <w:multiLevelType w:val="hybridMultilevel"/>
    <w:lvl w:ilvl="0">
      <w:lvlJc w:val="left"/>
      <w:lvlText w:val="%1"/>
      <w:numFmt w:val="decimal"/>
      <w:start w:val="89"/>
    </w:lvl>
  </w:abstractNum>
  <w:abstractNum w:abstractNumId="131">
    <w:nsid w:val="64AF49B"/>
    <w:multiLevelType w:val="hybridMultilevel"/>
    <w:lvl w:ilvl="0">
      <w:lvlJc w:val="left"/>
      <w:lvlText w:val="1"/>
      <w:numFmt w:val="bullet"/>
      <w:start w:val="1"/>
    </w:lvl>
  </w:abstractNum>
  <w:abstractNum w:abstractNumId="132">
    <w:nsid w:val="397C46BC"/>
    <w:multiLevelType w:val="hybridMultilevel"/>
    <w:lvl w:ilvl="0">
      <w:lvlJc w:val="left"/>
      <w:lvlText w:val="1"/>
      <w:numFmt w:val="bullet"/>
      <w:start w:val="1"/>
    </w:lvl>
  </w:abstractNum>
  <w:abstractNum w:abstractNumId="133">
    <w:nsid w:val="7E448DE9"/>
    <w:multiLevelType w:val="hybridMultilevel"/>
    <w:lvl w:ilvl="0">
      <w:lvlJc w:val="left"/>
      <w:lvlText w:val="%1"/>
      <w:numFmt w:val="decimal"/>
      <w:start w:val="90"/>
    </w:lvl>
  </w:abstractNum>
  <w:abstractNum w:abstractNumId="134">
    <w:nsid w:val="5A9CC3E5"/>
    <w:multiLevelType w:val="hybridMultilevel"/>
    <w:lvl w:ilvl="0">
      <w:lvlJc w:val="left"/>
      <w:lvlText w:val="%1"/>
      <w:numFmt w:val="decimal"/>
      <w:start w:val="94"/>
    </w:lvl>
  </w:abstractNum>
  <w:abstractNum w:abstractNumId="135">
    <w:nsid w:val="1AFE3625"/>
    <w:multiLevelType w:val="hybridMultilevel"/>
    <w:lvl w:ilvl="0">
      <w:lvlJc w:val="left"/>
      <w:lvlText w:val="%1"/>
      <w:numFmt w:val="decimal"/>
      <w:start w:val="95"/>
    </w:lvl>
  </w:abstractNum>
  <w:abstractNum w:abstractNumId="136">
    <w:nsid w:val="3CA88ECF"/>
    <w:multiLevelType w:val="hybridMultilevel"/>
    <w:lvl w:ilvl="0">
      <w:lvlJc w:val="left"/>
      <w:lvlText w:val="1"/>
      <w:numFmt w:val="bullet"/>
      <w:start w:val="1"/>
    </w:lvl>
  </w:abstractNum>
  <w:abstractNum w:abstractNumId="137">
    <w:nsid w:val="6EBE4208"/>
    <w:multiLevelType w:val="hybridMultilevel"/>
    <w:lvl w:ilvl="0">
      <w:lvlJc w:val="left"/>
      <w:lvlText w:val="%1"/>
      <w:numFmt w:val="decimal"/>
      <w:start w:val="97"/>
    </w:lvl>
  </w:abstractNum>
  <w:abstractNum w:abstractNumId="138">
    <w:nsid w:val="C058DF5"/>
    <w:multiLevelType w:val="hybridMultilevel"/>
    <w:lvl w:ilvl="0">
      <w:lvlJc w:val="left"/>
      <w:lvlText w:val="%1"/>
      <w:numFmt w:val="decimal"/>
      <w:start w:val="98"/>
    </w:lvl>
  </w:abstractNum>
  <w:abstractNum w:abstractNumId="139">
    <w:nsid w:val="CBE5BE9"/>
    <w:multiLevelType w:val="hybridMultilevel"/>
    <w:lvl w:ilvl="0">
      <w:lvlJc w:val="left"/>
      <w:lvlText w:val="%1"/>
      <w:numFmt w:val="decimal"/>
      <w:start w:val="99"/>
    </w:lvl>
  </w:abstractNum>
  <w:abstractNum w:abstractNumId="140">
    <w:nsid w:val="3102BBE2"/>
    <w:multiLevelType w:val="hybridMultilevel"/>
    <w:lvl w:ilvl="0">
      <w:lvlJc w:val="left"/>
      <w:lvlText w:val="(%1)"/>
      <w:numFmt w:val="lowerRoman"/>
      <w:start w:val="1"/>
    </w:lvl>
  </w:abstractNum>
  <w:abstractNum w:abstractNumId="141">
    <w:nsid w:val="26A02C5E"/>
    <w:multiLevelType w:val="hybridMultilevel"/>
    <w:lvl w:ilvl="0">
      <w:lvlJc w:val="left"/>
      <w:lvlText w:val="%1"/>
      <w:numFmt w:val="decimal"/>
      <w:start w:val="100"/>
    </w:lvl>
  </w:abstractNum>
  <w:abstractNum w:abstractNumId="142">
    <w:nsid w:val="541C8153"/>
    <w:multiLevelType w:val="hybridMultilevel"/>
    <w:lvl w:ilvl="0">
      <w:lvlJc w:val="left"/>
      <w:lvlText w:val="%1"/>
      <w:numFmt w:val="decimal"/>
      <w:start w:val="101"/>
    </w:lvl>
  </w:abstractNum>
  <w:abstractNum w:abstractNumId="143">
    <w:nsid w:val="67906F60"/>
    <w:multiLevelType w:val="hybridMultilevel"/>
    <w:lvl w:ilvl="0">
      <w:lvlJc w:val="left"/>
      <w:lvlText w:val="1"/>
      <w:numFmt w:val="bullet"/>
      <w:start w:val="1"/>
    </w:lvl>
  </w:abstractNum>
  <w:abstractNum w:abstractNumId="144">
    <w:nsid w:val="10DB9DAA"/>
    <w:multiLevelType w:val="hybridMultilevel"/>
    <w:lvl w:ilvl="0">
      <w:lvlJc w:val="left"/>
      <w:lvlText w:val="2"/>
      <w:numFmt w:val="bullet"/>
      <w:start w:val="1"/>
    </w:lvl>
  </w:abstractNum>
  <w:abstractNum w:abstractNumId="145">
    <w:nsid w:val="697D2D2"/>
    <w:multiLevelType w:val="hybridMultilevel"/>
    <w:lvl w:ilvl="0">
      <w:lvlJc w:val="left"/>
      <w:lvlText w:val="3"/>
      <w:numFmt w:val="bullet"/>
      <w:start w:val="1"/>
    </w:lvl>
  </w:abstractNum>
  <w:abstractNum w:abstractNumId="146">
    <w:nsid w:val="6D68AB2"/>
    <w:multiLevelType w:val="hybridMultilevel"/>
    <w:lvl w:ilvl="0">
      <w:lvlJc w:val="left"/>
      <w:lvlText w:val="%1"/>
      <w:numFmt w:val="decimal"/>
      <w:start w:val="102"/>
    </w:lvl>
  </w:abstractNum>
  <w:abstractNum w:abstractNumId="147">
    <w:nsid w:val="3A966CD0"/>
    <w:multiLevelType w:val="hybridMultilevel"/>
    <w:lvl w:ilvl="0">
      <w:lvlJc w:val="left"/>
      <w:lvlText w:val="1"/>
      <w:numFmt w:val="bullet"/>
      <w:start w:val="1"/>
    </w:lvl>
  </w:abstractNum>
  <w:abstractNum w:abstractNumId="148">
    <w:nsid w:val="63F37E85"/>
    <w:multiLevelType w:val="hybridMultilevel"/>
    <w:lvl w:ilvl="0">
      <w:lvlJc w:val="left"/>
      <w:lvlText w:val="%1"/>
      <w:numFmt w:val="decimal"/>
      <w:start w:val="103"/>
    </w:lvl>
  </w:abstractNum>
  <w:abstractNum w:abstractNumId="149">
    <w:nsid w:val="5895F5FA"/>
    <w:multiLevelType w:val="hybridMultilevel"/>
    <w:lvl w:ilvl="0">
      <w:lvlJc w:val="left"/>
      <w:lvlText w:val="%1"/>
      <w:numFmt w:val="decimal"/>
      <w:start w:val="105"/>
    </w:lvl>
  </w:abstractNum>
  <w:abstractNum w:abstractNumId="150">
    <w:nsid w:val="38A5D054"/>
    <w:multiLevelType w:val="hybridMultilevel"/>
    <w:lvl w:ilvl="0">
      <w:lvlJc w:val="left"/>
      <w:lvlText w:val="%1"/>
      <w:numFmt w:val="decimal"/>
      <w:start w:val="106"/>
    </w:lvl>
  </w:abstractNum>
  <w:abstractNum w:abstractNumId="151">
    <w:nsid w:val="F3F09D8"/>
    <w:multiLevelType w:val="hybridMultilevel"/>
    <w:lvl w:ilvl="0">
      <w:lvlJc w:val="left"/>
      <w:lvlText w:val="%1"/>
      <w:numFmt w:val="decimal"/>
      <w:start w:val="109"/>
    </w:lvl>
  </w:abstractNum>
  <w:abstractNum w:abstractNumId="152">
    <w:nsid w:val="4B793735"/>
    <w:multiLevelType w:val="hybridMultilevel"/>
    <w:lvl w:ilvl="0">
      <w:lvlJc w:val="left"/>
      <w:lvlText w:val="%1"/>
      <w:numFmt w:val="decimal"/>
      <w:start w:val="111"/>
    </w:lvl>
  </w:abstractNum>
  <w:abstractNum w:abstractNumId="153">
    <w:nsid w:val="4A10B4E8"/>
    <w:multiLevelType w:val="hybridMultilevel"/>
    <w:lvl w:ilvl="0">
      <w:lvlJc w:val="left"/>
      <w:lvlText w:val="1"/>
      <w:numFmt w:val="bullet"/>
      <w:start w:val="1"/>
    </w:lvl>
  </w:abstractNum>
  <w:abstractNum w:abstractNumId="154">
    <w:nsid w:val="43D3BCD4"/>
    <w:multiLevelType w:val="hybridMultilevel"/>
    <w:lvl w:ilvl="0">
      <w:lvlJc w:val="left"/>
      <w:lvlText w:val="2"/>
      <w:numFmt w:val="bullet"/>
      <w:start w:val="1"/>
    </w:lvl>
  </w:abstractNum>
  <w:abstractNum w:abstractNumId="155">
    <w:nsid w:val="4C2A7166"/>
    <w:multiLevelType w:val="hybridMultilevel"/>
    <w:lvl w:ilvl="0">
      <w:lvlJc w:val="left"/>
      <w:lvlText w:val="3"/>
      <w:numFmt w:val="bullet"/>
      <w:start w:val="1"/>
    </w:lvl>
  </w:abstractNum>
  <w:abstractNum w:abstractNumId="156">
    <w:nsid w:val="2E534A82"/>
    <w:multiLevelType w:val="hybridMultilevel"/>
    <w:lvl w:ilvl="0">
      <w:lvlJc w:val="left"/>
      <w:lvlText w:val="4"/>
      <w:numFmt w:val="bullet"/>
      <w:start w:val="1"/>
    </w:lvl>
  </w:abstractNum>
  <w:abstractNum w:abstractNumId="157">
    <w:nsid w:val="26F2D364"/>
    <w:multiLevelType w:val="hybridMultilevel"/>
    <w:lvl w:ilvl="0">
      <w:lvlJc w:val="left"/>
      <w:lvlText w:val="%1"/>
      <w:numFmt w:val="decimal"/>
      <w:start w:val="113"/>
    </w:lvl>
  </w:abstractNum>
  <w:abstractNum w:abstractNumId="158">
    <w:nsid w:val="71C1AF98"/>
    <w:multiLevelType w:val="hybridMultilevel"/>
    <w:lvl w:ilvl="0">
      <w:lvlJc w:val="left"/>
      <w:lvlText w:val="1"/>
      <w:numFmt w:val="bullet"/>
      <w:start w:val="1"/>
    </w:lvl>
  </w:abstractNum>
  <w:abstractNum w:abstractNumId="159">
    <w:nsid w:val="3D00B9D9"/>
    <w:multiLevelType w:val="hybridMultilevel"/>
    <w:lvl w:ilvl="0">
      <w:lvlJc w:val="left"/>
      <w:lvlText w:val="2"/>
      <w:numFmt w:val="bullet"/>
      <w:start w:val="1"/>
    </w:lvl>
  </w:abstractNum>
  <w:abstractNum w:abstractNumId="160">
    <w:nsid w:val="15BCABA8"/>
    <w:multiLevelType w:val="hybridMultilevel"/>
    <w:lvl w:ilvl="0">
      <w:lvlJc w:val="left"/>
      <w:lvlText w:val="1"/>
      <w:numFmt w:val="bullet"/>
      <w:start w:val="1"/>
    </w:lvl>
  </w:abstractNum>
  <w:abstractNum w:abstractNumId="161">
    <w:nsid w:val="4E0B9A87"/>
    <w:multiLevelType w:val="hybridMultilevel"/>
    <w:lvl w:ilvl="0">
      <w:lvlJc w:val="left"/>
      <w:lvlText w:val="2"/>
      <w:numFmt w:val="bullet"/>
      <w:start w:val="1"/>
    </w:lvl>
  </w:abstractNum>
  <w:abstractNum w:abstractNumId="162">
    <w:nsid w:val="434BAE75"/>
    <w:multiLevelType w:val="hybridMultilevel"/>
    <w:lvl w:ilvl="0">
      <w:lvlJc w:val="left"/>
      <w:lvlText w:val="%1"/>
      <w:numFmt w:val="decimal"/>
      <w:start w:val="114"/>
    </w:lvl>
  </w:abstractNum>
  <w:abstractNum w:abstractNumId="163">
    <w:nsid w:val="4F38F265"/>
    <w:multiLevelType w:val="hybridMultilevel"/>
    <w:lvl w:ilvl="0">
      <w:lvlJc w:val="left"/>
      <w:lvlText w:val="%1"/>
      <w:numFmt w:val="decimal"/>
      <w:start w:val="115"/>
    </w:lvl>
  </w:abstractNum>
  <w:abstractNum w:abstractNumId="164">
    <w:nsid w:val="4C502870"/>
    <w:multiLevelType w:val="hybridMultilevel"/>
    <w:lvl w:ilvl="0">
      <w:lvlJc w:val="left"/>
      <w:lvlText w:val="•"/>
      <w:numFmt w:val="bullet"/>
      <w:start w:val="1"/>
    </w:lvl>
  </w:abstractNum>
  <w:abstractNum w:abstractNumId="165">
    <w:nsid w:val="1DE8725A"/>
    <w:multiLevelType w:val="hybridMultilevel"/>
    <w:lvl w:ilvl="0">
      <w:lvlJc w:val="left"/>
      <w:lvlText w:val="%1"/>
      <w:numFmt w:val="decimal"/>
      <w:start w:val="116"/>
    </w:lvl>
  </w:abstractNum>
  <w:abstractNum w:abstractNumId="166">
    <w:nsid w:val="6A37288A"/>
    <w:multiLevelType w:val="hybridMultilevel"/>
    <w:lvl w:ilvl="0">
      <w:lvlJc w:val="left"/>
      <w:lvlText w:val="%1"/>
      <w:numFmt w:val="decimal"/>
      <w:start w:val="117"/>
    </w:lvl>
  </w:abstractNum>
  <w:abstractNum w:abstractNumId="167">
    <w:nsid w:val="8F8B73F"/>
    <w:multiLevelType w:val="hybridMultilevel"/>
    <w:lvl w:ilvl="0">
      <w:lvlJc w:val="left"/>
      <w:lvlText w:val="%1"/>
      <w:numFmt w:val="decimal"/>
      <w:start w:val="118"/>
    </w:lvl>
  </w:abstractNum>
  <w:abstractNum w:abstractNumId="168">
    <w:nsid w:val="CA6B462"/>
    <w:multiLevelType w:val="hybridMultilevel"/>
    <w:lvl w:ilvl="0">
      <w:lvlJc w:val="left"/>
      <w:lvlText w:val="1"/>
      <w:numFmt w:val="bullet"/>
      <w:start w:val="1"/>
    </w:lvl>
  </w:abstractNum>
  <w:abstractNum w:abstractNumId="169">
    <w:nsid w:val="763CB680"/>
    <w:multiLevelType w:val="hybridMultilevel"/>
    <w:lvl w:ilvl="0">
      <w:lvlJc w:val="left"/>
      <w:lvlText w:val="2"/>
      <w:numFmt w:val="bullet"/>
      <w:start w:val="1"/>
    </w:lvl>
  </w:abstractNum>
  <w:abstractNum w:abstractNumId="170">
    <w:nsid w:val="15B71329"/>
    <w:multiLevelType w:val="hybridMultilevel"/>
    <w:lvl w:ilvl="0">
      <w:lvlJc w:val="left"/>
      <w:lvlText w:val="3"/>
      <w:numFmt w:val="bullet"/>
      <w:start w:val="1"/>
    </w:lvl>
    <w:lvl w:ilvl="1">
      <w:lvlJc w:val="left"/>
      <w:lvlText w:val="•"/>
      <w:numFmt w:val="bullet"/>
      <w:start w:val="1"/>
    </w:lvl>
  </w:abstractNum>
  <w:abstractNum w:abstractNumId="171">
    <w:nsid w:val="3DA97044"/>
    <w:multiLevelType w:val="hybridMultilevel"/>
    <w:lvl w:ilvl="0">
      <w:lvlJc w:val="left"/>
      <w:lvlText w:val="4"/>
      <w:numFmt w:val="bullet"/>
      <w:start w:val="1"/>
    </w:lvl>
  </w:abstractNum>
  <w:abstractNum w:abstractNumId="172">
    <w:nsid w:val="1CDCE2DE"/>
    <w:multiLevelType w:val="hybridMultilevel"/>
    <w:lvl w:ilvl="0">
      <w:lvlJc w:val="left"/>
      <w:lvlText w:val="5"/>
      <w:numFmt w:val="bullet"/>
      <w:start w:val="1"/>
    </w:lvl>
  </w:abstractNum>
  <w:abstractNum w:abstractNumId="173">
    <w:nsid w:val="69D3947C"/>
    <w:multiLevelType w:val="hybridMultilevel"/>
    <w:lvl w:ilvl="0">
      <w:lvlJc w:val="left"/>
      <w:lvlText w:val="6"/>
      <w:numFmt w:val="bullet"/>
      <w:start w:val="1"/>
    </w:lvl>
  </w:abstractNum>
  <w:abstractNum w:abstractNumId="174">
    <w:nsid w:val="2539DFA5"/>
    <w:multiLevelType w:val="hybridMultilevel"/>
    <w:lvl w:ilvl="0">
      <w:lvlJc w:val="left"/>
      <w:lvlText w:val="%1"/>
      <w:numFmt w:val="decimal"/>
      <w:start w:val="119"/>
    </w:lvl>
  </w:abstractNum>
  <w:abstractNum w:abstractNumId="175">
    <w:nsid w:val="2DB88089"/>
    <w:multiLevelType w:val="hybridMultilevel"/>
    <w:lvl w:ilvl="0">
      <w:lvlJc w:val="left"/>
      <w:lvlText w:val="%1"/>
      <w:numFmt w:val="decimal"/>
      <w:start w:val="120"/>
    </w:lvl>
  </w:abstractNum>
  <w:abstractNum w:abstractNumId="176">
    <w:nsid w:val="706B674E"/>
    <w:multiLevelType w:val="hybridMultilevel"/>
    <w:lvl w:ilvl="0">
      <w:lvlJc w:val="left"/>
      <w:lvlText w:val="%1"/>
      <w:numFmt w:val="decimal"/>
      <w:start w:val="121"/>
    </w:lvl>
  </w:abstractNum>
  <w:abstractNum w:abstractNumId="177">
    <w:nsid w:val="2C106A57"/>
    <w:multiLevelType w:val="hybridMultilevel"/>
    <w:lvl w:ilvl="0">
      <w:lvlJc w:val="left"/>
      <w:lvlText w:val="%1"/>
      <w:numFmt w:val="decimal"/>
      <w:start w:val="122"/>
    </w:lvl>
  </w:abstractNum>
  <w:abstractNum w:abstractNumId="178">
    <w:nsid w:val="684EED59"/>
    <w:multiLevelType w:val="hybridMultilevel"/>
    <w:lvl w:ilvl="0">
      <w:lvlJc w:val="left"/>
      <w:lvlText w:val="%1"/>
      <w:numFmt w:val="decimal"/>
      <w:start w:val="123"/>
    </w:lvl>
  </w:abstractNum>
  <w:abstractNum w:abstractNumId="179">
    <w:nsid w:val="545EE5D3"/>
    <w:multiLevelType w:val="hybridMultilevel"/>
    <w:lvl w:ilvl="0">
      <w:lvlJc w:val="left"/>
      <w:lvlText w:val="%1"/>
      <w:numFmt w:val="decimal"/>
      <w:start w:val="124"/>
    </w:lvl>
  </w:abstractNum>
  <w:abstractNum w:abstractNumId="180">
    <w:nsid w:val="4A66051"/>
    <w:multiLevelType w:val="hybridMultilevel"/>
    <w:lvl w:ilvl="0">
      <w:lvlJc w:val="left"/>
      <w:lvlText w:val="%1"/>
      <w:numFmt w:val="decimal"/>
      <w:start w:val="125"/>
    </w:lvl>
  </w:abstractNum>
  <w:abstractNum w:abstractNumId="181">
    <w:nsid w:val="20F4BDAD"/>
    <w:multiLevelType w:val="hybridMultilevel"/>
    <w:lvl w:ilvl="0">
      <w:lvlJc w:val="left"/>
      <w:lvlText w:val="%1"/>
      <w:numFmt w:val="decimal"/>
      <w:start w:val="126"/>
    </w:lvl>
  </w:abstractNum>
  <w:abstractNum w:abstractNumId="182">
    <w:nsid w:val="639DEFAC"/>
    <w:multiLevelType w:val="hybridMultilevel"/>
    <w:lvl w:ilvl="0">
      <w:lvlJc w:val="left"/>
      <w:lvlText w:val="%1"/>
      <w:numFmt w:val="decimal"/>
      <w:start w:val="127"/>
    </w:lvl>
  </w:abstractNum>
  <w:abstractNum w:abstractNumId="183">
    <w:nsid w:val="501F9786"/>
    <w:multiLevelType w:val="hybridMultilevel"/>
    <w:lvl w:ilvl="0">
      <w:lvlJc w:val="left"/>
      <w:lvlText w:val="•"/>
      <w:numFmt w:val="bullet"/>
      <w:start w:val="1"/>
    </w:lvl>
  </w:abstractNum>
  <w:abstractNum w:abstractNumId="184">
    <w:nsid w:val="6B057295"/>
    <w:multiLevelType w:val="hybridMultilevel"/>
    <w:lvl w:ilvl="0">
      <w:lvlJc w:val="left"/>
      <w:lvlText w:val="•"/>
      <w:numFmt w:val="bullet"/>
      <w:start w:val="1"/>
    </w:lvl>
  </w:abstractNum>
  <w:abstractNum w:abstractNumId="185">
    <w:nsid w:val="2771AC80"/>
    <w:multiLevelType w:val="hybridMultilevel"/>
    <w:lvl w:ilvl="0">
      <w:lvlJc w:val="left"/>
      <w:lvlText w:val="•"/>
      <w:numFmt w:val="bullet"/>
      <w:start w:val="1"/>
    </w:lvl>
  </w:abstractNum>
  <w:abstractNum w:abstractNumId="186">
    <w:nsid w:val="1C4A08EC"/>
    <w:multiLevelType w:val="hybridMultilevel"/>
    <w:lvl w:ilvl="0">
      <w:lvlJc w:val="left"/>
      <w:lvlText w:val="•"/>
      <w:numFmt w:val="bullet"/>
      <w:start w:val="1"/>
    </w:lvl>
  </w:abstractNum>
  <w:abstractNum w:abstractNumId="187">
    <w:nsid w:val="1958BD17"/>
    <w:multiLevelType w:val="hybridMultilevel"/>
    <w:lvl w:ilvl="0">
      <w:lvlJc w:val="left"/>
      <w:lvlText w:val="•"/>
      <w:numFmt w:val="bullet"/>
      <w:start w:val="1"/>
    </w:lvl>
  </w:abstractNum>
  <w:abstractNum w:abstractNumId="188">
    <w:nsid w:val="4E647FE4"/>
    <w:multiLevelType w:val="hybridMultilevel"/>
    <w:lvl w:ilvl="0">
      <w:lvlJc w:val="left"/>
      <w:lvlText w:val="•"/>
      <w:numFmt w:val="bullet"/>
      <w:start w:val="1"/>
    </w:lvl>
  </w:abstractNum>
  <w:abstractNum w:abstractNumId="189">
    <w:nsid w:val="E0BB885"/>
    <w:multiLevelType w:val="hybridMultilevel"/>
    <w:lvl w:ilvl="0">
      <w:lvlJc w:val="left"/>
      <w:lvlText w:val="•"/>
      <w:numFmt w:val="bullet"/>
      <w:start w:val="1"/>
    </w:lvl>
  </w:abstractNum>
  <w:abstractNum w:abstractNumId="190">
    <w:nsid w:val="565976F1"/>
    <w:multiLevelType w:val="hybridMultilevel"/>
    <w:lvl w:ilvl="0">
      <w:lvlJc w:val="left"/>
      <w:lvlText w:val="•"/>
      <w:numFmt w:val="bullet"/>
      <w:start w:val="1"/>
    </w:lvl>
  </w:abstractNum>
  <w:abstractNum w:abstractNumId="191">
    <w:nsid w:val="64212B8C"/>
    <w:multiLevelType w:val="hybridMultilevel"/>
    <w:lvl w:ilvl="0">
      <w:lvlJc w:val="left"/>
      <w:lvlText w:val="(%1)"/>
      <w:numFmt w:val="decimal"/>
      <w:start w:val="1"/>
    </w:lvl>
  </w:abstractNum>
  <w:abstractNum w:abstractNumId="192">
    <w:nsid w:val="5C17530C"/>
    <w:multiLevelType w:val="hybridMultilevel"/>
    <w:lvl w:ilvl="0">
      <w:lvlJc w:val="left"/>
      <w:lvlText w:val="•"/>
      <w:numFmt w:val="bullet"/>
      <w:start w:val="1"/>
    </w:lvl>
  </w:abstractNum>
  <w:abstractNum w:abstractNumId="193">
    <w:nsid w:val="19A52566"/>
    <w:multiLevelType w:val="hybridMultilevel"/>
    <w:lvl w:ilvl="0">
      <w:lvlJc w:val="left"/>
      <w:lvlText w:val="•"/>
      <w:numFmt w:val="bullet"/>
      <w:start w:val="1"/>
    </w:lvl>
  </w:abstractNum>
  <w:abstractNum w:abstractNumId="194">
    <w:nsid w:val="335A1DF1"/>
    <w:multiLevelType w:val="hybridMultilevel"/>
    <w:lvl w:ilvl="0">
      <w:lvlJc w:val="left"/>
      <w:lvlText w:val="•"/>
      <w:numFmt w:val="bullet"/>
      <w:start w:val="1"/>
    </w:lvl>
  </w:abstractNum>
  <w:abstractNum w:abstractNumId="195">
    <w:nsid w:val="28677B7C"/>
    <w:multiLevelType w:val="hybridMultilevel"/>
    <w:lvl w:ilvl="0">
      <w:lvlJc w:val="left"/>
      <w:lvlText w:val="•"/>
      <w:numFmt w:val="bullet"/>
      <w:start w:val="1"/>
    </w:lvl>
  </w:abstractNum>
  <w:abstractNum w:abstractNumId="196">
    <w:nsid w:val="378D97C0"/>
    <w:multiLevelType w:val="hybridMultilevel"/>
    <w:lvl w:ilvl="0">
      <w:lvlJc w:val="left"/>
      <w:lvlText w:val="(%1)"/>
      <w:numFmt w:val="decimal"/>
      <w:start w:val="1"/>
    </w:lvl>
    <w:lvl w:ilvl="1">
      <w:lvlJc w:val="left"/>
      <w:lvlText w:val="◦."/>
      <w:numFmt w:val="bullet"/>
      <w:start w:val="1"/>
    </w:lvl>
  </w:abstractNum>
  <w:abstractNum w:abstractNumId="197">
    <w:nsid w:val="1D91467C"/>
    <w:multiLevelType w:val="hybridMultilevel"/>
    <w:lvl w:ilvl="0">
      <w:lvlJc w:val="left"/>
      <w:lvlText w:val="(%1)"/>
      <w:numFmt w:val="decimal"/>
      <w:start w:val="5"/>
    </w:lvl>
  </w:abstractNum>
  <w:abstractNum w:abstractNumId="198">
    <w:nsid w:val="316032BB"/>
    <w:multiLevelType w:val="hybridMultilevel"/>
    <w:lvl w:ilvl="0">
      <w:lvlJc w:val="left"/>
      <w:lvlText w:val="•"/>
      <w:numFmt w:val="bullet"/>
      <w:start w:val="1"/>
    </w:lvl>
  </w:abstractNum>
  <w:abstractNum w:abstractNumId="199">
    <w:nsid w:val="44344C22"/>
    <w:multiLevelType w:val="hybridMultilevel"/>
    <w:lvl w:ilvl="0">
      <w:lvlJc w:val="left"/>
      <w:lvlText w:val="•"/>
      <w:numFmt w:val="bullet"/>
      <w:start w:val="1"/>
    </w:lvl>
  </w:abstractNum>
  <w:abstractNum w:abstractNumId="200">
    <w:nsid w:val="13CDFCFC"/>
    <w:multiLevelType w:val="hybridMultilevel"/>
    <w:lvl w:ilvl="0">
      <w:lvlJc w:val="left"/>
      <w:lvlText w:val="•"/>
      <w:numFmt w:val="bullet"/>
      <w:start w:val="1"/>
    </w:lvl>
  </w:abstractNum>
  <w:abstractNum w:abstractNumId="201">
    <w:nsid w:val="471745E4"/>
    <w:multiLevelType w:val="hybridMultilevel"/>
    <w:lvl w:ilvl="0">
      <w:lvlJc w:val="left"/>
      <w:lvlText w:val="%1."/>
      <w:numFmt w:val="decimal"/>
      <w:start w:val="1"/>
    </w:lvl>
  </w:abstractNum>
  <w:abstractNum w:abstractNumId="202">
    <w:nsid w:val="1DDBC66"/>
    <w:multiLevelType w:val="hybridMultilevel"/>
    <w:lvl w:ilvl="0">
      <w:lvlJc w:val="left"/>
      <w:lvlText w:val="%1."/>
      <w:numFmt w:val="decimal"/>
      <w:start w:val="5"/>
    </w:lvl>
  </w:abstractNum>
  <w:abstractNum w:abstractNumId="203">
    <w:nsid w:val="30AADFDA"/>
    <w:multiLevelType w:val="hybridMultilevel"/>
    <w:lvl w:ilvl="0">
      <w:lvlJc w:val="left"/>
      <w:lvlText w:val="%1."/>
      <w:numFmt w:val="decimal"/>
      <w:start w:val="7"/>
    </w:lvl>
  </w:abstractNum>
  <w:abstractNum w:abstractNumId="204">
    <w:nsid w:val="30EADA61"/>
    <w:multiLevelType w:val="hybridMultilevel"/>
    <w:lvl w:ilvl="0">
      <w:lvlJc w:val="left"/>
      <w:lvlText w:val="%1."/>
      <w:numFmt w:val="decimal"/>
      <w:start w:val="11"/>
    </w:lvl>
  </w:abstractNum>
  <w:abstractNum w:abstractNumId="205">
    <w:nsid w:val="27179C0B"/>
    <w:multiLevelType w:val="hybridMultilevel"/>
    <w:lvl w:ilvl="0">
      <w:lvlJc w:val="left"/>
      <w:lvlText w:val="(%1)"/>
      <w:numFmt w:val="decimal"/>
      <w:start w:val="1"/>
    </w:lvl>
  </w:abstractNum>
  <w:abstractNum w:abstractNumId="206">
    <w:nsid w:val="5E636063"/>
    <w:multiLevelType w:val="hybridMultilevel"/>
    <w:lvl w:ilvl="0">
      <w:lvlJc w:val="left"/>
      <w:lvlText w:val="%1."/>
      <w:numFmt w:val="decimal"/>
      <w:start w:val="13"/>
    </w:lvl>
  </w:abstractNum>
  <w:abstractNum w:abstractNumId="207">
    <w:nsid w:val="215641AF"/>
    <w:multiLevelType w:val="hybridMultilevel"/>
    <w:lvl w:ilvl="0">
      <w:lvlJc w:val="left"/>
      <w:lvlText w:val="%1."/>
      <w:numFmt w:val="decimal"/>
      <w:start w:val="16"/>
    </w:lvl>
    <w:lvl w:ilvl="1">
      <w:lvlJc w:val="left"/>
      <w:lvlText w:val="(%2)"/>
      <w:numFmt w:val="decimal"/>
      <w:start w:val="1"/>
    </w:lvl>
  </w:abstractNum>
  <w:abstractNum w:abstractNumId="208">
    <w:nsid w:val="53280662"/>
    <w:multiLevelType w:val="hybridMultilevel"/>
    <w:lvl w:ilvl="0">
      <w:lvlJc w:val="left"/>
      <w:lvlText w:val="%1"/>
      <w:numFmt w:val="decimal"/>
      <w:start w:val="1"/>
    </w:lvl>
    <w:lvl w:ilvl="1">
      <w:lvlJc w:val="left"/>
      <w:lvlText w:val="(%2)"/>
      <w:numFmt w:val="decimal"/>
      <w:start w:val="3"/>
    </w:lvl>
  </w:abstractNum>
  <w:abstractNum w:abstractNumId="209">
    <w:nsid w:val="46B24DBC"/>
    <w:multiLevelType w:val="hybridMultilevel"/>
    <w:lvl w:ilvl="0">
      <w:lvlJc w:val="left"/>
      <w:lvlText w:val="%1."/>
      <w:numFmt w:val="decimal"/>
      <w:start w:val="21"/>
    </w:lvl>
    <w:lvl w:ilvl="1">
      <w:lvlJc w:val="left"/>
      <w:lvlText w:val="%2"/>
      <w:numFmt w:val="decimal"/>
      <w:start w:val="1"/>
    </w:lvl>
  </w:abstractNum>
  <w:abstractNum w:abstractNumId="210">
    <w:nsid w:val="75B52783"/>
    <w:multiLevelType w:val="hybridMultilevel"/>
    <w:lvl w:ilvl="0">
      <w:lvlJc w:val="left"/>
      <w:lvlText w:val="%1."/>
      <w:numFmt w:val="decimal"/>
      <w:start w:val="1"/>
    </w:lvl>
  </w:abstractNum>
  <w:abstractNum w:abstractNumId="211">
    <w:nsid w:val="57CE66B4"/>
    <w:multiLevelType w:val="hybridMultilevel"/>
    <w:lvl w:ilvl="0">
      <w:lvlJc w:val="left"/>
      <w:lvlText w:val="1"/>
      <w:numFmt w:val="bullet"/>
      <w:start w:val="1"/>
    </w:lvl>
  </w:abstractNum>
  <w:abstractNum w:abstractNumId="212">
    <w:nsid w:val="67A70B69"/>
    <w:multiLevelType w:val="hybridMultilevel"/>
    <w:lvl w:ilvl="0">
      <w:lvlJc w:val="left"/>
      <w:lvlText w:val="%1."/>
      <w:numFmt w:val="decimal"/>
      <w:start w:val="2"/>
    </w:lvl>
  </w:abstractNum>
  <w:abstractNum w:abstractNumId="213">
    <w:nsid w:val="5953172F"/>
    <w:multiLevelType w:val="hybridMultilevel"/>
    <w:lvl w:ilvl="0">
      <w:lvlJc w:val="left"/>
      <w:lvlText w:val="%1."/>
      <w:numFmt w:val="decimal"/>
      <w:start w:val="4"/>
    </w:lvl>
  </w:abstractNum>
  <w:abstractNum w:abstractNumId="214">
    <w:nsid w:val="27EDFE3A"/>
    <w:multiLevelType w:val="hybridMultilevel"/>
    <w:lvl w:ilvl="0">
      <w:lvlJc w:val="left"/>
      <w:lvlText w:val="%1."/>
      <w:numFmt w:val="decimal"/>
      <w:start w:val="5"/>
    </w:lvl>
  </w:abstractNum>
  <w:abstractNum w:abstractNumId="215">
    <w:nsid w:val="52AC7DFF"/>
    <w:multiLevelType w:val="hybridMultilevel"/>
    <w:lvl w:ilvl="0">
      <w:lvlJc w:val="left"/>
      <w:lvlText w:val="%1."/>
      <w:numFmt w:val="decimal"/>
      <w:start w:val="6"/>
    </w:lvl>
  </w:abstractNum>
  <w:abstractNum w:abstractNumId="216">
    <w:nsid w:val="C4C3AF"/>
    <w:multiLevelType w:val="hybridMultilevel"/>
    <w:lvl w:ilvl="0">
      <w:lvlJc w:val="left"/>
      <w:lvlText w:val="%1."/>
      <w:numFmt w:val="decimal"/>
      <w:start w:val="11"/>
    </w:lvl>
  </w:abstractNum>
  <w:abstractNum w:abstractNumId="217">
    <w:nsid w:val="44380727"/>
    <w:multiLevelType w:val="hybridMultilevel"/>
    <w:lvl w:ilvl="0">
      <w:lvlJc w:val="left"/>
      <w:lvlText w:val="1"/>
      <w:numFmt w:val="bullet"/>
      <w:start w:val="1"/>
    </w:lvl>
  </w:abstractNum>
  <w:abstractNum w:abstractNumId="218">
    <w:nsid w:val="6C053B16"/>
    <w:multiLevelType w:val="hybridMultilevel"/>
    <w:lvl w:ilvl="0">
      <w:lvlJc w:val="left"/>
      <w:lvlText w:val="•"/>
      <w:numFmt w:val="bullet"/>
      <w:start w:val="1"/>
    </w:lvl>
  </w:abstractNum>
  <w:abstractNum w:abstractNumId="219">
    <w:nsid w:val="4F294393"/>
    <w:multiLevelType w:val="hybridMultilevel"/>
    <w:lvl w:ilvl="0">
      <w:lvlJc w:val="left"/>
      <w:lvlText w:val="%1."/>
      <w:numFmt w:val="decimal"/>
      <w:start w:val="1"/>
    </w:lvl>
  </w:abstractNum>
  <w:abstractNum w:abstractNumId="220">
    <w:nsid w:val="5243BFAC"/>
    <w:multiLevelType w:val="hybridMultilevel"/>
    <w:lvl w:ilvl="0">
      <w:lvlJc w:val="left"/>
      <w:lvlText w:val="%1."/>
      <w:numFmt w:val="decimal"/>
      <w:start w:val="5"/>
    </w:lvl>
  </w:abstractNum>
  <w:abstractNum w:abstractNumId="221">
    <w:nsid w:val="425EB207"/>
    <w:multiLevelType w:val="hybridMultilevel"/>
    <w:lvl w:ilvl="0">
      <w:lvlJc w:val="left"/>
      <w:lvlText w:val="%1."/>
      <w:numFmt w:val="decimal"/>
      <w:start w:val="7"/>
    </w:lvl>
  </w:abstractNum>
  <w:abstractNum w:abstractNumId="222">
    <w:nsid w:val="334A6F1F"/>
    <w:multiLevelType w:val="hybridMultilevel"/>
    <w:lvl w:ilvl="0">
      <w:lvlJc w:val="left"/>
      <w:lvlText w:val="%1."/>
      <w:numFmt w:val="decimal"/>
      <w:start w:val="11"/>
    </w:lvl>
  </w:abstractNum>
  <w:abstractNum w:abstractNumId="223">
    <w:nsid w:val="2E5B12B8"/>
    <w:multiLevelType w:val="hybridMultilevel"/>
    <w:lvl w:ilvl="0">
      <w:lvlJc w:val="left"/>
      <w:lvlText w:val="(%1)"/>
      <w:numFmt w:val="decimal"/>
      <w:start w:val="1"/>
    </w:lvl>
  </w:abstractNum>
  <w:abstractNum w:abstractNumId="224">
    <w:nsid w:val="5C03D76D"/>
    <w:multiLevelType w:val="hybridMultilevel"/>
    <w:lvl w:ilvl="0">
      <w:lvlJc w:val="left"/>
      <w:lvlText w:val="%1."/>
      <w:numFmt w:val="decimal"/>
      <w:start w:val="13"/>
    </w:lvl>
  </w:abstractNum>
  <w:abstractNum w:abstractNumId="225">
    <w:nsid w:val="66A48D11"/>
    <w:multiLevelType w:val="hybridMultilevel"/>
    <w:lvl w:ilvl="0">
      <w:lvlJc w:val="left"/>
      <w:lvlText w:val="%1."/>
      <w:numFmt w:val="decimal"/>
      <w:start w:val="16"/>
    </w:lvl>
    <w:lvl w:ilvl="1">
      <w:lvlJc w:val="left"/>
      <w:lvlText w:val="(%2)"/>
      <w:numFmt w:val="decimal"/>
      <w:start w:val="1"/>
    </w:lvl>
  </w:abstractNum>
  <w:abstractNum w:abstractNumId="226">
    <w:nsid w:val="56C28E34"/>
    <w:multiLevelType w:val="hybridMultilevel"/>
    <w:lvl w:ilvl="0">
      <w:lvlJc w:val="left"/>
      <w:lvlText w:val="%1"/>
      <w:numFmt w:val="decimal"/>
      <w:start w:val="1"/>
    </w:lvl>
    <w:lvl w:ilvl="1">
      <w:lvlJc w:val="left"/>
      <w:lvlText w:val="(%2)"/>
      <w:numFmt w:val="decimal"/>
      <w:start w:val="3"/>
    </w:lvl>
  </w:abstractNum>
  <w:abstractNum w:abstractNumId="227">
    <w:nsid w:val="13916F2D"/>
    <w:multiLevelType w:val="hybridMultilevel"/>
    <w:lvl w:ilvl="0">
      <w:lvlJc w:val="left"/>
      <w:lvlText w:val="%1."/>
      <w:numFmt w:val="decimal"/>
      <w:start w:val="21"/>
    </w:lvl>
    <w:lvl w:ilvl="1">
      <w:lvlJc w:val="left"/>
      <w:lvlText w:val="%2"/>
      <w:numFmt w:val="decimal"/>
      <w:start w:val="1"/>
    </w:lvl>
  </w:abstractNum>
  <w:abstractNum w:abstractNumId="228">
    <w:nsid w:val="435D38D"/>
    <w:multiLevelType w:val="hybridMultilevel"/>
    <w:lvl w:ilvl="0">
      <w:lvlJc w:val="left"/>
      <w:lvlText w:val="%1."/>
      <w:numFmt w:val="decimal"/>
      <w:start w:val="1"/>
    </w:lvl>
  </w:abstractNum>
  <w:abstractNum w:abstractNumId="229">
    <w:nsid w:val="822C0EF"/>
    <w:multiLevelType w:val="hybridMultilevel"/>
    <w:lvl w:ilvl="0">
      <w:lvlJc w:val="left"/>
      <w:lvlText w:val="%1."/>
      <w:numFmt w:val="decimal"/>
      <w:start w:val="2"/>
    </w:lvl>
  </w:abstractNum>
  <w:abstractNum w:abstractNumId="230">
    <w:nsid w:val="57C5BB4F"/>
    <w:multiLevelType w:val="hybridMultilevel"/>
    <w:lvl w:ilvl="0">
      <w:lvlJc w:val="left"/>
      <w:lvlText w:val="%1."/>
      <w:numFmt w:val="decimal"/>
      <w:start w:val="4"/>
    </w:lvl>
  </w:abstractNum>
  <w:abstractNum w:abstractNumId="231">
    <w:nsid w:val="1803D089"/>
    <w:multiLevelType w:val="hybridMultilevel"/>
    <w:lvl w:ilvl="0">
      <w:lvlJc w:val="left"/>
      <w:lvlText w:val="%1."/>
      <w:numFmt w:val="decimal"/>
      <w:start w:val="5"/>
    </w:lvl>
  </w:abstractNum>
  <w:abstractNum w:abstractNumId="232">
    <w:nsid w:val="4F3A06D4"/>
    <w:multiLevelType w:val="hybridMultilevel"/>
    <w:lvl w:ilvl="0">
      <w:lvlJc w:val="left"/>
      <w:lvlText w:val="%1."/>
      <w:numFmt w:val="decimal"/>
      <w:start w:val="11"/>
    </w:lvl>
  </w:abstractNum>
  <w:abstractNum w:abstractNumId="233">
    <w:nsid w:val="59A377B6"/>
    <w:multiLevelType w:val="hybridMultilevel"/>
    <w:lvl w:ilvl="0">
      <w:lvlJc w:val="left"/>
      <w:lvlText w:val="(%1)"/>
      <w:numFmt w:val="lowerRoman"/>
      <w:start w:val="1"/>
    </w:lvl>
  </w:abstractNum>
  <w:abstractNum w:abstractNumId="234">
    <w:nsid w:val="48AEB063"/>
    <w:multiLevelType w:val="hybridMultilevel"/>
    <w:lvl w:ilvl="0">
      <w:lvlJc w:val="left"/>
      <w:lvlText w:val="(%1)"/>
      <w:numFmt w:val="lowerRoman"/>
      <w:start w:val="1"/>
    </w:lvl>
  </w:abstractNum>
  <w:abstractNum w:abstractNumId="235">
    <w:nsid w:val="24E135"/>
    <w:multiLevelType w:val="hybridMultilevel"/>
    <w:lvl w:ilvl="0">
      <w:lvlJc w:val="left"/>
      <w:lvlText w:val="(%1)"/>
      <w:numFmt w:val="lowerRoman"/>
      <w:start w:val="1"/>
    </w:lvl>
  </w:abstractNum>
  <w:abstractNum w:abstractNumId="236">
    <w:nsid w:val="BB13C1"/>
    <w:multiLevelType w:val="hybridMultilevel"/>
    <w:lvl w:ilvl="0">
      <w:lvlJc w:val="left"/>
      <w:lvlText w:val="(%1)"/>
      <w:numFmt w:val="lowerRoman"/>
      <w:start w:val="1"/>
    </w:lvl>
  </w:abstractNum>
  <w:abstractNum w:abstractNumId="237">
    <w:nsid w:val="271210C7"/>
    <w:multiLevelType w:val="hybridMultilevel"/>
    <w:lvl w:ilvl="0">
      <w:lvlJc w:val="left"/>
      <w:lvlText w:val="%1."/>
      <w:numFmt w:val="decimal"/>
      <w:start w:val="1"/>
    </w:lvl>
    <w:lvl w:ilvl="1">
      <w:lvlJc w:val="left"/>
      <w:lvlText w:val="%2)"/>
      <w:numFmt w:val="lowerLetter"/>
      <w:start w:val="1"/>
    </w:lvl>
  </w:abstractNum>
  <w:abstractNum w:abstractNumId="238">
    <w:nsid w:val="217B22E4"/>
    <w:multiLevelType w:val="hybridMultilevel"/>
    <w:lvl w:ilvl="0">
      <w:lvlJc w:val="left"/>
      <w:lvlText w:val="%1."/>
      <w:numFmt w:val="decimal"/>
      <w:start w:val="1"/>
    </w:lvl>
    <w:lvl w:ilvl="1">
      <w:lvlJc w:val="left"/>
      <w:lvlText w:val="%2)"/>
      <w:numFmt w:val="lowerLetter"/>
      <w:start w:val="1"/>
    </w:lvl>
  </w:abstractNum>
  <w:abstractNum w:abstractNumId="239">
    <w:nsid w:val="53E31A24"/>
    <w:multiLevelType w:val="hybridMultilevel"/>
    <w:lvl w:ilvl="0">
      <w:lvlJc w:val="left"/>
      <w:lvlText w:val="(%1)"/>
      <w:numFmt w:val="decimal"/>
      <w:start w:val="1"/>
    </w:lvl>
  </w:abstractNum>
  <w:abstractNum w:abstractNumId="240">
    <w:nsid w:val="6DC45E83"/>
    <w:multiLevelType w:val="hybridMultilevel"/>
    <w:lvl w:ilvl="0">
      <w:lvlJc w:val="left"/>
      <w:lvlText w:val="(%1)"/>
      <w:numFmt w:val="decimal"/>
      <w:start w:val="1"/>
    </w:lvl>
  </w:abstractNum>
  <w:abstractNum w:abstractNumId="241">
    <w:nsid w:val="17304A67"/>
    <w:multiLevelType w:val="hybridMultilevel"/>
    <w:lvl w:ilvl="0">
      <w:lvlJc w:val="left"/>
      <w:lvlText w:val="%1."/>
      <w:numFmt w:val="decimal"/>
      <w:start w:val="1"/>
    </w:lvl>
    <w:lvl w:ilvl="1">
      <w:lvlJc w:val="left"/>
      <w:lvlText w:val="(%2)"/>
      <w:numFmt w:val="lowerLetter"/>
      <w:start w:val="1"/>
    </w:lvl>
  </w:abstractNum>
  <w:abstractNum w:abstractNumId="242">
    <w:nsid w:val="2BB180D8"/>
    <w:multiLevelType w:val="hybridMultilevel"/>
    <w:lvl w:ilvl="0">
      <w:lvlJc w:val="left"/>
      <w:lvlText w:val="(%1)"/>
      <w:numFmt w:val="lowerLetter"/>
      <w:start w:val="5"/>
    </w:lvl>
  </w:abstractNum>
  <w:abstractNum w:abstractNumId="243">
    <w:nsid w:val="556B69ED"/>
    <w:multiLevelType w:val="hybridMultilevel"/>
    <w:lvl w:ilvl="0">
      <w:lvlJc w:val="left"/>
      <w:lvlText w:val="%1"/>
      <w:numFmt w:val="decimal"/>
      <w:start w:val="1"/>
    </w:lvl>
    <w:lvl w:ilvl="1">
      <w:lvlJc w:val="left"/>
      <w:lvlText w:val="(%2)"/>
      <w:numFmt w:val="lowerLetter"/>
      <w:start w:val="17"/>
    </w:lvl>
  </w:abstractNum>
  <w:abstractNum w:abstractNumId="244">
    <w:nsid w:val="70836196"/>
    <w:multiLevelType w:val="hybridMultilevel"/>
    <w:lvl w:ilvl="0">
      <w:lvlJc w:val="left"/>
      <w:lvlText w:val="%1."/>
      <w:numFmt w:val="decimal"/>
      <w:start w:val="4"/>
    </w:lvl>
    <w:lvl w:ilvl="1">
      <w:lvlJc w:val="left"/>
      <w:lvlText w:val="(%2)"/>
      <w:numFmt w:val="lowerLetter"/>
      <w:start w:val="1"/>
    </w:lvl>
  </w:abstractNum>
  <w:abstractNum w:abstractNumId="245">
    <w:nsid w:val="539F7F12"/>
    <w:multiLevelType w:val="hybridMultilevel"/>
    <w:lvl w:ilvl="0">
      <w:lvlJc w:val="left"/>
      <w:lvlText w:val="%1"/>
      <w:numFmt w:val="decimal"/>
      <w:start w:val="1"/>
    </w:lvl>
    <w:lvl w:ilvl="1">
      <w:lvlJc w:val="left"/>
      <w:lvlText w:val="(%2)"/>
      <w:numFmt w:val="lowerLetter"/>
      <w:start w:val="2"/>
    </w:lvl>
  </w:abstractNum>
  <w:abstractNum w:abstractNumId="246">
    <w:nsid w:val="2817E7EC"/>
    <w:multiLevelType w:val="hybridMultilevel"/>
    <w:lvl w:ilvl="0">
      <w:lvlJc w:val="left"/>
      <w:lvlText w:val="%1."/>
      <w:numFmt w:val="decimal"/>
      <w:start w:val="5"/>
    </w:lvl>
    <w:lvl w:ilvl="1">
      <w:lvlJc w:val="left"/>
      <w:lvlText w:val="%2"/>
      <w:numFmt w:val="lowerLetter"/>
      <w:start w:val="1"/>
    </w:lvl>
  </w:abstractNum>
  <w:abstractNum w:abstractNumId="247">
    <w:nsid w:val="71482545"/>
    <w:multiLevelType w:val="hybridMultilevel"/>
    <w:lvl w:ilvl="0">
      <w:lvlJc w:val="left"/>
      <w:lvlText w:val="%1."/>
      <w:numFmt w:val="decimal"/>
      <w:start w:val="9"/>
    </w:lvl>
    <w:lvl w:ilvl="1">
      <w:lvlJc w:val="left"/>
      <w:lvlText w:val="*"/>
      <w:numFmt w:val="bullet"/>
      <w:start w:val="1"/>
    </w:lvl>
  </w:abstractNum>
  <w:abstractNum w:abstractNumId="248">
    <w:nsid w:val="17D7863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jpeg"/><Relationship Id="rId94" Type="http://schemas.openxmlformats.org/officeDocument/2006/relationships/image" Target="media/image86.jpeg"/><Relationship Id="rId95" Type="http://schemas.openxmlformats.org/officeDocument/2006/relationships/image" Target="media/image87.png"/><Relationship Id="rId96" Type="http://schemas.openxmlformats.org/officeDocument/2006/relationships/image" Target="media/image88.jpeg"/><Relationship Id="rId97" Type="http://schemas.openxmlformats.org/officeDocument/2006/relationships/image" Target="media/image89.png"/><Relationship Id="rId98" Type="http://schemas.openxmlformats.org/officeDocument/2006/relationships/image" Target="media/image90.jpeg"/><Relationship Id="rId99" Type="http://schemas.openxmlformats.org/officeDocument/2006/relationships/image" Target="media/image91.png"/><Relationship Id="rId100" Type="http://schemas.openxmlformats.org/officeDocument/2006/relationships/image" Target="media/image92.jpeg"/><Relationship Id="rId101" Type="http://schemas.openxmlformats.org/officeDocument/2006/relationships/image" Target="media/image93.jpeg"/><Relationship Id="rId102" Type="http://schemas.openxmlformats.org/officeDocument/2006/relationships/image" Target="media/image94.png"/><Relationship Id="rId103" Type="http://schemas.openxmlformats.org/officeDocument/2006/relationships/image" Target="media/image95.jpeg"/><Relationship Id="rId104" Type="http://schemas.openxmlformats.org/officeDocument/2006/relationships/image" Target="media/image96.jpeg"/><Relationship Id="rId105" Type="http://schemas.openxmlformats.org/officeDocument/2006/relationships/image" Target="media/image97.png"/><Relationship Id="rId106" Type="http://schemas.openxmlformats.org/officeDocument/2006/relationships/image" Target="media/image98.jpe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jpeg"/><Relationship Id="rId110" Type="http://schemas.openxmlformats.org/officeDocument/2006/relationships/image" Target="media/image102.png"/><Relationship Id="rId111" Type="http://schemas.openxmlformats.org/officeDocument/2006/relationships/image" Target="media/image103.jpeg"/><Relationship Id="rId112" Type="http://schemas.openxmlformats.org/officeDocument/2006/relationships/image" Target="media/image104.png"/><Relationship Id="rId113" Type="http://schemas.openxmlformats.org/officeDocument/2006/relationships/image" Target="media/image105.jpeg"/><Relationship Id="rId114" Type="http://schemas.openxmlformats.org/officeDocument/2006/relationships/image" Target="media/image106.png"/><Relationship Id="rId115" Type="http://schemas.openxmlformats.org/officeDocument/2006/relationships/image" Target="media/image107.jpe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jpeg"/><Relationship Id="rId143" Type="http://schemas.openxmlformats.org/officeDocument/2006/relationships/image" Target="media/image135.jpeg"/><Relationship Id="rId144" Type="http://schemas.openxmlformats.org/officeDocument/2006/relationships/image" Target="media/image136.jpeg"/><Relationship Id="rId145" Type="http://schemas.openxmlformats.org/officeDocument/2006/relationships/image" Target="media/image137.jpeg"/><Relationship Id="rId146" Type="http://schemas.openxmlformats.org/officeDocument/2006/relationships/image" Target="media/image138.jpe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74" Type="http://schemas.openxmlformats.org/officeDocument/2006/relationships/image" Target="media/image245.png"/><Relationship Id="rId296" Type="http://schemas.openxmlformats.org/officeDocument/2006/relationships/image" Target="media/image246.png"/><Relationship Id="rId318" Type="http://schemas.openxmlformats.org/officeDocument/2006/relationships/image" Target="media/image247.png"/><Relationship Id="rId319" Type="http://schemas.openxmlformats.org/officeDocument/2006/relationships/image" Target="media/image248.png"/><Relationship Id="rId320" Type="http://schemas.openxmlformats.org/officeDocument/2006/relationships/image" Target="media/image249.png"/><Relationship Id="rId321" Type="http://schemas.openxmlformats.org/officeDocument/2006/relationships/image" Target="media/image250.png"/><Relationship Id="rId322" Type="http://schemas.openxmlformats.org/officeDocument/2006/relationships/image" Target="media/image251.png"/><Relationship Id="rId323" Type="http://schemas.openxmlformats.org/officeDocument/2006/relationships/image" Target="media/image252.png"/><Relationship Id="rId324" Type="http://schemas.openxmlformats.org/officeDocument/2006/relationships/image" Target="media/image253.png"/><Relationship Id="rId325" Type="http://schemas.openxmlformats.org/officeDocument/2006/relationships/image" Target="media/image254.png"/><Relationship Id="rId326" Type="http://schemas.openxmlformats.org/officeDocument/2006/relationships/image" Target="media/image255.png"/><Relationship Id="rId327" Type="http://schemas.openxmlformats.org/officeDocument/2006/relationships/image" Target="media/image256.png"/><Relationship Id="rId328" Type="http://schemas.openxmlformats.org/officeDocument/2006/relationships/image" Target="media/image257.png"/><Relationship Id="rId329" Type="http://schemas.openxmlformats.org/officeDocument/2006/relationships/image" Target="media/image258.png"/><Relationship Id="rId330" Type="http://schemas.openxmlformats.org/officeDocument/2006/relationships/image" Target="media/image259.png"/><Relationship Id="rId331" Type="http://schemas.openxmlformats.org/officeDocument/2006/relationships/image" Target="media/image260.png"/><Relationship Id="rId332" Type="http://schemas.openxmlformats.org/officeDocument/2006/relationships/image" Target="media/image261.png"/><Relationship Id="rId333" Type="http://schemas.openxmlformats.org/officeDocument/2006/relationships/image" Target="media/image262.png"/><Relationship Id="rId334" Type="http://schemas.openxmlformats.org/officeDocument/2006/relationships/image" Target="media/image263.png"/><Relationship Id="rId335" Type="http://schemas.openxmlformats.org/officeDocument/2006/relationships/image" Target="media/image264.png"/><Relationship Id="rId336" Type="http://schemas.openxmlformats.org/officeDocument/2006/relationships/image" Target="media/image265.png"/><Relationship Id="rId337" Type="http://schemas.openxmlformats.org/officeDocument/2006/relationships/image" Target="media/image266.png"/><Relationship Id="rId338" Type="http://schemas.openxmlformats.org/officeDocument/2006/relationships/image" Target="media/image267.png"/><Relationship Id="rId339" Type="http://schemas.openxmlformats.org/officeDocument/2006/relationships/image" Target="media/image268.png"/><Relationship Id="rId340" Type="http://schemas.openxmlformats.org/officeDocument/2006/relationships/image" Target="media/image269.png"/><Relationship Id="rId341" Type="http://schemas.openxmlformats.org/officeDocument/2006/relationships/image" Target="media/image270.jpeg"/><Relationship Id="rId342" Type="http://schemas.openxmlformats.org/officeDocument/2006/relationships/image" Target="media/image271.png"/><Relationship Id="rId343" Type="http://schemas.openxmlformats.org/officeDocument/2006/relationships/image" Target="media/image272.jpeg"/><Relationship Id="rId344" Type="http://schemas.openxmlformats.org/officeDocument/2006/relationships/image" Target="media/image273.png"/><Relationship Id="rId345" Type="http://schemas.openxmlformats.org/officeDocument/2006/relationships/image" Target="media/image274.png"/><Relationship Id="rId346" Type="http://schemas.openxmlformats.org/officeDocument/2006/relationships/image" Target="media/image275.png"/><Relationship Id="rId347" Type="http://schemas.openxmlformats.org/officeDocument/2006/relationships/image" Target="media/image276.png"/><Relationship Id="rId91" Type="http://schemas.openxmlformats.org/officeDocument/2006/relationships/hyperlink" Target="https://www.sec.gov/ix?doc=/Archives/edgar/data/773840/000077384023000013/hon-20221231.htm" TargetMode="External"/><Relationship Id="rId253" Type="http://schemas.openxmlformats.org/officeDocument/2006/relationships/hyperlink" Target="http://www.sec.gov/Archives/edgar/data/773840/000093041318002303/c91619_ex3i.htm" TargetMode="External"/><Relationship Id="rId254" Type="http://schemas.openxmlformats.org/officeDocument/2006/relationships/hyperlink" Target="https://www.sec.gov/Archives/edgar/data/773840/000077384023000092/exhibit3i-honeywellbyxlaws.htm" TargetMode="External"/><Relationship Id="rId255" Type="http://schemas.openxmlformats.org/officeDocument/2006/relationships/hyperlink" Target="http://www.sec.gov/Archives/edgar/data/773840/000095011703003488/ex10-2.txt" TargetMode="External"/><Relationship Id="rId256" Type="http://schemas.openxmlformats.org/officeDocument/2006/relationships/hyperlink" Target="http://www.sec.gov/Archives/edgar/data/773840/000095011704004532/ex10-1.htm" TargetMode="External"/><Relationship Id="rId257" Type="http://schemas.openxmlformats.org/officeDocument/2006/relationships/hyperlink" Target="http://www.sec.gov/Archives/edgar/data/773840/000095011706000980/ex10-2.htm" TargetMode="External"/><Relationship Id="rId258" Type="http://schemas.openxmlformats.org/officeDocument/2006/relationships/hyperlink" Target="https://www.sec.gov/Archives/edgar/data/773840/000077384021000057/exhibit10106302021.htm" TargetMode="External"/><Relationship Id="rId259" Type="http://schemas.openxmlformats.org/officeDocument/2006/relationships/hyperlink" Target="http://www.sec.gov/Archives/edgar/data/773840/000093041319000366/c92779_ex10-4.htm" TargetMode="External"/><Relationship Id="rId260" Type="http://schemas.openxmlformats.org/officeDocument/2006/relationships/hyperlink" Target="http://www.sec.gov/Archives/edgar/data/0000773840/000077384021000015/exhibit106912312020.htm" TargetMode="External"/><Relationship Id="rId261" Type="http://schemas.openxmlformats.org/officeDocument/2006/relationships/hyperlink" Target="http://www.sec.gov/Archives/edgar/data/0000773840/000077384021000057/exhibit10106302021.htm" TargetMode="External"/><Relationship Id="rId262" Type="http://schemas.openxmlformats.org/officeDocument/2006/relationships/hyperlink" Target="https://www.sec.gov/Archives/edgar/data/773840/000077384021000015/exhibit10512312020.htm" TargetMode="External"/><Relationship Id="rId263" Type="http://schemas.openxmlformats.org/officeDocument/2006/relationships/hyperlink" Target="https://www.sec.gov/Archives/edgar/data/773840/000077384023000013/exhibit101012312022.htm" TargetMode="External"/><Relationship Id="rId264" Type="http://schemas.openxmlformats.org/officeDocument/2006/relationships/hyperlink" Target="https://www.sec.gov/Archives/edgar/data/0000773840/000077384021000015/exhibit10712312020.htm" TargetMode="External"/><Relationship Id="rId265" Type="http://schemas.openxmlformats.org/officeDocument/2006/relationships/hyperlink" Target="https://www.sec.gov/Archives/edgar/data/0000773840/000077384021000057/exhibit10106302021.htm" TargetMode="External"/><Relationship Id="rId266" Type="http://schemas.openxmlformats.org/officeDocument/2006/relationships/hyperlink" Target="http://www.sec.gov/Archives/edgar/data/773840/000093041309000801/c56028_ex10-10.htm" TargetMode="External"/><Relationship Id="rId267" Type="http://schemas.openxmlformats.org/officeDocument/2006/relationships/hyperlink" Target="http://www.sec.gov/Archives/edgar/data/773840/000093041310000784/c60039_ex10-10.htm" TargetMode="External"/><Relationship Id="rId268" Type="http://schemas.openxmlformats.org/officeDocument/2006/relationships/hyperlink" Target="http://www.sec.gov/Archives/edgar/data/773840/000093041316005457/c83288_ex10-7.htm" TargetMode="External"/><Relationship Id="rId269" Type="http://schemas.openxmlformats.org/officeDocument/2006/relationships/hyperlink" Target="http://www.sec.gov/Archives/edgar/data/773840/000093041309000801/c56028_ex10-12.htm" TargetMode="External"/><Relationship Id="rId270" Type="http://schemas.openxmlformats.org/officeDocument/2006/relationships/hyperlink" Target="http://www.sec.gov/Archives/edgar/data/773840/000093041310000784/c60039_ex10-12.htm" TargetMode="External"/><Relationship Id="rId271" Type="http://schemas.openxmlformats.org/officeDocument/2006/relationships/hyperlink" Target="http://www.sec.gov/Archives/edgar/data/773840/000093041314000634/c75936_ex10-9.htm" TargetMode="External"/><Relationship Id="rId272" Type="http://schemas.openxmlformats.org/officeDocument/2006/relationships/hyperlink" Target="http://www.sec.gov/Archives/edgar/data/773840/000093041316005457/c83288_ex10-8.htm" TargetMode="External"/><Relationship Id="rId273" Type="http://schemas.openxmlformats.org/officeDocument/2006/relationships/hyperlink" Target="https://www.sec.gov/Archives/edgar/data/773840/000093041309000801/c56028_ex10-13.htm" TargetMode="External"/><Relationship Id="rId275" Type="http://schemas.openxmlformats.org/officeDocument/2006/relationships/hyperlink" Target="http://www.sec.gov/Archives/edgar/data/773840/000093041310000784/c60039_ex10-13.htm" TargetMode="External"/><Relationship Id="rId276" Type="http://schemas.openxmlformats.org/officeDocument/2006/relationships/hyperlink" Target="http://www.sec.gov/Archives/edgar/data/773840/000093041316005457/c83288_ex10-9.htm" TargetMode="External"/><Relationship Id="rId277" Type="http://schemas.openxmlformats.org/officeDocument/2006/relationships/hyperlink" Target="http://www.sec.gov/Archives/edgar/data/773840/000093041314000634/c75936_ex10-12.htm" TargetMode="External"/><Relationship Id="rId278" Type="http://schemas.openxmlformats.org/officeDocument/2006/relationships/hyperlink" Target="http://www.sec.gov/Archives/edgar/data/773840/000093041307001369/c44492_ex10-24.htm" TargetMode="External"/><Relationship Id="rId279" Type="http://schemas.openxmlformats.org/officeDocument/2006/relationships/hyperlink" Target="http://www.sec.gov/Archives/edgar/data/773840/000093041309000801/c56028_ex10-31.htm" TargetMode="External"/><Relationship Id="rId280" Type="http://schemas.openxmlformats.org/officeDocument/2006/relationships/hyperlink" Target="http://www.sec.gov/Archives/edgar/data/773840/000093041312000976/c68029_ex10-27.htm" TargetMode="External"/><Relationship Id="rId281" Type="http://schemas.openxmlformats.org/officeDocument/2006/relationships/hyperlink" Target="http://www.sec.gov/Archives/edgar/data/773840/000093041315000621/c79276_ex10-24.htm" TargetMode="External"/><Relationship Id="rId282" Type="http://schemas.openxmlformats.org/officeDocument/2006/relationships/hyperlink" Target="http://www.sec.gov/Archives/edgar/data/773840/000093041312002323/c69322_ex10-3.htm" TargetMode="External"/><Relationship Id="rId283" Type="http://schemas.openxmlformats.org/officeDocument/2006/relationships/hyperlink" Target="http://www.sec.gov/Archives/edgar/data/773840/000093041307002180/c46936.htm" TargetMode="External"/><Relationship Id="rId284" Type="http://schemas.openxmlformats.org/officeDocument/2006/relationships/hyperlink" Target="http://www.sec.gov/Archives/edgar/data/773840/000093041311001776/c64436_def14a.htm" TargetMode="External"/><Relationship Id="rId285" Type="http://schemas.openxmlformats.org/officeDocument/2006/relationships/hyperlink" Target="http://www.sec.gov/Archives/edgar/data/773840/000093041313000907/c72130_ex10-36.htm" TargetMode="External"/><Relationship Id="rId286" Type="http://schemas.openxmlformats.org/officeDocument/2006/relationships/hyperlink" Target="http://www.sec.gov/Archives/edgar/data/773840/000093041314001831/c77214_ex10-1.htm" TargetMode="External"/><Relationship Id="rId287" Type="http://schemas.openxmlformats.org/officeDocument/2006/relationships/hyperlink" Target="http://www.sec.gov/Archives/edgar/data/773840/000093041314001831/c77214_ex10-4.htm" TargetMode="External"/><Relationship Id="rId288" Type="http://schemas.openxmlformats.org/officeDocument/2006/relationships/hyperlink" Target="http://www.sec.gov/Archives/edgar/data/773840/000093041315000621/c79276_ex10-39.htm" TargetMode="External"/><Relationship Id="rId289" Type="http://schemas.openxmlformats.org/officeDocument/2006/relationships/hyperlink" Target="http://www.sec.gov/Archives/edgar/data/773840/000093041316005948/c82838_def14a.htm" TargetMode="External"/><Relationship Id="rId290" Type="http://schemas.openxmlformats.org/officeDocument/2006/relationships/hyperlink" Target="http://www.sec.gov/Archives/edgar/data/773840/000077384020000048/exhibit10209302020.htm" TargetMode="External"/><Relationship Id="rId291" Type="http://schemas.openxmlformats.org/officeDocument/2006/relationships/hyperlink" Target="http://www.sec.gov/Archives/edgar/data/773840/000077384022000037/exhibit10303312022.htm" TargetMode="External"/><Relationship Id="rId292" Type="http://schemas.openxmlformats.org/officeDocument/2006/relationships/hyperlink" Target="http://www.sec.gov/Archives/edgar/data/773840/000077384022000037/exhibit10403312022.htm" TargetMode="External"/><Relationship Id="rId293" Type="http://schemas.openxmlformats.org/officeDocument/2006/relationships/hyperlink" Target="http://www.sec.gov/Archives/edgar/data/773840/000077384022000037/exhibit10503312022.htm" TargetMode="External"/><Relationship Id="rId294" Type="http://schemas.openxmlformats.org/officeDocument/2006/relationships/hyperlink" Target="http://www.sec.gov/Archives/edgar/data/773840/000077384022000037/exhibit10603312022.htm" TargetMode="External"/><Relationship Id="rId295" Type="http://schemas.openxmlformats.org/officeDocument/2006/relationships/hyperlink" Target="http://www.sec.gov/Archives/edgar/data/773840/000093041319002643/c94369_ex99-2.htm" TargetMode="External"/><Relationship Id="rId297" Type="http://schemas.openxmlformats.org/officeDocument/2006/relationships/hyperlink" Target="http://www.sec.gov/Archives/edgar/data/773840/000077384020000038/exhibit10106302020.htm" TargetMode="External"/><Relationship Id="rId298" Type="http://schemas.openxmlformats.org/officeDocument/2006/relationships/hyperlink" Target="https://www.sec.gov/Archives/edgar/data/773840/000077384021000057/exhibit10606302021.htm" TargetMode="External"/><Relationship Id="rId299" Type="http://schemas.openxmlformats.org/officeDocument/2006/relationships/hyperlink" Target="https://www.sec.gov/Archives/edgar/data/773840/000077384021000057/exhibit10706302021.htm" TargetMode="External"/><Relationship Id="rId300" Type="http://schemas.openxmlformats.org/officeDocument/2006/relationships/hyperlink" Target="https://www.sec.gov/Archives/edgar/data/773840/000077384022000018/exhibit106112312021.htm" TargetMode="External"/><Relationship Id="rId301" Type="http://schemas.openxmlformats.org/officeDocument/2006/relationships/hyperlink" Target="http://www.sec.gov/Archives/edgar/data/773840/000093041316006542/c84644_ex10-1.htm" TargetMode="External"/><Relationship Id="rId302" Type="http://schemas.openxmlformats.org/officeDocument/2006/relationships/hyperlink" Target="http://www.sec.gov/Archives/edgar/data/773840/000093041316006322/c84617_ex99-1.htm" TargetMode="External"/><Relationship Id="rId303" Type="http://schemas.openxmlformats.org/officeDocument/2006/relationships/hyperlink" Target="http://www.sec.gov/Archives/edgar/data/773840/000093041317000893/c87598_ex99-1.htm" TargetMode="External"/><Relationship Id="rId304" Type="http://schemas.openxmlformats.org/officeDocument/2006/relationships/hyperlink" Target="https://www.sec.gov/Archives/edgar/data/773840/000119312523069598/d780318dex101.htm" TargetMode="External"/><Relationship Id="rId305" Type="http://schemas.openxmlformats.org/officeDocument/2006/relationships/hyperlink" Target="http://www.sec.gov/Archives/edgar/data/773840/000093041318002493/c91763_ex99-1.htm" TargetMode="External"/><Relationship Id="rId306" Type="http://schemas.openxmlformats.org/officeDocument/2006/relationships/hyperlink" Target="http://www.sec.gov/Archives/edgar/data/0000773840/000077384021000015/exhibit107012312020.htm" TargetMode="External"/><Relationship Id="rId307" Type="http://schemas.openxmlformats.org/officeDocument/2006/relationships/hyperlink" Target="https://www.sec.gov/Archives/edgar/data/773840/000119312523069598/d780318dex102.htm" TargetMode="External"/><Relationship Id="rId308" Type="http://schemas.openxmlformats.org/officeDocument/2006/relationships/hyperlink" Target="http://www.sec.gov/Archives/edgar/data/773840/000119312522204108/d376391dex101.htm" TargetMode="External"/><Relationship Id="rId309" Type="http://schemas.openxmlformats.org/officeDocument/2006/relationships/hyperlink" Target="https://www.sec.gov/Archives/edgar/data/773840/000077384023000013/exhibit107012312022.htm" TargetMode="External"/><Relationship Id="rId310" Type="http://schemas.openxmlformats.org/officeDocument/2006/relationships/hyperlink" Target="https://www.sec.gov/Archives/edgar/data/773840/000119312523075746/d426861dex101.htm" TargetMode="External"/><Relationship Id="rId311" Type="http://schemas.openxmlformats.org/officeDocument/2006/relationships/hyperlink" Target="https://www.sec.gov/Archives/edgar/data/773840/000119312523075746/d426861dex102.htm" TargetMode="External"/><Relationship Id="rId312" Type="http://schemas.openxmlformats.org/officeDocument/2006/relationships/hyperlink" Target="http://www.sec.gov/Archives/edgar/data/773840/000119312518298884/d625197dex21.htm" TargetMode="External"/><Relationship Id="rId313" Type="http://schemas.openxmlformats.org/officeDocument/2006/relationships/hyperlink" Target="http://www.sec.gov/Archives/edgar/data/773840/000077384020000038/exhibit10606302020.htm" TargetMode="External"/><Relationship Id="rId314" Type="http://schemas.openxmlformats.org/officeDocument/2006/relationships/hyperlink" Target="https://www.sec.gov/Archives/edgar/data/773840/000077384020000048/exhibit10109302020.htm" TargetMode="External"/><Relationship Id="rId315" Type="http://schemas.openxmlformats.org/officeDocument/2006/relationships/hyperlink" Target="https://www.sec.gov/Archives/edgar/data/0000773840/000077384021000032/exhibit10203312021.htm" TargetMode="External"/><Relationship Id="rId316" Type="http://schemas.openxmlformats.org/officeDocument/2006/relationships/hyperlink" Target="https://www.sec.gov/Archives/edgar/data/0000773840/000077384021000032/exhibit10303312021.htm" TargetMode="External"/><Relationship Id="rId317" Type="http://schemas.openxmlformats.org/officeDocument/2006/relationships/hyperlink" Target="https://www.sec.gov/Archives/edgar/data/773840/000119312522290052/d42406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2024-02-16T13:01:13Z</dcterms:created>
  <dcterms:modified xsi:type="dcterms:W3CDTF">2024-02-16T13:01:13Z</dcterms:modified>
</cp:coreProperties>
</file>